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kern w:val="0"/>
          <w:szCs w:val="32"/>
        </w:rPr>
      </w:pPr>
      <w:bookmarkStart w:id="0" w:name="_GoBack"/>
      <w:r>
        <w:rPr>
          <w:rFonts w:hint="eastAsia" w:eastAsia="黑体"/>
          <w:kern w:val="0"/>
          <w:szCs w:val="32"/>
        </w:rPr>
        <w:t xml:space="preserve">附件1: </w:t>
      </w:r>
    </w:p>
    <w:p>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关税政策调研成果展示</w:t>
      </w:r>
    </w:p>
    <w:bookmarkEnd w:id="0"/>
    <w:p>
      <w:pPr>
        <w:widowControl/>
        <w:jc w:val="center"/>
        <w:rPr>
          <w:rFonts w:ascii="方正小标宋简体" w:hAnsi="宋体" w:eastAsia="方正小标宋简体" w:cs="宋体"/>
          <w:bCs/>
          <w:kern w:val="0"/>
          <w:sz w:val="36"/>
          <w:szCs w:val="36"/>
        </w:rPr>
      </w:pPr>
    </w:p>
    <w:p>
      <w:pPr>
        <w:widowControl/>
        <w:jc w:val="center"/>
        <w:rPr>
          <w:rFonts w:ascii="仿宋_GB2312" w:hAnsi="宋体" w:cs="宋体"/>
          <w:b/>
          <w:kern w:val="0"/>
          <w:szCs w:val="32"/>
        </w:rPr>
      </w:pPr>
      <w:r>
        <w:rPr>
          <w:rFonts w:hint="eastAsia" w:ascii="仿宋_GB2312" w:hAnsi="宋体" w:cs="宋体"/>
          <w:b/>
          <w:bCs/>
          <w:kern w:val="0"/>
          <w:szCs w:val="32"/>
        </w:rPr>
        <w:t>成果一：增列税目——黑茶</w:t>
      </w:r>
    </w:p>
    <w:p>
      <w:pPr>
        <w:widowControl/>
        <w:ind w:firstLine="600" w:firstLineChars="200"/>
        <w:jc w:val="left"/>
        <w:rPr>
          <w:rFonts w:ascii="仿宋_GB2312" w:hAnsi="宋体" w:cs="宋体"/>
          <w:kern w:val="0"/>
          <w:sz w:val="30"/>
          <w:szCs w:val="30"/>
        </w:rPr>
      </w:pPr>
      <w:r>
        <w:rPr>
          <w:rFonts w:hint="eastAsia" w:ascii="仿宋_GB2312" w:hAnsi="宋体" w:cs="宋体"/>
          <w:kern w:val="0"/>
          <w:sz w:val="30"/>
          <w:szCs w:val="30"/>
        </w:rPr>
        <w:t>黑茶是以云台大叶种、槠叶齐等国家级优良茶树品种的鲜叶为原料，经摊放、杀青、初揉、渥堆、复揉、干燥等工序加工成黑毛茶，再经各种不同的精制加工工艺而成的成品，基本品质要求是汤色红亮、滋味醇厚、香气纯正、叶底黑褐、耐冲泡且无杂香杂味。黑茶属于后发酵茶，是我国六大茶类中的一种。其主要产区和加工区在湖南、云南、广西、贵州、四川、陕西等省份的边贫地区。随着国家“一带一路”</w:t>
      </w:r>
      <w:r>
        <w:rPr>
          <w:rFonts w:hint="eastAsia" w:ascii="仿宋_GB2312" w:hAnsi="宋体" w:cs="宋体"/>
          <w:kern w:val="0"/>
          <w:sz w:val="30"/>
          <w:szCs w:val="30"/>
          <w:lang w:eastAsia="zh-CN"/>
        </w:rPr>
        <w:t>倡议</w:t>
      </w:r>
      <w:r>
        <w:rPr>
          <w:rFonts w:hint="eastAsia" w:ascii="仿宋_GB2312" w:hAnsi="宋体" w:cs="宋体"/>
          <w:kern w:val="0"/>
          <w:sz w:val="30"/>
          <w:szCs w:val="30"/>
        </w:rPr>
        <w:t>的深入推进，以及全世界以牛羊肉为主食的国家和地区对黑茶的需求进一步扩大，黑茶已外销亚洲、欧洲、美洲、非洲的20多个国家和地区。</w:t>
      </w:r>
    </w:p>
    <w:p>
      <w:pPr>
        <w:widowControl/>
        <w:ind w:firstLine="600" w:firstLineChars="200"/>
        <w:jc w:val="left"/>
        <w:rPr>
          <w:rFonts w:ascii="仿宋_GB2312" w:hAnsi="宋体" w:cs="宋体"/>
          <w:kern w:val="0"/>
          <w:sz w:val="30"/>
          <w:szCs w:val="30"/>
        </w:rPr>
      </w:pPr>
      <w:r>
        <w:rPr>
          <w:rFonts w:hint="eastAsia" w:ascii="仿宋_GB2312" w:hAnsi="宋体" w:cs="宋体"/>
          <w:kern w:val="0"/>
          <w:sz w:val="30"/>
          <w:szCs w:val="30"/>
        </w:rPr>
        <w:t>2021年前，进出口税则中一直没有黑茶具体列名，黑茶出口迫切需要自己的“身份证”。我厅联合相关部门连续多年上报黑茶单独列目的建议，终于在2020年取得突破。2020年12月21日，国务院关税税则委员会正式发布《关于2021年关税调整方案的通知》（税委会〔2020〕33号），明确了黑茶进出口税则号列。该方案的出台，实现了全球黑茶进出口税则号“零”的突破，对释放茶叶供给侧能量，扩大中国茶叶出口，提升中国茶产业的国际话语权，具有重要意义。</w:t>
      </w:r>
    </w:p>
    <w:p>
      <w:pPr>
        <w:widowControl/>
        <w:ind w:firstLine="1355" w:firstLineChars="450"/>
        <w:jc w:val="left"/>
        <w:rPr>
          <w:rFonts w:ascii="仿宋_GB2312" w:hAnsi="宋体" w:cs="宋体"/>
          <w:b/>
          <w:bCs/>
          <w:kern w:val="0"/>
          <w:sz w:val="30"/>
          <w:szCs w:val="30"/>
        </w:rPr>
      </w:pPr>
    </w:p>
    <w:p>
      <w:pPr>
        <w:widowControl/>
        <w:ind w:firstLine="1506" w:firstLineChars="500"/>
        <w:jc w:val="left"/>
        <w:rPr>
          <w:rFonts w:ascii="仿宋_GB2312" w:hAnsi="宋体" w:cs="宋体"/>
          <w:b/>
          <w:bCs/>
          <w:kern w:val="0"/>
          <w:sz w:val="30"/>
          <w:szCs w:val="30"/>
        </w:rPr>
      </w:pPr>
    </w:p>
    <w:p>
      <w:pPr>
        <w:widowControl/>
        <w:ind w:firstLine="1506" w:firstLineChars="500"/>
        <w:jc w:val="left"/>
        <w:rPr>
          <w:rFonts w:ascii="仿宋_GB2312" w:hAnsi="宋体" w:cs="宋体"/>
          <w:kern w:val="0"/>
          <w:sz w:val="30"/>
          <w:szCs w:val="30"/>
        </w:rPr>
      </w:pPr>
      <w:r>
        <w:rPr>
          <w:rFonts w:hint="eastAsia" w:ascii="仿宋_GB2312" w:hAnsi="宋体" w:cs="宋体"/>
          <w:b/>
          <w:bCs/>
          <w:kern w:val="0"/>
          <w:sz w:val="30"/>
          <w:szCs w:val="30"/>
        </w:rPr>
        <w:t>成果二：降低进口暂定税率——机车零配件</w:t>
      </w:r>
    </w:p>
    <w:p>
      <w:pPr>
        <w:widowControl/>
        <w:ind w:firstLine="600" w:firstLineChars="200"/>
        <w:jc w:val="left"/>
        <w:rPr>
          <w:rFonts w:ascii="仿宋_GB2312" w:hAnsi="微软雅黑" w:cs="宋体"/>
          <w:kern w:val="0"/>
          <w:sz w:val="30"/>
          <w:szCs w:val="30"/>
        </w:rPr>
      </w:pPr>
      <w:r>
        <w:rPr>
          <w:rFonts w:hint="eastAsia" w:ascii="仿宋_GB2312" w:hAnsi="微软雅黑" w:cs="宋体"/>
          <w:kern w:val="0"/>
          <w:sz w:val="30"/>
          <w:szCs w:val="30"/>
        </w:rPr>
        <w:t>为促进我国电力机车制造业的高速发展，扩大出口市场份额，我厅联合相关部门在深入中车株机等重点企业调研基础上，提出的多项降低机车制造用关键零配件进口关税暂定税率的建议受到国务院税则委员会采纳并于2021年实施，包括机车受电弓（税则序号</w:t>
      </w:r>
      <w:r>
        <w:rPr>
          <w:kern w:val="0"/>
          <w:sz w:val="30"/>
          <w:szCs w:val="30"/>
        </w:rPr>
        <w:t>85359000</w:t>
      </w:r>
      <w:r>
        <w:rPr>
          <w:rFonts w:hint="eastAsia" w:ascii="仿宋_GB2312" w:hAnsi="微软雅黑" w:cs="宋体"/>
          <w:kern w:val="0"/>
          <w:sz w:val="30"/>
          <w:szCs w:val="30"/>
        </w:rPr>
        <w:t>）商品的进口税率由</w:t>
      </w:r>
      <w:r>
        <w:rPr>
          <w:kern w:val="0"/>
          <w:sz w:val="30"/>
          <w:szCs w:val="30"/>
        </w:rPr>
        <w:t>10%</w:t>
      </w:r>
      <w:r>
        <w:rPr>
          <w:rFonts w:hint="eastAsia" w:ascii="仿宋_GB2312" w:hAnsi="微软雅黑" w:cs="宋体"/>
          <w:kern w:val="0"/>
          <w:sz w:val="30"/>
          <w:szCs w:val="30"/>
        </w:rPr>
        <w:t>降为</w:t>
      </w:r>
      <w:r>
        <w:rPr>
          <w:kern w:val="0"/>
          <w:sz w:val="30"/>
          <w:szCs w:val="30"/>
        </w:rPr>
        <w:t>5%</w:t>
      </w:r>
      <w:r>
        <w:rPr>
          <w:rFonts w:hint="eastAsia" w:ascii="仿宋_GB2312" w:hAnsi="微软雅黑" w:cs="宋体"/>
          <w:kern w:val="0"/>
          <w:sz w:val="30"/>
          <w:szCs w:val="30"/>
        </w:rPr>
        <w:t>、轨道机车用气囊升弓装置（税则序号</w:t>
      </w:r>
      <w:r>
        <w:rPr>
          <w:kern w:val="0"/>
          <w:sz w:val="30"/>
          <w:szCs w:val="30"/>
        </w:rPr>
        <w:t>40169990</w:t>
      </w:r>
      <w:r>
        <w:rPr>
          <w:rFonts w:hint="eastAsia" w:ascii="仿宋_GB2312" w:hAnsi="微软雅黑" w:cs="宋体"/>
          <w:kern w:val="0"/>
          <w:sz w:val="30"/>
          <w:szCs w:val="30"/>
        </w:rPr>
        <w:t>）商品的进口税率由</w:t>
      </w:r>
      <w:r>
        <w:rPr>
          <w:kern w:val="0"/>
          <w:sz w:val="30"/>
          <w:szCs w:val="30"/>
        </w:rPr>
        <w:t>18%</w:t>
      </w:r>
      <w:r>
        <w:rPr>
          <w:rFonts w:hint="eastAsia" w:ascii="仿宋_GB2312" w:hAnsi="微软雅黑" w:cs="宋体"/>
          <w:kern w:val="0"/>
          <w:sz w:val="30"/>
          <w:szCs w:val="30"/>
        </w:rPr>
        <w:t>降为</w:t>
      </w:r>
      <w:r>
        <w:rPr>
          <w:kern w:val="0"/>
          <w:sz w:val="30"/>
          <w:szCs w:val="30"/>
        </w:rPr>
        <w:t>9%</w:t>
      </w:r>
      <w:r>
        <w:rPr>
          <w:rFonts w:hint="eastAsia" w:ascii="仿宋_GB2312" w:hAnsi="微软雅黑" w:cs="宋体"/>
          <w:kern w:val="0"/>
          <w:sz w:val="30"/>
          <w:szCs w:val="30"/>
        </w:rPr>
        <w:t>等。此举每年可为中车株洲电力机车、中车株洲所等企业节约经营成本</w:t>
      </w:r>
      <w:r>
        <w:rPr>
          <w:kern w:val="0"/>
          <w:sz w:val="30"/>
          <w:szCs w:val="30"/>
        </w:rPr>
        <w:t>2000</w:t>
      </w:r>
      <w:r>
        <w:rPr>
          <w:rFonts w:hint="eastAsia" w:ascii="仿宋_GB2312" w:hAnsi="微软雅黑" w:cs="宋体"/>
          <w:kern w:val="0"/>
          <w:sz w:val="30"/>
          <w:szCs w:val="30"/>
        </w:rPr>
        <w:t>多万元。</w:t>
      </w: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kern w:val="0"/>
          <w:szCs w:val="32"/>
        </w:rPr>
      </w:pPr>
    </w:p>
    <w:p>
      <w:pPr>
        <w:spacing w:line="600" w:lineRule="exact"/>
        <w:jc w:val="left"/>
        <w:rPr>
          <w:rFonts w:eastAsia="黑体"/>
          <w:szCs w:val="32"/>
        </w:rPr>
      </w:pPr>
      <w:r>
        <w:rPr>
          <w:rFonts w:eastAsia="黑体"/>
          <w:kern w:val="0"/>
          <w:szCs w:val="32"/>
        </w:rPr>
        <w:t>附件</w:t>
      </w:r>
      <w:r>
        <w:rPr>
          <w:rFonts w:hint="eastAsia" w:eastAsia="黑体"/>
          <w:kern w:val="0"/>
          <w:szCs w:val="32"/>
        </w:rPr>
        <w:t>2</w:t>
      </w:r>
      <w:r>
        <w:rPr>
          <w:rFonts w:eastAsia="黑体"/>
          <w:kern w:val="0"/>
          <w:szCs w:val="32"/>
        </w:rPr>
        <w:t>：</w:t>
      </w:r>
    </w:p>
    <w:p>
      <w:pPr>
        <w:spacing w:line="600" w:lineRule="exact"/>
        <w:jc w:val="center"/>
        <w:rPr>
          <w:rFonts w:eastAsia="黑体"/>
          <w:sz w:val="36"/>
          <w:szCs w:val="36"/>
        </w:rPr>
      </w:pPr>
      <w:r>
        <w:rPr>
          <w:rFonts w:eastAsia="黑体"/>
          <w:sz w:val="36"/>
          <w:szCs w:val="36"/>
        </w:rPr>
        <w:t>关税政策建议范本</w:t>
      </w:r>
    </w:p>
    <w:p>
      <w:pPr>
        <w:ind w:firstLine="496" w:firstLineChars="200"/>
        <w:jc w:val="left"/>
        <w:rPr>
          <w:rFonts w:eastAsia="黑体"/>
          <w:bCs/>
          <w:spacing w:val="4"/>
          <w:sz w:val="24"/>
        </w:rPr>
      </w:pPr>
    </w:p>
    <w:p>
      <w:pPr>
        <w:ind w:firstLine="576" w:firstLineChars="200"/>
        <w:jc w:val="left"/>
        <w:rPr>
          <w:rFonts w:eastAsia="黑体"/>
          <w:bCs/>
          <w:spacing w:val="4"/>
          <w:sz w:val="28"/>
          <w:szCs w:val="28"/>
        </w:rPr>
      </w:pPr>
      <w:r>
        <w:rPr>
          <w:rFonts w:eastAsia="黑体"/>
          <w:bCs/>
          <w:spacing w:val="4"/>
          <w:sz w:val="28"/>
          <w:szCs w:val="28"/>
        </w:rPr>
        <w:t>一、调整进（出）口暂定税率建议范本</w:t>
      </w:r>
    </w:p>
    <w:p>
      <w:pPr>
        <w:ind w:firstLine="578" w:firstLineChars="200"/>
        <w:rPr>
          <w:rFonts w:eastAsia="楷体_GB2312"/>
          <w:b/>
          <w:bCs/>
          <w:spacing w:val="4"/>
          <w:sz w:val="28"/>
          <w:szCs w:val="28"/>
        </w:rPr>
      </w:pPr>
      <w:r>
        <w:rPr>
          <w:rFonts w:eastAsia="楷体_GB2312"/>
          <w:b/>
          <w:bCs/>
          <w:spacing w:val="4"/>
          <w:sz w:val="28"/>
          <w:szCs w:val="28"/>
        </w:rPr>
        <w:t>调整</w:t>
      </w:r>
      <w:r>
        <w:rPr>
          <w:rFonts w:eastAsia="楷体_GB2312"/>
          <w:b/>
          <w:sz w:val="28"/>
          <w:szCs w:val="28"/>
        </w:rPr>
        <w:t>人工耳蜗植入系统</w:t>
      </w:r>
      <w:r>
        <w:rPr>
          <w:rFonts w:eastAsia="楷体_GB2312"/>
          <w:b/>
          <w:bCs/>
          <w:spacing w:val="4"/>
          <w:sz w:val="28"/>
          <w:szCs w:val="28"/>
        </w:rPr>
        <w:t>进口暂定税率</w:t>
      </w:r>
    </w:p>
    <w:p>
      <w:pPr>
        <w:ind w:firstLine="562" w:firstLineChars="200"/>
        <w:rPr>
          <w:b/>
          <w:kern w:val="0"/>
          <w:sz w:val="28"/>
          <w:szCs w:val="28"/>
        </w:rPr>
      </w:pPr>
      <w:r>
        <w:rPr>
          <w:b/>
          <w:kern w:val="0"/>
          <w:sz w:val="28"/>
          <w:szCs w:val="28"/>
        </w:rPr>
        <w:t>标准中文名称：</w:t>
      </w:r>
      <w:r>
        <w:rPr>
          <w:b/>
          <w:sz w:val="28"/>
          <w:szCs w:val="28"/>
        </w:rPr>
        <w:t>人工耳蜗植入系统</w:t>
      </w:r>
    </w:p>
    <w:p>
      <w:pPr>
        <w:ind w:firstLine="551" w:firstLineChars="196"/>
        <w:rPr>
          <w:sz w:val="28"/>
          <w:szCs w:val="28"/>
        </w:rPr>
      </w:pPr>
      <w:r>
        <w:rPr>
          <w:b/>
          <w:kern w:val="0"/>
          <w:sz w:val="28"/>
          <w:szCs w:val="28"/>
        </w:rPr>
        <w:t>标准英文名称：</w:t>
      </w:r>
      <w:r>
        <w:rPr>
          <w:sz w:val="28"/>
          <w:szCs w:val="28"/>
        </w:rPr>
        <w:t>cochlear implant system</w:t>
      </w:r>
    </w:p>
    <w:p>
      <w:pPr>
        <w:ind w:firstLine="551" w:firstLineChars="196"/>
        <w:rPr>
          <w:sz w:val="28"/>
          <w:szCs w:val="28"/>
        </w:rPr>
      </w:pPr>
      <w:r>
        <w:rPr>
          <w:b/>
          <w:bCs/>
          <w:sz w:val="28"/>
          <w:szCs w:val="28"/>
        </w:rPr>
        <w:t>现行</w:t>
      </w:r>
      <w:r>
        <w:rPr>
          <w:b/>
          <w:sz w:val="28"/>
          <w:szCs w:val="28"/>
          <w:lang w:val="en-GB"/>
        </w:rPr>
        <w:t>税则号列</w:t>
      </w:r>
      <w:r>
        <w:rPr>
          <w:b/>
          <w:sz w:val="28"/>
          <w:szCs w:val="28"/>
        </w:rPr>
        <w:t>：</w:t>
      </w:r>
      <w:r>
        <w:rPr>
          <w:sz w:val="28"/>
          <w:szCs w:val="28"/>
        </w:rPr>
        <w:t>90219000</w:t>
      </w:r>
      <w:r>
        <w:rPr>
          <w:b/>
          <w:sz w:val="28"/>
          <w:szCs w:val="28"/>
        </w:rPr>
        <w:t>，进口关税税率</w:t>
      </w:r>
      <w:r>
        <w:rPr>
          <w:sz w:val="28"/>
          <w:szCs w:val="28"/>
        </w:rPr>
        <w:t>4％</w:t>
      </w:r>
    </w:p>
    <w:p>
      <w:pPr>
        <w:ind w:firstLine="562" w:firstLineChars="200"/>
        <w:rPr>
          <w:b/>
          <w:sz w:val="28"/>
          <w:szCs w:val="28"/>
        </w:rPr>
      </w:pPr>
      <w:r>
        <w:rPr>
          <w:b/>
          <w:sz w:val="28"/>
          <w:szCs w:val="28"/>
        </w:rPr>
        <w:t>（一）商品简要描述：</w:t>
      </w:r>
    </w:p>
    <w:p>
      <w:pPr>
        <w:rPr>
          <w:sz w:val="28"/>
          <w:szCs w:val="28"/>
        </w:rPr>
      </w:pPr>
      <w:r>
        <w:rPr>
          <w:sz w:val="28"/>
          <w:szCs w:val="28"/>
        </w:rPr>
        <w:t xml:space="preserve">    1、商品的主要组成部分及用途：</w:t>
      </w:r>
    </w:p>
    <w:p>
      <w:pPr>
        <w:ind w:firstLine="560" w:firstLineChars="200"/>
        <w:rPr>
          <w:sz w:val="28"/>
          <w:szCs w:val="28"/>
        </w:rPr>
      </w:pPr>
      <w:r>
        <w:rPr>
          <w:sz w:val="28"/>
          <w:szCs w:val="28"/>
        </w:rPr>
        <w:fldChar w:fldCharType="begin"/>
      </w:r>
      <w:r>
        <w:rPr>
          <w:sz w:val="28"/>
          <w:szCs w:val="28"/>
        </w:rPr>
        <w:instrText xml:space="preserve"> = 1 \* GB3 </w:instrText>
      </w:r>
      <w:r>
        <w:rPr>
          <w:sz w:val="28"/>
          <w:szCs w:val="28"/>
        </w:rPr>
        <w:fldChar w:fldCharType="separate"/>
      </w:r>
      <w:r>
        <w:rPr>
          <w:sz w:val="28"/>
          <w:szCs w:val="28"/>
        </w:rPr>
        <w:t>①</w:t>
      </w:r>
      <w:r>
        <w:rPr>
          <w:sz w:val="28"/>
          <w:szCs w:val="28"/>
        </w:rPr>
        <w:fldChar w:fldCharType="end"/>
      </w:r>
      <w:r>
        <w:rPr>
          <w:sz w:val="28"/>
          <w:szCs w:val="28"/>
        </w:rPr>
        <w:t>植入部件：包括信号接受、刺激器和电极系列，前者将适量的电能传至耳蜗内部电极系列，沿着在序列上分布的电极刺激耳蜗内的残余听神经纤维。电声信息沿听觉通路传至大脑进行编译。</w:t>
      </w:r>
    </w:p>
    <w:p>
      <w:pPr>
        <w:ind w:firstLine="560" w:firstLineChars="200"/>
        <w:rPr>
          <w:sz w:val="28"/>
          <w:szCs w:val="28"/>
        </w:rPr>
      </w:pPr>
      <w:r>
        <w:rPr>
          <w:sz w:val="28"/>
          <w:szCs w:val="28"/>
        </w:rPr>
        <w:fldChar w:fldCharType="begin"/>
      </w:r>
      <w:r>
        <w:rPr>
          <w:sz w:val="28"/>
          <w:szCs w:val="28"/>
        </w:rPr>
        <w:instrText xml:space="preserve"> = 2 \* GB3 </w:instrText>
      </w:r>
      <w:r>
        <w:rPr>
          <w:sz w:val="28"/>
          <w:szCs w:val="28"/>
        </w:rPr>
        <w:fldChar w:fldCharType="separate"/>
      </w:r>
      <w:r>
        <w:rPr>
          <w:sz w:val="28"/>
          <w:szCs w:val="28"/>
        </w:rPr>
        <w:t>②</w:t>
      </w:r>
      <w:r>
        <w:rPr>
          <w:sz w:val="28"/>
          <w:szCs w:val="28"/>
        </w:rPr>
        <w:fldChar w:fldCharType="end"/>
      </w:r>
      <w:r>
        <w:rPr>
          <w:sz w:val="28"/>
          <w:szCs w:val="28"/>
        </w:rPr>
        <w:t>体外部分：包括麦克风、言语处理器及相关配件，主要作用是将声音信号进行适当处理转化为电能，通过感应线圈将能量传递至植入体内的信号接受器。相关配件包括线圈、电缆、耳钩等。</w:t>
      </w:r>
    </w:p>
    <w:p>
      <w:pPr>
        <w:ind w:firstLine="560" w:firstLineChars="200"/>
        <w:rPr>
          <w:sz w:val="28"/>
          <w:szCs w:val="28"/>
        </w:rPr>
      </w:pPr>
      <w:r>
        <w:rPr>
          <w:sz w:val="28"/>
          <w:szCs w:val="28"/>
        </w:rPr>
        <w:t>2、产品主要生产国：</w:t>
      </w:r>
    </w:p>
    <w:p>
      <w:pPr>
        <w:ind w:firstLine="560" w:firstLineChars="200"/>
        <w:rPr>
          <w:sz w:val="28"/>
          <w:szCs w:val="28"/>
        </w:rPr>
      </w:pPr>
      <w:r>
        <w:rPr>
          <w:sz w:val="28"/>
          <w:szCs w:val="28"/>
        </w:rPr>
        <w:t>目前国内应用的人工耳蜗产品主要有：澳大利亚Nuclear、奥地利MEDEL和美国Clarion人工耳蜗植入系统。目前国内尚无自主研发并可在市场上应用的国产化产品。</w:t>
      </w:r>
    </w:p>
    <w:p>
      <w:pPr>
        <w:ind w:firstLine="658" w:firstLineChars="235"/>
        <w:rPr>
          <w:sz w:val="28"/>
          <w:szCs w:val="28"/>
        </w:rPr>
      </w:pPr>
      <w:r>
        <w:rPr>
          <w:sz w:val="28"/>
          <w:szCs w:val="28"/>
        </w:rPr>
        <w:t>3、工作原理：省略。</w:t>
      </w:r>
    </w:p>
    <w:p>
      <w:pPr>
        <w:ind w:firstLine="562" w:firstLineChars="200"/>
        <w:rPr>
          <w:b/>
          <w:sz w:val="28"/>
          <w:szCs w:val="28"/>
        </w:rPr>
      </w:pPr>
      <w:r>
        <w:rPr>
          <w:b/>
          <w:sz w:val="28"/>
          <w:szCs w:val="28"/>
        </w:rPr>
        <w:t>（二）理由和依据：</w:t>
      </w:r>
    </w:p>
    <w:p>
      <w:pPr>
        <w:ind w:firstLine="645"/>
        <w:rPr>
          <w:sz w:val="28"/>
          <w:szCs w:val="28"/>
        </w:rPr>
      </w:pPr>
      <w:r>
        <w:rPr>
          <w:sz w:val="28"/>
          <w:szCs w:val="28"/>
        </w:rPr>
        <w:t>1、我国耳聋发病率很高，在各类残疾中占第一位。据最新统计数据，我国现有耳聋残疾者2057万人，其中80余万人为重度以上感音神经性聋，而且每年新增3万余人。耳聋对我国社会和经济发展的影响极大，对我国当前建设和谐社会产生的消极影响不容低估。尤其是聋儿听觉言语康复关系到提高人口素质、促进社会和经济可持续发展的国家基本策略。人工耳蜗植入作为一项医疗新技术，是目前治疗重度以上双侧耳聋患者恢复听力的唯一手段，在我国有广泛的应用前景。</w:t>
      </w:r>
    </w:p>
    <w:p>
      <w:pPr>
        <w:ind w:firstLine="645"/>
        <w:rPr>
          <w:sz w:val="28"/>
          <w:szCs w:val="28"/>
        </w:rPr>
      </w:pPr>
      <w:r>
        <w:rPr>
          <w:sz w:val="28"/>
          <w:szCs w:val="28"/>
        </w:rPr>
        <w:t>2、人工耳蜗是现代医疗手段中治疗耳聋患者最具治疗成本效益的方法之一。由于植入人工耳蜗后，患者能重返主流社会，因此，绝大多数发达国家已经将人工耳蜗植入纳入政府付费的医疗项目。随着我国社会经济的发展，国家对弱势群体和贫困人群扶持力度逐年加大，尤其是对残疾人出台了一系列扶持政策。我省“十一五”期间贫困耳聋残疾儿童人工耳蜗植入援助计划也将投入500万元政府资金支持这项爱心工程、德政工程。国家关税政策作为国家调控的重要手段之一，也理应体现对残疾人的关怀和对慈善事业的支持。</w:t>
      </w:r>
    </w:p>
    <w:p>
      <w:pPr>
        <w:ind w:firstLine="560" w:firstLineChars="200"/>
        <w:rPr>
          <w:sz w:val="28"/>
          <w:szCs w:val="28"/>
        </w:rPr>
      </w:pPr>
      <w:r>
        <w:rPr>
          <w:sz w:val="28"/>
          <w:szCs w:val="28"/>
        </w:rPr>
        <w:t>3、我国现阶段缺乏自主开发并在市场可用的人工耳蜗产品，而进口人工耳蜗植入系统价格昂贵，很多患者无力负担。自90年代末国内开展人工耳蜗植入手术以来，迄今只有3000多人接受了人工耳蜗植入，而按我国耳聋发病率计算，适合接受人工耳蜗植入的候选人群达数十万人。如对进口人工耳蜗植入系统实施零关税并免征进口环节增值税，将为每个人工耳蜗植入者减少费用2-4万元，也将使更多的候选人群有机会接受这一治疗手段，这对提高人口素质，构建和谐社会，体现社会主义制度优越性都有重要意义。</w:t>
      </w:r>
    </w:p>
    <w:p>
      <w:pPr>
        <w:ind w:firstLine="435"/>
        <w:rPr>
          <w:sz w:val="28"/>
          <w:szCs w:val="28"/>
        </w:rPr>
      </w:pPr>
      <w:r>
        <w:rPr>
          <w:sz w:val="28"/>
          <w:szCs w:val="28"/>
        </w:rPr>
        <w:t>综上所述理由，为支持残疾人康复事业，让更多的耳聋患者恢复听力，重返主流社会，建议国家将人工耳蜗植入系统（cochlear implant system）</w:t>
      </w:r>
      <w:r>
        <w:rPr>
          <w:bCs/>
          <w:kern w:val="0"/>
          <w:sz w:val="28"/>
          <w:szCs w:val="28"/>
        </w:rPr>
        <w:t>进口</w:t>
      </w:r>
      <w:r>
        <w:rPr>
          <w:sz w:val="28"/>
          <w:szCs w:val="28"/>
        </w:rPr>
        <w:t>暂定税率调整为</w:t>
      </w:r>
      <w:r>
        <w:rPr>
          <w:sz w:val="28"/>
          <w:szCs w:val="28"/>
          <w:lang w:val="en-GB"/>
        </w:rPr>
        <w:t>0％，并</w:t>
      </w:r>
      <w:r>
        <w:rPr>
          <w:sz w:val="28"/>
          <w:szCs w:val="28"/>
        </w:rPr>
        <w:t>免征进口环节增值税。</w:t>
      </w:r>
    </w:p>
    <w:p>
      <w:pPr>
        <w:ind w:firstLine="576" w:firstLineChars="200"/>
        <w:jc w:val="left"/>
        <w:rPr>
          <w:rFonts w:eastAsia="黑体"/>
          <w:bCs/>
          <w:spacing w:val="4"/>
          <w:sz w:val="28"/>
          <w:szCs w:val="28"/>
        </w:rPr>
      </w:pPr>
      <w:r>
        <w:rPr>
          <w:rFonts w:eastAsia="黑体"/>
          <w:bCs/>
          <w:spacing w:val="4"/>
          <w:sz w:val="28"/>
          <w:szCs w:val="28"/>
        </w:rPr>
        <w:t>二、增列税目建议范本</w:t>
      </w:r>
    </w:p>
    <w:p>
      <w:pPr>
        <w:ind w:firstLine="578" w:firstLineChars="200"/>
        <w:rPr>
          <w:rFonts w:eastAsia="楷体_GB2312"/>
          <w:b/>
          <w:bCs/>
          <w:spacing w:val="4"/>
          <w:sz w:val="28"/>
          <w:szCs w:val="28"/>
        </w:rPr>
      </w:pPr>
      <w:r>
        <w:rPr>
          <w:rFonts w:eastAsia="楷体_GB2312"/>
          <w:b/>
          <w:bCs/>
          <w:spacing w:val="4"/>
          <w:sz w:val="28"/>
          <w:szCs w:val="28"/>
        </w:rPr>
        <w:t>增列</w:t>
      </w:r>
      <w:r>
        <w:rPr>
          <w:rFonts w:eastAsia="楷体_GB2312"/>
          <w:b/>
          <w:sz w:val="28"/>
          <w:szCs w:val="28"/>
        </w:rPr>
        <w:t>无铅钎料</w:t>
      </w:r>
      <w:r>
        <w:rPr>
          <w:rFonts w:eastAsia="楷体_GB2312"/>
          <w:b/>
          <w:bCs/>
          <w:spacing w:val="4"/>
          <w:sz w:val="28"/>
          <w:szCs w:val="28"/>
        </w:rPr>
        <w:t>税目</w:t>
      </w:r>
    </w:p>
    <w:p>
      <w:pPr>
        <w:ind w:firstLine="562" w:firstLineChars="200"/>
        <w:rPr>
          <w:b/>
          <w:sz w:val="28"/>
          <w:szCs w:val="28"/>
          <w:lang w:val="en-GB"/>
        </w:rPr>
      </w:pPr>
      <w:r>
        <w:rPr>
          <w:b/>
          <w:sz w:val="28"/>
          <w:szCs w:val="28"/>
          <w:lang w:val="en-GB"/>
        </w:rPr>
        <w:t>标准中文名称</w:t>
      </w:r>
      <w:r>
        <w:rPr>
          <w:b/>
          <w:sz w:val="28"/>
          <w:szCs w:val="28"/>
        </w:rPr>
        <w:t>: 无铅钎料</w:t>
      </w:r>
    </w:p>
    <w:p>
      <w:pPr>
        <w:ind w:firstLine="562" w:firstLineChars="200"/>
        <w:rPr>
          <w:b/>
          <w:sz w:val="28"/>
          <w:szCs w:val="28"/>
        </w:rPr>
      </w:pPr>
      <w:r>
        <w:rPr>
          <w:b/>
          <w:sz w:val="28"/>
          <w:szCs w:val="28"/>
          <w:lang w:val="en-GB"/>
        </w:rPr>
        <w:t>标准英文名称:</w:t>
      </w:r>
      <w:r>
        <w:rPr>
          <w:b/>
          <w:sz w:val="28"/>
          <w:szCs w:val="28"/>
        </w:rPr>
        <w:t xml:space="preserve"> LEAD-FREE SOLDERS</w:t>
      </w:r>
    </w:p>
    <w:p>
      <w:pPr>
        <w:ind w:firstLine="550" w:firstLineChars="200"/>
        <w:rPr>
          <w:b/>
          <w:w w:val="98"/>
          <w:sz w:val="28"/>
          <w:szCs w:val="28"/>
        </w:rPr>
      </w:pPr>
      <w:r>
        <w:rPr>
          <w:b/>
          <w:bCs/>
          <w:w w:val="98"/>
          <w:sz w:val="28"/>
          <w:szCs w:val="28"/>
        </w:rPr>
        <w:t>现行税则号列</w:t>
      </w:r>
      <w:r>
        <w:rPr>
          <w:b/>
          <w:w w:val="98"/>
          <w:sz w:val="28"/>
          <w:szCs w:val="28"/>
        </w:rPr>
        <w:t>：</w:t>
      </w:r>
      <w:r>
        <w:rPr>
          <w:b/>
          <w:sz w:val="28"/>
          <w:szCs w:val="28"/>
        </w:rPr>
        <w:t>80012020，出口退税率0％</w:t>
      </w:r>
    </w:p>
    <w:p>
      <w:pPr>
        <w:ind w:firstLine="562" w:firstLineChars="200"/>
        <w:rPr>
          <w:b/>
          <w:sz w:val="28"/>
          <w:szCs w:val="28"/>
        </w:rPr>
      </w:pPr>
      <w:r>
        <w:rPr>
          <w:b/>
          <w:sz w:val="28"/>
          <w:szCs w:val="28"/>
        </w:rPr>
        <w:t>（一）商品简要描述：</w:t>
      </w:r>
    </w:p>
    <w:p>
      <w:pPr>
        <w:ind w:firstLine="536" w:firstLineChars="200"/>
        <w:rPr>
          <w:spacing w:val="-10"/>
          <w:sz w:val="28"/>
          <w:szCs w:val="28"/>
        </w:rPr>
      </w:pPr>
      <w:r>
        <w:rPr>
          <w:spacing w:val="-6"/>
          <w:sz w:val="28"/>
          <w:szCs w:val="28"/>
        </w:rPr>
        <w:t>无铅钎料作为合金成分，是铅含量（质量分数）不超过0.10％的锡基钎</w:t>
      </w:r>
      <w:r>
        <w:rPr>
          <w:spacing w:val="-2"/>
          <w:sz w:val="28"/>
          <w:szCs w:val="28"/>
        </w:rPr>
        <w:t>料的总称。以锡为基体金属，添加金属中间合金制成的绿色钎焊合金，广泛应用于航天、航海、国防军工、电子、仪器、仪表、计算机等行业电子、电光源产品的焊接。其成份为：铜0.05-6.5％、</w:t>
      </w:r>
      <w:r>
        <w:rPr>
          <w:spacing w:val="-10"/>
          <w:sz w:val="28"/>
          <w:szCs w:val="28"/>
        </w:rPr>
        <w:t>银0.1-4.3％、铋0.06-3.2％、锑0.1-5.5％、铟0.05-0.1％、锌0.001-9.5％、镍0.01％、铁0.02％、余量为锡。规格：可以制成丝、条、膏、球、板等形状。目前，我国第一个关于《无铅钎料》国家标准已于2007年1月1日经国家标准化管理委员会批准实施（标准号：GB/T20422-2006）。</w:t>
      </w:r>
    </w:p>
    <w:p>
      <w:pPr>
        <w:ind w:firstLine="562" w:firstLineChars="200"/>
        <w:rPr>
          <w:b/>
          <w:sz w:val="28"/>
          <w:szCs w:val="28"/>
        </w:rPr>
      </w:pPr>
      <w:r>
        <w:rPr>
          <w:b/>
          <w:sz w:val="28"/>
          <w:szCs w:val="28"/>
        </w:rPr>
        <w:t>（二）无铅钎料的主要技术参数和有关数据：</w:t>
      </w:r>
    </w:p>
    <w:p>
      <w:pPr>
        <w:ind w:firstLine="560" w:firstLineChars="200"/>
        <w:rPr>
          <w:sz w:val="28"/>
          <w:szCs w:val="28"/>
        </w:rPr>
      </w:pPr>
      <w:r>
        <w:rPr>
          <w:sz w:val="28"/>
          <w:szCs w:val="28"/>
        </w:rPr>
        <w:t>1、液相线温度低于220℃，固相线液相线温度差小于15℃，延伸率＞20％，剪切强度＞30Mpa，抗拉强度＞40N/mm</w:t>
      </w:r>
      <w:r>
        <w:rPr>
          <w:sz w:val="28"/>
          <w:szCs w:val="28"/>
          <w:vertAlign w:val="superscript"/>
        </w:rPr>
        <w:t>2</w:t>
      </w:r>
      <w:r>
        <w:rPr>
          <w:sz w:val="28"/>
          <w:szCs w:val="28"/>
        </w:rPr>
        <w:t>，扩展率＞85％；</w:t>
      </w:r>
    </w:p>
    <w:p>
      <w:pPr>
        <w:ind w:firstLine="560" w:firstLineChars="200"/>
        <w:rPr>
          <w:sz w:val="28"/>
          <w:szCs w:val="28"/>
        </w:rPr>
      </w:pPr>
      <w:r>
        <w:rPr>
          <w:sz w:val="28"/>
          <w:szCs w:val="28"/>
        </w:rPr>
        <w:t>2、熔点低，合金共晶温度、热传导率和导电率近似于Sn63/Pb37的共晶焊料相当，具有良好的润湿性；</w:t>
      </w:r>
    </w:p>
    <w:p>
      <w:pPr>
        <w:ind w:firstLine="560" w:firstLineChars="200"/>
        <w:rPr>
          <w:sz w:val="28"/>
          <w:szCs w:val="28"/>
        </w:rPr>
      </w:pPr>
      <w:r>
        <w:rPr>
          <w:sz w:val="28"/>
          <w:szCs w:val="28"/>
        </w:rPr>
        <w:t xml:space="preserve">3、机械性能良好，焊点有足够的机械强度和抗热老化性能； </w:t>
      </w:r>
    </w:p>
    <w:p>
      <w:pPr>
        <w:ind w:firstLine="560" w:firstLineChars="200"/>
        <w:rPr>
          <w:color w:val="FFFFFF"/>
          <w:sz w:val="28"/>
          <w:szCs w:val="28"/>
        </w:rPr>
      </w:pPr>
      <w:r>
        <w:rPr>
          <w:sz w:val="28"/>
          <w:szCs w:val="28"/>
        </w:rPr>
        <w:t>4、与现有的焊接设备和工艺兼容，可在不更换设备不改变现行工艺的条件下进行焊接。</w:t>
      </w:r>
    </w:p>
    <w:p>
      <w:pPr>
        <w:ind w:firstLine="560" w:firstLineChars="200"/>
        <w:rPr>
          <w:sz w:val="28"/>
          <w:szCs w:val="28"/>
        </w:rPr>
      </w:pPr>
      <w:r>
        <w:rPr>
          <w:sz w:val="28"/>
          <w:szCs w:val="28"/>
        </w:rPr>
        <w:t>我省××公司是一家专业从事电子封装、组装用绿色钎焊材料系列产品的研究开发、生产和销售的高新技术企业。该公司研制出的一种以铜、锑、银、铟等添加金属取代传统锡铅焊料的无铅钎料，获得了国家发明专利，专利号为ZL01128511.7。当前，该公司生产的金箭系列无铅钎料经过美国ITS监测机构及瑞士SGS检测，证明含铅量低于0.0015％的微量范畴，远低于美国的0.06％及日本的0.009％的标准，产品性能已满足美国军用MIL标准要求。</w:t>
      </w:r>
    </w:p>
    <w:p>
      <w:pPr>
        <w:jc w:val="center"/>
        <w:rPr>
          <w:sz w:val="28"/>
          <w:szCs w:val="28"/>
        </w:rPr>
      </w:pPr>
      <w:r>
        <w:rPr>
          <w:sz w:val="28"/>
          <w:szCs w:val="28"/>
        </w:rPr>
        <w:t>××</w:t>
      </w:r>
      <w:r>
        <w:rPr>
          <w:b/>
          <w:sz w:val="28"/>
          <w:szCs w:val="28"/>
        </w:rPr>
        <w:t>系列无铅钎料与国外同类产品性能比较</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545"/>
        <w:gridCol w:w="1554"/>
        <w:gridCol w:w="1554"/>
        <w:gridCol w:w="1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8" w:type="dxa"/>
            <w:vMerge w:val="restart"/>
            <w:vAlign w:val="center"/>
          </w:tcPr>
          <w:p>
            <w:pPr>
              <w:jc w:val="center"/>
              <w:rPr>
                <w:sz w:val="20"/>
              </w:rPr>
            </w:pPr>
            <w:r>
              <w:rPr>
                <w:sz w:val="20"/>
              </w:rPr>
              <w:t>检测项目</w:t>
            </w:r>
          </w:p>
        </w:tc>
        <w:tc>
          <w:tcPr>
            <w:tcW w:w="1545" w:type="dxa"/>
            <w:vMerge w:val="restart"/>
            <w:vAlign w:val="center"/>
          </w:tcPr>
          <w:p>
            <w:pPr>
              <w:jc w:val="center"/>
              <w:rPr>
                <w:sz w:val="20"/>
              </w:rPr>
            </w:pPr>
            <w:r>
              <w:rPr>
                <w:sz w:val="20"/>
              </w:rPr>
              <w:t>国标</w:t>
            </w:r>
          </w:p>
        </w:tc>
        <w:tc>
          <w:tcPr>
            <w:tcW w:w="4665" w:type="dxa"/>
            <w:gridSpan w:val="3"/>
            <w:vAlign w:val="center"/>
          </w:tcPr>
          <w:p>
            <w:pPr>
              <w:jc w:val="center"/>
              <w:rPr>
                <w:sz w:val="20"/>
              </w:rPr>
            </w:pPr>
            <w:r>
              <w:rPr>
                <w:sz w:val="20"/>
              </w:rPr>
              <w:t>检验结果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88" w:type="dxa"/>
            <w:vMerge w:val="continue"/>
            <w:vAlign w:val="center"/>
          </w:tcPr>
          <w:p>
            <w:pPr>
              <w:jc w:val="center"/>
              <w:rPr>
                <w:sz w:val="20"/>
              </w:rPr>
            </w:pPr>
          </w:p>
        </w:tc>
        <w:tc>
          <w:tcPr>
            <w:tcW w:w="1545" w:type="dxa"/>
            <w:vMerge w:val="continue"/>
            <w:vAlign w:val="center"/>
          </w:tcPr>
          <w:p>
            <w:pPr>
              <w:jc w:val="center"/>
              <w:rPr>
                <w:sz w:val="20"/>
              </w:rPr>
            </w:pPr>
          </w:p>
        </w:tc>
        <w:tc>
          <w:tcPr>
            <w:tcW w:w="1554" w:type="dxa"/>
            <w:vAlign w:val="center"/>
          </w:tcPr>
          <w:p>
            <w:pPr>
              <w:jc w:val="center"/>
              <w:rPr>
                <w:sz w:val="20"/>
              </w:rPr>
            </w:pPr>
            <w:r>
              <w:rPr>
                <w:sz w:val="20"/>
              </w:rPr>
              <w:t>金箭JW-8</w:t>
            </w:r>
          </w:p>
        </w:tc>
        <w:tc>
          <w:tcPr>
            <w:tcW w:w="1554" w:type="dxa"/>
            <w:vAlign w:val="center"/>
          </w:tcPr>
          <w:p>
            <w:pPr>
              <w:jc w:val="center"/>
              <w:rPr>
                <w:sz w:val="20"/>
              </w:rPr>
            </w:pPr>
            <w:r>
              <w:rPr>
                <w:sz w:val="20"/>
              </w:rPr>
              <w:t>金箭JW-11</w:t>
            </w:r>
          </w:p>
        </w:tc>
        <w:tc>
          <w:tcPr>
            <w:tcW w:w="1557" w:type="dxa"/>
            <w:vAlign w:val="center"/>
          </w:tcPr>
          <w:p>
            <w:pPr>
              <w:jc w:val="center"/>
              <w:rPr>
                <w:sz w:val="20"/>
              </w:rPr>
            </w:pPr>
            <w:r>
              <w:rPr>
                <w:sz w:val="20"/>
              </w:rPr>
              <w:t>日本千住SA2515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Sn (％)</w:t>
            </w:r>
          </w:p>
        </w:tc>
        <w:tc>
          <w:tcPr>
            <w:tcW w:w="1545" w:type="dxa"/>
            <w:vAlign w:val="center"/>
          </w:tcPr>
          <w:p>
            <w:pPr>
              <w:jc w:val="center"/>
              <w:rPr>
                <w:sz w:val="20"/>
              </w:rPr>
            </w:pPr>
            <w:r>
              <w:rPr>
                <w:sz w:val="20"/>
              </w:rPr>
              <w:t>/</w:t>
            </w:r>
          </w:p>
        </w:tc>
        <w:tc>
          <w:tcPr>
            <w:tcW w:w="1554" w:type="dxa"/>
            <w:vAlign w:val="center"/>
          </w:tcPr>
          <w:p>
            <w:pPr>
              <w:jc w:val="center"/>
              <w:rPr>
                <w:sz w:val="20"/>
              </w:rPr>
            </w:pPr>
            <w:r>
              <w:rPr>
                <w:spacing w:val="-20"/>
                <w:sz w:val="20"/>
              </w:rPr>
              <w:t>余量</w:t>
            </w:r>
          </w:p>
        </w:tc>
        <w:tc>
          <w:tcPr>
            <w:tcW w:w="1554" w:type="dxa"/>
            <w:vAlign w:val="center"/>
          </w:tcPr>
          <w:p>
            <w:pPr>
              <w:jc w:val="center"/>
              <w:rPr>
                <w:sz w:val="20"/>
              </w:rPr>
            </w:pPr>
            <w:r>
              <w:rPr>
                <w:spacing w:val="-20"/>
                <w:sz w:val="20"/>
              </w:rPr>
              <w:t>余量</w:t>
            </w:r>
          </w:p>
        </w:tc>
        <w:tc>
          <w:tcPr>
            <w:tcW w:w="1557" w:type="dxa"/>
            <w:vAlign w:val="center"/>
          </w:tcPr>
          <w:p>
            <w:pPr>
              <w:jc w:val="center"/>
              <w:rPr>
                <w:sz w:val="20"/>
              </w:rPr>
            </w:pPr>
            <w:r>
              <w:rPr>
                <w:sz w:val="20"/>
              </w:rPr>
              <w:t>余量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Ag (％)</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2.82</w:t>
            </w:r>
          </w:p>
        </w:tc>
        <w:tc>
          <w:tcPr>
            <w:tcW w:w="1554" w:type="dxa"/>
            <w:vAlign w:val="center"/>
          </w:tcPr>
          <w:p>
            <w:pPr>
              <w:jc w:val="center"/>
              <w:rPr>
                <w:sz w:val="20"/>
              </w:rPr>
            </w:pPr>
            <w:r>
              <w:rPr>
                <w:spacing w:val="-20"/>
                <w:sz w:val="20"/>
              </w:rPr>
              <w:t>0.31</w:t>
            </w:r>
          </w:p>
        </w:tc>
        <w:tc>
          <w:tcPr>
            <w:tcW w:w="1557" w:type="dxa"/>
            <w:vAlign w:val="center"/>
          </w:tcPr>
          <w:p>
            <w:pPr>
              <w:jc w:val="center"/>
              <w:rPr>
                <w:sz w:val="20"/>
              </w:rPr>
            </w:pPr>
            <w:r>
              <w:rPr>
                <w:sz w:val="20"/>
              </w:rPr>
              <w:t>2.49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Cu (％)</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0.74</w:t>
            </w:r>
          </w:p>
        </w:tc>
        <w:tc>
          <w:tcPr>
            <w:tcW w:w="1554" w:type="dxa"/>
            <w:vAlign w:val="center"/>
          </w:tcPr>
          <w:p>
            <w:pPr>
              <w:jc w:val="center"/>
              <w:rPr>
                <w:sz w:val="20"/>
              </w:rPr>
            </w:pPr>
            <w:r>
              <w:rPr>
                <w:spacing w:val="-20"/>
                <w:sz w:val="20"/>
              </w:rPr>
              <w:t>0.72</w:t>
            </w:r>
          </w:p>
        </w:tc>
        <w:tc>
          <w:tcPr>
            <w:tcW w:w="1557" w:type="dxa"/>
            <w:vAlign w:val="center"/>
          </w:tcPr>
          <w:p>
            <w:pPr>
              <w:jc w:val="center"/>
              <w:rPr>
                <w:sz w:val="20"/>
              </w:rPr>
            </w:pPr>
            <w:r>
              <w:rPr>
                <w:sz w:val="20"/>
              </w:rPr>
              <w:t>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Ce (％)</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&lt;0.001</w:t>
            </w:r>
          </w:p>
        </w:tc>
        <w:tc>
          <w:tcPr>
            <w:tcW w:w="1554" w:type="dxa"/>
            <w:vAlign w:val="center"/>
          </w:tcPr>
          <w:p>
            <w:pPr>
              <w:jc w:val="center"/>
              <w:rPr>
                <w:sz w:val="20"/>
              </w:rPr>
            </w:pPr>
            <w:r>
              <w:rPr>
                <w:spacing w:val="-20"/>
                <w:sz w:val="20"/>
              </w:rPr>
              <w:t>0.02</w:t>
            </w:r>
          </w:p>
        </w:tc>
        <w:tc>
          <w:tcPr>
            <w:tcW w:w="1557" w:type="dxa"/>
            <w:vAlign w:val="center"/>
          </w:tcPr>
          <w:p>
            <w:pPr>
              <w:jc w:val="center"/>
              <w:rPr>
                <w:sz w:val="20"/>
              </w:rPr>
            </w:pPr>
            <w:r>
              <w:rPr>
                <w:spacing w:val="-20"/>
                <w:sz w:val="20"/>
              </w:rPr>
              <w:t>&lt;0.001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In (％)</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0.005</w:t>
            </w:r>
          </w:p>
        </w:tc>
        <w:tc>
          <w:tcPr>
            <w:tcW w:w="1554" w:type="dxa"/>
            <w:vAlign w:val="center"/>
          </w:tcPr>
          <w:p>
            <w:pPr>
              <w:jc w:val="center"/>
              <w:rPr>
                <w:sz w:val="20"/>
              </w:rPr>
            </w:pPr>
            <w:r>
              <w:rPr>
                <w:spacing w:val="-20"/>
                <w:sz w:val="20"/>
              </w:rPr>
              <w:t>0.005</w:t>
            </w:r>
          </w:p>
        </w:tc>
        <w:tc>
          <w:tcPr>
            <w:tcW w:w="1557" w:type="dxa"/>
            <w:vAlign w:val="center"/>
          </w:tcPr>
          <w:p>
            <w:pPr>
              <w:jc w:val="center"/>
              <w:rPr>
                <w:sz w:val="20"/>
              </w:rPr>
            </w:pPr>
            <w:r>
              <w:rPr>
                <w:spacing w:val="-20"/>
                <w:sz w:val="20"/>
              </w:rPr>
              <w:t>&lt;0.001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Al (％)</w:t>
            </w:r>
          </w:p>
        </w:tc>
        <w:tc>
          <w:tcPr>
            <w:tcW w:w="1545" w:type="dxa"/>
            <w:vAlign w:val="center"/>
          </w:tcPr>
          <w:p>
            <w:pPr>
              <w:jc w:val="center"/>
              <w:rPr>
                <w:spacing w:val="-20"/>
                <w:sz w:val="20"/>
              </w:rPr>
            </w:pPr>
            <w:r>
              <w:rPr>
                <w:spacing w:val="-20"/>
                <w:sz w:val="20"/>
              </w:rPr>
              <w:t>&lt;0.001</w:t>
            </w:r>
          </w:p>
        </w:tc>
        <w:tc>
          <w:tcPr>
            <w:tcW w:w="1554" w:type="dxa"/>
            <w:vAlign w:val="center"/>
          </w:tcPr>
          <w:p>
            <w:pPr>
              <w:jc w:val="center"/>
              <w:rPr>
                <w:spacing w:val="-20"/>
                <w:sz w:val="20"/>
              </w:rPr>
            </w:pPr>
            <w:r>
              <w:rPr>
                <w:spacing w:val="-20"/>
                <w:sz w:val="20"/>
              </w:rPr>
              <w:t>&lt;0.001</w:t>
            </w:r>
          </w:p>
        </w:tc>
        <w:tc>
          <w:tcPr>
            <w:tcW w:w="1554" w:type="dxa"/>
            <w:vAlign w:val="center"/>
          </w:tcPr>
          <w:p>
            <w:pPr>
              <w:jc w:val="center"/>
              <w:rPr>
                <w:sz w:val="20"/>
              </w:rPr>
            </w:pPr>
            <w:r>
              <w:rPr>
                <w:spacing w:val="-20"/>
                <w:sz w:val="20"/>
              </w:rPr>
              <w:t>&lt;0.001</w:t>
            </w:r>
          </w:p>
        </w:tc>
        <w:tc>
          <w:tcPr>
            <w:tcW w:w="1557" w:type="dxa"/>
            <w:vAlign w:val="center"/>
          </w:tcPr>
          <w:p>
            <w:pPr>
              <w:jc w:val="center"/>
              <w:rPr>
                <w:sz w:val="20"/>
              </w:rPr>
            </w:pPr>
            <w:r>
              <w:rPr>
                <w:spacing w:val="-20"/>
                <w:sz w:val="20"/>
              </w:rPr>
              <w:t>&lt;0.001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8" w:type="dxa"/>
            <w:vAlign w:val="center"/>
          </w:tcPr>
          <w:p>
            <w:pPr>
              <w:jc w:val="center"/>
              <w:rPr>
                <w:sz w:val="20"/>
              </w:rPr>
            </w:pPr>
            <w:r>
              <w:rPr>
                <w:sz w:val="20"/>
              </w:rPr>
              <w:t>Pb (％)</w:t>
            </w:r>
          </w:p>
        </w:tc>
        <w:tc>
          <w:tcPr>
            <w:tcW w:w="1545" w:type="dxa"/>
            <w:vAlign w:val="center"/>
          </w:tcPr>
          <w:p>
            <w:pPr>
              <w:jc w:val="center"/>
              <w:rPr>
                <w:spacing w:val="-20"/>
                <w:sz w:val="20"/>
              </w:rPr>
            </w:pPr>
            <w:r>
              <w:rPr>
                <w:spacing w:val="-20"/>
                <w:sz w:val="20"/>
              </w:rPr>
              <w:t>＜0.06</w:t>
            </w:r>
          </w:p>
        </w:tc>
        <w:tc>
          <w:tcPr>
            <w:tcW w:w="1554" w:type="dxa"/>
            <w:vAlign w:val="center"/>
          </w:tcPr>
          <w:p>
            <w:pPr>
              <w:jc w:val="center"/>
              <w:rPr>
                <w:spacing w:val="-20"/>
                <w:sz w:val="20"/>
              </w:rPr>
            </w:pPr>
            <w:r>
              <w:rPr>
                <w:spacing w:val="-20"/>
                <w:sz w:val="20"/>
              </w:rPr>
              <w:t>0.008</w:t>
            </w:r>
          </w:p>
        </w:tc>
        <w:tc>
          <w:tcPr>
            <w:tcW w:w="1554" w:type="dxa"/>
            <w:vAlign w:val="center"/>
          </w:tcPr>
          <w:p>
            <w:pPr>
              <w:jc w:val="center"/>
              <w:rPr>
                <w:spacing w:val="-20"/>
                <w:sz w:val="20"/>
              </w:rPr>
            </w:pPr>
            <w:r>
              <w:rPr>
                <w:spacing w:val="-20"/>
                <w:sz w:val="20"/>
              </w:rPr>
              <w:t>0.0015</w:t>
            </w:r>
          </w:p>
        </w:tc>
        <w:tc>
          <w:tcPr>
            <w:tcW w:w="1557" w:type="dxa"/>
            <w:vAlign w:val="center"/>
          </w:tcPr>
          <w:p>
            <w:pPr>
              <w:jc w:val="center"/>
              <w:rPr>
                <w:sz w:val="20"/>
              </w:rPr>
            </w:pPr>
            <w:r>
              <w:rPr>
                <w:sz w:val="20"/>
              </w:rPr>
              <w:t>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pacing w:val="-20"/>
                <w:sz w:val="20"/>
              </w:rPr>
              <w:t>熔化温度℃</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212-216</w:t>
            </w:r>
          </w:p>
        </w:tc>
        <w:tc>
          <w:tcPr>
            <w:tcW w:w="1554" w:type="dxa"/>
            <w:vAlign w:val="center"/>
          </w:tcPr>
          <w:p>
            <w:pPr>
              <w:jc w:val="center"/>
              <w:rPr>
                <w:spacing w:val="-20"/>
                <w:sz w:val="20"/>
              </w:rPr>
            </w:pPr>
            <w:r>
              <w:rPr>
                <w:spacing w:val="-20"/>
                <w:sz w:val="20"/>
              </w:rPr>
              <w:t>209-217</w:t>
            </w:r>
          </w:p>
        </w:tc>
        <w:tc>
          <w:tcPr>
            <w:tcW w:w="1557" w:type="dxa"/>
            <w:vAlign w:val="center"/>
          </w:tcPr>
          <w:p>
            <w:pPr>
              <w:jc w:val="center"/>
              <w:rPr>
                <w:sz w:val="20"/>
              </w:rPr>
            </w:pPr>
            <w:r>
              <w:rPr>
                <w:sz w:val="20"/>
              </w:rPr>
              <w:t>214-221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888" w:type="dxa"/>
            <w:vAlign w:val="center"/>
          </w:tcPr>
          <w:p>
            <w:pPr>
              <w:jc w:val="center"/>
              <w:rPr>
                <w:sz w:val="20"/>
              </w:rPr>
            </w:pPr>
            <w:r>
              <w:rPr>
                <w:spacing w:val="-20"/>
                <w:sz w:val="20"/>
              </w:rPr>
              <w:t>抗拉强度N/mm</w:t>
            </w:r>
            <w:r>
              <w:rPr>
                <w:spacing w:val="-20"/>
                <w:sz w:val="20"/>
                <w:vertAlign w:val="superscript"/>
              </w:rPr>
              <w:t>2</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46</w:t>
            </w:r>
          </w:p>
        </w:tc>
        <w:tc>
          <w:tcPr>
            <w:tcW w:w="1554" w:type="dxa"/>
            <w:vAlign w:val="center"/>
          </w:tcPr>
          <w:p>
            <w:pPr>
              <w:jc w:val="center"/>
              <w:rPr>
                <w:spacing w:val="-20"/>
                <w:sz w:val="20"/>
              </w:rPr>
            </w:pPr>
            <w:r>
              <w:rPr>
                <w:spacing w:val="-20"/>
                <w:sz w:val="20"/>
              </w:rPr>
              <w:t>45</w:t>
            </w:r>
          </w:p>
        </w:tc>
        <w:tc>
          <w:tcPr>
            <w:tcW w:w="1557" w:type="dxa"/>
            <w:vAlign w:val="center"/>
          </w:tcPr>
          <w:p>
            <w:pPr>
              <w:jc w:val="center"/>
              <w:rPr>
                <w:sz w:val="20"/>
              </w:rPr>
            </w:pPr>
            <w:r>
              <w:rPr>
                <w:sz w:val="20"/>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伸展率 ％</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49</w:t>
            </w:r>
          </w:p>
        </w:tc>
        <w:tc>
          <w:tcPr>
            <w:tcW w:w="1554" w:type="dxa"/>
            <w:vAlign w:val="center"/>
          </w:tcPr>
          <w:p>
            <w:pPr>
              <w:jc w:val="center"/>
              <w:rPr>
                <w:spacing w:val="-20"/>
                <w:sz w:val="20"/>
              </w:rPr>
            </w:pPr>
            <w:r>
              <w:rPr>
                <w:spacing w:val="-20"/>
                <w:sz w:val="20"/>
              </w:rPr>
              <w:t>51</w:t>
            </w:r>
          </w:p>
        </w:tc>
        <w:tc>
          <w:tcPr>
            <w:tcW w:w="1557" w:type="dxa"/>
            <w:vAlign w:val="center"/>
          </w:tcPr>
          <w:p>
            <w:pPr>
              <w:jc w:val="center"/>
              <w:rPr>
                <w:sz w:val="20"/>
              </w:rPr>
            </w:pPr>
            <w:r>
              <w:rPr>
                <w:sz w:val="20"/>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888" w:type="dxa"/>
            <w:vAlign w:val="center"/>
          </w:tcPr>
          <w:p>
            <w:pPr>
              <w:jc w:val="center"/>
              <w:rPr>
                <w:sz w:val="20"/>
              </w:rPr>
            </w:pPr>
            <w:r>
              <w:rPr>
                <w:sz w:val="20"/>
              </w:rPr>
              <w:t>扩展率 ％</w:t>
            </w:r>
          </w:p>
        </w:tc>
        <w:tc>
          <w:tcPr>
            <w:tcW w:w="1545" w:type="dxa"/>
            <w:vAlign w:val="center"/>
          </w:tcPr>
          <w:p>
            <w:pPr>
              <w:jc w:val="center"/>
              <w:rPr>
                <w:spacing w:val="-20"/>
                <w:sz w:val="20"/>
              </w:rPr>
            </w:pPr>
            <w:r>
              <w:rPr>
                <w:spacing w:val="-20"/>
                <w:sz w:val="20"/>
              </w:rPr>
              <w:t>＞85</w:t>
            </w:r>
          </w:p>
        </w:tc>
        <w:tc>
          <w:tcPr>
            <w:tcW w:w="1554" w:type="dxa"/>
            <w:vAlign w:val="center"/>
          </w:tcPr>
          <w:p>
            <w:pPr>
              <w:jc w:val="center"/>
              <w:rPr>
                <w:spacing w:val="-20"/>
                <w:sz w:val="20"/>
              </w:rPr>
            </w:pPr>
            <w:r>
              <w:rPr>
                <w:spacing w:val="-20"/>
                <w:sz w:val="20"/>
              </w:rPr>
              <w:t>86</w:t>
            </w:r>
          </w:p>
        </w:tc>
        <w:tc>
          <w:tcPr>
            <w:tcW w:w="1554" w:type="dxa"/>
            <w:vAlign w:val="center"/>
          </w:tcPr>
          <w:p>
            <w:pPr>
              <w:jc w:val="center"/>
              <w:rPr>
                <w:spacing w:val="-20"/>
                <w:sz w:val="20"/>
              </w:rPr>
            </w:pPr>
            <w:r>
              <w:rPr>
                <w:spacing w:val="-20"/>
                <w:sz w:val="20"/>
              </w:rPr>
              <w:t>88</w:t>
            </w:r>
          </w:p>
        </w:tc>
        <w:tc>
          <w:tcPr>
            <w:tcW w:w="1557" w:type="dxa"/>
            <w:vAlign w:val="center"/>
          </w:tcPr>
          <w:p>
            <w:pPr>
              <w:jc w:val="center"/>
              <w:rPr>
                <w:sz w:val="20"/>
              </w:rPr>
            </w:pPr>
            <w:r>
              <w:rPr>
                <w:sz w:val="20"/>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88" w:type="dxa"/>
            <w:vAlign w:val="center"/>
          </w:tcPr>
          <w:p>
            <w:pPr>
              <w:jc w:val="center"/>
              <w:rPr>
                <w:sz w:val="20"/>
              </w:rPr>
            </w:pPr>
            <w:r>
              <w:rPr>
                <w:sz w:val="20"/>
              </w:rPr>
              <w:t>电阻率</w:t>
            </w:r>
            <w:r>
              <w:rPr>
                <w:spacing w:val="-20"/>
                <w:sz w:val="20"/>
              </w:rPr>
              <w:t>μΩ.cm</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14.06</w:t>
            </w:r>
          </w:p>
        </w:tc>
        <w:tc>
          <w:tcPr>
            <w:tcW w:w="1554" w:type="dxa"/>
            <w:vAlign w:val="center"/>
          </w:tcPr>
          <w:p>
            <w:pPr>
              <w:jc w:val="center"/>
              <w:rPr>
                <w:spacing w:val="-20"/>
                <w:sz w:val="20"/>
              </w:rPr>
            </w:pPr>
            <w:r>
              <w:rPr>
                <w:spacing w:val="-20"/>
                <w:sz w:val="20"/>
              </w:rPr>
              <w:t>14.32</w:t>
            </w:r>
          </w:p>
        </w:tc>
        <w:tc>
          <w:tcPr>
            <w:tcW w:w="1557" w:type="dxa"/>
            <w:vAlign w:val="center"/>
          </w:tcPr>
          <w:p>
            <w:pPr>
              <w:jc w:val="center"/>
              <w:rPr>
                <w:sz w:val="20"/>
              </w:rPr>
            </w:pPr>
            <w:r>
              <w:rPr>
                <w:sz w:val="20"/>
              </w:rPr>
              <w:t>13.52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888" w:type="dxa"/>
            <w:vAlign w:val="center"/>
          </w:tcPr>
          <w:p>
            <w:pPr>
              <w:jc w:val="center"/>
              <w:rPr>
                <w:sz w:val="20"/>
              </w:rPr>
            </w:pPr>
            <w:r>
              <w:rPr>
                <w:sz w:val="20"/>
              </w:rPr>
              <w:t>稳态流变应力MPa</w:t>
            </w:r>
          </w:p>
        </w:tc>
        <w:tc>
          <w:tcPr>
            <w:tcW w:w="1545" w:type="dxa"/>
            <w:vAlign w:val="center"/>
          </w:tcPr>
          <w:p>
            <w:pPr>
              <w:jc w:val="center"/>
              <w:rPr>
                <w:spacing w:val="-20"/>
                <w:sz w:val="20"/>
              </w:rPr>
            </w:pPr>
            <w:r>
              <w:rPr>
                <w:spacing w:val="-20"/>
                <w:sz w:val="20"/>
              </w:rPr>
              <w:t>/</w:t>
            </w:r>
          </w:p>
        </w:tc>
        <w:tc>
          <w:tcPr>
            <w:tcW w:w="1554" w:type="dxa"/>
            <w:vAlign w:val="center"/>
          </w:tcPr>
          <w:p>
            <w:pPr>
              <w:jc w:val="center"/>
              <w:rPr>
                <w:spacing w:val="-20"/>
                <w:sz w:val="20"/>
              </w:rPr>
            </w:pPr>
            <w:r>
              <w:rPr>
                <w:spacing w:val="-20"/>
                <w:sz w:val="20"/>
              </w:rPr>
              <w:t>8.65</w:t>
            </w:r>
          </w:p>
        </w:tc>
        <w:tc>
          <w:tcPr>
            <w:tcW w:w="1554" w:type="dxa"/>
            <w:vAlign w:val="center"/>
          </w:tcPr>
          <w:p>
            <w:pPr>
              <w:jc w:val="center"/>
              <w:rPr>
                <w:spacing w:val="-20"/>
                <w:sz w:val="20"/>
              </w:rPr>
            </w:pPr>
            <w:r>
              <w:rPr>
                <w:spacing w:val="-20"/>
                <w:sz w:val="20"/>
              </w:rPr>
              <w:t>10.22</w:t>
            </w:r>
          </w:p>
        </w:tc>
        <w:tc>
          <w:tcPr>
            <w:tcW w:w="1557" w:type="dxa"/>
            <w:vAlign w:val="center"/>
          </w:tcPr>
          <w:p>
            <w:pPr>
              <w:jc w:val="center"/>
              <w:rPr>
                <w:sz w:val="20"/>
              </w:rPr>
            </w:pPr>
            <w:r>
              <w:rPr>
                <w:sz w:val="20"/>
              </w:rPr>
              <w:t>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8" w:type="dxa"/>
            <w:vAlign w:val="center"/>
          </w:tcPr>
          <w:p>
            <w:pPr>
              <w:jc w:val="center"/>
              <w:rPr>
                <w:sz w:val="20"/>
              </w:rPr>
            </w:pPr>
            <w:r>
              <w:rPr>
                <w:sz w:val="20"/>
              </w:rPr>
              <w:t>剪切强度MPa</w:t>
            </w:r>
          </w:p>
        </w:tc>
        <w:tc>
          <w:tcPr>
            <w:tcW w:w="1545" w:type="dxa"/>
            <w:vAlign w:val="center"/>
          </w:tcPr>
          <w:p>
            <w:pPr>
              <w:jc w:val="center"/>
              <w:rPr>
                <w:sz w:val="20"/>
              </w:rPr>
            </w:pPr>
            <w:r>
              <w:rPr>
                <w:sz w:val="20"/>
              </w:rPr>
              <w:t>/</w:t>
            </w:r>
          </w:p>
        </w:tc>
        <w:tc>
          <w:tcPr>
            <w:tcW w:w="1554" w:type="dxa"/>
            <w:vAlign w:val="center"/>
          </w:tcPr>
          <w:p>
            <w:pPr>
              <w:jc w:val="center"/>
              <w:rPr>
                <w:sz w:val="20"/>
              </w:rPr>
            </w:pPr>
            <w:r>
              <w:rPr>
                <w:spacing w:val="-20"/>
                <w:sz w:val="20"/>
              </w:rPr>
              <w:t>32.25</w:t>
            </w:r>
          </w:p>
        </w:tc>
        <w:tc>
          <w:tcPr>
            <w:tcW w:w="1554" w:type="dxa"/>
            <w:vAlign w:val="center"/>
          </w:tcPr>
          <w:p>
            <w:pPr>
              <w:jc w:val="center"/>
              <w:rPr>
                <w:spacing w:val="-20"/>
                <w:sz w:val="20"/>
              </w:rPr>
            </w:pPr>
            <w:r>
              <w:rPr>
                <w:spacing w:val="-20"/>
                <w:sz w:val="20"/>
              </w:rPr>
              <w:t>34.36</w:t>
            </w:r>
          </w:p>
        </w:tc>
        <w:tc>
          <w:tcPr>
            <w:tcW w:w="1557" w:type="dxa"/>
            <w:vAlign w:val="center"/>
          </w:tcPr>
          <w:p>
            <w:pPr>
              <w:jc w:val="center"/>
              <w:rPr>
                <w:sz w:val="20"/>
              </w:rPr>
            </w:pPr>
            <w:r>
              <w:rPr>
                <w:sz w:val="20"/>
              </w:rPr>
              <w:t>32.31</w:t>
            </w:r>
          </w:p>
        </w:tc>
      </w:tr>
    </w:tbl>
    <w:p>
      <w:pPr>
        <w:adjustRightInd w:val="0"/>
        <w:ind w:right="91" w:firstLine="471"/>
        <w:rPr>
          <w:sz w:val="28"/>
          <w:szCs w:val="28"/>
        </w:rPr>
      </w:pPr>
      <w:r>
        <w:rPr>
          <w:sz w:val="28"/>
          <w:szCs w:val="28"/>
        </w:rPr>
        <w:t>SA2515由日本千住金属株式会社生产，为全球著名品牌。由上表可见，金箭公司产品与国外著名品牌的产品指标基本相当，且主要技术指标熔点更低。</w:t>
      </w:r>
    </w:p>
    <w:p>
      <w:pPr>
        <w:ind w:firstLine="562" w:firstLineChars="200"/>
        <w:rPr>
          <w:b/>
          <w:sz w:val="28"/>
          <w:szCs w:val="28"/>
        </w:rPr>
      </w:pPr>
      <w:r>
        <w:rPr>
          <w:b/>
          <w:sz w:val="28"/>
          <w:szCs w:val="28"/>
        </w:rPr>
        <w:t>（三）增列无铅钎料独立税目的理由：</w:t>
      </w:r>
    </w:p>
    <w:p>
      <w:pPr>
        <w:ind w:firstLine="560" w:firstLineChars="200"/>
        <w:rPr>
          <w:sz w:val="28"/>
          <w:szCs w:val="28"/>
        </w:rPr>
      </w:pPr>
      <w:r>
        <w:rPr>
          <w:sz w:val="28"/>
          <w:szCs w:val="28"/>
        </w:rPr>
        <w:t>首先，无铅钎料是一种高科技环保产品，主要特点是严格控制了铅、汞、隔等有害元素的含量，特别是铅含量必须控制在1000ppm以下，并且无铅钎料在焊接的拉伸力、剪切性、扩展率及熔点等方面都有很大的提升，具有很高的科技含量。</w:t>
      </w:r>
    </w:p>
    <w:p>
      <w:pPr>
        <w:ind w:firstLine="560" w:firstLineChars="200"/>
        <w:rPr>
          <w:sz w:val="28"/>
          <w:szCs w:val="28"/>
        </w:rPr>
      </w:pPr>
      <w:r>
        <w:rPr>
          <w:sz w:val="28"/>
          <w:szCs w:val="28"/>
        </w:rPr>
        <w:t>其次，随着全球环保意识不断增强，发达国家技术壁垒不断提高，我国也正在采取积极措施防治电子信息产品污染，重点是对铅、汞、镉等六种有毒有害物质的控制。因此，最终无铅钎料将逐渐替代传统含铅焊料。</w:t>
      </w:r>
    </w:p>
    <w:p>
      <w:pPr>
        <w:ind w:firstLine="560" w:firstLineChars="200"/>
        <w:rPr>
          <w:sz w:val="28"/>
          <w:szCs w:val="28"/>
        </w:rPr>
      </w:pPr>
      <w:r>
        <w:rPr>
          <w:sz w:val="28"/>
          <w:szCs w:val="28"/>
        </w:rPr>
        <w:t>第三，我国是无铅钎料出口大国，2007年的无铅钎料出口量就达5264.51吨，但因无独立的无铅钎料税目，全部无铅钎料均只能作为传统焊料进行出口，给全行业造成损失近2.10亿元人民币（按传统焊料15万元/吨、无铅钎料19万元/吨计）。</w:t>
      </w:r>
    </w:p>
    <w:p>
      <w:pPr>
        <w:ind w:firstLine="560" w:firstLineChars="200"/>
        <w:rPr>
          <w:sz w:val="28"/>
          <w:szCs w:val="28"/>
        </w:rPr>
      </w:pPr>
      <w:r>
        <w:rPr>
          <w:sz w:val="28"/>
          <w:szCs w:val="28"/>
        </w:rPr>
        <w:t>第四，我国是全球最大的锡消费国，2007年全球锡消耗量在36.2万吨的纪录高水准，我国的锡消费量就达15.8万吨。为保护国内稀有金属资源，鼓励进口，我国2007年已将大部分有色金属的出口退税率调低为零。2007年我国仅从印尼进口的锡锭数量为2.56万吨。通过对进口锡进行冶炼加工后，制成无铅钎料，如果再以传统锡铅制品进行出口，这样既不能体现无铅钎料产品的技术含量和价值，也不利于鼓励企业从国外进口资源性产品进行深加工，从而达到保护国内资源的目的。</w:t>
      </w:r>
    </w:p>
    <w:p>
      <w:pPr>
        <w:ind w:firstLine="560" w:firstLineChars="200"/>
        <w:rPr>
          <w:spacing w:val="-4"/>
          <w:sz w:val="28"/>
          <w:szCs w:val="28"/>
        </w:rPr>
      </w:pPr>
      <w:r>
        <w:rPr>
          <w:sz w:val="28"/>
          <w:szCs w:val="28"/>
        </w:rPr>
        <w:t>综上所述理由，为顺应国际无铅化趋势，鼓励高新技术产品出口，保护国内环境和资源，建议</w:t>
      </w:r>
      <w:r>
        <w:rPr>
          <w:spacing w:val="-4"/>
          <w:sz w:val="28"/>
          <w:szCs w:val="28"/>
        </w:rPr>
        <w:t>对</w:t>
      </w:r>
      <w:r>
        <w:rPr>
          <w:sz w:val="28"/>
          <w:szCs w:val="28"/>
        </w:rPr>
        <w:t>无铅钎料（lead-free solders）</w:t>
      </w:r>
      <w:r>
        <w:rPr>
          <w:spacing w:val="-4"/>
          <w:sz w:val="28"/>
          <w:szCs w:val="28"/>
        </w:rPr>
        <w:t>增列独立的税目，</w:t>
      </w:r>
      <w:r>
        <w:rPr>
          <w:sz w:val="28"/>
          <w:szCs w:val="28"/>
        </w:rPr>
        <w:t>税则号列可考虑设为80030010，</w:t>
      </w:r>
      <w:r>
        <w:rPr>
          <w:spacing w:val="-4"/>
          <w:sz w:val="28"/>
          <w:szCs w:val="28"/>
        </w:rPr>
        <w:t>并将其纳入国家高新技术产品目录，享受17％的出口退税率。</w:t>
      </w:r>
    </w:p>
    <w:p>
      <w:pPr>
        <w:ind w:firstLine="560" w:firstLineChars="200"/>
        <w:rPr>
          <w:rFonts w:eastAsia="黑体"/>
          <w:sz w:val="28"/>
          <w:szCs w:val="28"/>
        </w:rPr>
      </w:pPr>
      <w:r>
        <w:rPr>
          <w:rFonts w:eastAsia="黑体"/>
          <w:sz w:val="28"/>
          <w:szCs w:val="28"/>
        </w:rPr>
        <w:t>三、调整技术设备、先进技术、关键零部件、原材料进出口税收政策建议范本</w:t>
      </w:r>
    </w:p>
    <w:p>
      <w:pPr>
        <w:ind w:firstLine="562" w:firstLineChars="200"/>
        <w:rPr>
          <w:rFonts w:eastAsia="楷体_GB2312"/>
          <w:b/>
          <w:sz w:val="28"/>
          <w:szCs w:val="28"/>
        </w:rPr>
      </w:pPr>
      <w:r>
        <w:rPr>
          <w:rFonts w:eastAsia="楷体_GB2312"/>
          <w:b/>
          <w:sz w:val="28"/>
          <w:szCs w:val="28"/>
        </w:rPr>
        <w:t>建议将42米及以上直臂云梯消防车列入《国家支持发展的重大技术装备和产品目录》</w:t>
      </w:r>
    </w:p>
    <w:p>
      <w:pPr>
        <w:ind w:firstLine="562" w:firstLineChars="200"/>
        <w:rPr>
          <w:rFonts w:eastAsia="楷体_GB2312"/>
          <w:b/>
          <w:sz w:val="28"/>
          <w:szCs w:val="28"/>
        </w:rPr>
      </w:pPr>
      <w:r>
        <w:rPr>
          <w:rFonts w:eastAsia="楷体_GB2312"/>
          <w:b/>
          <w:sz w:val="28"/>
          <w:szCs w:val="28"/>
        </w:rPr>
        <w:t>标准中文名称：42米及以上直臂云梯消防车</w:t>
      </w:r>
    </w:p>
    <w:p>
      <w:pPr>
        <w:ind w:firstLine="562" w:firstLineChars="200"/>
        <w:rPr>
          <w:rFonts w:eastAsia="楷体_GB2312"/>
          <w:b/>
          <w:sz w:val="28"/>
          <w:szCs w:val="28"/>
        </w:rPr>
      </w:pPr>
      <w:r>
        <w:rPr>
          <w:rFonts w:eastAsia="楷体_GB2312"/>
          <w:b/>
          <w:sz w:val="28"/>
          <w:szCs w:val="28"/>
        </w:rPr>
        <w:t>标准英文名称： Aerial Ladder (42M Over) Fire Truck</w:t>
      </w:r>
    </w:p>
    <w:p>
      <w:pPr>
        <w:ind w:firstLine="562" w:firstLineChars="200"/>
        <w:rPr>
          <w:rFonts w:eastAsia="楷体_GB2312"/>
          <w:b/>
          <w:sz w:val="28"/>
          <w:szCs w:val="28"/>
        </w:rPr>
      </w:pPr>
      <w:r>
        <w:rPr>
          <w:rFonts w:eastAsia="楷体_GB2312"/>
          <w:b/>
          <w:sz w:val="28"/>
          <w:szCs w:val="28"/>
        </w:rPr>
        <w:t>现行税则号列：87053010</w:t>
      </w:r>
    </w:p>
    <w:p>
      <w:pPr>
        <w:ind w:firstLine="562" w:firstLineChars="200"/>
        <w:rPr>
          <w:rFonts w:eastAsia="楷体_GB2312"/>
          <w:b/>
          <w:sz w:val="28"/>
          <w:szCs w:val="28"/>
        </w:rPr>
      </w:pPr>
      <w:r>
        <w:rPr>
          <w:rFonts w:eastAsia="楷体_GB2312"/>
          <w:b/>
          <w:sz w:val="28"/>
          <w:szCs w:val="28"/>
        </w:rPr>
        <w:t>商品简要描述：</w:t>
      </w:r>
    </w:p>
    <w:p>
      <w:pPr>
        <w:ind w:firstLine="560" w:firstLineChars="200"/>
        <w:rPr>
          <w:sz w:val="28"/>
          <w:szCs w:val="28"/>
        </w:rPr>
      </w:pPr>
      <w:r>
        <w:rPr>
          <w:sz w:val="28"/>
          <w:szCs w:val="28"/>
        </w:rPr>
        <w:t>直臂云梯消防车作为举高车辆的一种，主要起高空救援和灭火作用。</w:t>
      </w:r>
    </w:p>
    <w:p>
      <w:pPr>
        <w:ind w:firstLine="560" w:firstLineChars="200"/>
        <w:rPr>
          <w:sz w:val="28"/>
          <w:szCs w:val="28"/>
        </w:rPr>
      </w:pPr>
      <w:r>
        <w:rPr>
          <w:sz w:val="28"/>
          <w:szCs w:val="28"/>
        </w:rPr>
        <w:t>产品结构图：</w:t>
      </w:r>
    </w:p>
    <w:p>
      <w:pPr>
        <w:ind w:firstLine="560" w:firstLineChars="20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2305050</wp:posOffset>
                </wp:positionV>
                <wp:extent cx="5566410" cy="420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66410" cy="420370"/>
                        </a:xfrm>
                        <a:prstGeom prst="rect">
                          <a:avLst/>
                        </a:prstGeom>
                        <a:noFill/>
                        <a:ln>
                          <a:noFill/>
                        </a:ln>
                      </wps:spPr>
                      <wps:txbx>
                        <w:txbxContent>
                          <w:p>
                            <w:pPr>
                              <w:rPr>
                                <w:rFonts w:ascii="仿宋_GB2312" w:hAnsi="宋体"/>
                                <w:sz w:val="28"/>
                                <w:szCs w:val="28"/>
                              </w:rPr>
                            </w:pPr>
                            <w:r>
                              <w:rPr>
                                <w:rFonts w:hint="eastAsia" w:ascii="仿宋_GB2312" w:hAnsi="宋体" w:cs="黑体"/>
                                <w:sz w:val="24"/>
                              </w:rPr>
                              <w:t>1、底盘   2、水路系统   3、臂架上装   4、 电气控制系统    5、液压系统</w:t>
                            </w:r>
                          </w:p>
                          <w:p/>
                          <w:p/>
                          <w:p/>
                          <w:p/>
                          <w:p/>
                        </w:txbxContent>
                      </wps:txbx>
                      <wps:bodyPr upright="1"/>
                    </wps:wsp>
                  </a:graphicData>
                </a:graphic>
              </wp:anchor>
            </w:drawing>
          </mc:Choice>
          <mc:Fallback>
            <w:pict>
              <v:shape id="_x0000_s1026" o:spid="_x0000_s1026" o:spt="202" type="#_x0000_t202" style="position:absolute;left:0pt;margin-left:0pt;margin-top:181.5pt;height:33.1pt;width:438.3pt;z-index:251659264;mso-width-relative:page;mso-height-relative:page;" filled="f" stroked="f" coordsize="21600,21600" o:gfxdata="UEsDBAoAAAAAAIdO4kAAAAAAAAAAAAAAAAAEAAAAZHJzL1BLAwQUAAAACACHTuJAYx3ZQ9cAAAAI&#10;AQAADwAAAGRycy9kb3ducmV2LnhtbE2PwU7DMBBE70j8g7VI3KjdtIQ2ZNMDiCuIApV6c5NtEhGv&#10;o9htwt+znOhtVrOaeZNvJtepMw2h9YwwnxlQxKWvWq4RPj9e7lagQrRc2c4zIfxQgE1xfZXbrPIj&#10;v9N5G2slIRwyi9DE2Gdah7IhZ8PM98TiHf3gbJRzqHU12FHCXacTY1LtbMvS0Nienhoqv7cnh/D1&#10;etzvluatfnb3/egno9mtNeLtzdw8goo0xf9n+MMXdCiE6eBPXAXVIciQiLBIFyLEXj2kKagDwjJZ&#10;J6CLXF8OKH4BUEsDBBQAAAAIAIdO4kBvEhghrAEAAE4DAAAOAAAAZHJzL2Uyb0RvYy54bWytU8GO&#10;0zAQvSPxD5bvNGnZLShquhKqlgsCpIUPcB27sWR7LI/bpD8Af8CJC3e+q9/B2A1ddveyBy6OPfPy&#10;Zt4be3UzOssOKqIB3/L5rOZMeQmd8buWf/1y++otZ5iE74QFr1p+VMhv1i9frIbQqAX0YDsVGZF4&#10;bIbQ8j6l0FQVyl45gTMIylNSQ3Qi0THuqi6KgdidrRZ1vawGiF2IIBUiRTfnJJ8Y43MIQWsj1Qbk&#10;3imfzqxRWZFIEvYmIF+XbrVWMn3SGlVituWkNJWVitB+m9dqvRLNLorQGzm1IJ7TwiNNThhPRS9U&#10;G5EE20fzhMoZGQFBp5kEV52FFEdIxbx+5M1dL4IqWshqDBfT8f/Ryo+Hz5GZjm4CZ144Gvjpx/fT&#10;z9+nX9/YPNszBGwIdRcIl8Z3MGboFEcKZtWjji5/SQ+jPJl7vJirxsQkBa+vl8urOaUk5a4W9es3&#10;xf3q/u8QMb1X4FjetDzS8Iqn4vABE1Uk6F9ILubh1lhbBmj9gwABc6TKrZ9bzLs0bsep7y10R5Kz&#10;D9HseipVBBU42VwKTVciz/HfcyG9fw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Md2UPXAAAA&#10;CAEAAA8AAAAAAAAAAQAgAAAAIgAAAGRycy9kb3ducmV2LnhtbFBLAQIUABQAAAAIAIdO4kBvEhgh&#10;rAEAAE4DAAAOAAAAAAAAAAEAIAAAACYBAABkcnMvZTJvRG9jLnhtbFBLBQYAAAAABgAGAFkBAABE&#10;BQAAAAA=&#10;">
                <v:fill on="f" focussize="0,0"/>
                <v:stroke on="f"/>
                <v:imagedata o:title=""/>
                <o:lock v:ext="edit" aspectratio="f"/>
                <v:textbox>
                  <w:txbxContent>
                    <w:p>
                      <w:pPr>
                        <w:rPr>
                          <w:rFonts w:ascii="仿宋_GB2312" w:hAnsi="宋体"/>
                          <w:sz w:val="28"/>
                          <w:szCs w:val="28"/>
                        </w:rPr>
                      </w:pPr>
                      <w:r>
                        <w:rPr>
                          <w:rFonts w:hint="eastAsia" w:ascii="仿宋_GB2312" w:hAnsi="宋体" w:cs="黑体"/>
                          <w:sz w:val="24"/>
                        </w:rPr>
                        <w:t>1、底盘   2、水路系统   3、臂架上装   4、 电气控制系统    5、液压系统</w:t>
                      </w:r>
                    </w:p>
                    <w:p/>
                    <w:p/>
                    <w:p/>
                    <w:p/>
                    <w:p/>
                  </w:txbxContent>
                </v:textbox>
              </v:shape>
            </w:pict>
          </mc:Fallback>
        </mc:AlternateContent>
      </w:r>
      <w:r>
        <w:rPr>
          <w:sz w:val="28"/>
          <w:szCs w:val="28"/>
        </w:rPr>
        <w:drawing>
          <wp:inline distT="0" distB="0" distL="114300" distR="114300">
            <wp:extent cx="4526915" cy="2252345"/>
            <wp:effectExtent l="0" t="0" r="698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526915" cy="2252345"/>
                    </a:xfrm>
                    <a:prstGeom prst="rect">
                      <a:avLst/>
                    </a:prstGeom>
                    <a:noFill/>
                    <a:ln>
                      <a:noFill/>
                    </a:ln>
                  </pic:spPr>
                </pic:pic>
              </a:graphicData>
            </a:graphic>
          </wp:inline>
        </w:drawing>
      </w:r>
    </w:p>
    <w:p>
      <w:pPr>
        <w:ind w:firstLine="560" w:firstLineChars="200"/>
        <w:rPr>
          <w:sz w:val="28"/>
          <w:szCs w:val="28"/>
        </w:rPr>
      </w:pPr>
    </w:p>
    <w:p>
      <w:pPr>
        <w:ind w:firstLine="560" w:firstLineChars="200"/>
        <w:rPr>
          <w:sz w:val="28"/>
          <w:szCs w:val="28"/>
        </w:rPr>
      </w:pPr>
      <w:r>
        <w:rPr>
          <w:sz w:val="28"/>
          <w:szCs w:val="28"/>
        </w:rPr>
        <w:t>直臂云梯消防车整车主要由5个系统构成：底盘、臂架上装、液压系统、水路系统与电气控制系统。</w:t>
      </w:r>
    </w:p>
    <w:p>
      <w:pPr>
        <w:ind w:firstLine="560" w:firstLineChars="200"/>
        <w:rPr>
          <w:sz w:val="28"/>
          <w:szCs w:val="28"/>
        </w:rPr>
      </w:pPr>
      <w:r>
        <w:rPr>
          <w:sz w:val="28"/>
          <w:szCs w:val="28"/>
        </w:rPr>
        <w:t>1、底盘：作为整个车辆的重要组成部分，主要起承载、运输、为工作装置提供动力和电源的作用。</w:t>
      </w:r>
    </w:p>
    <w:p>
      <w:pPr>
        <w:ind w:firstLine="560" w:firstLineChars="200"/>
        <w:rPr>
          <w:sz w:val="28"/>
          <w:szCs w:val="28"/>
        </w:rPr>
      </w:pPr>
      <w:r>
        <w:rPr>
          <w:sz w:val="28"/>
          <w:szCs w:val="28"/>
        </w:rPr>
        <w:t>2、臂架上装：包括副车架、支腿、桁架型式的臂架、转台、回转支承、回转机构、工作斗等部分，为车辆的专用装置，工作时通过液压驱动机构展开支腿，伸缩回转、臂架，将工作斗送入高空救援地点，接送人员，实现救援，或者通过工作内的消防炮喷水实现灭火功能。</w:t>
      </w:r>
    </w:p>
    <w:p>
      <w:pPr>
        <w:ind w:firstLine="560" w:firstLineChars="200"/>
        <w:rPr>
          <w:sz w:val="28"/>
          <w:szCs w:val="28"/>
        </w:rPr>
      </w:pPr>
      <w:r>
        <w:rPr>
          <w:sz w:val="28"/>
          <w:szCs w:val="28"/>
        </w:rPr>
        <w:t>3、水路系统：包括消防泵、水罐、阀门、伸缩水管、消防炮等部分。由底盘取力器驱动消防泵，抽取水罐或外界水源的水，高压水通过下车管道、中心回转总成、伸缩水管输送到消防炮，消防炮可遥控实现俯仰、回转、改变水流形状，定点喷射，从而实现高空灭火。</w:t>
      </w:r>
    </w:p>
    <w:p>
      <w:pPr>
        <w:ind w:firstLine="560" w:firstLineChars="200"/>
        <w:rPr>
          <w:sz w:val="28"/>
          <w:szCs w:val="28"/>
        </w:rPr>
      </w:pPr>
      <w:r>
        <w:rPr>
          <w:sz w:val="28"/>
          <w:szCs w:val="28"/>
        </w:rPr>
        <w:t>4、液压系统：由液压泵、液压阀、油缸和马达、管路等附件组成。由底盘取力器提供动力，驱动液压泵，产生的高压油通过各个液压阀和中心回转总成进入油缸或马达，从而实现臂架和俯仰、回转、伸缩、工作斗调平等动作。</w:t>
      </w:r>
    </w:p>
    <w:p>
      <w:pPr>
        <w:ind w:firstLine="560" w:firstLineChars="200"/>
        <w:rPr>
          <w:sz w:val="28"/>
          <w:szCs w:val="28"/>
        </w:rPr>
      </w:pPr>
      <w:r>
        <w:rPr>
          <w:sz w:val="28"/>
          <w:szCs w:val="28"/>
        </w:rPr>
        <w:t>5、电气控制系统：由控制器、显示屏、传感器、电缆等组成，实现整个车辆的控制，并对整个车辆实现安全监测和保护。上车回转部分与下车固定部分通过中心回转总成连接，通过其内部的紧密滑环机构实现信号和电源的连接。</w:t>
      </w:r>
    </w:p>
    <w:p>
      <w:pPr>
        <w:ind w:firstLine="560" w:firstLineChars="200"/>
        <w:rPr>
          <w:sz w:val="28"/>
          <w:szCs w:val="28"/>
        </w:rPr>
      </w:pPr>
      <w:r>
        <w:rPr>
          <w:sz w:val="28"/>
          <w:szCs w:val="28"/>
        </w:rPr>
        <w:t>理由和依据：</w:t>
      </w:r>
    </w:p>
    <w:p>
      <w:pPr>
        <w:ind w:firstLine="560" w:firstLineChars="200"/>
        <w:rPr>
          <w:sz w:val="28"/>
          <w:szCs w:val="28"/>
        </w:rPr>
      </w:pPr>
      <w:r>
        <w:rPr>
          <w:sz w:val="28"/>
          <w:szCs w:val="28"/>
        </w:rPr>
        <w:t>1、我国现有消防技术装备不能适应经济发展的需求。目前我国正处于经济快速上升期，经济建设、城市发展、社会生活正日新月异，生产技术日趋复杂，生产和生活采用的能源多样化且用量急剧增长，引发火灾的危险性增大。近年来，火灾对国民经济和社会发展造成的损失和危害不断扩大，其中一个很重要的原因就是消防部门的特种灭火救援装备不足，无法满足救灾、救援需要。</w:t>
      </w:r>
    </w:p>
    <w:p>
      <w:pPr>
        <w:ind w:firstLine="560" w:firstLineChars="200"/>
        <w:rPr>
          <w:sz w:val="28"/>
          <w:szCs w:val="28"/>
        </w:rPr>
      </w:pPr>
      <w:r>
        <w:rPr>
          <w:sz w:val="28"/>
          <w:szCs w:val="28"/>
        </w:rPr>
        <w:t>2、42米及以上直臂云梯消防车是高层建筑和油类流淌火灾的灭火及救援的必备装备。我国高层建筑正朝着现代化、大型化、多功能化的方向发展，由于高层建筑楼层高，功能复杂，设备繁多，一旦发生火灾，给扑救工作和人员疏散带来了很大的困难，容易造成重大的经济损失和人员伤亡事故。此外，大型石油化工液体储罐区燃烧爆炸事故引起的超大面积、超大功率的油类流淌火灾，也极易造成重大损失。42米及以上直臂云梯消防车是专门针对高层建筑及油类流淌火灾的必备装备，可极大提高对高层建筑、石油、化工液体火灾的灭火救援效率，最大限度地减少火灾造成的人员伤亡和财产损失。</w:t>
      </w:r>
    </w:p>
    <w:p>
      <w:pPr>
        <w:ind w:firstLine="560" w:firstLineChars="200"/>
        <w:rPr>
          <w:sz w:val="28"/>
          <w:szCs w:val="28"/>
        </w:rPr>
      </w:pPr>
      <w:r>
        <w:rPr>
          <w:sz w:val="28"/>
          <w:szCs w:val="28"/>
        </w:rPr>
        <w:t>3、研制42米及以上直臂云梯消防车急需得到国家政策的扶持。我国消防车工业起步较晚，与欧洲国家相比还存在相当大的差距。国外直臂云梯生产企业已有100多年的历史，德国马基路斯、麦斯、日本森田生产的直臂云梯消防车，性能优异、质量可靠，但价格十分昂贵，一台进口53米直臂云梯车的售价超过1000万人民币。国内企业从1974年开始生产直臂云梯车，到2010年，国内生产的直臂云梯车最大高度只能到40米。2011年，我省中联重工通过难点攻关，消化国外先进技术，成功研制出了53米直臂云梯消防车，结束了40米以上直臂云梯消防车只能依靠进口的历史。该产品申报了12项以上的发明专利。由于直臂云梯消防车结构复杂，技术含量很高，在我国尚处于起步阶段，很多关键零部件，如底盘、伸缩水管、中心回转总成、液压阀等均需依赖进口，成本较高，与国外同类产品相比竞争力不足，因此，急需得到国家进口税收优惠政策的扶持。</w:t>
      </w:r>
    </w:p>
    <w:p>
      <w:pPr>
        <w:ind w:firstLine="560" w:firstLineChars="200"/>
        <w:rPr>
          <w:sz w:val="28"/>
          <w:szCs w:val="28"/>
        </w:rPr>
      </w:pPr>
      <w:r>
        <w:rPr>
          <w:sz w:val="28"/>
          <w:szCs w:val="28"/>
        </w:rPr>
        <w:t>综上所述，建议将42米及以上直臂云梯消防车列入《国家支持发展的重大技术装备和产品目录》</w:t>
      </w: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华文中宋"/>
          <w:kern w:val="0"/>
          <w:sz w:val="18"/>
          <w:szCs w:val="18"/>
        </w:rPr>
      </w:pPr>
    </w:p>
    <w:p>
      <w:pPr>
        <w:widowControl/>
        <w:spacing w:before="100" w:beforeAutospacing="1" w:after="100" w:afterAutospacing="1"/>
        <w:jc w:val="left"/>
        <w:rPr>
          <w:rFonts w:eastAsia="黑体"/>
          <w:kern w:val="0"/>
          <w:szCs w:val="32"/>
        </w:rPr>
      </w:pPr>
      <w:r>
        <w:rPr>
          <w:rFonts w:eastAsia="黑体"/>
          <w:kern w:val="0"/>
          <w:szCs w:val="32"/>
        </w:rPr>
        <w:t>附件</w:t>
      </w:r>
      <w:r>
        <w:rPr>
          <w:rFonts w:hint="eastAsia" w:eastAsia="黑体"/>
          <w:kern w:val="0"/>
          <w:szCs w:val="32"/>
        </w:rPr>
        <w:t>3</w:t>
      </w:r>
      <w:r>
        <w:rPr>
          <w:rFonts w:eastAsia="黑体"/>
          <w:kern w:val="0"/>
          <w:szCs w:val="32"/>
        </w:rPr>
        <w:t>：</w:t>
      </w:r>
    </w:p>
    <w:p>
      <w:pPr>
        <w:widowControl/>
        <w:spacing w:before="100" w:beforeAutospacing="1" w:after="100" w:afterAutospacing="1"/>
        <w:jc w:val="center"/>
        <w:rPr>
          <w:rFonts w:eastAsia="华文中宋"/>
          <w:kern w:val="0"/>
          <w:sz w:val="30"/>
          <w:szCs w:val="30"/>
        </w:rPr>
      </w:pPr>
      <w:r>
        <w:rPr>
          <w:rFonts w:eastAsia="华文中宋"/>
          <w:kern w:val="0"/>
          <w:sz w:val="30"/>
          <w:szCs w:val="30"/>
        </w:rPr>
        <w:t xml:space="preserve">商品进出口关税（暂定）税率调整建议表 </w:t>
      </w:r>
    </w:p>
    <w:p>
      <w:pPr>
        <w:widowControl/>
        <w:jc w:val="left"/>
        <w:rPr>
          <w:kern w:val="0"/>
          <w:sz w:val="18"/>
          <w:szCs w:val="18"/>
        </w:rPr>
      </w:pPr>
      <w:r>
        <w:rPr>
          <w:kern w:val="0"/>
          <w:sz w:val="18"/>
          <w:szCs w:val="18"/>
        </w:rPr>
        <w:t xml:space="preserve">填报单位：                               企业统一代码： </w:t>
      </w:r>
    </w:p>
    <w:tbl>
      <w:tblPr>
        <w:tblStyle w:val="2"/>
        <w:tblpPr w:leftFromText="180" w:rightFromText="180" w:vertAnchor="text" w:horzAnchor="page" w:tblpX="1124" w:tblpY="20"/>
        <w:tblOverlap w:val="never"/>
        <w:tblW w:w="946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60"/>
        <w:gridCol w:w="2880"/>
        <w:gridCol w:w="645"/>
        <w:gridCol w:w="1725"/>
        <w:gridCol w:w="150"/>
        <w:gridCol w:w="19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2"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税则号列</w:t>
            </w:r>
          </w:p>
        </w:tc>
        <w:tc>
          <w:tcPr>
            <w:tcW w:w="352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172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计量单位</w:t>
            </w:r>
          </w:p>
        </w:tc>
        <w:tc>
          <w:tcPr>
            <w:tcW w:w="205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标准中文名称</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标准英文名称</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单位生产成本（元）</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1"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国内市场同类商品价格（元）</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国际市场同类商品价格（美元）</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4"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进口到岸价格（美元）</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出口离岸价格（美元）</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进口最惠国</w:t>
            </w:r>
          </w:p>
          <w:p>
            <w:pPr>
              <w:widowControl/>
              <w:jc w:val="center"/>
              <w:rPr>
                <w:kern w:val="0"/>
                <w:sz w:val="18"/>
                <w:szCs w:val="18"/>
              </w:rPr>
            </w:pPr>
            <w:r>
              <w:rPr>
                <w:kern w:val="0"/>
                <w:sz w:val="18"/>
                <w:szCs w:val="18"/>
              </w:rPr>
              <w:t>关税税率（%）</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出口关税税率（%）</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6"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建议进口暂定关税税率（%）</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建议出口暂定关税税率（%）</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年度进口数量</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年度出口数量</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年度进口金额（美元）</w:t>
            </w:r>
          </w:p>
        </w:tc>
        <w:tc>
          <w:tcPr>
            <w:tcW w:w="288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c>
          <w:tcPr>
            <w:tcW w:w="252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r>
              <w:rPr>
                <w:kern w:val="0"/>
                <w:sz w:val="18"/>
                <w:szCs w:val="18"/>
              </w:rPr>
              <w:t>年度出口金额（美元）</w:t>
            </w:r>
          </w:p>
        </w:tc>
        <w:tc>
          <w:tcPr>
            <w:tcW w:w="1905"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kern w:val="0"/>
                <w:sz w:val="18"/>
                <w:szCs w:val="18"/>
              </w:rPr>
            </w:pPr>
            <w:r>
              <w:rPr>
                <w:kern w:val="0"/>
                <w:sz w:val="18"/>
                <w:szCs w:val="18"/>
              </w:rPr>
              <w:t>商品简要描述</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63" w:hRule="atLeast"/>
          <w:tblCellSpacing w:w="0" w:type="dxa"/>
        </w:trPr>
        <w:tc>
          <w:tcPr>
            <w:tcW w:w="21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kern w:val="0"/>
                <w:sz w:val="18"/>
                <w:szCs w:val="18"/>
              </w:rPr>
            </w:pPr>
            <w:r>
              <w:rPr>
                <w:kern w:val="0"/>
                <w:sz w:val="18"/>
                <w:szCs w:val="18"/>
              </w:rPr>
              <w:t>建议暂定税率</w:t>
            </w:r>
          </w:p>
          <w:p>
            <w:pPr>
              <w:widowControl/>
              <w:spacing w:before="100" w:beforeAutospacing="1" w:after="100" w:afterAutospacing="1"/>
              <w:jc w:val="center"/>
              <w:rPr>
                <w:kern w:val="0"/>
                <w:sz w:val="18"/>
                <w:szCs w:val="18"/>
              </w:rPr>
            </w:pPr>
            <w:r>
              <w:rPr>
                <w:kern w:val="0"/>
                <w:sz w:val="18"/>
                <w:szCs w:val="18"/>
              </w:rPr>
              <w:t>的主要原因</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kern w:val="0"/>
                <w:sz w:val="18"/>
                <w:szCs w:val="18"/>
              </w:rPr>
            </w:pPr>
          </w:p>
        </w:tc>
      </w:tr>
    </w:tbl>
    <w:p>
      <w:pPr>
        <w:widowControl/>
        <w:jc w:val="left"/>
        <w:rPr>
          <w:kern w:val="0"/>
          <w:sz w:val="18"/>
          <w:szCs w:val="18"/>
        </w:rPr>
      </w:pPr>
      <w:r>
        <w:rPr>
          <w:kern w:val="0"/>
          <w:sz w:val="18"/>
          <w:szCs w:val="18"/>
        </w:rPr>
        <w:t xml:space="preserve">填报人：                                 联系电话： </w:t>
      </w:r>
    </w:p>
    <w:p>
      <w:pPr>
        <w:widowControl/>
        <w:jc w:val="right"/>
        <w:rPr>
          <w:kern w:val="0"/>
          <w:sz w:val="18"/>
          <w:szCs w:val="18"/>
        </w:rPr>
      </w:pPr>
      <w:r>
        <w:rPr>
          <w:kern w:val="0"/>
          <w:sz w:val="18"/>
          <w:szCs w:val="18"/>
        </w:rPr>
        <w:t xml:space="preserve">                                                                      单位名称（公章） 年   月   日 </w:t>
      </w:r>
    </w:p>
    <w:p>
      <w:pPr>
        <w:widowControl/>
        <w:jc w:val="left"/>
        <w:rPr>
          <w:kern w:val="0"/>
          <w:sz w:val="18"/>
          <w:szCs w:val="18"/>
        </w:rPr>
      </w:pPr>
      <w:r>
        <w:rPr>
          <w:kern w:val="0"/>
          <w:sz w:val="18"/>
          <w:szCs w:val="18"/>
        </w:rPr>
        <w:t> </w:t>
      </w:r>
    </w:p>
    <w:p>
      <w:pPr>
        <w:rPr>
          <w:rFonts w:eastAsia="黑体"/>
          <w:kern w:val="0"/>
          <w:szCs w:val="32"/>
        </w:rPr>
      </w:pPr>
      <w:r>
        <w:rPr>
          <w:rFonts w:eastAsia="黑体"/>
          <w:kern w:val="0"/>
          <w:szCs w:val="32"/>
        </w:rPr>
        <w:t>附件</w:t>
      </w:r>
      <w:r>
        <w:rPr>
          <w:rFonts w:hint="eastAsia" w:eastAsia="黑体"/>
          <w:kern w:val="0"/>
          <w:szCs w:val="32"/>
        </w:rPr>
        <w:t>4</w:t>
      </w:r>
      <w:r>
        <w:rPr>
          <w:rFonts w:eastAsia="黑体"/>
          <w:kern w:val="0"/>
          <w:szCs w:val="32"/>
        </w:rPr>
        <w:t>：</w:t>
      </w:r>
    </w:p>
    <w:p>
      <w:pPr>
        <w:widowControl/>
        <w:spacing w:before="100" w:beforeAutospacing="1" w:after="100" w:afterAutospacing="1"/>
        <w:jc w:val="center"/>
        <w:rPr>
          <w:rFonts w:eastAsia="华文中宋"/>
          <w:kern w:val="0"/>
          <w:sz w:val="30"/>
          <w:szCs w:val="30"/>
        </w:rPr>
      </w:pPr>
      <w:r>
        <w:rPr>
          <w:rFonts w:eastAsia="华文中宋"/>
          <w:kern w:val="0"/>
          <w:sz w:val="30"/>
          <w:szCs w:val="30"/>
        </w:rPr>
        <w:t xml:space="preserve">商品进出口关税税目调整建议表 </w:t>
      </w:r>
    </w:p>
    <w:p>
      <w:pPr>
        <w:widowControl/>
        <w:jc w:val="left"/>
        <w:rPr>
          <w:kern w:val="0"/>
          <w:sz w:val="18"/>
          <w:szCs w:val="18"/>
        </w:rPr>
      </w:pPr>
      <w:r>
        <w:rPr>
          <w:kern w:val="0"/>
          <w:sz w:val="18"/>
          <w:szCs w:val="18"/>
        </w:rPr>
        <w:t xml:space="preserve">填报单位：                             企业统一代码： </w:t>
      </w:r>
    </w:p>
    <w:tbl>
      <w:tblPr>
        <w:tblStyle w:val="2"/>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66"/>
        <w:gridCol w:w="2356"/>
        <w:gridCol w:w="422"/>
        <w:gridCol w:w="1684"/>
        <w:gridCol w:w="252"/>
        <w:gridCol w:w="18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1" w:hRule="atLeast"/>
          <w:tblCellSpacing w:w="0" w:type="dxa"/>
        </w:trPr>
        <w:tc>
          <w:tcPr>
            <w:tcW w:w="1059"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税则号列（现报关） </w:t>
            </w:r>
          </w:p>
        </w:tc>
        <w:tc>
          <w:tcPr>
            <w:tcW w:w="1666" w:type="pct"/>
            <w:gridSpan w:val="2"/>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c>
          <w:tcPr>
            <w:tcW w:w="1010"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计量单位 </w:t>
            </w:r>
          </w:p>
        </w:tc>
        <w:tc>
          <w:tcPr>
            <w:tcW w:w="1263" w:type="pct"/>
            <w:gridSpan w:val="2"/>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5" w:hRule="atLeast"/>
          <w:tblCellSpacing w:w="0" w:type="dxa"/>
        </w:trPr>
        <w:tc>
          <w:tcPr>
            <w:tcW w:w="1059"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标准中文名称 </w:t>
            </w:r>
          </w:p>
        </w:tc>
        <w:tc>
          <w:tcPr>
            <w:tcW w:w="3940" w:type="pct"/>
            <w:gridSpan w:val="5"/>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9" w:hRule="atLeast"/>
          <w:tblCellSpacing w:w="0" w:type="dxa"/>
        </w:trPr>
        <w:tc>
          <w:tcPr>
            <w:tcW w:w="1059"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标准英文名称 </w:t>
            </w:r>
          </w:p>
        </w:tc>
        <w:tc>
          <w:tcPr>
            <w:tcW w:w="3940" w:type="pct"/>
            <w:gridSpan w:val="5"/>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3" w:hRule="atLeast"/>
          <w:tblCellSpacing w:w="0" w:type="dxa"/>
        </w:trPr>
        <w:tc>
          <w:tcPr>
            <w:tcW w:w="1059"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年度进口数量 </w:t>
            </w:r>
          </w:p>
        </w:tc>
        <w:tc>
          <w:tcPr>
            <w:tcW w:w="1413" w:type="pct"/>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c>
          <w:tcPr>
            <w:tcW w:w="1414" w:type="pct"/>
            <w:gridSpan w:val="3"/>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年度进口金额（美元） </w:t>
            </w:r>
          </w:p>
        </w:tc>
        <w:tc>
          <w:tcPr>
            <w:tcW w:w="1111" w:type="pct"/>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CellSpacing w:w="0" w:type="dxa"/>
        </w:trPr>
        <w:tc>
          <w:tcPr>
            <w:tcW w:w="1059" w:type="pct"/>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年度出口数量 </w:t>
            </w:r>
          </w:p>
        </w:tc>
        <w:tc>
          <w:tcPr>
            <w:tcW w:w="1413" w:type="pct"/>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c>
          <w:tcPr>
            <w:tcW w:w="1414" w:type="pct"/>
            <w:gridSpan w:val="3"/>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center"/>
              <w:rPr>
                <w:kern w:val="0"/>
                <w:sz w:val="18"/>
                <w:szCs w:val="18"/>
              </w:rPr>
            </w:pPr>
            <w:r>
              <w:rPr>
                <w:kern w:val="0"/>
                <w:sz w:val="18"/>
                <w:szCs w:val="18"/>
              </w:rPr>
              <w:t xml:space="preserve">年度出口金额（美元） </w:t>
            </w:r>
          </w:p>
        </w:tc>
        <w:tc>
          <w:tcPr>
            <w:tcW w:w="1111" w:type="pct"/>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68" w:hRule="atLeast"/>
          <w:tblCellSpacing w:w="0" w:type="dxa"/>
        </w:trPr>
        <w:tc>
          <w:tcPr>
            <w:tcW w:w="1059"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kern w:val="0"/>
                <w:sz w:val="18"/>
                <w:szCs w:val="18"/>
              </w:rPr>
            </w:pPr>
            <w:r>
              <w:rPr>
                <w:kern w:val="0"/>
                <w:sz w:val="18"/>
                <w:szCs w:val="18"/>
              </w:rPr>
              <w:t xml:space="preserve">商品简要描述 </w:t>
            </w:r>
          </w:p>
        </w:tc>
        <w:tc>
          <w:tcPr>
            <w:tcW w:w="3940" w:type="pct"/>
            <w:gridSpan w:val="5"/>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5" w:hRule="atLeast"/>
          <w:tblCellSpacing w:w="0" w:type="dxa"/>
        </w:trPr>
        <w:tc>
          <w:tcPr>
            <w:tcW w:w="1059"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kern w:val="0"/>
                <w:sz w:val="18"/>
                <w:szCs w:val="18"/>
              </w:rPr>
            </w:pPr>
            <w:r>
              <w:rPr>
                <w:kern w:val="0"/>
                <w:sz w:val="18"/>
                <w:szCs w:val="18"/>
              </w:rPr>
              <w:t xml:space="preserve">建议调整关税税目的主要原因 </w:t>
            </w:r>
          </w:p>
        </w:tc>
        <w:tc>
          <w:tcPr>
            <w:tcW w:w="3940" w:type="pct"/>
            <w:gridSpan w:val="5"/>
            <w:tcBorders>
              <w:top w:val="outset" w:color="auto" w:sz="6" w:space="0"/>
              <w:left w:val="outset" w:color="auto" w:sz="6" w:space="0"/>
              <w:bottom w:val="outset" w:color="auto" w:sz="6" w:space="0"/>
              <w:right w:val="outset" w:color="auto" w:sz="6" w:space="0"/>
            </w:tcBorders>
          </w:tcPr>
          <w:p>
            <w:pPr>
              <w:widowControl/>
              <w:jc w:val="left"/>
              <w:rPr>
                <w:kern w:val="0"/>
                <w:sz w:val="18"/>
                <w:szCs w:val="18"/>
              </w:rPr>
            </w:pPr>
          </w:p>
        </w:tc>
      </w:tr>
    </w:tbl>
    <w:p>
      <w:pPr>
        <w:widowControl/>
        <w:jc w:val="left"/>
        <w:rPr>
          <w:kern w:val="0"/>
          <w:sz w:val="18"/>
          <w:szCs w:val="18"/>
        </w:rPr>
      </w:pPr>
      <w:r>
        <w:rPr>
          <w:kern w:val="0"/>
          <w:sz w:val="18"/>
          <w:szCs w:val="18"/>
        </w:rPr>
        <w:t xml:space="preserve">填报人：                             联系电话： </w:t>
      </w:r>
    </w:p>
    <w:p>
      <w:pPr>
        <w:widowControl/>
        <w:spacing w:before="100" w:beforeAutospacing="1" w:after="100" w:afterAutospacing="1"/>
        <w:ind w:right="360"/>
        <w:jc w:val="right"/>
        <w:rPr>
          <w:kern w:val="0"/>
          <w:sz w:val="18"/>
          <w:szCs w:val="18"/>
        </w:rPr>
      </w:pPr>
      <w:r>
        <w:rPr>
          <w:kern w:val="0"/>
          <w:sz w:val="18"/>
          <w:szCs w:val="18"/>
        </w:rPr>
        <w:t xml:space="preserve">单位名称（公章） </w:t>
      </w:r>
    </w:p>
    <w:p>
      <w:pPr>
        <w:widowControl/>
        <w:spacing w:before="100" w:beforeAutospacing="1" w:after="100" w:afterAutospacing="1"/>
        <w:jc w:val="right"/>
        <w:rPr>
          <w:kern w:val="0"/>
          <w:sz w:val="18"/>
          <w:szCs w:val="18"/>
        </w:rPr>
      </w:pPr>
      <w:r>
        <w:rPr>
          <w:kern w:val="0"/>
          <w:sz w:val="18"/>
          <w:szCs w:val="18"/>
        </w:rPr>
        <w:t xml:space="preserve"> 年    月    日 </w:t>
      </w:r>
    </w:p>
    <w:p>
      <w:pPr>
        <w:widowControl/>
        <w:spacing w:before="100" w:beforeAutospacing="1" w:after="100" w:afterAutospacing="1"/>
        <w:jc w:val="right"/>
        <w:rPr>
          <w:kern w:val="0"/>
          <w:sz w:val="18"/>
          <w:szCs w:val="18"/>
        </w:rPr>
      </w:pPr>
    </w:p>
    <w:p>
      <w:pPr>
        <w:widowControl/>
        <w:jc w:val="center"/>
        <w:rPr>
          <w:rFonts w:eastAsia="华文中宋"/>
          <w:kern w:val="0"/>
          <w:sz w:val="30"/>
          <w:szCs w:val="30"/>
        </w:rPr>
      </w:pPr>
      <w:r>
        <w:rPr>
          <w:rFonts w:eastAsia="华文中宋"/>
          <w:kern w:val="0"/>
          <w:sz w:val="30"/>
          <w:szCs w:val="30"/>
        </w:rPr>
        <w:t>指标填报说明</w:t>
      </w:r>
    </w:p>
    <w:p>
      <w:pPr>
        <w:widowControl/>
        <w:spacing w:line="440" w:lineRule="exact"/>
        <w:ind w:firstLine="560" w:firstLineChars="200"/>
        <w:jc w:val="left"/>
        <w:rPr>
          <w:kern w:val="0"/>
          <w:sz w:val="28"/>
          <w:szCs w:val="28"/>
        </w:rPr>
      </w:pPr>
      <w:r>
        <w:rPr>
          <w:kern w:val="0"/>
          <w:sz w:val="28"/>
          <w:szCs w:val="28"/>
        </w:rPr>
        <w:t xml:space="preserve">1、税则号列：指该产品在《中华人民共和国进出口税则》中对应的“税则号列”一栏8位数字表示的代码。 </w:t>
      </w:r>
    </w:p>
    <w:p>
      <w:pPr>
        <w:widowControl/>
        <w:spacing w:line="440" w:lineRule="exact"/>
        <w:ind w:firstLine="560" w:firstLineChars="200"/>
        <w:jc w:val="left"/>
        <w:rPr>
          <w:kern w:val="0"/>
          <w:sz w:val="28"/>
          <w:szCs w:val="28"/>
        </w:rPr>
      </w:pPr>
      <w:r>
        <w:rPr>
          <w:kern w:val="0"/>
          <w:sz w:val="28"/>
          <w:szCs w:val="28"/>
        </w:rPr>
        <w:t xml:space="preserve">2、标准中文名称、英文名称：指该产品标准、规范的技术用语，而非俗称、俗名等，标准中文名称中不能含有英文注释或英文缩略词。 </w:t>
      </w:r>
    </w:p>
    <w:p>
      <w:pPr>
        <w:widowControl/>
        <w:spacing w:line="440" w:lineRule="exact"/>
        <w:ind w:firstLine="560" w:firstLineChars="200"/>
        <w:jc w:val="left"/>
        <w:rPr>
          <w:kern w:val="0"/>
          <w:sz w:val="28"/>
          <w:szCs w:val="28"/>
        </w:rPr>
      </w:pPr>
      <w:r>
        <w:rPr>
          <w:kern w:val="0"/>
          <w:sz w:val="28"/>
          <w:szCs w:val="28"/>
        </w:rPr>
        <w:t xml:space="preserve">3、进（出）口量：指企业已向海关申请报关的进（出）口实物数量，计量单位与海关统计口径一致。 </w:t>
      </w:r>
    </w:p>
    <w:p>
      <w:pPr>
        <w:widowControl/>
        <w:spacing w:line="440" w:lineRule="exact"/>
        <w:ind w:firstLine="560" w:firstLineChars="200"/>
        <w:jc w:val="left"/>
        <w:rPr>
          <w:kern w:val="0"/>
          <w:sz w:val="28"/>
          <w:szCs w:val="28"/>
        </w:rPr>
      </w:pPr>
      <w:r>
        <w:rPr>
          <w:kern w:val="0"/>
          <w:sz w:val="28"/>
          <w:szCs w:val="28"/>
        </w:rPr>
        <w:t xml:space="preserve">4、进（出）口额：指企业已向海关申请报关的进（出）口金额，与海关统计口径一致，以美元列示。 </w:t>
      </w:r>
    </w:p>
    <w:p>
      <w:pPr>
        <w:widowControl/>
        <w:spacing w:line="440" w:lineRule="exact"/>
        <w:ind w:firstLine="560" w:firstLineChars="200"/>
        <w:jc w:val="left"/>
        <w:rPr>
          <w:kern w:val="0"/>
          <w:sz w:val="28"/>
          <w:szCs w:val="28"/>
        </w:rPr>
      </w:pPr>
      <w:r>
        <w:rPr>
          <w:kern w:val="0"/>
          <w:sz w:val="28"/>
          <w:szCs w:val="28"/>
        </w:rPr>
        <w:t xml:space="preserve">5、单位生产成本：反映企业该产品全年平均单位生产成本，包括直接材料、直接人工、燃料和动力以及制造费用，以元填列。 </w:t>
      </w:r>
    </w:p>
    <w:p>
      <w:pPr>
        <w:widowControl/>
        <w:spacing w:line="440" w:lineRule="exact"/>
        <w:ind w:firstLine="560" w:firstLineChars="200"/>
        <w:jc w:val="left"/>
        <w:rPr>
          <w:kern w:val="0"/>
          <w:sz w:val="28"/>
          <w:szCs w:val="28"/>
        </w:rPr>
      </w:pPr>
      <w:r>
        <w:rPr>
          <w:kern w:val="0"/>
          <w:sz w:val="28"/>
          <w:szCs w:val="28"/>
        </w:rPr>
        <w:t xml:space="preserve">6、国内市场同类商品价格：反映该产品国内市场全年平均销售单位价格，以元填列。 </w:t>
      </w:r>
    </w:p>
    <w:p>
      <w:pPr>
        <w:widowControl/>
        <w:spacing w:line="440" w:lineRule="exact"/>
        <w:ind w:firstLine="560" w:firstLineChars="200"/>
        <w:jc w:val="left"/>
        <w:rPr>
          <w:kern w:val="0"/>
          <w:sz w:val="28"/>
          <w:szCs w:val="28"/>
        </w:rPr>
      </w:pPr>
      <w:r>
        <w:rPr>
          <w:kern w:val="0"/>
          <w:sz w:val="28"/>
          <w:szCs w:val="28"/>
        </w:rPr>
        <w:t xml:space="preserve">7、国际市场同类商品价格：反映该产品在港澳台及国外市场全年平均销售单位价格，以美元列示。 </w:t>
      </w:r>
    </w:p>
    <w:p>
      <w:pPr>
        <w:widowControl/>
        <w:spacing w:line="440" w:lineRule="exact"/>
        <w:ind w:firstLine="560" w:firstLineChars="200"/>
        <w:jc w:val="left"/>
        <w:rPr>
          <w:kern w:val="0"/>
          <w:sz w:val="28"/>
          <w:szCs w:val="28"/>
        </w:rPr>
      </w:pPr>
      <w:r>
        <w:rPr>
          <w:kern w:val="0"/>
          <w:sz w:val="28"/>
          <w:szCs w:val="28"/>
        </w:rPr>
        <w:t xml:space="preserve">8、进口到岸价格：是指在进口贸易中，在卖方必须支付将货物运至指定的目的港所需的运费和费用，及买方货物在运输途中灭失或损坏风险的海运保险的前提下，货物的进口价格，以美元列示。 </w:t>
      </w:r>
    </w:p>
    <w:p>
      <w:pPr>
        <w:widowControl/>
        <w:spacing w:line="440" w:lineRule="exact"/>
        <w:ind w:firstLine="560" w:firstLineChars="200"/>
        <w:jc w:val="left"/>
        <w:rPr>
          <w:kern w:val="0"/>
          <w:sz w:val="28"/>
          <w:szCs w:val="28"/>
        </w:rPr>
      </w:pPr>
      <w:r>
        <w:rPr>
          <w:kern w:val="0"/>
          <w:sz w:val="28"/>
          <w:szCs w:val="28"/>
        </w:rPr>
        <w:t xml:space="preserve">9、出口离岸价格：是指在出口贸易中，由卖方负责办理出口清关手续的前提下，货物的出口价格，以美元列示。 </w:t>
      </w:r>
    </w:p>
    <w:p>
      <w:pPr>
        <w:widowControl/>
        <w:spacing w:line="440" w:lineRule="exact"/>
        <w:ind w:firstLine="560" w:firstLineChars="200"/>
        <w:jc w:val="left"/>
        <w:rPr>
          <w:kern w:val="0"/>
          <w:sz w:val="28"/>
          <w:szCs w:val="28"/>
        </w:rPr>
      </w:pPr>
      <w:r>
        <w:rPr>
          <w:kern w:val="0"/>
          <w:sz w:val="28"/>
          <w:szCs w:val="28"/>
        </w:rPr>
        <w:t xml:space="preserve">10、进口最惠国关税税率：是指该商品所属的税则号列，当年《中华人民共和国进口税则》中最惠国税率一栏，所规定的税率（%）。 </w:t>
      </w:r>
    </w:p>
    <w:p>
      <w:pPr>
        <w:widowControl/>
        <w:spacing w:line="440" w:lineRule="exact"/>
        <w:ind w:firstLine="560" w:firstLineChars="200"/>
        <w:jc w:val="left"/>
        <w:rPr>
          <w:kern w:val="0"/>
          <w:sz w:val="28"/>
          <w:szCs w:val="28"/>
        </w:rPr>
      </w:pPr>
      <w:r>
        <w:rPr>
          <w:kern w:val="0"/>
          <w:sz w:val="28"/>
          <w:szCs w:val="28"/>
        </w:rPr>
        <w:t xml:space="preserve">11、出口关税税率：是指该商品所属的税则号列，当年《中华人民共和国出口税则》中出口税率一栏规定的税率（%）。 </w:t>
      </w:r>
    </w:p>
    <w:p>
      <w:pPr>
        <w:widowControl/>
        <w:spacing w:line="440" w:lineRule="exact"/>
        <w:ind w:firstLine="560" w:firstLineChars="200"/>
        <w:jc w:val="left"/>
        <w:rPr>
          <w:kern w:val="0"/>
          <w:sz w:val="28"/>
          <w:szCs w:val="28"/>
        </w:rPr>
      </w:pPr>
      <w:r>
        <w:rPr>
          <w:kern w:val="0"/>
          <w:sz w:val="28"/>
          <w:szCs w:val="28"/>
        </w:rPr>
        <w:t>12、商品的简要描述：原材料类商品应主要包括构成商品的主要化学成份、化学结构式和外部形状，主要用途等；设备类商品应包括必要的技术参数、型号规格、结构、功能、用途及工作原理示意图等。其中，对于那些多功能、多用途的商品，应重点介绍其关键用途和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16FEA"/>
    <w:rsid w:val="7390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2021-03-23T02:57:00Z</dcterms:created>
  <dc:creator>Administrator</dc:creator>
  <cp:lastModifiedBy>lewuo</cp:lastModifiedBy>
  <dcterms:modified xsi:type="dcterms:W3CDTF">2021-05-11T07:37:27Z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F2173A27D22147E184F9C8D404F0E669</vt:lpwstr>
  </property>
</Properties>
</file>