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outlineLvl w:val="0"/>
        <w:rPr>
          <w:rFonts w:ascii="Times New Roman" w:hAnsi="Times New Roman" w:eastAsia="黑体"/>
          <w:kern w:val="0"/>
          <w:sz w:val="32"/>
          <w:szCs w:val="32"/>
        </w:rPr>
      </w:pPr>
      <w:bookmarkStart w:id="0" w:name="_Hlk149063551"/>
      <w:r>
        <w:rPr>
          <w:rFonts w:hint="eastAsia" w:ascii="Times New Roman" w:hAnsi="Times New Roman" w:eastAsia="黑体"/>
          <w:kern w:val="0"/>
          <w:sz w:val="32"/>
          <w:szCs w:val="32"/>
        </w:rPr>
        <w:t>附件</w:t>
      </w:r>
    </w:p>
    <w:p>
      <w:pPr>
        <w:widowControl/>
        <w:spacing w:line="600" w:lineRule="exact"/>
        <w:jc w:val="center"/>
        <w:outlineLvl w:val="0"/>
        <w:rPr>
          <w:rFonts w:ascii="Times New Roman" w:hAnsi="Times New Roman" w:eastAsia="方正小标宋_GBK"/>
          <w:kern w:val="0"/>
          <w:sz w:val="44"/>
          <w:szCs w:val="44"/>
        </w:rPr>
      </w:pPr>
    </w:p>
    <w:p>
      <w:pPr>
        <w:widowControl/>
        <w:spacing w:line="600" w:lineRule="exact"/>
        <w:jc w:val="center"/>
        <w:outlineLvl w:val="0"/>
        <w:rPr>
          <w:rFonts w:hint="eastAsia" w:ascii="Times New Roman" w:hAnsi="Times New Roman" w:eastAsia="方正小标宋_GBK"/>
          <w:kern w:val="0"/>
          <w:sz w:val="44"/>
          <w:szCs w:val="44"/>
        </w:rPr>
      </w:pPr>
      <w:r>
        <w:rPr>
          <w:rFonts w:hint="default" w:ascii="Times New Roman" w:hAnsi="Times New Roman" w:eastAsia="方正小标宋_GBK" w:cs="Times New Roman"/>
          <w:sz w:val="44"/>
          <w:szCs w:val="44"/>
        </w:rPr>
        <w:t>湖南省产业</w:t>
      </w:r>
      <w:bookmarkStart w:id="4" w:name="_GoBack"/>
      <w:bookmarkEnd w:id="4"/>
      <w:r>
        <w:rPr>
          <w:rFonts w:hint="default" w:ascii="Times New Roman" w:hAnsi="Times New Roman" w:eastAsia="方正小标宋_GBK" w:cs="Times New Roman"/>
          <w:sz w:val="44"/>
          <w:szCs w:val="44"/>
        </w:rPr>
        <w:t>引导基金</w:t>
      </w:r>
      <w:r>
        <w:rPr>
          <w:rFonts w:hint="eastAsia" w:ascii="Times New Roman" w:hAnsi="Times New Roman" w:eastAsia="方正小标宋_GBK"/>
          <w:kern w:val="0"/>
          <w:sz w:val="44"/>
          <w:szCs w:val="44"/>
        </w:rPr>
        <w:t>空天海洋产业子基金</w:t>
      </w:r>
    </w:p>
    <w:p>
      <w:pPr>
        <w:widowControl/>
        <w:spacing w:line="600" w:lineRule="exact"/>
        <w:jc w:val="center"/>
        <w:outlineLvl w:val="0"/>
        <w:rPr>
          <w:rFonts w:ascii="Times New Roman" w:hAnsi="Times New Roman" w:eastAsia="方正小标宋_GBK"/>
          <w:kern w:val="0"/>
          <w:sz w:val="44"/>
          <w:szCs w:val="44"/>
        </w:rPr>
      </w:pPr>
      <w:r>
        <w:rPr>
          <w:rFonts w:hint="eastAsia" w:ascii="Times New Roman" w:hAnsi="Times New Roman" w:eastAsia="方正小标宋_GBK"/>
          <w:kern w:val="0"/>
          <w:sz w:val="44"/>
          <w:szCs w:val="44"/>
          <w:lang w:val="en-US" w:eastAsia="zh-CN"/>
        </w:rPr>
        <w:t>管理机构</w:t>
      </w:r>
      <w:r>
        <w:rPr>
          <w:rFonts w:hint="eastAsia" w:ascii="Times New Roman" w:hAnsi="Times New Roman" w:eastAsia="方正小标宋_GBK"/>
          <w:kern w:val="0"/>
          <w:sz w:val="44"/>
          <w:szCs w:val="44"/>
        </w:rPr>
        <w:t>申报指南</w:t>
      </w:r>
      <w:bookmarkEnd w:id="0"/>
    </w:p>
    <w:p>
      <w:pPr>
        <w:pStyle w:val="2"/>
        <w:spacing w:after="0" w:line="600" w:lineRule="exact"/>
      </w:pPr>
    </w:p>
    <w:p>
      <w:pPr>
        <w:pStyle w:val="3"/>
        <w:keepNext w:val="0"/>
        <w:keepLines w:val="0"/>
        <w:pageBreakBefore w:val="0"/>
        <w:widowControl w:val="0"/>
        <w:numPr>
          <w:ilvl w:val="255"/>
          <w:numId w:val="0"/>
        </w:numPr>
        <w:kinsoku/>
        <w:wordWrap/>
        <w:overflowPunct w:val="0"/>
        <w:topLinePunct w:val="0"/>
        <w:autoSpaceDE w:val="0"/>
        <w:autoSpaceDN w:val="0"/>
        <w:bidi w:val="0"/>
        <w:adjustRightInd/>
        <w:snapToGrid/>
        <w:spacing w:before="0" w:beforeLines="0" w:after="0" w:afterLines="0"/>
        <w:ind w:firstLine="640" w:firstLineChars="200"/>
        <w:jc w:val="both"/>
        <w:textAlignment w:val="auto"/>
        <w:rPr>
          <w:rFonts w:ascii="Times New Roman" w:hAnsi="Times New Roman" w:cs="Times New Roman"/>
        </w:rPr>
      </w:pPr>
      <w:r>
        <w:rPr>
          <w:rFonts w:hint="eastAsia" w:ascii="Times New Roman" w:hAnsi="Times New Roman" w:cs="Times New Roman"/>
        </w:rPr>
        <w:t>一、</w:t>
      </w:r>
      <w:r>
        <w:rPr>
          <w:rFonts w:ascii="Times New Roman" w:hAnsi="Times New Roman" w:cs="Times New Roman"/>
        </w:rPr>
        <w:t>重点投资领域</w:t>
      </w:r>
    </w:p>
    <w:p>
      <w:pPr>
        <w:overflowPunct w:val="0"/>
        <w:autoSpaceDE w:val="0"/>
        <w:autoSpaceDN w:val="0"/>
        <w:spacing w:line="600" w:lineRule="exact"/>
        <w:ind w:firstLine="640" w:firstLineChars="200"/>
        <w:rPr>
          <w:rFonts w:ascii="Times New Roman" w:hAnsi="Times New Roman"/>
        </w:rPr>
      </w:pPr>
      <w:r>
        <w:rPr>
          <w:rFonts w:ascii="Times New Roman" w:hAnsi="Times New Roman" w:eastAsia="仿宋_GB2312"/>
          <w:sz w:val="32"/>
          <w:szCs w:val="32"/>
        </w:rPr>
        <w:t>空天海洋</w:t>
      </w:r>
      <w:r>
        <w:rPr>
          <w:rFonts w:hint="eastAsia" w:ascii="Times New Roman" w:hAnsi="Times New Roman" w:eastAsia="仿宋_GB2312"/>
          <w:sz w:val="32"/>
          <w:szCs w:val="32"/>
        </w:rPr>
        <w:t>产业子</w:t>
      </w:r>
      <w:r>
        <w:rPr>
          <w:rFonts w:ascii="Times New Roman" w:hAnsi="Times New Roman" w:eastAsia="仿宋_GB2312"/>
          <w:sz w:val="32"/>
          <w:szCs w:val="32"/>
        </w:rPr>
        <w:t>基金</w:t>
      </w:r>
      <w:r>
        <w:rPr>
          <w:rFonts w:hint="eastAsia" w:ascii="Times New Roman" w:hAnsi="Times New Roman" w:eastAsia="仿宋_GB2312"/>
          <w:sz w:val="32"/>
          <w:szCs w:val="32"/>
        </w:rPr>
        <w:t>（以下简称“子基金”）</w:t>
      </w:r>
      <w:r>
        <w:rPr>
          <w:rFonts w:ascii="Times New Roman" w:hAnsi="Times New Roman" w:eastAsia="仿宋_GB2312"/>
          <w:sz w:val="32"/>
          <w:szCs w:val="32"/>
        </w:rPr>
        <w:t>重点投向省内航空航天及北斗产业链优质企业和重点补链延链项目，包括但不限于通航整机、无人机、中小航空发动机、新型飞行器及发动机、起降系统和辅助动力系统；北斗芯片、算法、终端集成和平台运营服务</w:t>
      </w:r>
      <w:r>
        <w:rPr>
          <w:rFonts w:hint="eastAsia" w:ascii="Times New Roman" w:hAnsi="Times New Roman" w:eastAsia="仿宋_GB2312"/>
          <w:sz w:val="32"/>
          <w:szCs w:val="32"/>
        </w:rPr>
        <w:t>及北斗规模应用</w:t>
      </w:r>
      <w:r>
        <w:rPr>
          <w:rFonts w:ascii="Times New Roman" w:hAnsi="Times New Roman" w:eastAsia="仿宋_GB2312"/>
          <w:sz w:val="32"/>
          <w:szCs w:val="32"/>
        </w:rPr>
        <w:t>；商业航天、卫星互联网等航天重大工程；船舶关键系统、海洋机器人、海洋作业平台、深海矿产资源开发装备等。</w:t>
      </w:r>
    </w:p>
    <w:p>
      <w:pPr>
        <w:pStyle w:val="3"/>
        <w:numPr>
          <w:ilvl w:val="255"/>
          <w:numId w:val="0"/>
        </w:numPr>
        <w:overflowPunct w:val="0"/>
        <w:autoSpaceDE w:val="0"/>
        <w:autoSpaceDN w:val="0"/>
        <w:spacing w:before="0" w:beforeLines="0" w:after="0" w:afterLines="0"/>
        <w:ind w:firstLine="640"/>
        <w:jc w:val="both"/>
        <w:rPr>
          <w:rFonts w:ascii="Times New Roman" w:hAnsi="Times New Roman" w:cs="Times New Roman"/>
        </w:rPr>
      </w:pPr>
      <w:r>
        <w:rPr>
          <w:rFonts w:hint="eastAsia" w:ascii="Times New Roman" w:hAnsi="Times New Roman" w:cs="Times New Roman"/>
        </w:rPr>
        <w:t>二、</w:t>
      </w:r>
      <w:r>
        <w:rPr>
          <w:rFonts w:ascii="Times New Roman" w:hAnsi="Times New Roman" w:cs="Times New Roman"/>
        </w:rPr>
        <w:t>基金管理人应具备的基本条件</w:t>
      </w:r>
    </w:p>
    <w:p>
      <w:pPr>
        <w:overflowPunct w:val="0"/>
        <w:autoSpaceDE w:val="0"/>
        <w:autoSpaceDN w:val="0"/>
        <w:spacing w:line="60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（一）管理资质：</w:t>
      </w:r>
      <w:r>
        <w:rPr>
          <w:rFonts w:ascii="Times New Roman" w:hAnsi="Times New Roman" w:eastAsia="仿宋_GB2312"/>
          <w:sz w:val="32"/>
          <w:szCs w:val="32"/>
        </w:rPr>
        <w:t>取得私募股权投资基金管理人相关登记备案资质；实缴注册资本不低于1000万元人民币。</w:t>
      </w:r>
    </w:p>
    <w:p>
      <w:pPr>
        <w:overflowPunct w:val="0"/>
        <w:autoSpaceDE w:val="0"/>
        <w:autoSpaceDN w:val="0"/>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（二）管理团队：</w:t>
      </w:r>
      <w:r>
        <w:rPr>
          <w:rFonts w:ascii="Times New Roman" w:hAnsi="Times New Roman" w:eastAsia="仿宋_GB2312"/>
          <w:sz w:val="32"/>
          <w:szCs w:val="32"/>
        </w:rPr>
        <w:t>至少有3名具备3年以上投资基金管理工作经验或相关空天海洋产业背景的专职高级管理人员，且在管理机构共同全职工作2年（含）以上；</w:t>
      </w:r>
      <w:r>
        <w:rPr>
          <w:rFonts w:hint="eastAsia" w:ascii="Times New Roman" w:hAnsi="Times New Roman" w:eastAsia="仿宋_GB2312"/>
          <w:sz w:val="32"/>
          <w:szCs w:val="32"/>
        </w:rPr>
        <w:t>子</w:t>
      </w:r>
      <w:r>
        <w:rPr>
          <w:rFonts w:ascii="Times New Roman" w:hAnsi="Times New Roman" w:eastAsia="仿宋_GB2312"/>
          <w:sz w:val="32"/>
          <w:szCs w:val="32"/>
        </w:rPr>
        <w:t>基金管理人及管理团队主要成员未有受过基金业管理相关行政主管机关行政处罚或司法机关刑事处罚的不良记录；在湖南省内</w:t>
      </w:r>
      <w:r>
        <w:rPr>
          <w:rFonts w:hint="eastAsia" w:ascii="Times New Roman" w:hAnsi="Times New Roman" w:eastAsia="仿宋_GB2312"/>
          <w:sz w:val="32"/>
          <w:szCs w:val="32"/>
        </w:rPr>
        <w:t>应</w:t>
      </w:r>
      <w:r>
        <w:rPr>
          <w:rFonts w:ascii="Times New Roman" w:hAnsi="Times New Roman" w:eastAsia="仿宋_GB2312"/>
          <w:sz w:val="32"/>
          <w:szCs w:val="32"/>
        </w:rPr>
        <w:t>配备常驻</w:t>
      </w:r>
      <w:r>
        <w:rPr>
          <w:rFonts w:hint="eastAsia" w:ascii="Times New Roman" w:hAnsi="Times New Roman" w:eastAsia="仿宋_GB2312"/>
          <w:sz w:val="32"/>
          <w:szCs w:val="32"/>
        </w:rPr>
        <w:t>核心</w:t>
      </w:r>
      <w:r>
        <w:rPr>
          <w:rFonts w:ascii="Times New Roman" w:hAnsi="Times New Roman" w:eastAsia="仿宋_GB2312"/>
          <w:sz w:val="32"/>
          <w:szCs w:val="32"/>
        </w:rPr>
        <w:t>人员，</w:t>
      </w:r>
      <w:r>
        <w:rPr>
          <w:rFonts w:hint="eastAsia" w:ascii="Times New Roman" w:hAnsi="Times New Roman" w:eastAsia="仿宋_GB2312"/>
          <w:sz w:val="32"/>
          <w:szCs w:val="32"/>
        </w:rPr>
        <w:t>投资团队</w:t>
      </w:r>
      <w:r>
        <w:rPr>
          <w:rFonts w:ascii="Times New Roman" w:hAnsi="Times New Roman" w:eastAsia="仿宋_GB2312"/>
          <w:sz w:val="32"/>
          <w:szCs w:val="32"/>
        </w:rPr>
        <w:t>在基金投资期保持稳定。</w:t>
      </w:r>
    </w:p>
    <w:p>
      <w:pPr>
        <w:overflowPunct w:val="0"/>
        <w:autoSpaceDE w:val="0"/>
        <w:autoSpaceDN w:val="0"/>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（三）募资能力：</w:t>
      </w:r>
      <w:r>
        <w:rPr>
          <w:rFonts w:ascii="Times New Roman" w:hAnsi="Times New Roman" w:eastAsia="仿宋_GB2312"/>
          <w:sz w:val="32"/>
          <w:szCs w:val="32"/>
        </w:rPr>
        <w:t>具有较强的募资能力，在提交</w:t>
      </w:r>
      <w:r>
        <w:rPr>
          <w:rFonts w:hint="eastAsia" w:ascii="Times New Roman" w:hAnsi="Times New Roman" w:eastAsia="仿宋_GB2312"/>
          <w:sz w:val="32"/>
          <w:szCs w:val="32"/>
        </w:rPr>
        <w:t>子基金</w:t>
      </w:r>
      <w:r>
        <w:rPr>
          <w:rFonts w:ascii="Times New Roman" w:hAnsi="Times New Roman" w:eastAsia="仿宋_GB2312"/>
          <w:sz w:val="32"/>
          <w:szCs w:val="32"/>
        </w:rPr>
        <w:t>设立方案时，应取得拟设立</w:t>
      </w:r>
      <w:r>
        <w:rPr>
          <w:rFonts w:hint="eastAsia" w:ascii="Times New Roman" w:hAnsi="Times New Roman" w:eastAsia="仿宋_GB2312"/>
          <w:sz w:val="32"/>
          <w:szCs w:val="32"/>
        </w:rPr>
        <w:t>子基金</w:t>
      </w:r>
      <w:r>
        <w:rPr>
          <w:rFonts w:ascii="Times New Roman" w:hAnsi="Times New Roman" w:eastAsia="仿宋_GB2312"/>
          <w:sz w:val="32"/>
          <w:szCs w:val="32"/>
        </w:rPr>
        <w:t>认缴规模至少50%的出资意向（不含本母基金）。母基金原则上不优先于其他出资人出资</w:t>
      </w:r>
      <w:r>
        <w:rPr>
          <w:rFonts w:hint="eastAsia" w:ascii="Times New Roman" w:hAnsi="Times New Roman" w:eastAsia="仿宋_GB2312"/>
          <w:sz w:val="32"/>
          <w:szCs w:val="32"/>
        </w:rPr>
        <w:t>。</w:t>
      </w:r>
      <w:r>
        <w:rPr>
          <w:rFonts w:ascii="Times New Roman" w:hAnsi="Times New Roman" w:eastAsia="仿宋_GB2312"/>
          <w:sz w:val="32"/>
          <w:szCs w:val="32"/>
        </w:rPr>
        <w:t xml:space="preserve"> </w:t>
      </w:r>
    </w:p>
    <w:p>
      <w:pPr>
        <w:overflowPunct w:val="0"/>
        <w:autoSpaceDE w:val="0"/>
        <w:autoSpaceDN w:val="0"/>
        <w:spacing w:line="60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（四）投资能力：</w:t>
      </w:r>
      <w:r>
        <w:rPr>
          <w:rFonts w:hint="eastAsia" w:ascii="Times New Roman" w:hAnsi="Times New Roman" w:eastAsia="仿宋_GB2312"/>
          <w:sz w:val="32"/>
          <w:szCs w:val="32"/>
        </w:rPr>
        <w:t>子基金</w:t>
      </w:r>
      <w:r>
        <w:rPr>
          <w:rFonts w:ascii="Times New Roman" w:hAnsi="Times New Roman" w:eastAsia="仿宋_GB2312"/>
          <w:sz w:val="32"/>
          <w:szCs w:val="32"/>
        </w:rPr>
        <w:t>管理人具备良好的管理业绩，管理运营投资基金累计实缴规模不低于3亿元；具有空天海洋产业背景或过往在空天海洋行业有过良好的投资业绩，围绕该领域至少有3个股</w:t>
      </w:r>
      <w:r>
        <w:rPr>
          <w:rFonts w:hint="eastAsia" w:ascii="Times New Roman" w:hAnsi="Times New Roman" w:eastAsia="仿宋_GB2312"/>
          <w:spacing w:val="-6"/>
          <w:sz w:val="32"/>
          <w:szCs w:val="32"/>
        </w:rPr>
        <w:t>权投资成功投资并退出案例。若子基金管理人重要股东或管理团队具备深厚的空天海洋产业背景或资源优势，其业绩可适用于上述要求。</w:t>
      </w:r>
    </w:p>
    <w:p>
      <w:pPr>
        <w:overflowPunct w:val="0"/>
        <w:autoSpaceDE w:val="0"/>
        <w:autoSpaceDN w:val="0"/>
        <w:spacing w:line="60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（五）风险控制：</w:t>
      </w:r>
      <w:r>
        <w:rPr>
          <w:rFonts w:ascii="Times New Roman" w:hAnsi="Times New Roman" w:eastAsia="仿宋_GB2312"/>
          <w:sz w:val="32"/>
          <w:szCs w:val="32"/>
        </w:rPr>
        <w:t>管理和投资运作规范，具有完整的投资决策程序、全面风险控制机制和健全的财务管理制度</w:t>
      </w:r>
      <w:r>
        <w:rPr>
          <w:rFonts w:hint="eastAsia" w:ascii="Times New Roman" w:hAnsi="Times New Roman" w:eastAsia="仿宋_GB2312"/>
          <w:sz w:val="32"/>
          <w:szCs w:val="32"/>
          <w:lang w:eastAsia="zh-CN"/>
        </w:rPr>
        <w:t>；</w:t>
      </w:r>
      <w:r>
        <w:rPr>
          <w:rFonts w:ascii="Times New Roman" w:hAnsi="Times New Roman" w:eastAsia="仿宋_GB2312"/>
          <w:sz w:val="32"/>
          <w:szCs w:val="32"/>
        </w:rPr>
        <w:t>未被中国证券投资基金业协会列为异常机构且不存在不良诚信记录等情形</w:t>
      </w:r>
      <w:r>
        <w:rPr>
          <w:rFonts w:hint="eastAsia" w:ascii="Times New Roman" w:hAnsi="Times New Roman" w:eastAsia="仿宋_GB2312"/>
          <w:sz w:val="32"/>
          <w:szCs w:val="32"/>
          <w:lang w:eastAsia="zh-CN"/>
        </w:rPr>
        <w:t>；</w:t>
      </w:r>
      <w:r>
        <w:rPr>
          <w:rFonts w:ascii="Times New Roman" w:hAnsi="Times New Roman" w:eastAsia="仿宋_GB2312"/>
          <w:sz w:val="32"/>
          <w:szCs w:val="32"/>
        </w:rPr>
        <w:t>最近三年不存在重大违法违规行为。</w:t>
      </w:r>
    </w:p>
    <w:p>
      <w:pPr>
        <w:overflowPunct w:val="0"/>
        <w:autoSpaceDE w:val="0"/>
        <w:autoSpaceDN w:val="0"/>
        <w:spacing w:line="60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（六）过往在湘合作：</w:t>
      </w:r>
      <w:r>
        <w:rPr>
          <w:rFonts w:hint="eastAsia" w:ascii="Times New Roman" w:hAnsi="Times New Roman" w:eastAsia="仿宋_GB2312"/>
          <w:sz w:val="32"/>
          <w:szCs w:val="32"/>
        </w:rPr>
        <w:t>对于过往在湖南有过基金设立、相关成功项目投资的，对湖南相关产业发展做出过突出贡献的优先考虑</w:t>
      </w:r>
      <w:r>
        <w:rPr>
          <w:rFonts w:ascii="Times New Roman" w:hAnsi="Times New Roman" w:eastAsia="仿宋_GB2312"/>
          <w:sz w:val="32"/>
          <w:szCs w:val="32"/>
        </w:rPr>
        <w:t>。</w:t>
      </w:r>
    </w:p>
    <w:p>
      <w:pPr>
        <w:overflowPunct w:val="0"/>
        <w:autoSpaceDE w:val="0"/>
        <w:autoSpaceDN w:val="0"/>
        <w:spacing w:line="600" w:lineRule="exact"/>
        <w:ind w:firstLine="643" w:firstLineChars="200"/>
        <w:rPr>
          <w:rFonts w:ascii="Times New Roman" w:hAnsi="Times New Roman" w:eastAsia="仿宋_GB2312"/>
          <w:sz w:val="32"/>
          <w:szCs w:val="32"/>
        </w:rPr>
      </w:pPr>
      <w:r>
        <w:rPr>
          <w:rFonts w:hint="eastAsia" w:ascii="Times New Roman" w:hAnsi="Times New Roman" w:eastAsia="楷体_GB2312"/>
          <w:b/>
          <w:bCs/>
          <w:sz w:val="32"/>
          <w:szCs w:val="32"/>
        </w:rPr>
        <w:t>（七）申报主体：</w:t>
      </w:r>
      <w:r>
        <w:rPr>
          <w:rFonts w:hint="eastAsia" w:ascii="Times New Roman" w:hAnsi="Times New Roman" w:eastAsia="仿宋_GB2312"/>
          <w:sz w:val="32"/>
          <w:szCs w:val="32"/>
        </w:rPr>
        <w:t>原则上以基金管理人名义申报，若拟申报主体在申报期内未完成设立登记，且该主体在空天海洋领域具有深厚产业背景或独特资源优势，可由拟申报主体控股股东或指定其他关联主体先行代为申报并说明情况，但该子</w:t>
      </w:r>
      <w:r>
        <w:rPr>
          <w:rFonts w:ascii="Times New Roman" w:hAnsi="Times New Roman" w:eastAsia="仿宋_GB2312"/>
          <w:sz w:val="32"/>
          <w:szCs w:val="32"/>
        </w:rPr>
        <w:t>基金管理人</w:t>
      </w:r>
      <w:r>
        <w:rPr>
          <w:rFonts w:hint="eastAsia" w:ascii="Times New Roman" w:hAnsi="Times New Roman" w:eastAsia="仿宋_GB2312"/>
          <w:sz w:val="32"/>
          <w:szCs w:val="32"/>
        </w:rPr>
        <w:t>核心</w:t>
      </w:r>
      <w:r>
        <w:rPr>
          <w:rFonts w:ascii="Times New Roman" w:hAnsi="Times New Roman" w:eastAsia="仿宋_GB2312"/>
          <w:sz w:val="32"/>
          <w:szCs w:val="32"/>
        </w:rPr>
        <w:t>管理</w:t>
      </w:r>
      <w:r>
        <w:rPr>
          <w:rFonts w:hint="eastAsia" w:ascii="Times New Roman" w:hAnsi="Times New Roman" w:eastAsia="仿宋_GB2312"/>
          <w:sz w:val="32"/>
          <w:szCs w:val="32"/>
        </w:rPr>
        <w:t>团队及投资</w:t>
      </w:r>
      <w:r>
        <w:rPr>
          <w:rFonts w:ascii="Times New Roman" w:hAnsi="Times New Roman" w:eastAsia="仿宋_GB2312"/>
          <w:sz w:val="32"/>
          <w:szCs w:val="32"/>
        </w:rPr>
        <w:t>团队</w:t>
      </w:r>
      <w:r>
        <w:rPr>
          <w:rFonts w:hint="eastAsia" w:ascii="Times New Roman" w:hAnsi="Times New Roman" w:eastAsia="仿宋_GB2312"/>
          <w:sz w:val="32"/>
          <w:szCs w:val="32"/>
        </w:rPr>
        <w:t>成员需在申报时明确。</w:t>
      </w:r>
    </w:p>
    <w:p>
      <w:pPr>
        <w:pStyle w:val="2"/>
        <w:overflowPunct w:val="0"/>
        <w:autoSpaceDE w:val="0"/>
        <w:autoSpaceDN w:val="0"/>
        <w:spacing w:after="0" w:line="600" w:lineRule="exact"/>
        <w:ind w:firstLine="643" w:firstLineChars="200"/>
        <w:rPr>
          <w:rFonts w:eastAsia="楷体_GB2312"/>
          <w:b/>
          <w:bCs/>
          <w:sz w:val="32"/>
          <w:szCs w:val="32"/>
        </w:rPr>
      </w:pPr>
      <w:r>
        <w:rPr>
          <w:rFonts w:hint="eastAsia" w:eastAsia="楷体_GB2312"/>
          <w:b/>
          <w:bCs/>
          <w:sz w:val="32"/>
          <w:szCs w:val="32"/>
        </w:rPr>
        <w:t>（八）优先情形：</w:t>
      </w:r>
    </w:p>
    <w:p>
      <w:pPr>
        <w:pStyle w:val="2"/>
        <w:overflowPunct w:val="0"/>
        <w:autoSpaceDE w:val="0"/>
        <w:autoSpaceDN w:val="0"/>
        <w:spacing w:after="0" w:line="600" w:lineRule="exact"/>
        <w:ind w:firstLine="640" w:firstLineChars="200"/>
        <w:rPr>
          <w:rFonts w:eastAsia="仿宋_GB2312"/>
          <w:b/>
          <w:bCs/>
          <w:sz w:val="32"/>
          <w:szCs w:val="32"/>
        </w:rPr>
      </w:pPr>
      <w:r>
        <w:rPr>
          <w:rFonts w:hint="eastAsia" w:eastAsia="仿宋_GB2312"/>
          <w:sz w:val="32"/>
          <w:szCs w:val="32"/>
        </w:rPr>
        <w:t>除以上基本条件外，优先考虑满足以下条件的管理机构：</w:t>
      </w:r>
    </w:p>
    <w:p>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after="0" w:line="600" w:lineRule="exact"/>
        <w:ind w:leftChars="0" w:firstLine="640" w:firstLineChars="200"/>
        <w:textAlignment w:val="auto"/>
        <w:rPr>
          <w:rFonts w:eastAsia="仿宋_GB2312"/>
          <w:sz w:val="32"/>
          <w:szCs w:val="32"/>
        </w:rPr>
      </w:pPr>
      <w:r>
        <w:rPr>
          <w:rFonts w:hint="eastAsia" w:eastAsia="仿宋_GB2312"/>
          <w:sz w:val="32"/>
          <w:szCs w:val="32"/>
          <w:lang w:val="en-US" w:eastAsia="zh-CN"/>
        </w:rPr>
        <w:t>1.</w:t>
      </w:r>
      <w:r>
        <w:rPr>
          <w:rFonts w:hint="eastAsia" w:eastAsia="仿宋_GB2312"/>
          <w:sz w:val="32"/>
          <w:szCs w:val="32"/>
        </w:rPr>
        <w:t>具备深厚的产业背景以及资源优势，在子基金投资领域拥有丰富的储备项目（特别是</w:t>
      </w:r>
      <w:r>
        <w:rPr>
          <w:rFonts w:hint="eastAsia" w:eastAsia="仿宋_GB2312"/>
          <w:sz w:val="32"/>
          <w:szCs w:val="32"/>
          <w:lang w:val="en-US" w:eastAsia="zh-CN"/>
        </w:rPr>
        <w:t>湖南</w:t>
      </w:r>
      <w:r>
        <w:rPr>
          <w:rFonts w:hint="eastAsia" w:eastAsia="仿宋_GB2312"/>
          <w:sz w:val="32"/>
          <w:szCs w:val="32"/>
        </w:rPr>
        <w:t>省内项目）；</w:t>
      </w:r>
    </w:p>
    <w:p>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after="0" w:line="600" w:lineRule="exact"/>
        <w:ind w:leftChars="0" w:firstLine="640" w:firstLineChars="200"/>
        <w:textAlignment w:val="auto"/>
        <w:rPr>
          <w:rFonts w:hint="eastAsia" w:eastAsia="仿宋_GB2312"/>
          <w:sz w:val="32"/>
          <w:szCs w:val="32"/>
        </w:rPr>
      </w:pPr>
      <w:r>
        <w:rPr>
          <w:rFonts w:hint="eastAsia" w:eastAsia="仿宋_GB2312"/>
          <w:sz w:val="32"/>
          <w:szCs w:val="32"/>
          <w:lang w:val="en-US" w:eastAsia="zh-CN"/>
        </w:rPr>
        <w:t>2.</w:t>
      </w:r>
      <w:r>
        <w:rPr>
          <w:rFonts w:hint="eastAsia" w:eastAsia="仿宋_GB2312"/>
          <w:sz w:val="32"/>
          <w:szCs w:val="32"/>
        </w:rPr>
        <w:t>能提高返投比例的；</w:t>
      </w:r>
    </w:p>
    <w:p>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after="0" w:line="600" w:lineRule="exact"/>
        <w:ind w:leftChars="0" w:firstLine="640" w:firstLineChars="200"/>
        <w:textAlignment w:val="auto"/>
        <w:rPr>
          <w:rFonts w:eastAsia="仿宋_GB2312"/>
          <w:sz w:val="32"/>
          <w:szCs w:val="32"/>
        </w:rPr>
      </w:pPr>
      <w:r>
        <w:rPr>
          <w:rFonts w:hint="eastAsia" w:eastAsia="仿宋_GB2312"/>
          <w:sz w:val="32"/>
          <w:szCs w:val="32"/>
          <w:lang w:val="en-US" w:eastAsia="zh-CN"/>
        </w:rPr>
        <w:t>3.</w:t>
      </w:r>
      <w:r>
        <w:rPr>
          <w:rFonts w:hint="eastAsia" w:eastAsia="仿宋_GB2312"/>
          <w:sz w:val="32"/>
          <w:szCs w:val="32"/>
        </w:rPr>
        <w:t>子基金领域有较多的投早投小案例。</w:t>
      </w:r>
    </w:p>
    <w:p>
      <w:pPr>
        <w:pStyle w:val="3"/>
        <w:numPr>
          <w:ilvl w:val="255"/>
          <w:numId w:val="0"/>
        </w:numPr>
        <w:overflowPunct w:val="0"/>
        <w:autoSpaceDE w:val="0"/>
        <w:autoSpaceDN w:val="0"/>
        <w:spacing w:before="0" w:beforeLines="0" w:after="0" w:afterLines="0"/>
        <w:ind w:firstLine="640"/>
        <w:jc w:val="both"/>
        <w:rPr>
          <w:rFonts w:ascii="Times New Roman" w:hAnsi="Times New Roman" w:cs="Times New Roman"/>
        </w:rPr>
      </w:pPr>
      <w:r>
        <w:rPr>
          <w:rFonts w:hint="eastAsia" w:ascii="Times New Roman" w:hAnsi="Times New Roman" w:cs="Times New Roman"/>
        </w:rPr>
        <w:t>三、</w:t>
      </w:r>
      <w:r>
        <w:rPr>
          <w:rFonts w:ascii="Times New Roman" w:hAnsi="Times New Roman" w:cs="Times New Roman"/>
        </w:rPr>
        <w:t>基金设立要求</w:t>
      </w:r>
    </w:p>
    <w:p>
      <w:pPr>
        <w:overflowPunct w:val="0"/>
        <w:autoSpaceDE w:val="0"/>
        <w:autoSpaceDN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子</w:t>
      </w:r>
      <w:r>
        <w:rPr>
          <w:rFonts w:ascii="Times New Roman" w:hAnsi="Times New Roman" w:eastAsia="仿宋_GB2312"/>
          <w:sz w:val="32"/>
          <w:szCs w:val="32"/>
        </w:rPr>
        <w:t>基金须符合下列要求：</w:t>
      </w:r>
    </w:p>
    <w:p>
      <w:pPr>
        <w:overflowPunct w:val="0"/>
        <w:autoSpaceDE w:val="0"/>
        <w:autoSpaceDN w:val="0"/>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（一）基金类型：</w:t>
      </w:r>
      <w:r>
        <w:rPr>
          <w:rFonts w:ascii="Times New Roman" w:hAnsi="Times New Roman" w:eastAsia="仿宋_GB2312"/>
          <w:sz w:val="32"/>
          <w:szCs w:val="32"/>
        </w:rPr>
        <w:t>有限合伙企业。</w:t>
      </w:r>
    </w:p>
    <w:p>
      <w:pPr>
        <w:overflowPunct w:val="0"/>
        <w:autoSpaceDE w:val="0"/>
        <w:autoSpaceDN w:val="0"/>
        <w:spacing w:line="60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（二）基金存续期：</w:t>
      </w:r>
      <w:r>
        <w:rPr>
          <w:rFonts w:ascii="Times New Roman" w:hAnsi="Times New Roman" w:eastAsia="仿宋_GB2312"/>
          <w:sz w:val="32"/>
          <w:szCs w:val="32"/>
        </w:rPr>
        <w:t>原则上不超过10年（含延长期）。</w:t>
      </w:r>
    </w:p>
    <w:p>
      <w:pPr>
        <w:pStyle w:val="7"/>
        <w:overflowPunct w:val="0"/>
        <w:autoSpaceDE w:val="0"/>
        <w:autoSpaceDN w:val="0"/>
        <w:spacing w:after="0" w:line="600" w:lineRule="exact"/>
        <w:ind w:left="0" w:leftChars="0"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（三）基金注册地：</w:t>
      </w:r>
      <w:r>
        <w:rPr>
          <w:rFonts w:ascii="Times New Roman" w:hAnsi="Times New Roman" w:eastAsia="仿宋_GB2312"/>
          <w:sz w:val="32"/>
          <w:szCs w:val="32"/>
        </w:rPr>
        <w:t>湖南省。</w:t>
      </w:r>
    </w:p>
    <w:p>
      <w:pPr>
        <w:pStyle w:val="7"/>
        <w:overflowPunct w:val="0"/>
        <w:autoSpaceDE w:val="0"/>
        <w:autoSpaceDN w:val="0"/>
        <w:spacing w:after="0" w:line="600" w:lineRule="exact"/>
        <w:ind w:left="0" w:leftChars="0" w:firstLine="643" w:firstLineChars="200"/>
        <w:rPr>
          <w:rFonts w:ascii="Times New Roman" w:hAnsi="Times New Roman" w:eastAsia="仿宋_GB2312"/>
          <w:sz w:val="32"/>
          <w:szCs w:val="32"/>
        </w:rPr>
      </w:pPr>
      <w:r>
        <w:rPr>
          <w:rFonts w:ascii="Times New Roman" w:hAnsi="Times New Roman" w:eastAsia="楷体_GB2312"/>
          <w:b/>
          <w:bCs/>
          <w:sz w:val="32"/>
          <w:szCs w:val="32"/>
        </w:rPr>
        <w:t>（四）基金规模及出资：</w:t>
      </w:r>
      <w:r>
        <w:rPr>
          <w:rFonts w:ascii="Times New Roman" w:hAnsi="Times New Roman" w:eastAsia="仿宋_GB2312"/>
          <w:sz w:val="32"/>
          <w:szCs w:val="32"/>
        </w:rPr>
        <w:t>规模不小于35亿元，母基金出资不超过</w:t>
      </w:r>
      <w:r>
        <w:rPr>
          <w:rFonts w:hint="eastAsia" w:ascii="Times New Roman" w:hAnsi="Times New Roman" w:eastAsia="仿宋_GB2312"/>
          <w:sz w:val="32"/>
          <w:szCs w:val="32"/>
        </w:rPr>
        <w:t>子基金</w:t>
      </w:r>
      <w:r>
        <w:rPr>
          <w:rFonts w:ascii="Times New Roman" w:hAnsi="Times New Roman" w:eastAsia="仿宋_GB2312"/>
          <w:sz w:val="32"/>
          <w:szCs w:val="32"/>
        </w:rPr>
        <w:t>认缴规模的25%，母基金原则上不优先于其他出资人出资。具体根据</w:t>
      </w:r>
      <w:r>
        <w:rPr>
          <w:rFonts w:hint="eastAsia" w:ascii="Times New Roman" w:hAnsi="Times New Roman" w:eastAsia="仿宋_GB2312"/>
          <w:sz w:val="32"/>
          <w:szCs w:val="32"/>
        </w:rPr>
        <w:t>子基金</w:t>
      </w:r>
      <w:r>
        <w:rPr>
          <w:rFonts w:ascii="Times New Roman" w:hAnsi="Times New Roman" w:eastAsia="仿宋_GB2312"/>
          <w:sz w:val="32"/>
          <w:szCs w:val="32"/>
        </w:rPr>
        <w:t>投资进度和返投完成情况分期出资。</w:t>
      </w:r>
    </w:p>
    <w:p>
      <w:pPr>
        <w:pStyle w:val="7"/>
        <w:overflowPunct w:val="0"/>
        <w:autoSpaceDE w:val="0"/>
        <w:autoSpaceDN w:val="0"/>
        <w:spacing w:after="0" w:line="600" w:lineRule="exact"/>
        <w:ind w:left="0" w:leftChars="0" w:firstLine="643" w:firstLineChars="200"/>
        <w:rPr>
          <w:rFonts w:ascii="Times New Roman" w:hAnsi="Times New Roman" w:eastAsia="仿宋_GB2312"/>
          <w:sz w:val="32"/>
          <w:szCs w:val="32"/>
        </w:rPr>
      </w:pPr>
      <w:r>
        <w:rPr>
          <w:rFonts w:ascii="Times New Roman" w:hAnsi="Times New Roman" w:eastAsia="楷体_GB2312"/>
          <w:b/>
          <w:bCs/>
          <w:sz w:val="32"/>
          <w:szCs w:val="32"/>
        </w:rPr>
        <w:t>（五）投资领域：</w:t>
      </w:r>
      <w:r>
        <w:rPr>
          <w:rFonts w:hint="eastAsia" w:ascii="Times New Roman" w:hAnsi="Times New Roman" w:eastAsia="仿宋_GB2312"/>
          <w:sz w:val="32"/>
          <w:szCs w:val="32"/>
        </w:rPr>
        <w:t>子基金</w:t>
      </w:r>
      <w:r>
        <w:rPr>
          <w:rFonts w:ascii="Times New Roman" w:hAnsi="Times New Roman" w:eastAsia="仿宋_GB2312"/>
          <w:sz w:val="32"/>
          <w:szCs w:val="32"/>
        </w:rPr>
        <w:t>投资于本指南所述重点投资领域的比例不得低于</w:t>
      </w:r>
      <w:r>
        <w:rPr>
          <w:rFonts w:hint="eastAsia" w:ascii="Times New Roman" w:hAnsi="Times New Roman" w:eastAsia="仿宋_GB2312"/>
          <w:sz w:val="32"/>
          <w:szCs w:val="32"/>
        </w:rPr>
        <w:t>子基金</w:t>
      </w:r>
      <w:r>
        <w:rPr>
          <w:rFonts w:ascii="Times New Roman" w:hAnsi="Times New Roman" w:eastAsia="仿宋_GB2312"/>
          <w:sz w:val="32"/>
          <w:szCs w:val="32"/>
        </w:rPr>
        <w:t>认缴总额的60%。</w:t>
      </w:r>
    </w:p>
    <w:p>
      <w:pPr>
        <w:overflowPunct w:val="0"/>
        <w:autoSpaceDE w:val="0"/>
        <w:autoSpaceDN w:val="0"/>
        <w:spacing w:line="60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（六）资金托管：</w:t>
      </w:r>
      <w:r>
        <w:rPr>
          <w:rFonts w:hint="eastAsia" w:ascii="Times New Roman" w:hAnsi="Times New Roman" w:eastAsia="仿宋_GB2312"/>
          <w:sz w:val="32"/>
          <w:szCs w:val="32"/>
        </w:rPr>
        <w:t>严格执行资金第三方托管要求，第三方托管人依据托管协议负责账户管理、资金清算、资产保管等事务，对投资活动实施动态监管，并按要求出具托管报告</w:t>
      </w:r>
      <w:r>
        <w:rPr>
          <w:rFonts w:ascii="Times New Roman" w:hAnsi="Times New Roman" w:eastAsia="仿宋_GB2312"/>
          <w:sz w:val="32"/>
          <w:szCs w:val="32"/>
        </w:rPr>
        <w:t>。</w:t>
      </w:r>
    </w:p>
    <w:p>
      <w:pPr>
        <w:overflowPunct w:val="0"/>
        <w:autoSpaceDE w:val="0"/>
        <w:autoSpaceDN w:val="0"/>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（七）投资限制：</w:t>
      </w:r>
    </w:p>
    <w:p>
      <w:pPr>
        <w:overflowPunct w:val="0"/>
        <w:autoSpaceDE w:val="0"/>
        <w:autoSpaceDN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子基金</w:t>
      </w:r>
      <w:r>
        <w:rPr>
          <w:rFonts w:ascii="Times New Roman" w:hAnsi="Times New Roman" w:eastAsia="仿宋_GB2312"/>
          <w:sz w:val="32"/>
          <w:szCs w:val="32"/>
        </w:rPr>
        <w:t>不得从事以下业务：</w:t>
      </w:r>
    </w:p>
    <w:p>
      <w:pPr>
        <w:pStyle w:val="28"/>
        <w:numPr>
          <w:ilvl w:val="255"/>
          <w:numId w:val="0"/>
        </w:numPr>
        <w:overflowPunct w:val="0"/>
        <w:autoSpaceDE w:val="0"/>
        <w:autoSpaceDN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1.从事担保、抵押、委托贷款等业务；</w:t>
      </w:r>
    </w:p>
    <w:p>
      <w:pPr>
        <w:pStyle w:val="28"/>
        <w:numPr>
          <w:ilvl w:val="255"/>
          <w:numId w:val="0"/>
        </w:numPr>
        <w:overflowPunct w:val="0"/>
        <w:autoSpaceDE w:val="0"/>
        <w:autoSpaceDN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2.投资二级市场股票（上市公司非公开发行及以并购重组为目的除外）、期货、房地产、证券投资基金、评级AAA以下的企业债、信托产品、非保本型理财产品、保险计划及其他金融衍生品；</w:t>
      </w:r>
    </w:p>
    <w:p>
      <w:pPr>
        <w:pStyle w:val="28"/>
        <w:numPr>
          <w:ilvl w:val="255"/>
          <w:numId w:val="0"/>
        </w:numPr>
        <w:overflowPunct w:val="0"/>
        <w:autoSpaceDE w:val="0"/>
        <w:autoSpaceDN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3.向任何第三方提供赞助、捐赠（经批准的公益性捐赠除外）；</w:t>
      </w:r>
    </w:p>
    <w:p>
      <w:pPr>
        <w:pStyle w:val="28"/>
        <w:numPr>
          <w:ilvl w:val="255"/>
          <w:numId w:val="0"/>
        </w:numPr>
        <w:overflowPunct w:val="0"/>
        <w:autoSpaceDE w:val="0"/>
        <w:autoSpaceDN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4.吸收或变相吸收存款，或向第三方提供贷款和资金拆借；</w:t>
      </w:r>
    </w:p>
    <w:p>
      <w:pPr>
        <w:pStyle w:val="28"/>
        <w:numPr>
          <w:ilvl w:val="255"/>
          <w:numId w:val="0"/>
        </w:numPr>
        <w:overflowPunct w:val="0"/>
        <w:autoSpaceDE w:val="0"/>
        <w:autoSpaceDN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5.承担无限连带责任的对外投资；</w:t>
      </w:r>
    </w:p>
    <w:p>
      <w:pPr>
        <w:pStyle w:val="28"/>
        <w:numPr>
          <w:ilvl w:val="255"/>
          <w:numId w:val="0"/>
        </w:numPr>
        <w:overflowPunct w:val="0"/>
        <w:autoSpaceDE w:val="0"/>
        <w:autoSpaceDN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6.发行信托或集合理财产品募集资金；</w:t>
      </w:r>
    </w:p>
    <w:p>
      <w:pPr>
        <w:pStyle w:val="28"/>
        <w:numPr>
          <w:ilvl w:val="255"/>
          <w:numId w:val="0"/>
        </w:numPr>
        <w:overflowPunct w:val="0"/>
        <w:autoSpaceDE w:val="0"/>
        <w:autoSpaceDN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7.以任何形式新增政府隐性债务；</w:t>
      </w:r>
    </w:p>
    <w:p>
      <w:pPr>
        <w:pStyle w:val="28"/>
        <w:numPr>
          <w:ilvl w:val="255"/>
          <w:numId w:val="0"/>
        </w:numPr>
        <w:overflowPunct w:val="0"/>
        <w:autoSpaceDE w:val="0"/>
        <w:autoSpaceDN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.其他国家法律法规禁止从事的业务。</w:t>
      </w:r>
    </w:p>
    <w:p>
      <w:pPr>
        <w:pStyle w:val="7"/>
        <w:overflowPunct w:val="0"/>
        <w:autoSpaceDE w:val="0"/>
        <w:autoSpaceDN w:val="0"/>
        <w:spacing w:after="0" w:line="600" w:lineRule="exact"/>
        <w:ind w:left="0" w:leftChars="0" w:firstLine="643" w:firstLineChars="200"/>
        <w:rPr>
          <w:rFonts w:ascii="Times New Roman" w:hAnsi="Times New Roman" w:eastAsia="楷体_GB2312"/>
          <w:b/>
          <w:bCs/>
          <w:sz w:val="32"/>
          <w:szCs w:val="32"/>
        </w:rPr>
      </w:pPr>
      <w:r>
        <w:rPr>
          <w:rFonts w:ascii="Times New Roman" w:hAnsi="Times New Roman" w:eastAsia="楷体_GB2312"/>
          <w:b/>
          <w:bCs/>
          <w:sz w:val="32"/>
          <w:szCs w:val="32"/>
        </w:rPr>
        <w:t>（八）返投要求：</w:t>
      </w:r>
    </w:p>
    <w:p>
      <w:pPr>
        <w:pStyle w:val="7"/>
        <w:overflowPunct w:val="0"/>
        <w:autoSpaceDE w:val="0"/>
        <w:autoSpaceDN w:val="0"/>
        <w:spacing w:after="0" w:line="600"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子基金</w:t>
      </w:r>
      <w:r>
        <w:rPr>
          <w:rFonts w:ascii="Times New Roman" w:hAnsi="Times New Roman" w:eastAsia="仿宋_GB2312"/>
          <w:sz w:val="32"/>
          <w:szCs w:val="32"/>
        </w:rPr>
        <w:t>返投于湖南省内的投资总额总体不低于母基金出资额的1.5倍，具体返投界定如下：</w:t>
      </w:r>
    </w:p>
    <w:p>
      <w:pPr>
        <w:pStyle w:val="28"/>
        <w:numPr>
          <w:ilvl w:val="255"/>
          <w:numId w:val="0"/>
        </w:numPr>
        <w:overflowPunct w:val="0"/>
        <w:autoSpaceDE w:val="0"/>
        <w:autoSpaceDN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1.直接投资湖南省内企业，按照子基金投资的金额计算投资返投金额；</w:t>
      </w:r>
    </w:p>
    <w:p>
      <w:pPr>
        <w:pStyle w:val="28"/>
        <w:numPr>
          <w:ilvl w:val="255"/>
          <w:numId w:val="0"/>
        </w:numPr>
        <w:overflowPunct w:val="0"/>
        <w:autoSpaceDE w:val="0"/>
        <w:autoSpaceDN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被投湖南省外企业在湖南省内投资，开展实际经营并缴纳税收的按照被投公司在湖南省内的实缴资本计算返投金额。基金存续期内被投公司在湖南省内投资的主体营业收入不到其实缴资本2倍的，按省内投资主体营业收入的50%计算返投金额；</w:t>
      </w:r>
    </w:p>
    <w:p>
      <w:pPr>
        <w:pStyle w:val="28"/>
        <w:numPr>
          <w:ilvl w:val="255"/>
          <w:numId w:val="0"/>
        </w:numPr>
        <w:overflowPunct w:val="0"/>
        <w:autoSpaceDE w:val="0"/>
        <w:autoSpaceDN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3.被投湖南省外企业迁址湖南省内，按该企业的所有者权益计算返投金额，但对于引进上市主体、企业总部落地湖南省内的，可按1.2倍认定返投金额；</w:t>
      </w:r>
    </w:p>
    <w:p>
      <w:pPr>
        <w:pStyle w:val="28"/>
        <w:numPr>
          <w:ilvl w:val="255"/>
          <w:numId w:val="0"/>
        </w:numPr>
        <w:overflowPunct w:val="0"/>
        <w:autoSpaceDE w:val="0"/>
        <w:autoSpaceDN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4.投资湖南省外企业，该企业在湖南省内设立研发中心的，按该研发中心在湖南省内的固定资产投资金额与实缴资本孰高的1.2倍认定返投金额；</w:t>
      </w:r>
    </w:p>
    <w:p>
      <w:pPr>
        <w:pStyle w:val="28"/>
        <w:numPr>
          <w:ilvl w:val="255"/>
          <w:numId w:val="0"/>
        </w:numPr>
        <w:overflowPunct w:val="0"/>
        <w:autoSpaceDE w:val="0"/>
        <w:autoSpaceDN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5.对于定增项目，或通过搭建SPV形式进行投资，按子基金在其中的实际投资额计算返投金额；</w:t>
      </w:r>
    </w:p>
    <w:p>
      <w:pPr>
        <w:pStyle w:val="28"/>
        <w:numPr>
          <w:ilvl w:val="255"/>
          <w:numId w:val="0"/>
        </w:numPr>
        <w:overflowPunct w:val="0"/>
        <w:autoSpaceDE w:val="0"/>
        <w:autoSpaceDN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6.对于协议转让等老股转让，不计入返投金额；</w:t>
      </w:r>
    </w:p>
    <w:p>
      <w:pPr>
        <w:pStyle w:val="28"/>
        <w:numPr>
          <w:ilvl w:val="255"/>
          <w:numId w:val="0"/>
        </w:numPr>
        <w:overflowPunct w:val="0"/>
        <w:autoSpaceDE w:val="0"/>
        <w:autoSpaceDN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7.相关主管部门认定的其他情形。</w:t>
      </w:r>
    </w:p>
    <w:p>
      <w:pPr>
        <w:pStyle w:val="28"/>
        <w:overflowPunct w:val="0"/>
        <w:autoSpaceDE w:val="0"/>
        <w:autoSpaceDN w:val="0"/>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母基金将根据基金返投情况分期考核，并将返投考核结果与母基金后续出资</w:t>
      </w:r>
      <w:r>
        <w:rPr>
          <w:rFonts w:hint="eastAsia" w:ascii="Times New Roman" w:hAnsi="Times New Roman" w:eastAsia="仿宋_GB2312"/>
          <w:sz w:val="32"/>
          <w:szCs w:val="32"/>
        </w:rPr>
        <w:t>等</w:t>
      </w:r>
      <w:r>
        <w:rPr>
          <w:rFonts w:ascii="Times New Roman" w:hAnsi="Times New Roman" w:eastAsia="仿宋_GB2312"/>
          <w:sz w:val="32"/>
          <w:szCs w:val="32"/>
        </w:rPr>
        <w:t>挂钩。</w:t>
      </w:r>
      <w:r>
        <w:rPr>
          <w:rFonts w:ascii="Times New Roman" w:hAnsi="Times New Roman" w:eastAsia="仿宋_GB2312"/>
          <w:kern w:val="0"/>
          <w:sz w:val="32"/>
          <w:szCs w:val="32"/>
          <w:shd w:val="clear" w:color="auto" w:fill="FFFFFF"/>
        </w:rPr>
        <w:t>在子基金存续一定时期时对子基金返投情况进行阶段考核，若阶段考核未达标，母基金有权采取暂停后续出资与管理费计提等方式来促使子基金返投考核达标；子基金存续期结束时，母基金管理人将对子基金整体返投完成情况进行考核，若整体返投考核未达标，母基金有权向子基金或其管理人追究违约责任。具体返投目标、考核方式及违约责任以合伙协议或相关其他补充协议约定为准。</w:t>
      </w:r>
    </w:p>
    <w:p>
      <w:pPr>
        <w:overflowPunct w:val="0"/>
        <w:autoSpaceDE w:val="0"/>
        <w:autoSpaceDN w:val="0"/>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（九）提前退出保障：</w:t>
      </w:r>
    </w:p>
    <w:p>
      <w:pPr>
        <w:overflowPunct w:val="0"/>
        <w:autoSpaceDE w:val="0"/>
        <w:autoSpaceDN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有下述情形之一的，母基金出资无需其他出资人同意，可无条件提前退出，并在合伙协议（或公司章程）中明确提前退出程序和价格：</w:t>
      </w:r>
    </w:p>
    <w:p>
      <w:pPr>
        <w:pStyle w:val="28"/>
        <w:numPr>
          <w:ilvl w:val="255"/>
          <w:numId w:val="0"/>
        </w:numPr>
        <w:overflowPunct w:val="0"/>
        <w:autoSpaceDE w:val="0"/>
        <w:autoSpaceDN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子基金</w:t>
      </w:r>
      <w:r>
        <w:rPr>
          <w:rFonts w:ascii="Times New Roman" w:hAnsi="Times New Roman" w:eastAsia="仿宋_GB2312"/>
          <w:kern w:val="0"/>
          <w:sz w:val="32"/>
          <w:szCs w:val="32"/>
        </w:rPr>
        <w:t>设立方案审定后超过1年，未完成设立的（设立以完成中基协备案为准）；</w:t>
      </w:r>
    </w:p>
    <w:p>
      <w:pPr>
        <w:pStyle w:val="28"/>
        <w:numPr>
          <w:ilvl w:val="255"/>
          <w:numId w:val="0"/>
        </w:numPr>
        <w:overflowPunct w:val="0"/>
        <w:autoSpaceDE w:val="0"/>
        <w:autoSpaceDN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2.母基金出资拨付</w:t>
      </w:r>
      <w:r>
        <w:rPr>
          <w:rFonts w:hint="eastAsia" w:ascii="Times New Roman" w:hAnsi="Times New Roman" w:eastAsia="仿宋_GB2312"/>
          <w:kern w:val="0"/>
          <w:sz w:val="32"/>
          <w:szCs w:val="32"/>
        </w:rPr>
        <w:t>子基金</w:t>
      </w:r>
      <w:r>
        <w:rPr>
          <w:rFonts w:ascii="Times New Roman" w:hAnsi="Times New Roman" w:eastAsia="仿宋_GB2312"/>
          <w:kern w:val="0"/>
          <w:sz w:val="32"/>
          <w:szCs w:val="32"/>
        </w:rPr>
        <w:t>账户1年以上，</w:t>
      </w:r>
      <w:r>
        <w:rPr>
          <w:rFonts w:hint="eastAsia" w:ascii="Times New Roman" w:hAnsi="Times New Roman" w:eastAsia="仿宋_GB2312"/>
          <w:kern w:val="0"/>
          <w:sz w:val="32"/>
          <w:szCs w:val="32"/>
        </w:rPr>
        <w:t>子基金</w:t>
      </w:r>
      <w:r>
        <w:rPr>
          <w:rFonts w:ascii="Times New Roman" w:hAnsi="Times New Roman" w:eastAsia="仿宋_GB2312"/>
          <w:kern w:val="0"/>
          <w:sz w:val="32"/>
          <w:szCs w:val="32"/>
        </w:rPr>
        <w:t>未开展投资业务的（开展投资业务以对投资项目实缴核算为准）；</w:t>
      </w:r>
    </w:p>
    <w:p>
      <w:pPr>
        <w:pStyle w:val="28"/>
        <w:numPr>
          <w:ilvl w:val="255"/>
          <w:numId w:val="0"/>
        </w:numPr>
        <w:overflowPunct w:val="0"/>
        <w:autoSpaceDE w:val="0"/>
        <w:autoSpaceDN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子基金</w:t>
      </w:r>
      <w:r>
        <w:rPr>
          <w:rFonts w:ascii="Times New Roman" w:hAnsi="Times New Roman" w:eastAsia="仿宋_GB2312"/>
          <w:kern w:val="0"/>
          <w:sz w:val="32"/>
          <w:szCs w:val="32"/>
        </w:rPr>
        <w:t>投资领域和方向不符合政策的；</w:t>
      </w:r>
    </w:p>
    <w:p>
      <w:pPr>
        <w:pStyle w:val="28"/>
        <w:numPr>
          <w:ilvl w:val="255"/>
          <w:numId w:val="0"/>
        </w:numPr>
        <w:overflowPunct w:val="0"/>
        <w:autoSpaceDE w:val="0"/>
        <w:autoSpaceDN w:val="0"/>
        <w:spacing w:line="60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子基金</w:t>
      </w:r>
      <w:r>
        <w:rPr>
          <w:rFonts w:ascii="Times New Roman" w:hAnsi="Times New Roman" w:eastAsia="仿宋_GB2312"/>
          <w:kern w:val="0"/>
          <w:sz w:val="32"/>
          <w:szCs w:val="32"/>
        </w:rPr>
        <w:t>未按基金合伙协议（或公司章程）约定投资的。</w:t>
      </w:r>
    </w:p>
    <w:p>
      <w:pPr>
        <w:keepNext w:val="0"/>
        <w:keepLines w:val="0"/>
        <w:pageBreakBefore w:val="0"/>
        <w:widowControl w:val="0"/>
        <w:kinsoku/>
        <w:wordWrap/>
        <w:overflowPunct w:val="0"/>
        <w:topLinePunct w:val="0"/>
        <w:autoSpaceDE w:val="0"/>
        <w:autoSpaceDN w:val="0"/>
        <w:bidi w:val="0"/>
        <w:adjustRightInd/>
        <w:snapToGrid w:val="0"/>
        <w:spacing w:before="0" w:after="0" w:line="600" w:lineRule="exact"/>
        <w:ind w:firstLine="643" w:firstLineChars="200"/>
        <w:textAlignment w:val="auto"/>
        <w:outlineLvl w:val="9"/>
        <w:rPr>
          <w:rFonts w:ascii="Times New Roman" w:hAnsi="Times New Roman" w:eastAsia="仿宋_GB2312"/>
          <w:b w:val="0"/>
          <w:bCs w:val="0"/>
          <w:sz w:val="32"/>
          <w:szCs w:val="32"/>
        </w:rPr>
      </w:pPr>
      <w:r>
        <w:rPr>
          <w:rFonts w:ascii="Times New Roman" w:hAnsi="Times New Roman" w:eastAsia="楷体_GB2312" w:cs="Times New Roman"/>
          <w:b/>
          <w:bCs/>
          <w:sz w:val="32"/>
          <w:szCs w:val="32"/>
        </w:rPr>
        <w:t>（十）穿透核查</w:t>
      </w:r>
      <w:r>
        <w:rPr>
          <w:rFonts w:hint="eastAsia" w:ascii="Times New Roman" w:hAnsi="Times New Roman" w:eastAsia="楷体_GB2312" w:cs="Times New Roman"/>
          <w:b/>
          <w:bCs/>
          <w:sz w:val="32"/>
          <w:szCs w:val="32"/>
          <w:lang w:eastAsia="zh-CN"/>
        </w:rPr>
        <w:t>：</w:t>
      </w:r>
      <w:r>
        <w:rPr>
          <w:rFonts w:ascii="Times New Roman" w:hAnsi="Times New Roman" w:eastAsia="仿宋_GB2312"/>
          <w:b w:val="0"/>
          <w:bCs w:val="0"/>
          <w:sz w:val="32"/>
          <w:szCs w:val="32"/>
        </w:rPr>
        <w:t>对拟入选的子基金管理机构进行穿透核查，通过信用中国、信用信息公示系统、征信系统、中国裁判文书网、中国基金业协会信息公示数据库，</w:t>
      </w:r>
      <w:bookmarkStart w:id="1" w:name="_Hlk120804375"/>
      <w:r>
        <w:rPr>
          <w:rFonts w:ascii="Times New Roman" w:hAnsi="Times New Roman" w:eastAsia="仿宋_GB2312"/>
          <w:b w:val="0"/>
          <w:bCs w:val="0"/>
          <w:sz w:val="32"/>
          <w:szCs w:val="32"/>
        </w:rPr>
        <w:t>查询复核子基金管理机构及其股东（穿透到实际出资方）、实际控制人、关联方及高管人员是否涉嫌违法犯罪、是否受到行业行政监管措施、行政监管处罚。以上穿透核查情况应在出资合同（或协议）中载明，并约定在基金存续期内不涉及违反核查内容的事项。</w:t>
      </w:r>
      <w:bookmarkEnd w:id="1"/>
      <w:r>
        <w:rPr>
          <w:rFonts w:ascii="Times New Roman" w:hAnsi="Times New Roman" w:eastAsia="仿宋_GB2312"/>
          <w:b w:val="0"/>
          <w:bCs w:val="0"/>
          <w:sz w:val="32"/>
          <w:szCs w:val="32"/>
        </w:rPr>
        <w:t>子基金管理机构应递交穿透核查报告。</w:t>
      </w:r>
    </w:p>
    <w:p>
      <w:pPr>
        <w:overflowPunct w:val="0"/>
        <w:autoSpaceDE w:val="0"/>
        <w:autoSpaceDN w:val="0"/>
        <w:spacing w:line="60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（十一）信息披露：</w:t>
      </w:r>
      <w:r>
        <w:rPr>
          <w:rFonts w:ascii="Times New Roman" w:hAnsi="Times New Roman" w:eastAsia="仿宋_GB2312"/>
          <w:sz w:val="32"/>
          <w:szCs w:val="32"/>
        </w:rPr>
        <w:t>每半年度结束后3个月内，</w:t>
      </w:r>
      <w:r>
        <w:rPr>
          <w:rFonts w:hint="eastAsia" w:ascii="Times New Roman" w:hAnsi="Times New Roman" w:eastAsia="仿宋_GB2312"/>
          <w:sz w:val="32"/>
          <w:szCs w:val="32"/>
        </w:rPr>
        <w:t>子基金</w:t>
      </w:r>
      <w:r>
        <w:rPr>
          <w:rFonts w:ascii="Times New Roman" w:hAnsi="Times New Roman" w:eastAsia="仿宋_GB2312"/>
          <w:sz w:val="32"/>
          <w:szCs w:val="32"/>
        </w:rPr>
        <w:t>管理人应向母基金管理人报送相关财务报告、运营报告。会计年度结束后4个月内，</w:t>
      </w:r>
      <w:r>
        <w:rPr>
          <w:rFonts w:hint="eastAsia" w:ascii="Times New Roman" w:hAnsi="Times New Roman" w:eastAsia="仿宋_GB2312"/>
          <w:sz w:val="32"/>
          <w:szCs w:val="32"/>
        </w:rPr>
        <w:t>子基金</w:t>
      </w:r>
      <w:r>
        <w:rPr>
          <w:rFonts w:ascii="Times New Roman" w:hAnsi="Times New Roman" w:eastAsia="仿宋_GB2312"/>
          <w:sz w:val="32"/>
          <w:szCs w:val="32"/>
        </w:rPr>
        <w:t>管理人应向母基金</w:t>
      </w:r>
      <w:r>
        <w:rPr>
          <w:rFonts w:hint="eastAsia" w:ascii="Times New Roman" w:hAnsi="Times New Roman" w:eastAsia="仿宋_GB2312"/>
          <w:sz w:val="32"/>
          <w:szCs w:val="32"/>
        </w:rPr>
        <w:t>管理人</w:t>
      </w:r>
      <w:r>
        <w:rPr>
          <w:rFonts w:ascii="Times New Roman" w:hAnsi="Times New Roman" w:eastAsia="仿宋_GB2312"/>
          <w:sz w:val="32"/>
          <w:szCs w:val="32"/>
        </w:rPr>
        <w:t>提交基金年度工作报告和经审计的年度财务报告。</w:t>
      </w:r>
    </w:p>
    <w:p>
      <w:pPr>
        <w:overflowPunct w:val="0"/>
        <w:autoSpaceDE w:val="0"/>
        <w:autoSpaceDN w:val="0"/>
        <w:spacing w:line="600" w:lineRule="exact"/>
        <w:ind w:firstLine="640" w:firstLineChars="200"/>
        <w:rPr>
          <w:rFonts w:ascii="Times New Roman" w:hAnsi="Times New Roman"/>
        </w:rPr>
      </w:pPr>
      <w:r>
        <w:rPr>
          <w:rFonts w:hint="eastAsia" w:ascii="Times New Roman" w:hAnsi="Times New Roman" w:eastAsia="仿宋_GB2312"/>
          <w:sz w:val="32"/>
          <w:szCs w:val="32"/>
        </w:rPr>
        <w:t>子基金</w:t>
      </w:r>
      <w:r>
        <w:rPr>
          <w:rFonts w:ascii="Times New Roman" w:hAnsi="Times New Roman" w:eastAsia="仿宋_GB2312"/>
          <w:sz w:val="32"/>
          <w:szCs w:val="32"/>
        </w:rPr>
        <w:t>应按照</w:t>
      </w:r>
      <w:r>
        <w:fldChar w:fldCharType="begin"/>
      </w:r>
      <w:r>
        <w:instrText xml:space="preserve"> HYPERLINK "http://www.baidu.com/link?url=CB7Jj7fZ8V_I-l_eJGFjO_qys0q3OWLHtws8LF3QmrQwYggM-XLjdfROoAH_K8Fa" \t "https://www.baidu.com/_blank" </w:instrText>
      </w:r>
      <w:r>
        <w:fldChar w:fldCharType="separate"/>
      </w:r>
      <w:r>
        <w:rPr>
          <w:rFonts w:ascii="Times New Roman" w:hAnsi="Times New Roman" w:eastAsia="仿宋_GB2312"/>
          <w:sz w:val="32"/>
          <w:szCs w:val="32"/>
        </w:rPr>
        <w:t>中国证券投资基金业协会</w:t>
      </w:r>
      <w:r>
        <w:rPr>
          <w:rFonts w:ascii="Times New Roman" w:hAnsi="Times New Roman" w:eastAsia="仿宋_GB2312"/>
          <w:sz w:val="32"/>
          <w:szCs w:val="32"/>
        </w:rPr>
        <w:fldChar w:fldCharType="end"/>
      </w:r>
      <w:r>
        <w:rPr>
          <w:rFonts w:ascii="Times New Roman" w:hAnsi="Times New Roman" w:eastAsia="仿宋_GB2312"/>
          <w:sz w:val="32"/>
          <w:szCs w:val="32"/>
        </w:rPr>
        <w:t>有关要求建立重大事项披露制度。重大事项包括：变更基金管理人、执行事务合伙人或者托管人，基金管理人控股股东、管理费率、托管费率发生变化，基金收益分配事项发生变化，基金发生清盘、清算或者发生重大关联交易等事项。</w:t>
      </w:r>
    </w:p>
    <w:p>
      <w:pPr>
        <w:overflowPunct w:val="0"/>
        <w:autoSpaceDE w:val="0"/>
        <w:autoSpaceDN w:val="0"/>
        <w:spacing w:line="60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（十</w:t>
      </w:r>
      <w:r>
        <w:rPr>
          <w:rFonts w:hint="eastAsia" w:ascii="Times New Roman" w:hAnsi="Times New Roman" w:eastAsia="楷体_GB2312"/>
          <w:b/>
          <w:bCs/>
          <w:sz w:val="32"/>
          <w:szCs w:val="32"/>
        </w:rPr>
        <w:t>二</w:t>
      </w:r>
      <w:r>
        <w:rPr>
          <w:rFonts w:ascii="Times New Roman" w:hAnsi="Times New Roman" w:eastAsia="楷体_GB2312"/>
          <w:b/>
          <w:bCs/>
          <w:sz w:val="32"/>
          <w:szCs w:val="32"/>
        </w:rPr>
        <w:t>）考核要求：</w:t>
      </w:r>
    </w:p>
    <w:p>
      <w:pPr>
        <w:overflowPunct w:val="0"/>
        <w:autoSpaceDE w:val="0"/>
        <w:autoSpaceDN w:val="0"/>
        <w:spacing w:line="60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shd w:val="clear" w:color="auto" w:fill="FFFFFF"/>
        </w:rPr>
        <w:t>为了确保湖南省产业引导基金出资部分资金有效使用和管理，</w:t>
      </w:r>
      <w:r>
        <w:rPr>
          <w:rFonts w:hint="eastAsia" w:ascii="Times New Roman" w:hAnsi="Times New Roman" w:eastAsia="仿宋_GB2312"/>
          <w:kern w:val="0"/>
          <w:sz w:val="32"/>
          <w:szCs w:val="32"/>
          <w:shd w:val="clear" w:color="auto" w:fill="FFFFFF"/>
        </w:rPr>
        <w:t>子基金主要从以下几个维度开展绩效考核评价</w:t>
      </w:r>
      <w:r>
        <w:rPr>
          <w:rFonts w:hint="eastAsia" w:ascii="Times New Roman" w:hAnsi="Times New Roman" w:eastAsia="仿宋_GB2312"/>
          <w:sz w:val="32"/>
          <w:szCs w:val="32"/>
        </w:rPr>
        <w:t>：</w:t>
      </w:r>
    </w:p>
    <w:p>
      <w:pPr>
        <w:overflowPunct w:val="0"/>
        <w:autoSpaceDE w:val="0"/>
        <w:autoSpaceDN w:val="0"/>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1.</w:t>
      </w:r>
      <w:r>
        <w:rPr>
          <w:rFonts w:ascii="Times New Roman" w:hAnsi="Times New Roman" w:eastAsia="仿宋_GB2312"/>
          <w:b/>
          <w:bCs/>
          <w:sz w:val="32"/>
          <w:szCs w:val="32"/>
        </w:rPr>
        <w:t>政策指标：</w:t>
      </w:r>
      <w:r>
        <w:rPr>
          <w:rFonts w:ascii="Times New Roman" w:hAnsi="Times New Roman" w:eastAsia="仿宋_GB2312"/>
          <w:sz w:val="32"/>
          <w:szCs w:val="32"/>
        </w:rPr>
        <w:t>主要关注基金能否带来资金杠杆效应，省内返投比例，投向能否助力湖南空天海洋产业快速发展，以及</w:t>
      </w:r>
      <w:r>
        <w:rPr>
          <w:rFonts w:hint="eastAsia" w:ascii="Times New Roman" w:hAnsi="Times New Roman" w:eastAsia="仿宋_GB2312"/>
          <w:sz w:val="32"/>
          <w:szCs w:val="32"/>
        </w:rPr>
        <w:t>子基金</w:t>
      </w:r>
      <w:r>
        <w:rPr>
          <w:rFonts w:ascii="Times New Roman" w:hAnsi="Times New Roman" w:eastAsia="仿宋_GB2312"/>
          <w:sz w:val="32"/>
          <w:szCs w:val="32"/>
        </w:rPr>
        <w:t>返投能创造多大的就业与税收等。</w:t>
      </w:r>
    </w:p>
    <w:p>
      <w:pPr>
        <w:overflowPunct w:val="0"/>
        <w:autoSpaceDE w:val="0"/>
        <w:autoSpaceDN w:val="0"/>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2.</w:t>
      </w:r>
      <w:r>
        <w:rPr>
          <w:rFonts w:ascii="Times New Roman" w:hAnsi="Times New Roman" w:eastAsia="仿宋_GB2312"/>
          <w:b/>
          <w:bCs/>
          <w:sz w:val="32"/>
          <w:szCs w:val="32"/>
        </w:rPr>
        <w:t>管理指标：</w:t>
      </w:r>
      <w:r>
        <w:rPr>
          <w:rFonts w:ascii="Times New Roman" w:hAnsi="Times New Roman" w:eastAsia="仿宋_GB2312"/>
          <w:sz w:val="32"/>
          <w:szCs w:val="32"/>
        </w:rPr>
        <w:t>聚焦</w:t>
      </w:r>
      <w:r>
        <w:rPr>
          <w:rFonts w:hint="eastAsia" w:ascii="Times New Roman" w:hAnsi="Times New Roman" w:eastAsia="仿宋_GB2312"/>
          <w:sz w:val="32"/>
          <w:szCs w:val="32"/>
        </w:rPr>
        <w:t>子基金</w:t>
      </w:r>
      <w:r>
        <w:rPr>
          <w:rFonts w:ascii="Times New Roman" w:hAnsi="Times New Roman" w:eastAsia="仿宋_GB2312"/>
          <w:sz w:val="32"/>
          <w:szCs w:val="32"/>
        </w:rPr>
        <w:t>的信息报送及时性，专业管理能力与规范运营能力等。</w:t>
      </w:r>
    </w:p>
    <w:p>
      <w:pPr>
        <w:overflowPunct w:val="0"/>
        <w:autoSpaceDE w:val="0"/>
        <w:autoSpaceDN w:val="0"/>
        <w:spacing w:line="6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3.</w:t>
      </w:r>
      <w:r>
        <w:rPr>
          <w:rFonts w:ascii="Times New Roman" w:hAnsi="Times New Roman" w:eastAsia="仿宋_GB2312"/>
          <w:b/>
          <w:bCs/>
          <w:sz w:val="32"/>
          <w:szCs w:val="32"/>
        </w:rPr>
        <w:t>经济指标：</w:t>
      </w:r>
      <w:r>
        <w:rPr>
          <w:rFonts w:ascii="Times New Roman" w:hAnsi="Times New Roman" w:eastAsia="仿宋_GB2312"/>
          <w:sz w:val="32"/>
          <w:szCs w:val="32"/>
        </w:rPr>
        <w:t>投资期和退出期分别考核。投资期主要关注</w:t>
      </w:r>
      <w:r>
        <w:rPr>
          <w:rFonts w:hint="eastAsia" w:ascii="Times New Roman" w:hAnsi="Times New Roman" w:eastAsia="仿宋_GB2312"/>
          <w:sz w:val="32"/>
          <w:szCs w:val="32"/>
        </w:rPr>
        <w:t>子基金</w:t>
      </w:r>
      <w:r>
        <w:rPr>
          <w:rFonts w:ascii="Times New Roman" w:hAnsi="Times New Roman" w:eastAsia="仿宋_GB2312"/>
          <w:sz w:val="32"/>
          <w:szCs w:val="32"/>
        </w:rPr>
        <w:t>投资进度，基金资产保值率；退出期主要考核退出进度（DPI）及年化收益等。</w:t>
      </w:r>
    </w:p>
    <w:p>
      <w:pPr>
        <w:overflowPunct w:val="0"/>
        <w:autoSpaceDE w:val="0"/>
        <w:autoSpaceDN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绩效考核结果将与子基金后续合作、继续出资、管理费、超额收益分成等挂钩。子基金管理人需积极配合母基金管理人开展全方面投后合作，包括但不限于分享优质项目跟投机会、团队培训等。考核指标可根据</w:t>
      </w:r>
      <w:r>
        <w:rPr>
          <w:rFonts w:hint="eastAsia" w:ascii="Times New Roman" w:hAnsi="Times New Roman" w:eastAsia="仿宋_GB2312"/>
          <w:kern w:val="0"/>
          <w:sz w:val="32"/>
          <w:szCs w:val="32"/>
        </w:rPr>
        <w:t>子基金</w:t>
      </w:r>
      <w:r>
        <w:rPr>
          <w:rFonts w:ascii="Times New Roman" w:hAnsi="Times New Roman" w:eastAsia="仿宋_GB2312"/>
          <w:sz w:val="32"/>
          <w:szCs w:val="32"/>
        </w:rPr>
        <w:t>的实际情况进行调整和补充。</w:t>
      </w:r>
    </w:p>
    <w:p>
      <w:pPr>
        <w:pStyle w:val="7"/>
        <w:overflowPunct w:val="0"/>
        <w:autoSpaceDE w:val="0"/>
        <w:autoSpaceDN w:val="0"/>
        <w:ind w:left="0" w:leftChars="0" w:firstLine="420" w:firstLineChars="200"/>
        <w:rPr>
          <w:rFonts w:ascii="Times New Roman" w:hAnsi="Times New Roman"/>
        </w:rPr>
      </w:pPr>
    </w:p>
    <w:p>
      <w:pPr>
        <w:overflowPunct w:val="0"/>
        <w:autoSpaceDE w:val="0"/>
        <w:autoSpaceDN w:val="0"/>
        <w:ind w:firstLine="640" w:firstLineChars="200"/>
        <w:rPr>
          <w:rFonts w:ascii="Times New Roman" w:hAnsi="Times New Roman" w:eastAsia="仿宋_GB2312"/>
          <w:sz w:val="32"/>
          <w:szCs w:val="32"/>
        </w:rPr>
      </w:pPr>
    </w:p>
    <w:p>
      <w:pPr>
        <w:overflowPunct w:val="0"/>
        <w:autoSpaceDE w:val="0"/>
        <w:autoSpaceDN w:val="0"/>
        <w:snapToGri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附件：1. 空天海洋</w:t>
      </w:r>
      <w:r>
        <w:rPr>
          <w:rFonts w:hint="eastAsia" w:ascii="Times New Roman" w:hAnsi="Times New Roman" w:eastAsia="仿宋_GB2312"/>
          <w:kern w:val="0"/>
          <w:sz w:val="32"/>
          <w:szCs w:val="32"/>
        </w:rPr>
        <w:t>产业子</w:t>
      </w:r>
      <w:r>
        <w:rPr>
          <w:rFonts w:ascii="Times New Roman" w:hAnsi="Times New Roman" w:eastAsia="仿宋_GB2312"/>
          <w:kern w:val="0"/>
          <w:sz w:val="32"/>
          <w:szCs w:val="32"/>
        </w:rPr>
        <w:t>基金</w:t>
      </w:r>
      <w:r>
        <w:rPr>
          <w:rFonts w:hint="eastAsia" w:ascii="Times New Roman" w:hAnsi="Times New Roman" w:eastAsia="仿宋_GB2312"/>
          <w:kern w:val="0"/>
          <w:sz w:val="32"/>
          <w:szCs w:val="32"/>
          <w:lang w:val="en-US" w:eastAsia="zh-CN"/>
        </w:rPr>
        <w:t>管理机构</w:t>
      </w:r>
      <w:r>
        <w:rPr>
          <w:rFonts w:ascii="Times New Roman" w:hAnsi="Times New Roman" w:eastAsia="仿宋_GB2312"/>
          <w:kern w:val="0"/>
          <w:sz w:val="32"/>
          <w:szCs w:val="32"/>
        </w:rPr>
        <w:t>申请表</w:t>
      </w:r>
    </w:p>
    <w:p>
      <w:pPr>
        <w:overflowPunct w:val="0"/>
        <w:autoSpaceDE w:val="0"/>
        <w:autoSpaceDN w:val="0"/>
        <w:snapToGrid w:val="0"/>
        <w:spacing w:line="600" w:lineRule="exact"/>
        <w:ind w:left="2012" w:leftChars="771" w:hanging="393" w:hangingChars="123"/>
        <w:rPr>
          <w:rFonts w:ascii="Times New Roman" w:hAnsi="Times New Roman" w:eastAsia="仿宋_GB2312"/>
          <w:kern w:val="0"/>
          <w:sz w:val="32"/>
          <w:szCs w:val="32"/>
        </w:rPr>
      </w:pPr>
      <w:r>
        <w:rPr>
          <w:rFonts w:ascii="Times New Roman" w:hAnsi="Times New Roman" w:eastAsia="仿宋_GB2312"/>
          <w:kern w:val="0"/>
          <w:sz w:val="32"/>
          <w:szCs w:val="32"/>
        </w:rPr>
        <w:t>2. 湖南省产业引导基金空天海洋</w:t>
      </w:r>
      <w:r>
        <w:rPr>
          <w:rFonts w:hint="eastAsia" w:ascii="Times New Roman" w:hAnsi="Times New Roman" w:eastAsia="仿宋_GB2312"/>
          <w:kern w:val="0"/>
          <w:sz w:val="32"/>
          <w:szCs w:val="32"/>
          <w:lang w:val="en-US" w:eastAsia="zh-CN"/>
        </w:rPr>
        <w:t>产业</w:t>
      </w:r>
      <w:r>
        <w:rPr>
          <w:rFonts w:ascii="Times New Roman" w:hAnsi="Times New Roman" w:eastAsia="仿宋_GB2312"/>
          <w:kern w:val="0"/>
          <w:sz w:val="32"/>
          <w:szCs w:val="32"/>
        </w:rPr>
        <w:t>子基金管理机构申报材料（样本）</w:t>
      </w:r>
    </w:p>
    <w:p>
      <w:pPr>
        <w:overflowPunct w:val="0"/>
        <w:autoSpaceDE w:val="0"/>
        <w:autoSpaceDN w:val="0"/>
        <w:snapToGrid w:val="0"/>
        <w:spacing w:line="600" w:lineRule="exact"/>
        <w:ind w:firstLine="1619" w:firstLineChars="506"/>
        <w:rPr>
          <w:rFonts w:ascii="Times New Roman" w:hAnsi="Times New Roman" w:eastAsia="仿宋_GB2312"/>
          <w:kern w:val="0"/>
          <w:sz w:val="32"/>
          <w:szCs w:val="32"/>
        </w:rPr>
      </w:pPr>
      <w:r>
        <w:rPr>
          <w:rFonts w:ascii="Times New Roman" w:hAnsi="Times New Roman" w:eastAsia="仿宋_GB2312"/>
          <w:kern w:val="0"/>
          <w:sz w:val="32"/>
          <w:szCs w:val="32"/>
        </w:rPr>
        <w:t>3. 申报承诺书、声明函及授权书</w:t>
      </w:r>
    </w:p>
    <w:p>
      <w:pPr>
        <w:overflowPunct w:val="0"/>
        <w:autoSpaceDE w:val="0"/>
        <w:autoSpaceDN w:val="0"/>
        <w:snapToGrid w:val="0"/>
        <w:spacing w:line="600" w:lineRule="exact"/>
        <w:ind w:firstLine="1619" w:firstLineChars="506"/>
        <w:rPr>
          <w:rFonts w:ascii="Times New Roman" w:hAnsi="Times New Roman" w:eastAsia="仿宋_GB2312"/>
          <w:kern w:val="0"/>
          <w:sz w:val="32"/>
          <w:szCs w:val="32"/>
        </w:rPr>
      </w:pPr>
      <w:r>
        <w:rPr>
          <w:rFonts w:ascii="Times New Roman" w:hAnsi="Times New Roman" w:eastAsia="仿宋_GB2312"/>
          <w:kern w:val="0"/>
          <w:sz w:val="32"/>
          <w:szCs w:val="32"/>
        </w:rPr>
        <w:t>4. 穿透核查承诺书</w:t>
      </w:r>
    </w:p>
    <w:p>
      <w:pPr>
        <w:overflowPunct w:val="0"/>
        <w:autoSpaceDE w:val="0"/>
        <w:autoSpaceDN w:val="0"/>
        <w:snapToGrid w:val="0"/>
        <w:spacing w:line="600" w:lineRule="exact"/>
        <w:ind w:firstLine="1619" w:firstLineChars="506"/>
        <w:rPr>
          <w:rFonts w:ascii="Times New Roman" w:hAnsi="Times New Roman" w:eastAsia="仿宋_GB2312"/>
          <w:sz w:val="32"/>
          <w:szCs w:val="32"/>
        </w:rPr>
      </w:pPr>
      <w:r>
        <w:rPr>
          <w:rFonts w:ascii="Times New Roman" w:hAnsi="Times New Roman" w:eastAsia="仿宋_GB2312"/>
          <w:kern w:val="0"/>
          <w:sz w:val="32"/>
          <w:szCs w:val="32"/>
        </w:rPr>
        <w:t>5. 募资承诺书</w:t>
      </w:r>
      <w:r>
        <w:rPr>
          <w:rFonts w:ascii="Times New Roman" w:hAnsi="Times New Roman" w:eastAsia="仿宋_GB2312"/>
          <w:sz w:val="32"/>
          <w:szCs w:val="32"/>
        </w:rPr>
        <w:br w:type="page"/>
      </w:r>
    </w:p>
    <w:p>
      <w:pPr>
        <w:widowControl/>
        <w:spacing w:line="560" w:lineRule="exact"/>
        <w:rPr>
          <w:rFonts w:ascii="Times New Roman" w:hAnsi="Times New Roman" w:eastAsia="黑体"/>
          <w:kern w:val="0"/>
          <w:sz w:val="32"/>
          <w:szCs w:val="32"/>
        </w:rPr>
      </w:pPr>
      <w:r>
        <w:rPr>
          <w:rFonts w:hint="eastAsia" w:ascii="Times New Roman" w:hAnsi="Times New Roman" w:eastAsia="黑体"/>
          <w:kern w:val="0"/>
          <w:sz w:val="32"/>
          <w:szCs w:val="32"/>
        </w:rPr>
        <w:t>附件1</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空天海洋产业子基金</w:t>
      </w:r>
      <w:r>
        <w:rPr>
          <w:rFonts w:hint="eastAsia" w:ascii="方正小标宋_GBK" w:hAnsi="方正小标宋_GBK" w:eastAsia="方正小标宋_GBK" w:cs="方正小标宋_GBK"/>
          <w:sz w:val="44"/>
          <w:szCs w:val="44"/>
          <w:lang w:val="en-US" w:eastAsia="zh-CN"/>
        </w:rPr>
        <w:t>管理机构</w:t>
      </w:r>
      <w:r>
        <w:rPr>
          <w:rFonts w:hint="eastAsia" w:ascii="方正小标宋_GBK" w:hAnsi="方正小标宋_GBK" w:eastAsia="方正小标宋_GBK" w:cs="方正小标宋_GBK"/>
          <w:sz w:val="44"/>
          <w:szCs w:val="44"/>
        </w:rPr>
        <w:t>申请表</w:t>
      </w:r>
    </w:p>
    <w:p>
      <w:pPr>
        <w:pStyle w:val="2"/>
      </w:pPr>
    </w:p>
    <w:tbl>
      <w:tblPr>
        <w:tblStyle w:val="16"/>
        <w:tblW w:w="97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6"/>
        <w:gridCol w:w="1591"/>
        <w:gridCol w:w="740"/>
        <w:gridCol w:w="599"/>
        <w:gridCol w:w="1322"/>
        <w:gridCol w:w="2000"/>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711" w:type="dxa"/>
            <w:gridSpan w:val="7"/>
            <w:shd w:val="clear" w:color="auto" w:fill="auto"/>
            <w:vAlign w:val="center"/>
          </w:tcPr>
          <w:p>
            <w:pPr>
              <w:autoSpaceDE w:val="0"/>
              <w:autoSpaceDN w:val="0"/>
              <w:adjustRightInd w:val="0"/>
              <w:rPr>
                <w:rFonts w:ascii="Times New Roman" w:hAnsi="Times New Roman" w:eastAsia="仿宋_GB2312"/>
                <w:kern w:val="0"/>
                <w:szCs w:val="21"/>
                <w:lang w:val="zh-CN"/>
              </w:rPr>
            </w:pPr>
            <w:r>
              <w:rPr>
                <w:rFonts w:ascii="Times New Roman" w:hAnsi="Times New Roman" w:eastAsia="仿宋_GB2312"/>
                <w:kern w:val="0"/>
                <w:szCs w:val="21"/>
                <w:lang w:val="zh-CN"/>
              </w:rPr>
              <w:t>一、申请机构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216" w:type="dxa"/>
            <w:vMerge w:val="restart"/>
            <w:shd w:val="clear" w:color="auto" w:fill="auto"/>
            <w:vAlign w:val="center"/>
          </w:tcPr>
          <w:p>
            <w:pPr>
              <w:autoSpaceDE w:val="0"/>
              <w:autoSpaceDN w:val="0"/>
              <w:adjustRightInd w:val="0"/>
              <w:jc w:val="center"/>
              <w:rPr>
                <w:rFonts w:ascii="Times New Roman" w:hAnsi="Times New Roman" w:eastAsia="仿宋_GB2312"/>
                <w:kern w:val="0"/>
                <w:szCs w:val="21"/>
                <w:lang w:val="zh-CN"/>
              </w:rPr>
            </w:pPr>
            <w:r>
              <w:rPr>
                <w:rFonts w:ascii="Times New Roman" w:hAnsi="Times New Roman" w:eastAsia="仿宋_GB2312"/>
                <w:kern w:val="0"/>
                <w:szCs w:val="21"/>
                <w:lang w:val="zh-CN"/>
              </w:rPr>
              <w:t>机构</w:t>
            </w:r>
          </w:p>
          <w:p>
            <w:pPr>
              <w:autoSpaceDE w:val="0"/>
              <w:autoSpaceDN w:val="0"/>
              <w:adjustRightInd w:val="0"/>
              <w:jc w:val="center"/>
              <w:rPr>
                <w:rFonts w:ascii="Times New Roman" w:hAnsi="Times New Roman" w:eastAsia="仿宋_GB2312"/>
                <w:kern w:val="0"/>
                <w:szCs w:val="21"/>
                <w:lang w:val="zh-CN"/>
              </w:rPr>
            </w:pPr>
            <w:r>
              <w:rPr>
                <w:rFonts w:ascii="Times New Roman" w:hAnsi="Times New Roman" w:eastAsia="仿宋_GB2312"/>
                <w:kern w:val="0"/>
                <w:szCs w:val="21"/>
                <w:lang w:val="zh-CN"/>
              </w:rPr>
              <w:t>名称</w:t>
            </w:r>
          </w:p>
        </w:tc>
        <w:tc>
          <w:tcPr>
            <w:tcW w:w="1591" w:type="dxa"/>
            <w:shd w:val="clear" w:color="auto" w:fill="auto"/>
            <w:vAlign w:val="center"/>
          </w:tcPr>
          <w:p>
            <w:pPr>
              <w:autoSpaceDE w:val="0"/>
              <w:autoSpaceDN w:val="0"/>
              <w:adjustRightInd w:val="0"/>
              <w:jc w:val="center"/>
              <w:rPr>
                <w:rFonts w:ascii="Times New Roman" w:hAnsi="Times New Roman" w:eastAsia="仿宋_GB2312"/>
                <w:kern w:val="0"/>
                <w:szCs w:val="21"/>
                <w:lang w:val="zh-CN"/>
              </w:rPr>
            </w:pPr>
            <w:r>
              <w:rPr>
                <w:rFonts w:ascii="Times New Roman" w:hAnsi="Times New Roman" w:eastAsia="仿宋_GB2312"/>
                <w:kern w:val="0"/>
                <w:szCs w:val="21"/>
                <w:lang w:val="zh-CN"/>
              </w:rPr>
              <w:t>管理机构申报情形</w:t>
            </w:r>
          </w:p>
        </w:tc>
        <w:tc>
          <w:tcPr>
            <w:tcW w:w="2661" w:type="dxa"/>
            <w:gridSpan w:val="3"/>
            <w:shd w:val="clear" w:color="auto" w:fill="auto"/>
            <w:vAlign w:val="center"/>
          </w:tcPr>
          <w:p>
            <w:pPr>
              <w:keepNext/>
              <w:keepLines/>
              <w:autoSpaceDE w:val="0"/>
              <w:autoSpaceDN w:val="0"/>
              <w:adjustRightInd w:val="0"/>
              <w:rPr>
                <w:rFonts w:ascii="Times New Roman" w:hAnsi="Times New Roman" w:eastAsia="仿宋_GB2312"/>
                <w:kern w:val="0"/>
                <w:szCs w:val="21"/>
                <w:lang w:val="zh-CN"/>
              </w:rPr>
            </w:pPr>
          </w:p>
        </w:tc>
        <w:tc>
          <w:tcPr>
            <w:tcW w:w="2000" w:type="dxa"/>
            <w:vMerge w:val="restart"/>
            <w:shd w:val="clear" w:color="auto" w:fill="auto"/>
            <w:vAlign w:val="center"/>
          </w:tcPr>
          <w:p>
            <w:pPr>
              <w:autoSpaceDE w:val="0"/>
              <w:autoSpaceDN w:val="0"/>
              <w:adjustRightInd w:val="0"/>
              <w:jc w:val="center"/>
              <w:rPr>
                <w:rFonts w:ascii="Times New Roman" w:hAnsi="Times New Roman" w:eastAsia="仿宋_GB2312"/>
                <w:kern w:val="0"/>
                <w:szCs w:val="21"/>
                <w:lang w:val="zh-CN"/>
              </w:rPr>
            </w:pPr>
            <w:r>
              <w:rPr>
                <w:rFonts w:ascii="Times New Roman" w:hAnsi="Times New Roman" w:eastAsia="仿宋_GB2312"/>
                <w:kern w:val="0"/>
                <w:szCs w:val="21"/>
                <w:lang w:val="zh-CN"/>
              </w:rPr>
              <w:t>法定代表人</w:t>
            </w:r>
            <w:r>
              <w:rPr>
                <w:rFonts w:ascii="Times New Roman" w:hAnsi="Times New Roman" w:eastAsia="仿宋_GB2312"/>
                <w:kern w:val="0"/>
                <w:szCs w:val="21"/>
              </w:rPr>
              <w:t>/</w:t>
            </w:r>
            <w:r>
              <w:rPr>
                <w:rFonts w:ascii="Times New Roman" w:hAnsi="Times New Roman" w:eastAsia="仿宋_GB2312"/>
                <w:kern w:val="0"/>
                <w:szCs w:val="21"/>
                <w:lang w:val="zh-CN"/>
              </w:rPr>
              <w:t>执行事务合伙人</w:t>
            </w:r>
          </w:p>
        </w:tc>
        <w:tc>
          <w:tcPr>
            <w:tcW w:w="2243" w:type="dxa"/>
            <w:vMerge w:val="restart"/>
            <w:shd w:val="clear" w:color="auto" w:fill="auto"/>
            <w:vAlign w:val="center"/>
          </w:tcPr>
          <w:p>
            <w:pPr>
              <w:keepNext/>
              <w:keepLines/>
              <w:autoSpaceDE w:val="0"/>
              <w:autoSpaceDN w:val="0"/>
              <w:adjustRightInd w:val="0"/>
              <w:rPr>
                <w:rFonts w:ascii="Times New Roman" w:hAnsi="Times New Roman" w:eastAsia="仿宋_GB2312"/>
                <w:kern w:val="0"/>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216" w:type="dxa"/>
            <w:vMerge w:val="continue"/>
            <w:shd w:val="clear" w:color="auto" w:fill="auto"/>
            <w:vAlign w:val="center"/>
          </w:tcPr>
          <w:p>
            <w:pPr>
              <w:autoSpaceDE w:val="0"/>
              <w:autoSpaceDN w:val="0"/>
              <w:adjustRightInd w:val="0"/>
              <w:jc w:val="center"/>
              <w:rPr>
                <w:rFonts w:ascii="Times New Roman" w:hAnsi="Times New Roman" w:eastAsia="仿宋_GB2312"/>
                <w:kern w:val="0"/>
                <w:szCs w:val="21"/>
                <w:lang w:val="zh-CN"/>
              </w:rPr>
            </w:pPr>
          </w:p>
        </w:tc>
        <w:tc>
          <w:tcPr>
            <w:tcW w:w="1591" w:type="dxa"/>
            <w:shd w:val="clear" w:color="auto" w:fill="auto"/>
            <w:vAlign w:val="center"/>
          </w:tcPr>
          <w:p>
            <w:pPr>
              <w:autoSpaceDE w:val="0"/>
              <w:autoSpaceDN w:val="0"/>
              <w:adjustRightInd w:val="0"/>
              <w:jc w:val="center"/>
              <w:rPr>
                <w:rFonts w:ascii="Times New Roman" w:hAnsi="Times New Roman" w:eastAsia="仿宋_GB2312"/>
                <w:kern w:val="0"/>
                <w:szCs w:val="21"/>
                <w:lang w:val="zh-CN"/>
              </w:rPr>
            </w:pPr>
            <w:r>
              <w:rPr>
                <w:rFonts w:ascii="Times New Roman" w:hAnsi="Times New Roman" w:eastAsia="仿宋_GB2312"/>
                <w:kern w:val="0"/>
                <w:szCs w:val="21"/>
                <w:lang w:val="zh-CN"/>
              </w:rPr>
              <w:t>控股股东或关联方申报情形</w:t>
            </w:r>
          </w:p>
        </w:tc>
        <w:tc>
          <w:tcPr>
            <w:tcW w:w="2661" w:type="dxa"/>
            <w:gridSpan w:val="3"/>
            <w:shd w:val="clear" w:color="auto" w:fill="auto"/>
            <w:vAlign w:val="center"/>
          </w:tcPr>
          <w:p>
            <w:pPr>
              <w:keepNext/>
              <w:keepLines/>
              <w:autoSpaceDE w:val="0"/>
              <w:autoSpaceDN w:val="0"/>
              <w:adjustRightInd w:val="0"/>
              <w:rPr>
                <w:rFonts w:ascii="Times New Roman" w:hAnsi="Times New Roman" w:eastAsia="仿宋_GB2312"/>
                <w:kern w:val="0"/>
                <w:szCs w:val="21"/>
                <w:lang w:val="zh-CN"/>
              </w:rPr>
            </w:pPr>
          </w:p>
        </w:tc>
        <w:tc>
          <w:tcPr>
            <w:tcW w:w="2000" w:type="dxa"/>
            <w:vMerge w:val="continue"/>
            <w:shd w:val="clear" w:color="auto" w:fill="auto"/>
            <w:vAlign w:val="center"/>
          </w:tcPr>
          <w:p>
            <w:pPr>
              <w:autoSpaceDE w:val="0"/>
              <w:autoSpaceDN w:val="0"/>
              <w:adjustRightInd w:val="0"/>
              <w:jc w:val="center"/>
              <w:rPr>
                <w:rFonts w:ascii="Times New Roman" w:hAnsi="Times New Roman" w:eastAsia="仿宋_GB2312"/>
                <w:kern w:val="0"/>
                <w:szCs w:val="21"/>
                <w:lang w:val="zh-CN"/>
              </w:rPr>
            </w:pPr>
          </w:p>
        </w:tc>
        <w:tc>
          <w:tcPr>
            <w:tcW w:w="2243" w:type="dxa"/>
            <w:vMerge w:val="continue"/>
            <w:shd w:val="clear" w:color="auto" w:fill="auto"/>
            <w:vAlign w:val="center"/>
          </w:tcPr>
          <w:p>
            <w:pPr>
              <w:keepNext/>
              <w:keepLines/>
              <w:autoSpaceDE w:val="0"/>
              <w:autoSpaceDN w:val="0"/>
              <w:adjustRightInd w:val="0"/>
              <w:rPr>
                <w:rFonts w:ascii="Times New Roman" w:hAnsi="Times New Roman" w:eastAsia="仿宋_GB2312"/>
                <w:kern w:val="0"/>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807" w:type="dxa"/>
            <w:gridSpan w:val="2"/>
            <w:shd w:val="clear" w:color="auto" w:fill="auto"/>
            <w:vAlign w:val="center"/>
          </w:tcPr>
          <w:p>
            <w:pPr>
              <w:autoSpaceDE w:val="0"/>
              <w:autoSpaceDN w:val="0"/>
              <w:adjustRightInd w:val="0"/>
              <w:jc w:val="center"/>
              <w:rPr>
                <w:rFonts w:ascii="Times New Roman" w:hAnsi="Times New Roman" w:eastAsia="仿宋_GB2312"/>
                <w:kern w:val="0"/>
                <w:szCs w:val="21"/>
                <w:lang w:val="zh-CN"/>
              </w:rPr>
            </w:pPr>
            <w:r>
              <w:rPr>
                <w:rFonts w:ascii="Times New Roman" w:hAnsi="Times New Roman" w:eastAsia="仿宋_GB2312"/>
                <w:kern w:val="0"/>
                <w:szCs w:val="21"/>
                <w:lang w:val="zh-CN"/>
              </w:rPr>
              <w:t>注册地址</w:t>
            </w:r>
          </w:p>
        </w:tc>
        <w:tc>
          <w:tcPr>
            <w:tcW w:w="2661" w:type="dxa"/>
            <w:gridSpan w:val="3"/>
            <w:shd w:val="clear" w:color="auto" w:fill="auto"/>
            <w:vAlign w:val="center"/>
          </w:tcPr>
          <w:p>
            <w:pPr>
              <w:keepNext/>
              <w:keepLines/>
              <w:autoSpaceDE w:val="0"/>
              <w:autoSpaceDN w:val="0"/>
              <w:adjustRightInd w:val="0"/>
              <w:rPr>
                <w:rFonts w:ascii="Times New Roman" w:hAnsi="Times New Roman" w:eastAsia="仿宋_GB2312"/>
                <w:kern w:val="0"/>
                <w:szCs w:val="21"/>
                <w:lang w:val="zh-CN"/>
              </w:rPr>
            </w:pPr>
          </w:p>
        </w:tc>
        <w:tc>
          <w:tcPr>
            <w:tcW w:w="2000" w:type="dxa"/>
            <w:shd w:val="clear" w:color="auto" w:fill="auto"/>
            <w:vAlign w:val="center"/>
          </w:tcPr>
          <w:p>
            <w:pPr>
              <w:autoSpaceDE w:val="0"/>
              <w:autoSpaceDN w:val="0"/>
              <w:adjustRightInd w:val="0"/>
              <w:jc w:val="center"/>
              <w:rPr>
                <w:rFonts w:ascii="Times New Roman" w:hAnsi="Times New Roman" w:eastAsia="仿宋_GB2312"/>
                <w:kern w:val="0"/>
                <w:szCs w:val="21"/>
                <w:lang w:val="zh-CN"/>
              </w:rPr>
            </w:pPr>
            <w:r>
              <w:rPr>
                <w:rFonts w:ascii="Times New Roman" w:hAnsi="Times New Roman" w:eastAsia="仿宋_GB2312"/>
                <w:kern w:val="0"/>
                <w:szCs w:val="21"/>
                <w:lang w:val="zh-CN"/>
              </w:rPr>
              <w:t>统一社会信用代码</w:t>
            </w:r>
          </w:p>
        </w:tc>
        <w:tc>
          <w:tcPr>
            <w:tcW w:w="2243" w:type="dxa"/>
            <w:shd w:val="clear" w:color="auto" w:fill="auto"/>
            <w:vAlign w:val="center"/>
          </w:tcPr>
          <w:p>
            <w:pPr>
              <w:keepNext/>
              <w:keepLines/>
              <w:autoSpaceDE w:val="0"/>
              <w:autoSpaceDN w:val="0"/>
              <w:adjustRightInd w:val="0"/>
              <w:rPr>
                <w:rFonts w:ascii="Times New Roman" w:hAnsi="Times New Roman" w:eastAsia="仿宋_GB2312"/>
                <w:kern w:val="0"/>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807" w:type="dxa"/>
            <w:gridSpan w:val="2"/>
            <w:shd w:val="clear" w:color="auto" w:fill="auto"/>
            <w:vAlign w:val="center"/>
          </w:tcPr>
          <w:p>
            <w:pPr>
              <w:autoSpaceDE w:val="0"/>
              <w:autoSpaceDN w:val="0"/>
              <w:adjustRightInd w:val="0"/>
              <w:jc w:val="center"/>
              <w:rPr>
                <w:rFonts w:ascii="Times New Roman" w:hAnsi="Times New Roman" w:eastAsia="仿宋_GB2312"/>
                <w:kern w:val="0"/>
                <w:szCs w:val="21"/>
                <w:lang w:val="zh-CN"/>
              </w:rPr>
            </w:pPr>
            <w:r>
              <w:rPr>
                <w:rFonts w:ascii="Times New Roman" w:hAnsi="Times New Roman" w:eastAsia="仿宋_GB2312"/>
                <w:kern w:val="0"/>
                <w:szCs w:val="21"/>
                <w:lang w:val="zh-CN"/>
              </w:rPr>
              <w:t>注册资本</w:t>
            </w:r>
            <w:r>
              <w:rPr>
                <w:rFonts w:ascii="Times New Roman" w:hAnsi="Times New Roman" w:eastAsia="仿宋_GB2312"/>
                <w:kern w:val="0"/>
                <w:szCs w:val="21"/>
              </w:rPr>
              <w:t>/</w:t>
            </w:r>
            <w:r>
              <w:rPr>
                <w:rFonts w:ascii="Times New Roman" w:hAnsi="Times New Roman" w:eastAsia="仿宋_GB2312"/>
                <w:kern w:val="0"/>
                <w:szCs w:val="21"/>
                <w:lang w:val="zh-CN"/>
              </w:rPr>
              <w:t>认缴出资总额</w:t>
            </w:r>
          </w:p>
        </w:tc>
        <w:tc>
          <w:tcPr>
            <w:tcW w:w="2661" w:type="dxa"/>
            <w:gridSpan w:val="3"/>
            <w:shd w:val="clear" w:color="auto" w:fill="auto"/>
            <w:vAlign w:val="center"/>
          </w:tcPr>
          <w:p>
            <w:pPr>
              <w:autoSpaceDE w:val="0"/>
              <w:autoSpaceDN w:val="0"/>
              <w:adjustRightInd w:val="0"/>
              <w:jc w:val="right"/>
              <w:rPr>
                <w:rFonts w:ascii="Times New Roman" w:hAnsi="Times New Roman" w:eastAsia="仿宋_GB2312"/>
                <w:kern w:val="0"/>
                <w:szCs w:val="21"/>
                <w:lang w:val="zh-CN"/>
              </w:rPr>
            </w:pPr>
            <w:r>
              <w:rPr>
                <w:rFonts w:ascii="Times New Roman" w:hAnsi="Times New Roman" w:eastAsia="仿宋_GB2312"/>
                <w:kern w:val="0"/>
                <w:szCs w:val="21"/>
                <w:lang w:val="zh-CN"/>
              </w:rPr>
              <w:t>万元</w:t>
            </w:r>
          </w:p>
        </w:tc>
        <w:tc>
          <w:tcPr>
            <w:tcW w:w="2000" w:type="dxa"/>
            <w:shd w:val="clear" w:color="auto" w:fill="auto"/>
            <w:vAlign w:val="center"/>
          </w:tcPr>
          <w:p>
            <w:pPr>
              <w:autoSpaceDE w:val="0"/>
              <w:autoSpaceDN w:val="0"/>
              <w:adjustRightInd w:val="0"/>
              <w:jc w:val="center"/>
              <w:rPr>
                <w:rFonts w:ascii="Times New Roman" w:hAnsi="Times New Roman" w:eastAsia="仿宋_GB2312"/>
                <w:kern w:val="0"/>
                <w:szCs w:val="21"/>
                <w:lang w:val="zh-CN"/>
              </w:rPr>
            </w:pPr>
            <w:r>
              <w:rPr>
                <w:rFonts w:ascii="Times New Roman" w:hAnsi="Times New Roman" w:eastAsia="仿宋_GB2312"/>
                <w:kern w:val="0"/>
                <w:szCs w:val="21"/>
                <w:lang w:val="zh-CN"/>
              </w:rPr>
              <w:t>实缴资本</w:t>
            </w:r>
          </w:p>
        </w:tc>
        <w:tc>
          <w:tcPr>
            <w:tcW w:w="2243" w:type="dxa"/>
            <w:shd w:val="clear" w:color="auto" w:fill="auto"/>
            <w:vAlign w:val="center"/>
          </w:tcPr>
          <w:p>
            <w:pPr>
              <w:autoSpaceDE w:val="0"/>
              <w:autoSpaceDN w:val="0"/>
              <w:adjustRightInd w:val="0"/>
              <w:jc w:val="right"/>
              <w:rPr>
                <w:rFonts w:ascii="Times New Roman" w:hAnsi="Times New Roman" w:eastAsia="仿宋_GB2312"/>
                <w:kern w:val="0"/>
                <w:szCs w:val="21"/>
                <w:lang w:val="zh-CN"/>
              </w:rPr>
            </w:pPr>
            <w:r>
              <w:rPr>
                <w:rFonts w:ascii="Times New Roman" w:hAnsi="Times New Roman" w:eastAsia="仿宋_GB2312"/>
                <w:kern w:val="0"/>
                <w:szCs w:val="21"/>
                <w:lang w:val="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807" w:type="dxa"/>
            <w:gridSpan w:val="2"/>
            <w:vMerge w:val="restart"/>
            <w:shd w:val="clear" w:color="auto" w:fill="auto"/>
            <w:vAlign w:val="center"/>
          </w:tcPr>
          <w:p>
            <w:pPr>
              <w:autoSpaceDE w:val="0"/>
              <w:autoSpaceDN w:val="0"/>
              <w:adjustRightInd w:val="0"/>
              <w:jc w:val="center"/>
              <w:rPr>
                <w:rFonts w:ascii="Times New Roman" w:hAnsi="Times New Roman" w:eastAsia="仿宋_GB2312"/>
                <w:kern w:val="0"/>
                <w:szCs w:val="21"/>
                <w:lang w:val="zh-CN"/>
              </w:rPr>
            </w:pPr>
            <w:r>
              <w:rPr>
                <w:rFonts w:ascii="Times New Roman" w:hAnsi="Times New Roman" w:eastAsia="仿宋_GB2312"/>
                <w:kern w:val="0"/>
                <w:szCs w:val="21"/>
                <w:lang w:val="zh-CN"/>
              </w:rPr>
              <w:t>联系人</w:t>
            </w:r>
          </w:p>
        </w:tc>
        <w:tc>
          <w:tcPr>
            <w:tcW w:w="1339" w:type="dxa"/>
            <w:gridSpan w:val="2"/>
            <w:shd w:val="clear" w:color="auto" w:fill="auto"/>
            <w:vAlign w:val="center"/>
          </w:tcPr>
          <w:p>
            <w:pPr>
              <w:autoSpaceDE w:val="0"/>
              <w:autoSpaceDN w:val="0"/>
              <w:adjustRightInd w:val="0"/>
              <w:jc w:val="center"/>
              <w:rPr>
                <w:rFonts w:ascii="Times New Roman" w:hAnsi="Times New Roman" w:eastAsia="仿宋_GB2312"/>
                <w:kern w:val="0"/>
                <w:szCs w:val="21"/>
                <w:lang w:val="zh-CN"/>
              </w:rPr>
            </w:pPr>
            <w:r>
              <w:rPr>
                <w:rFonts w:ascii="Times New Roman" w:hAnsi="Times New Roman" w:eastAsia="仿宋_GB2312"/>
                <w:kern w:val="0"/>
                <w:szCs w:val="21"/>
                <w:lang w:val="zh-CN"/>
              </w:rPr>
              <w:t>姓名</w:t>
            </w:r>
          </w:p>
        </w:tc>
        <w:tc>
          <w:tcPr>
            <w:tcW w:w="1322" w:type="dxa"/>
            <w:shd w:val="clear" w:color="auto" w:fill="auto"/>
            <w:vAlign w:val="center"/>
          </w:tcPr>
          <w:p>
            <w:pPr>
              <w:keepNext/>
              <w:keepLines/>
              <w:autoSpaceDE w:val="0"/>
              <w:autoSpaceDN w:val="0"/>
              <w:adjustRightInd w:val="0"/>
              <w:rPr>
                <w:rFonts w:ascii="Times New Roman" w:hAnsi="Times New Roman" w:eastAsia="仿宋_GB2312"/>
                <w:kern w:val="0"/>
                <w:szCs w:val="21"/>
                <w:lang w:val="zh-CN"/>
              </w:rPr>
            </w:pPr>
          </w:p>
        </w:tc>
        <w:tc>
          <w:tcPr>
            <w:tcW w:w="2000" w:type="dxa"/>
            <w:shd w:val="clear" w:color="auto" w:fill="auto"/>
            <w:vAlign w:val="center"/>
          </w:tcPr>
          <w:p>
            <w:pPr>
              <w:autoSpaceDE w:val="0"/>
              <w:autoSpaceDN w:val="0"/>
              <w:adjustRightInd w:val="0"/>
              <w:jc w:val="center"/>
              <w:rPr>
                <w:rFonts w:ascii="Times New Roman" w:hAnsi="Times New Roman" w:eastAsia="仿宋_GB2312"/>
                <w:kern w:val="0"/>
                <w:szCs w:val="21"/>
                <w:lang w:val="zh-CN"/>
              </w:rPr>
            </w:pPr>
            <w:r>
              <w:rPr>
                <w:rFonts w:ascii="Times New Roman" w:hAnsi="Times New Roman" w:eastAsia="仿宋_GB2312"/>
                <w:kern w:val="0"/>
                <w:szCs w:val="21"/>
                <w:lang w:val="zh-CN"/>
              </w:rPr>
              <w:t>职务</w:t>
            </w:r>
          </w:p>
        </w:tc>
        <w:tc>
          <w:tcPr>
            <w:tcW w:w="2243" w:type="dxa"/>
            <w:shd w:val="clear" w:color="auto" w:fill="auto"/>
            <w:vAlign w:val="center"/>
          </w:tcPr>
          <w:p>
            <w:pPr>
              <w:keepNext/>
              <w:keepLines/>
              <w:autoSpaceDE w:val="0"/>
              <w:autoSpaceDN w:val="0"/>
              <w:adjustRightInd w:val="0"/>
              <w:rPr>
                <w:rFonts w:ascii="Times New Roman" w:hAnsi="Times New Roman" w:eastAsia="仿宋_GB2312"/>
                <w:kern w:val="0"/>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807" w:type="dxa"/>
            <w:gridSpan w:val="2"/>
            <w:vMerge w:val="continue"/>
            <w:shd w:val="clear" w:color="auto" w:fill="auto"/>
            <w:vAlign w:val="center"/>
          </w:tcPr>
          <w:p>
            <w:pPr>
              <w:keepNext/>
              <w:keepLines/>
              <w:autoSpaceDE w:val="0"/>
              <w:autoSpaceDN w:val="0"/>
              <w:adjustRightInd w:val="0"/>
              <w:rPr>
                <w:rFonts w:ascii="Times New Roman" w:hAnsi="Times New Roman" w:eastAsia="仿宋_GB2312"/>
                <w:kern w:val="0"/>
                <w:szCs w:val="21"/>
                <w:lang w:val="zh-CN"/>
              </w:rPr>
            </w:pPr>
          </w:p>
        </w:tc>
        <w:tc>
          <w:tcPr>
            <w:tcW w:w="1339" w:type="dxa"/>
            <w:gridSpan w:val="2"/>
            <w:shd w:val="clear" w:color="auto" w:fill="auto"/>
            <w:vAlign w:val="center"/>
          </w:tcPr>
          <w:p>
            <w:pPr>
              <w:autoSpaceDE w:val="0"/>
              <w:autoSpaceDN w:val="0"/>
              <w:adjustRightInd w:val="0"/>
              <w:jc w:val="center"/>
              <w:rPr>
                <w:rFonts w:ascii="Times New Roman" w:hAnsi="Times New Roman" w:eastAsia="仿宋_GB2312"/>
                <w:kern w:val="0"/>
                <w:szCs w:val="21"/>
                <w:lang w:val="zh-CN"/>
              </w:rPr>
            </w:pPr>
            <w:r>
              <w:rPr>
                <w:rFonts w:ascii="Times New Roman" w:hAnsi="Times New Roman" w:eastAsia="仿宋_GB2312"/>
                <w:kern w:val="0"/>
                <w:szCs w:val="21"/>
                <w:lang w:val="zh-CN"/>
              </w:rPr>
              <w:t>办公电话</w:t>
            </w:r>
          </w:p>
        </w:tc>
        <w:tc>
          <w:tcPr>
            <w:tcW w:w="1322" w:type="dxa"/>
            <w:shd w:val="clear" w:color="auto" w:fill="auto"/>
            <w:vAlign w:val="center"/>
          </w:tcPr>
          <w:p>
            <w:pPr>
              <w:keepNext/>
              <w:keepLines/>
              <w:autoSpaceDE w:val="0"/>
              <w:autoSpaceDN w:val="0"/>
              <w:adjustRightInd w:val="0"/>
              <w:rPr>
                <w:rFonts w:ascii="Times New Roman" w:hAnsi="Times New Roman" w:eastAsia="仿宋_GB2312"/>
                <w:kern w:val="0"/>
                <w:szCs w:val="21"/>
                <w:lang w:val="zh-CN"/>
              </w:rPr>
            </w:pPr>
          </w:p>
        </w:tc>
        <w:tc>
          <w:tcPr>
            <w:tcW w:w="2000" w:type="dxa"/>
            <w:shd w:val="clear" w:color="auto" w:fill="auto"/>
            <w:vAlign w:val="center"/>
          </w:tcPr>
          <w:p>
            <w:pPr>
              <w:autoSpaceDE w:val="0"/>
              <w:autoSpaceDN w:val="0"/>
              <w:adjustRightInd w:val="0"/>
              <w:jc w:val="center"/>
              <w:rPr>
                <w:rFonts w:ascii="Times New Roman" w:hAnsi="Times New Roman" w:eastAsia="仿宋_GB2312"/>
                <w:kern w:val="0"/>
                <w:szCs w:val="21"/>
                <w:lang w:val="zh-CN"/>
              </w:rPr>
            </w:pPr>
            <w:r>
              <w:rPr>
                <w:rFonts w:ascii="Times New Roman" w:hAnsi="Times New Roman" w:eastAsia="仿宋_GB2312"/>
                <w:kern w:val="0"/>
                <w:szCs w:val="21"/>
                <w:lang w:val="zh-CN"/>
              </w:rPr>
              <w:t>手机</w:t>
            </w:r>
          </w:p>
        </w:tc>
        <w:tc>
          <w:tcPr>
            <w:tcW w:w="2243" w:type="dxa"/>
            <w:shd w:val="clear" w:color="auto" w:fill="auto"/>
            <w:vAlign w:val="center"/>
          </w:tcPr>
          <w:p>
            <w:pPr>
              <w:keepNext/>
              <w:keepLines/>
              <w:autoSpaceDE w:val="0"/>
              <w:autoSpaceDN w:val="0"/>
              <w:adjustRightInd w:val="0"/>
              <w:rPr>
                <w:rFonts w:ascii="Times New Roman" w:hAnsi="Times New Roman" w:eastAsia="仿宋_GB2312"/>
                <w:kern w:val="0"/>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807" w:type="dxa"/>
            <w:gridSpan w:val="2"/>
            <w:vMerge w:val="continue"/>
            <w:shd w:val="clear" w:color="auto" w:fill="auto"/>
            <w:vAlign w:val="center"/>
          </w:tcPr>
          <w:p>
            <w:pPr>
              <w:keepNext/>
              <w:keepLines/>
              <w:autoSpaceDE w:val="0"/>
              <w:autoSpaceDN w:val="0"/>
              <w:adjustRightInd w:val="0"/>
              <w:rPr>
                <w:rFonts w:ascii="Times New Roman" w:hAnsi="Times New Roman" w:eastAsia="仿宋_GB2312"/>
                <w:kern w:val="0"/>
                <w:szCs w:val="21"/>
                <w:lang w:val="zh-CN"/>
              </w:rPr>
            </w:pPr>
          </w:p>
        </w:tc>
        <w:tc>
          <w:tcPr>
            <w:tcW w:w="1339" w:type="dxa"/>
            <w:gridSpan w:val="2"/>
            <w:shd w:val="clear" w:color="auto" w:fill="auto"/>
            <w:vAlign w:val="center"/>
          </w:tcPr>
          <w:p>
            <w:pPr>
              <w:autoSpaceDE w:val="0"/>
              <w:autoSpaceDN w:val="0"/>
              <w:adjustRightInd w:val="0"/>
              <w:jc w:val="center"/>
              <w:rPr>
                <w:rFonts w:ascii="Times New Roman" w:hAnsi="Times New Roman" w:eastAsia="仿宋_GB2312"/>
                <w:kern w:val="0"/>
                <w:szCs w:val="21"/>
                <w:lang w:val="zh-CN"/>
              </w:rPr>
            </w:pPr>
            <w:r>
              <w:rPr>
                <w:rFonts w:ascii="Times New Roman" w:hAnsi="Times New Roman" w:eastAsia="仿宋_GB2312"/>
                <w:kern w:val="0"/>
                <w:szCs w:val="21"/>
                <w:lang w:val="zh-CN"/>
              </w:rPr>
              <w:t>传真</w:t>
            </w:r>
          </w:p>
        </w:tc>
        <w:tc>
          <w:tcPr>
            <w:tcW w:w="1322" w:type="dxa"/>
            <w:shd w:val="clear" w:color="auto" w:fill="auto"/>
            <w:vAlign w:val="center"/>
          </w:tcPr>
          <w:p>
            <w:pPr>
              <w:keepNext/>
              <w:keepLines/>
              <w:autoSpaceDE w:val="0"/>
              <w:autoSpaceDN w:val="0"/>
              <w:adjustRightInd w:val="0"/>
              <w:rPr>
                <w:rFonts w:ascii="Times New Roman" w:hAnsi="Times New Roman" w:eastAsia="仿宋_GB2312"/>
                <w:kern w:val="0"/>
                <w:szCs w:val="21"/>
                <w:lang w:val="zh-CN"/>
              </w:rPr>
            </w:pPr>
          </w:p>
        </w:tc>
        <w:tc>
          <w:tcPr>
            <w:tcW w:w="2000" w:type="dxa"/>
            <w:shd w:val="clear" w:color="auto" w:fill="auto"/>
            <w:vAlign w:val="center"/>
          </w:tcPr>
          <w:p>
            <w:pPr>
              <w:autoSpaceDE w:val="0"/>
              <w:autoSpaceDN w:val="0"/>
              <w:adjustRightInd w:val="0"/>
              <w:jc w:val="center"/>
              <w:rPr>
                <w:rFonts w:ascii="Times New Roman" w:hAnsi="Times New Roman" w:eastAsia="仿宋_GB2312"/>
                <w:kern w:val="0"/>
                <w:szCs w:val="21"/>
                <w:lang w:val="zh-CN"/>
              </w:rPr>
            </w:pPr>
            <w:r>
              <w:rPr>
                <w:rFonts w:ascii="Times New Roman" w:hAnsi="Times New Roman" w:eastAsia="仿宋_GB2312"/>
                <w:kern w:val="0"/>
                <w:szCs w:val="21"/>
                <w:lang w:val="zh-CN"/>
              </w:rPr>
              <w:t>电子邮箱</w:t>
            </w:r>
          </w:p>
        </w:tc>
        <w:tc>
          <w:tcPr>
            <w:tcW w:w="2243" w:type="dxa"/>
            <w:shd w:val="clear" w:color="auto" w:fill="auto"/>
            <w:vAlign w:val="center"/>
          </w:tcPr>
          <w:p>
            <w:pPr>
              <w:keepNext/>
              <w:keepLines/>
              <w:autoSpaceDE w:val="0"/>
              <w:autoSpaceDN w:val="0"/>
              <w:adjustRightInd w:val="0"/>
              <w:rPr>
                <w:rFonts w:ascii="Times New Roman" w:hAnsi="Times New Roman" w:eastAsia="仿宋_GB2312"/>
                <w:kern w:val="0"/>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807" w:type="dxa"/>
            <w:gridSpan w:val="2"/>
            <w:vMerge w:val="continue"/>
            <w:shd w:val="clear" w:color="auto" w:fill="auto"/>
            <w:vAlign w:val="center"/>
          </w:tcPr>
          <w:p>
            <w:pPr>
              <w:keepNext/>
              <w:keepLines/>
              <w:autoSpaceDE w:val="0"/>
              <w:autoSpaceDN w:val="0"/>
              <w:adjustRightInd w:val="0"/>
              <w:rPr>
                <w:rFonts w:ascii="Times New Roman" w:hAnsi="Times New Roman" w:eastAsia="仿宋_GB2312"/>
                <w:kern w:val="0"/>
                <w:szCs w:val="21"/>
                <w:lang w:val="zh-CN"/>
              </w:rPr>
            </w:pPr>
          </w:p>
        </w:tc>
        <w:tc>
          <w:tcPr>
            <w:tcW w:w="1339" w:type="dxa"/>
            <w:gridSpan w:val="2"/>
            <w:shd w:val="clear" w:color="auto" w:fill="auto"/>
            <w:vAlign w:val="center"/>
          </w:tcPr>
          <w:p>
            <w:pPr>
              <w:autoSpaceDE w:val="0"/>
              <w:autoSpaceDN w:val="0"/>
              <w:adjustRightInd w:val="0"/>
              <w:jc w:val="center"/>
              <w:rPr>
                <w:rFonts w:ascii="Times New Roman" w:hAnsi="Times New Roman" w:eastAsia="仿宋_GB2312"/>
                <w:kern w:val="0"/>
                <w:szCs w:val="21"/>
                <w:lang w:val="zh-CN"/>
              </w:rPr>
            </w:pPr>
            <w:r>
              <w:rPr>
                <w:rFonts w:ascii="Times New Roman" w:hAnsi="Times New Roman" w:eastAsia="仿宋_GB2312"/>
                <w:kern w:val="0"/>
                <w:szCs w:val="21"/>
                <w:lang w:val="zh-CN"/>
              </w:rPr>
              <w:t>通信地址</w:t>
            </w:r>
          </w:p>
        </w:tc>
        <w:tc>
          <w:tcPr>
            <w:tcW w:w="1322" w:type="dxa"/>
            <w:shd w:val="clear" w:color="auto" w:fill="auto"/>
            <w:vAlign w:val="center"/>
          </w:tcPr>
          <w:p>
            <w:pPr>
              <w:keepNext/>
              <w:keepLines/>
              <w:autoSpaceDE w:val="0"/>
              <w:autoSpaceDN w:val="0"/>
              <w:adjustRightInd w:val="0"/>
              <w:rPr>
                <w:rFonts w:ascii="Times New Roman" w:hAnsi="Times New Roman" w:eastAsia="仿宋_GB2312"/>
                <w:kern w:val="0"/>
                <w:szCs w:val="21"/>
                <w:lang w:val="zh-CN"/>
              </w:rPr>
            </w:pPr>
          </w:p>
        </w:tc>
        <w:tc>
          <w:tcPr>
            <w:tcW w:w="2000" w:type="dxa"/>
            <w:shd w:val="clear" w:color="auto" w:fill="auto"/>
            <w:vAlign w:val="center"/>
          </w:tcPr>
          <w:p>
            <w:pPr>
              <w:autoSpaceDE w:val="0"/>
              <w:autoSpaceDN w:val="0"/>
              <w:adjustRightInd w:val="0"/>
              <w:jc w:val="center"/>
              <w:rPr>
                <w:rFonts w:ascii="Times New Roman" w:hAnsi="Times New Roman" w:eastAsia="仿宋_GB2312"/>
                <w:kern w:val="0"/>
                <w:szCs w:val="21"/>
                <w:lang w:val="zh-CN"/>
              </w:rPr>
            </w:pPr>
            <w:r>
              <w:rPr>
                <w:rFonts w:ascii="Times New Roman" w:hAnsi="Times New Roman" w:eastAsia="仿宋_GB2312"/>
                <w:kern w:val="0"/>
                <w:szCs w:val="21"/>
                <w:lang w:val="zh-CN"/>
              </w:rPr>
              <w:t>邮政编码</w:t>
            </w:r>
          </w:p>
        </w:tc>
        <w:tc>
          <w:tcPr>
            <w:tcW w:w="2243" w:type="dxa"/>
            <w:shd w:val="clear" w:color="auto" w:fill="auto"/>
            <w:vAlign w:val="center"/>
          </w:tcPr>
          <w:p>
            <w:pPr>
              <w:keepNext/>
              <w:keepLines/>
              <w:autoSpaceDE w:val="0"/>
              <w:autoSpaceDN w:val="0"/>
              <w:adjustRightInd w:val="0"/>
              <w:rPr>
                <w:rFonts w:ascii="Times New Roman" w:hAnsi="Times New Roman" w:eastAsia="仿宋_GB2312"/>
                <w:kern w:val="0"/>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9711" w:type="dxa"/>
            <w:gridSpan w:val="7"/>
            <w:shd w:val="clear" w:color="auto" w:fill="auto"/>
            <w:vAlign w:val="center"/>
          </w:tcPr>
          <w:p>
            <w:pPr>
              <w:autoSpaceDE w:val="0"/>
              <w:autoSpaceDN w:val="0"/>
              <w:adjustRightInd w:val="0"/>
              <w:rPr>
                <w:rFonts w:ascii="Times New Roman" w:hAnsi="Times New Roman" w:eastAsia="仿宋_GB2312"/>
                <w:kern w:val="0"/>
                <w:szCs w:val="21"/>
                <w:lang w:val="zh-CN"/>
              </w:rPr>
            </w:pPr>
            <w:r>
              <w:rPr>
                <w:rFonts w:ascii="Times New Roman" w:hAnsi="Times New Roman" w:eastAsia="仿宋_GB2312"/>
                <w:kern w:val="0"/>
                <w:szCs w:val="21"/>
                <w:lang w:val="zh-CN"/>
              </w:rPr>
              <w:t>二、空天海洋</w:t>
            </w:r>
            <w:r>
              <w:rPr>
                <w:rFonts w:hint="eastAsia" w:ascii="Times New Roman" w:hAnsi="Times New Roman" w:eastAsia="仿宋_GB2312"/>
                <w:kern w:val="0"/>
                <w:szCs w:val="21"/>
                <w:lang w:val="en-US" w:eastAsia="zh-CN"/>
              </w:rPr>
              <w:t>产业</w:t>
            </w:r>
            <w:r>
              <w:rPr>
                <w:rFonts w:ascii="Times New Roman" w:hAnsi="Times New Roman" w:eastAsia="仿宋_GB2312"/>
                <w:kern w:val="0"/>
                <w:szCs w:val="21"/>
              </w:rPr>
              <w:t>子</w:t>
            </w:r>
            <w:r>
              <w:rPr>
                <w:rFonts w:ascii="Times New Roman" w:hAnsi="Times New Roman" w:eastAsia="仿宋_GB2312"/>
                <w:kern w:val="0"/>
                <w:szCs w:val="21"/>
                <w:lang w:val="zh-CN"/>
              </w:rPr>
              <w:t>基金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547" w:type="dxa"/>
            <w:gridSpan w:val="3"/>
            <w:shd w:val="clear" w:color="auto" w:fill="auto"/>
            <w:vAlign w:val="center"/>
          </w:tcPr>
          <w:p>
            <w:pPr>
              <w:autoSpaceDE w:val="0"/>
              <w:autoSpaceDN w:val="0"/>
              <w:adjustRightInd w:val="0"/>
              <w:jc w:val="center"/>
              <w:rPr>
                <w:rFonts w:ascii="Times New Roman" w:hAnsi="Times New Roman" w:eastAsia="仿宋_GB2312"/>
                <w:kern w:val="0"/>
                <w:szCs w:val="21"/>
                <w:lang w:val="zh-CN"/>
              </w:rPr>
            </w:pPr>
            <w:r>
              <w:rPr>
                <w:rFonts w:ascii="Times New Roman" w:hAnsi="Times New Roman" w:eastAsia="仿宋_GB2312"/>
                <w:kern w:val="0"/>
                <w:szCs w:val="21"/>
                <w:lang w:val="zh-CN"/>
              </w:rPr>
              <w:t>名称</w:t>
            </w:r>
          </w:p>
        </w:tc>
        <w:tc>
          <w:tcPr>
            <w:tcW w:w="1921" w:type="dxa"/>
            <w:gridSpan w:val="2"/>
            <w:shd w:val="clear" w:color="auto" w:fill="auto"/>
            <w:vAlign w:val="center"/>
          </w:tcPr>
          <w:p>
            <w:pPr>
              <w:keepNext/>
              <w:keepLines/>
              <w:autoSpaceDE w:val="0"/>
              <w:autoSpaceDN w:val="0"/>
              <w:adjustRightInd w:val="0"/>
              <w:ind w:firstLine="1680"/>
              <w:rPr>
                <w:rFonts w:ascii="Times New Roman" w:hAnsi="Times New Roman" w:eastAsia="仿宋_GB2312"/>
                <w:kern w:val="0"/>
                <w:szCs w:val="21"/>
                <w:lang w:val="zh-CN"/>
              </w:rPr>
            </w:pPr>
          </w:p>
        </w:tc>
        <w:tc>
          <w:tcPr>
            <w:tcW w:w="2000" w:type="dxa"/>
            <w:shd w:val="clear" w:color="auto" w:fill="auto"/>
            <w:vAlign w:val="center"/>
          </w:tcPr>
          <w:p>
            <w:pPr>
              <w:autoSpaceDE w:val="0"/>
              <w:autoSpaceDN w:val="0"/>
              <w:adjustRightInd w:val="0"/>
              <w:jc w:val="center"/>
              <w:rPr>
                <w:rFonts w:ascii="Times New Roman" w:hAnsi="Times New Roman" w:eastAsia="仿宋_GB2312"/>
                <w:kern w:val="0"/>
                <w:szCs w:val="21"/>
                <w:lang w:val="zh-CN"/>
              </w:rPr>
            </w:pPr>
            <w:r>
              <w:rPr>
                <w:rFonts w:ascii="Times New Roman" w:hAnsi="Times New Roman" w:eastAsia="仿宋_GB2312"/>
                <w:kern w:val="0"/>
                <w:szCs w:val="21"/>
                <w:lang w:val="zh-CN"/>
              </w:rPr>
              <w:t>组织形式</w:t>
            </w:r>
          </w:p>
        </w:tc>
        <w:tc>
          <w:tcPr>
            <w:tcW w:w="2243" w:type="dxa"/>
            <w:shd w:val="clear" w:color="auto" w:fill="auto"/>
            <w:vAlign w:val="center"/>
          </w:tcPr>
          <w:p>
            <w:pPr>
              <w:autoSpaceDE w:val="0"/>
              <w:autoSpaceDN w:val="0"/>
              <w:adjustRightInd w:val="0"/>
              <w:rPr>
                <w:rFonts w:ascii="Times New Roman" w:hAnsi="Times New Roman" w:eastAsia="仿宋_GB2312"/>
                <w:kern w:val="0"/>
                <w:szCs w:val="21"/>
              </w:rPr>
            </w:pPr>
            <w:r>
              <w:rPr>
                <w:rFonts w:ascii="Times New Roman" w:hAnsi="Times New Roman" w:eastAsia="仿宋_GB2312"/>
                <w:kern w:val="0"/>
                <w:szCs w:val="21"/>
                <w:lang w:val="zh-CN"/>
              </w:rPr>
              <w:sym w:font="Wingdings 2" w:char="00A3"/>
            </w:r>
            <w:r>
              <w:rPr>
                <w:rFonts w:ascii="Times New Roman" w:hAnsi="Times New Roman" w:eastAsia="仿宋_GB2312"/>
                <w:kern w:val="0"/>
                <w:szCs w:val="21"/>
                <w:lang w:val="zh-CN"/>
              </w:rPr>
              <w:t>公司制</w:t>
            </w:r>
          </w:p>
          <w:p>
            <w:pPr>
              <w:autoSpaceDE w:val="0"/>
              <w:autoSpaceDN w:val="0"/>
              <w:adjustRightInd w:val="0"/>
              <w:rPr>
                <w:rFonts w:ascii="Times New Roman" w:hAnsi="Times New Roman" w:eastAsia="仿宋_GB2312"/>
                <w:kern w:val="0"/>
                <w:szCs w:val="21"/>
                <w:lang w:val="zh-CN"/>
              </w:rPr>
            </w:pPr>
            <w:r>
              <w:rPr>
                <w:rFonts w:ascii="Times New Roman" w:hAnsi="Times New Roman" w:eastAsia="仿宋_GB2312"/>
                <w:kern w:val="0"/>
                <w:szCs w:val="21"/>
                <w:lang w:val="zh-CN"/>
              </w:rPr>
              <w:sym w:font="Wingdings 2" w:char="00A3"/>
            </w:r>
            <w:r>
              <w:rPr>
                <w:rFonts w:ascii="Times New Roman" w:hAnsi="Times New Roman" w:eastAsia="仿宋_GB2312"/>
                <w:kern w:val="0"/>
                <w:szCs w:val="21"/>
                <w:lang w:val="zh-CN"/>
              </w:rPr>
              <w:t>有限合伙制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547" w:type="dxa"/>
            <w:gridSpan w:val="3"/>
            <w:shd w:val="clear" w:color="auto" w:fill="auto"/>
            <w:vAlign w:val="center"/>
          </w:tcPr>
          <w:p>
            <w:pPr>
              <w:autoSpaceDE w:val="0"/>
              <w:autoSpaceDN w:val="0"/>
              <w:adjustRightInd w:val="0"/>
              <w:jc w:val="center"/>
              <w:rPr>
                <w:rFonts w:ascii="Times New Roman" w:hAnsi="Times New Roman" w:eastAsia="仿宋_GB2312"/>
                <w:kern w:val="0"/>
                <w:szCs w:val="21"/>
                <w:lang w:val="zh-CN"/>
              </w:rPr>
            </w:pPr>
            <w:r>
              <w:rPr>
                <w:rFonts w:ascii="Times New Roman" w:hAnsi="Times New Roman" w:eastAsia="仿宋_GB2312"/>
                <w:kern w:val="0"/>
                <w:szCs w:val="21"/>
                <w:lang w:val="zh-CN"/>
              </w:rPr>
              <w:t>注册地址</w:t>
            </w:r>
          </w:p>
        </w:tc>
        <w:tc>
          <w:tcPr>
            <w:tcW w:w="1921" w:type="dxa"/>
            <w:gridSpan w:val="2"/>
            <w:shd w:val="clear" w:color="auto" w:fill="auto"/>
            <w:vAlign w:val="center"/>
          </w:tcPr>
          <w:p>
            <w:pPr>
              <w:keepNext/>
              <w:keepLines/>
              <w:autoSpaceDE w:val="0"/>
              <w:autoSpaceDN w:val="0"/>
              <w:adjustRightInd w:val="0"/>
              <w:ind w:firstLine="1680"/>
              <w:rPr>
                <w:rFonts w:ascii="Times New Roman" w:hAnsi="Times New Roman" w:eastAsia="仿宋_GB2312"/>
                <w:kern w:val="0"/>
                <w:szCs w:val="21"/>
                <w:lang w:val="zh-CN"/>
              </w:rPr>
            </w:pPr>
          </w:p>
        </w:tc>
        <w:tc>
          <w:tcPr>
            <w:tcW w:w="2000" w:type="dxa"/>
            <w:shd w:val="clear" w:color="auto" w:fill="auto"/>
            <w:vAlign w:val="center"/>
          </w:tcPr>
          <w:p>
            <w:pPr>
              <w:autoSpaceDE w:val="0"/>
              <w:autoSpaceDN w:val="0"/>
              <w:adjustRightInd w:val="0"/>
              <w:jc w:val="center"/>
              <w:rPr>
                <w:rFonts w:ascii="Times New Roman" w:hAnsi="Times New Roman" w:eastAsia="仿宋_GB2312"/>
                <w:kern w:val="0"/>
                <w:szCs w:val="21"/>
                <w:lang w:val="zh-CN"/>
              </w:rPr>
            </w:pPr>
            <w:r>
              <w:rPr>
                <w:rFonts w:ascii="Times New Roman" w:hAnsi="Times New Roman" w:eastAsia="仿宋_GB2312"/>
                <w:kern w:val="0"/>
                <w:szCs w:val="21"/>
                <w:lang w:val="zh-CN"/>
              </w:rPr>
              <w:t>存续期限</w:t>
            </w:r>
          </w:p>
        </w:tc>
        <w:tc>
          <w:tcPr>
            <w:tcW w:w="2243" w:type="dxa"/>
            <w:shd w:val="clear" w:color="auto" w:fill="auto"/>
            <w:vAlign w:val="center"/>
          </w:tcPr>
          <w:p>
            <w:pPr>
              <w:keepNext/>
              <w:keepLines/>
              <w:autoSpaceDE w:val="0"/>
              <w:autoSpaceDN w:val="0"/>
              <w:adjustRightInd w:val="0"/>
              <w:ind w:firstLine="1680"/>
              <w:rPr>
                <w:rFonts w:ascii="Times New Roman" w:hAnsi="Times New Roman" w:eastAsia="仿宋_GB2312"/>
                <w:kern w:val="0"/>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547" w:type="dxa"/>
            <w:gridSpan w:val="3"/>
            <w:shd w:val="clear" w:color="auto" w:fill="auto"/>
            <w:vAlign w:val="center"/>
          </w:tcPr>
          <w:p>
            <w:pPr>
              <w:adjustRightInd w:val="0"/>
              <w:spacing w:line="240" w:lineRule="exact"/>
              <w:jc w:val="center"/>
              <w:rPr>
                <w:rFonts w:ascii="Times New Roman" w:hAnsi="Times New Roman" w:eastAsia="仿宋_GB2312"/>
                <w:kern w:val="0"/>
                <w:szCs w:val="21"/>
                <w:lang w:val="zh-CN"/>
              </w:rPr>
            </w:pPr>
            <w:r>
              <w:rPr>
                <w:rFonts w:ascii="Times New Roman" w:hAnsi="Times New Roman" w:eastAsia="仿宋_GB2312"/>
                <w:kern w:val="0"/>
                <w:szCs w:val="21"/>
                <w:lang w:val="zh-CN"/>
              </w:rPr>
              <w:t>投资领域（包括但不限于通航整机、无人机、中小航空发动机、新型飞行器及发动机、起降系统和辅助动力系统；北斗芯片、算法、终端集成和平台运营服务；商业航天、卫星互联网等航天重大工程；船舶关键系统、海洋机器人、海洋作业平台、深海矿产资源开发装备等）</w:t>
            </w:r>
          </w:p>
        </w:tc>
        <w:tc>
          <w:tcPr>
            <w:tcW w:w="6164" w:type="dxa"/>
            <w:gridSpan w:val="4"/>
            <w:shd w:val="clear" w:color="auto" w:fill="auto"/>
            <w:vAlign w:val="center"/>
          </w:tcPr>
          <w:p>
            <w:pPr>
              <w:keepNext/>
              <w:keepLines/>
              <w:adjustRightInd w:val="0"/>
              <w:spacing w:line="240" w:lineRule="exact"/>
              <w:rPr>
                <w:rFonts w:ascii="Times New Roman" w:hAnsi="Times New Roman" w:eastAsia="仿宋_GB2312"/>
                <w:kern w:val="0"/>
                <w:szCs w:val="2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547" w:type="dxa"/>
            <w:gridSpan w:val="3"/>
            <w:shd w:val="clear" w:color="auto" w:fill="auto"/>
            <w:vAlign w:val="center"/>
          </w:tcPr>
          <w:p>
            <w:pPr>
              <w:autoSpaceDE w:val="0"/>
              <w:autoSpaceDN w:val="0"/>
              <w:adjustRightInd w:val="0"/>
              <w:jc w:val="center"/>
              <w:rPr>
                <w:rFonts w:ascii="Times New Roman" w:hAnsi="Times New Roman" w:eastAsia="仿宋_GB2312"/>
                <w:kern w:val="0"/>
                <w:szCs w:val="21"/>
                <w:lang w:val="zh-CN"/>
              </w:rPr>
            </w:pPr>
            <w:r>
              <w:rPr>
                <w:rFonts w:ascii="Times New Roman" w:hAnsi="Times New Roman" w:eastAsia="仿宋_GB2312"/>
                <w:kern w:val="0"/>
                <w:szCs w:val="21"/>
                <w:lang w:val="zh-CN"/>
              </w:rPr>
              <w:t>基金规模</w:t>
            </w:r>
          </w:p>
        </w:tc>
        <w:tc>
          <w:tcPr>
            <w:tcW w:w="6164" w:type="dxa"/>
            <w:gridSpan w:val="4"/>
            <w:shd w:val="clear" w:color="auto" w:fill="auto"/>
            <w:vAlign w:val="center"/>
          </w:tcPr>
          <w:p>
            <w:pPr>
              <w:autoSpaceDE w:val="0"/>
              <w:autoSpaceDN w:val="0"/>
              <w:adjustRightInd w:val="0"/>
              <w:ind w:firstLine="2310" w:firstLineChars="1100"/>
              <w:rPr>
                <w:rFonts w:ascii="Times New Roman" w:hAnsi="Times New Roman" w:eastAsia="仿宋_GB2312"/>
                <w:kern w:val="0"/>
                <w:szCs w:val="21"/>
                <w:lang w:val="zh-CN"/>
              </w:rPr>
            </w:pPr>
            <w:r>
              <w:rPr>
                <w:rFonts w:ascii="Times New Roman" w:hAnsi="Times New Roman" w:eastAsia="仿宋_GB2312"/>
                <w:kern w:val="0"/>
                <w:szCs w:val="21"/>
                <w:lang w:val="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547" w:type="dxa"/>
            <w:gridSpan w:val="3"/>
            <w:shd w:val="clear" w:color="auto" w:fill="auto"/>
            <w:vAlign w:val="center"/>
          </w:tcPr>
          <w:p>
            <w:pPr>
              <w:autoSpaceDE w:val="0"/>
              <w:autoSpaceDN w:val="0"/>
              <w:adjustRightInd w:val="0"/>
              <w:jc w:val="center"/>
              <w:rPr>
                <w:rFonts w:ascii="Times New Roman" w:hAnsi="Times New Roman" w:eastAsia="仿宋_GB2312"/>
                <w:kern w:val="0"/>
                <w:szCs w:val="21"/>
                <w:lang w:val="zh-CN"/>
              </w:rPr>
            </w:pPr>
            <w:r>
              <w:rPr>
                <w:rFonts w:ascii="Times New Roman" w:hAnsi="Times New Roman" w:eastAsia="仿宋_GB2312"/>
                <w:kern w:val="0"/>
                <w:szCs w:val="21"/>
                <w:lang w:val="zh-CN"/>
              </w:rPr>
              <w:t>已募集资金</w:t>
            </w:r>
          </w:p>
        </w:tc>
        <w:tc>
          <w:tcPr>
            <w:tcW w:w="1921" w:type="dxa"/>
            <w:gridSpan w:val="2"/>
            <w:shd w:val="clear" w:color="auto" w:fill="auto"/>
            <w:vAlign w:val="center"/>
          </w:tcPr>
          <w:p>
            <w:pPr>
              <w:autoSpaceDE w:val="0"/>
              <w:autoSpaceDN w:val="0"/>
              <w:adjustRightInd w:val="0"/>
              <w:ind w:firstLine="1260" w:firstLineChars="600"/>
              <w:jc w:val="both"/>
              <w:rPr>
                <w:rFonts w:ascii="Times New Roman" w:hAnsi="Times New Roman" w:eastAsia="仿宋_GB2312"/>
                <w:kern w:val="0"/>
                <w:szCs w:val="21"/>
                <w:lang w:val="zh-CN"/>
              </w:rPr>
            </w:pPr>
            <w:r>
              <w:rPr>
                <w:rFonts w:ascii="Times New Roman" w:hAnsi="Times New Roman" w:eastAsia="仿宋_GB2312"/>
                <w:kern w:val="0"/>
                <w:szCs w:val="21"/>
                <w:lang w:val="zh-CN"/>
              </w:rPr>
              <w:t>万元</w:t>
            </w:r>
          </w:p>
        </w:tc>
        <w:tc>
          <w:tcPr>
            <w:tcW w:w="2000" w:type="dxa"/>
            <w:shd w:val="clear" w:color="auto" w:fill="auto"/>
            <w:vAlign w:val="center"/>
          </w:tcPr>
          <w:p>
            <w:pPr>
              <w:autoSpaceDE w:val="0"/>
              <w:autoSpaceDN w:val="0"/>
              <w:adjustRightInd w:val="0"/>
              <w:jc w:val="center"/>
              <w:rPr>
                <w:rFonts w:ascii="Times New Roman" w:hAnsi="Times New Roman" w:eastAsia="仿宋_GB2312"/>
                <w:kern w:val="0"/>
                <w:szCs w:val="21"/>
                <w:lang w:val="zh-CN"/>
              </w:rPr>
            </w:pPr>
            <w:r>
              <w:rPr>
                <w:rFonts w:ascii="Times New Roman" w:hAnsi="Times New Roman" w:eastAsia="仿宋_GB2312"/>
                <w:spacing w:val="-11"/>
                <w:kern w:val="0"/>
                <w:szCs w:val="21"/>
                <w:lang w:val="zh-CN"/>
              </w:rPr>
              <w:t>基金管理机构或其关联方承诺出资及占比</w:t>
            </w:r>
          </w:p>
        </w:tc>
        <w:tc>
          <w:tcPr>
            <w:tcW w:w="2243" w:type="dxa"/>
            <w:shd w:val="clear" w:color="auto" w:fill="auto"/>
            <w:vAlign w:val="center"/>
          </w:tcPr>
          <w:p>
            <w:pPr>
              <w:autoSpaceDE w:val="0"/>
              <w:autoSpaceDN w:val="0"/>
              <w:adjustRightInd w:val="0"/>
              <w:ind w:firstLine="1050" w:firstLineChars="500"/>
              <w:rPr>
                <w:rFonts w:ascii="Times New Roman" w:hAnsi="Times New Roman" w:eastAsia="仿宋_GB2312"/>
                <w:kern w:val="0"/>
                <w:szCs w:val="21"/>
                <w:lang w:val="zh-CN"/>
              </w:rPr>
            </w:pPr>
            <w:r>
              <w:rPr>
                <w:rFonts w:ascii="Times New Roman" w:hAnsi="Times New Roman" w:eastAsia="仿宋_GB2312"/>
                <w:kern w:val="0"/>
                <w:szCs w:val="21"/>
                <w:lang w:val="zh-CN"/>
              </w:rPr>
              <w:t>万元</w:t>
            </w:r>
          </w:p>
          <w:p>
            <w:pPr>
              <w:autoSpaceDE w:val="0"/>
              <w:autoSpaceDN w:val="0"/>
              <w:adjustRightInd w:val="0"/>
              <w:rPr>
                <w:rFonts w:ascii="Times New Roman" w:hAnsi="Times New Roman" w:eastAsia="仿宋_GB2312"/>
                <w:kern w:val="0"/>
                <w:szCs w:val="21"/>
                <w:lang w:val="zh-CN"/>
              </w:rPr>
            </w:pPr>
            <w:r>
              <w:rPr>
                <w:rFonts w:ascii="Times New Roman" w:hAnsi="Times New Roman" w:eastAsia="仿宋_GB2312"/>
                <w:kern w:val="0"/>
                <w:szCs w:val="21"/>
                <w:lang w:val="zh-CN"/>
              </w:rPr>
              <w:t xml:space="preserve">占比：   </w:t>
            </w:r>
            <w:r>
              <w:rPr>
                <w:rFonts w:ascii="Times New Roman" w:hAnsi="Times New Roman" w:eastAsia="仿宋_GB2312"/>
                <w:kern w:val="0"/>
                <w:szCs w:val="21"/>
              </w:rPr>
              <w:t xml:space="preserve">  </w:t>
            </w:r>
            <w:r>
              <w:rPr>
                <w:rFonts w:ascii="Times New Roman" w:hAnsi="Times New Roman" w:eastAsia="仿宋_GB2312"/>
                <w:kern w:val="0"/>
                <w:szCs w:val="21"/>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547" w:type="dxa"/>
            <w:gridSpan w:val="3"/>
            <w:shd w:val="clear" w:color="auto" w:fill="auto"/>
            <w:vAlign w:val="center"/>
          </w:tcPr>
          <w:p>
            <w:pPr>
              <w:autoSpaceDE w:val="0"/>
              <w:autoSpaceDN w:val="0"/>
              <w:adjustRightInd w:val="0"/>
              <w:jc w:val="center"/>
              <w:rPr>
                <w:rFonts w:ascii="Times New Roman" w:hAnsi="Times New Roman" w:eastAsia="仿宋_GB2312"/>
                <w:kern w:val="0"/>
                <w:szCs w:val="21"/>
              </w:rPr>
            </w:pPr>
            <w:r>
              <w:rPr>
                <w:rFonts w:ascii="Times New Roman" w:hAnsi="Times New Roman" w:eastAsia="仿宋_GB2312"/>
                <w:kern w:val="0"/>
                <w:szCs w:val="21"/>
                <w:lang w:val="zh-CN"/>
              </w:rPr>
              <w:t>申请</w:t>
            </w:r>
          </w:p>
          <w:p>
            <w:pPr>
              <w:autoSpaceDE w:val="0"/>
              <w:autoSpaceDN w:val="0"/>
              <w:adjustRightInd w:val="0"/>
              <w:jc w:val="center"/>
              <w:rPr>
                <w:rFonts w:ascii="Times New Roman" w:hAnsi="Times New Roman" w:eastAsia="仿宋_GB2312"/>
                <w:kern w:val="0"/>
                <w:szCs w:val="21"/>
                <w:lang w:val="zh-CN"/>
              </w:rPr>
            </w:pPr>
            <w:r>
              <w:rPr>
                <w:rFonts w:ascii="Times New Roman" w:hAnsi="Times New Roman" w:eastAsia="仿宋_GB2312"/>
                <w:kern w:val="0"/>
                <w:szCs w:val="21"/>
                <w:lang w:val="zh-CN"/>
              </w:rPr>
              <w:t>母基金金额</w:t>
            </w:r>
          </w:p>
        </w:tc>
        <w:tc>
          <w:tcPr>
            <w:tcW w:w="1921" w:type="dxa"/>
            <w:gridSpan w:val="2"/>
            <w:shd w:val="clear" w:color="auto" w:fill="auto"/>
            <w:vAlign w:val="center"/>
          </w:tcPr>
          <w:p>
            <w:pPr>
              <w:autoSpaceDE w:val="0"/>
              <w:autoSpaceDN w:val="0"/>
              <w:adjustRightInd w:val="0"/>
              <w:ind w:firstLine="1260" w:firstLineChars="600"/>
              <w:rPr>
                <w:rFonts w:ascii="Times New Roman" w:hAnsi="Times New Roman" w:eastAsia="仿宋_GB2312"/>
                <w:kern w:val="0"/>
                <w:szCs w:val="21"/>
                <w:lang w:val="zh-CN"/>
              </w:rPr>
            </w:pPr>
            <w:r>
              <w:rPr>
                <w:rFonts w:ascii="Times New Roman" w:hAnsi="Times New Roman" w:eastAsia="仿宋_GB2312"/>
                <w:kern w:val="0"/>
                <w:szCs w:val="21"/>
                <w:lang w:val="zh-CN"/>
              </w:rPr>
              <w:t>万元</w:t>
            </w:r>
          </w:p>
        </w:tc>
        <w:tc>
          <w:tcPr>
            <w:tcW w:w="2000" w:type="dxa"/>
            <w:shd w:val="clear" w:color="auto" w:fill="auto"/>
            <w:vAlign w:val="center"/>
          </w:tcPr>
          <w:p>
            <w:pPr>
              <w:autoSpaceDE w:val="0"/>
              <w:autoSpaceDN w:val="0"/>
              <w:adjustRightInd w:val="0"/>
              <w:jc w:val="center"/>
              <w:rPr>
                <w:rFonts w:ascii="Times New Roman" w:hAnsi="Times New Roman" w:eastAsia="仿宋_GB2312"/>
                <w:kern w:val="0"/>
                <w:szCs w:val="21"/>
                <w:lang w:val="zh-CN"/>
              </w:rPr>
            </w:pPr>
            <w:r>
              <w:rPr>
                <w:rFonts w:ascii="Times New Roman" w:hAnsi="Times New Roman" w:eastAsia="仿宋_GB2312"/>
                <w:kern w:val="0"/>
                <w:szCs w:val="21"/>
                <w:lang w:val="zh-CN"/>
              </w:rPr>
              <w:t>母基金出资比例</w:t>
            </w:r>
          </w:p>
        </w:tc>
        <w:tc>
          <w:tcPr>
            <w:tcW w:w="2243" w:type="dxa"/>
            <w:shd w:val="clear" w:color="auto" w:fill="auto"/>
            <w:vAlign w:val="center"/>
          </w:tcPr>
          <w:p>
            <w:pPr>
              <w:autoSpaceDE w:val="0"/>
              <w:autoSpaceDN w:val="0"/>
              <w:adjustRightInd w:val="0"/>
              <w:rPr>
                <w:rFonts w:ascii="Times New Roman" w:hAnsi="Times New Roman" w:eastAsia="仿宋_GB2312"/>
                <w:kern w:val="0"/>
                <w:szCs w:val="21"/>
              </w:rPr>
            </w:pPr>
            <w:r>
              <w:rPr>
                <w:rFonts w:ascii="Times New Roman" w:hAnsi="Times New Roman" w:eastAsia="仿宋_GB2312"/>
                <w:kern w:val="0"/>
                <w:szCs w:val="21"/>
              </w:rPr>
              <w:t xml:space="preserve">           %</w:t>
            </w:r>
          </w:p>
        </w:tc>
      </w:tr>
    </w:tbl>
    <w:p>
      <w:pPr>
        <w:keepNext w:val="0"/>
        <w:keepLines w:val="0"/>
        <w:pageBreakBefore w:val="0"/>
        <w:widowControl w:val="0"/>
        <w:kinsoku/>
        <w:wordWrap/>
        <w:overflowPunct/>
        <w:topLinePunct w:val="0"/>
        <w:autoSpaceDE/>
        <w:autoSpaceDN/>
        <w:bidi w:val="0"/>
        <w:adjustRightInd/>
        <w:snapToGrid/>
        <w:spacing w:before="0" w:beforeLines="50"/>
        <w:jc w:val="right"/>
        <w:textAlignment w:val="auto"/>
        <w:rPr>
          <w:rFonts w:hint="default" w:ascii="Times New Roman" w:hAnsi="Times New Roman" w:eastAsia="宋体"/>
          <w:lang w:val="en-US"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公章）</w:t>
      </w:r>
      <w:r>
        <w:rPr>
          <w:rFonts w:ascii="Times New Roman" w:hAnsi="Times New Roman"/>
        </w:rPr>
        <w:br w:type="page"/>
      </w:r>
    </w:p>
    <w:p>
      <w:pPr>
        <w:autoSpaceDE w:val="0"/>
        <w:autoSpaceDN w:val="0"/>
        <w:snapToGrid w:val="0"/>
        <w:spacing w:line="560" w:lineRule="exact"/>
        <w:ind w:right="840" w:rightChars="400"/>
        <w:rPr>
          <w:rFonts w:ascii="Times New Roman" w:hAnsi="Times New Roman" w:eastAsia="黑体"/>
          <w:sz w:val="32"/>
          <w:szCs w:val="32"/>
        </w:rPr>
      </w:pPr>
      <w:r>
        <w:rPr>
          <w:rFonts w:hint="eastAsia" w:ascii="Times New Roman" w:hAnsi="Times New Roman" w:eastAsia="黑体"/>
          <w:sz w:val="32"/>
          <w:szCs w:val="32"/>
        </w:rPr>
        <w:t>附件2</w:t>
      </w:r>
    </w:p>
    <w:p>
      <w:pPr>
        <w:autoSpaceDE w:val="0"/>
        <w:autoSpaceDN w:val="0"/>
        <w:snapToGrid w:val="0"/>
        <w:spacing w:line="560" w:lineRule="exact"/>
        <w:ind w:right="840" w:rightChars="400"/>
        <w:rPr>
          <w:rFonts w:ascii="Times New Roman" w:hAnsi="Times New Roman" w:eastAsia="仿宋"/>
          <w:sz w:val="32"/>
          <w:szCs w:val="32"/>
        </w:rPr>
      </w:pPr>
    </w:p>
    <w:p>
      <w:pPr>
        <w:pStyle w:val="2"/>
        <w:rPr>
          <w:rFonts w:eastAsia="仿宋"/>
          <w:sz w:val="32"/>
          <w:szCs w:val="32"/>
        </w:rPr>
      </w:pPr>
    </w:p>
    <w:p>
      <w:pPr>
        <w:pStyle w:val="2"/>
        <w:rPr>
          <w:rFonts w:eastAsia="仿宋"/>
          <w:sz w:val="32"/>
          <w:szCs w:val="32"/>
        </w:rPr>
      </w:pPr>
    </w:p>
    <w:p>
      <w:pPr>
        <w:snapToGrid w:val="0"/>
        <w:spacing w:line="560" w:lineRule="exact"/>
        <w:jc w:val="center"/>
        <w:outlineLvl w:val="0"/>
        <w:rPr>
          <w:rFonts w:ascii="Times New Roman" w:hAnsi="Times New Roman" w:eastAsia="方正小标宋_GBK"/>
          <w:sz w:val="44"/>
          <w:szCs w:val="44"/>
        </w:rPr>
      </w:pPr>
      <w:r>
        <w:rPr>
          <w:rFonts w:ascii="Times New Roman" w:hAnsi="Times New Roman" w:eastAsia="方正小标宋_GBK"/>
          <w:sz w:val="44"/>
          <w:szCs w:val="44"/>
        </w:rPr>
        <w:t>湖南省产业引导基金空天海洋</w:t>
      </w:r>
      <w:r>
        <w:rPr>
          <w:rFonts w:hint="eastAsia" w:ascii="Times New Roman" w:hAnsi="Times New Roman" w:eastAsia="方正小标宋_GBK"/>
          <w:sz w:val="44"/>
          <w:szCs w:val="44"/>
          <w:lang w:val="en-US" w:eastAsia="zh-CN"/>
        </w:rPr>
        <w:t>产业</w:t>
      </w:r>
      <w:r>
        <w:rPr>
          <w:rFonts w:ascii="Times New Roman" w:hAnsi="Times New Roman" w:eastAsia="方正小标宋_GBK"/>
          <w:sz w:val="44"/>
          <w:szCs w:val="44"/>
        </w:rPr>
        <w:t>子基金</w:t>
      </w:r>
    </w:p>
    <w:p>
      <w:pPr>
        <w:snapToGrid w:val="0"/>
        <w:spacing w:line="560" w:lineRule="exact"/>
        <w:jc w:val="center"/>
        <w:outlineLvl w:val="0"/>
        <w:rPr>
          <w:rFonts w:ascii="Times New Roman" w:hAnsi="Times New Roman" w:eastAsia="方正小标宋_GBK"/>
          <w:sz w:val="44"/>
          <w:szCs w:val="44"/>
        </w:rPr>
      </w:pPr>
      <w:r>
        <w:rPr>
          <w:rFonts w:ascii="Times New Roman" w:hAnsi="Times New Roman" w:eastAsia="方正小标宋_GBK"/>
          <w:sz w:val="44"/>
          <w:szCs w:val="44"/>
        </w:rPr>
        <w:t>管理机构申报材料</w:t>
      </w:r>
    </w:p>
    <w:p>
      <w:pPr>
        <w:snapToGrid w:val="0"/>
        <w:spacing w:line="560" w:lineRule="exact"/>
        <w:jc w:val="center"/>
        <w:rPr>
          <w:rFonts w:ascii="Times New Roman" w:hAnsi="Times New Roman" w:eastAsia="楷体_GB2312"/>
          <w:sz w:val="32"/>
          <w:szCs w:val="32"/>
        </w:rPr>
      </w:pPr>
      <w:r>
        <w:rPr>
          <w:rFonts w:ascii="Times New Roman" w:hAnsi="Times New Roman" w:eastAsia="楷体_GB2312"/>
          <w:sz w:val="32"/>
          <w:szCs w:val="32"/>
        </w:rPr>
        <w:t>（样本）</w:t>
      </w:r>
    </w:p>
    <w:p>
      <w:pPr>
        <w:autoSpaceDE w:val="0"/>
        <w:autoSpaceDN w:val="0"/>
        <w:snapToGrid w:val="0"/>
        <w:spacing w:line="560" w:lineRule="exact"/>
        <w:ind w:right="840" w:rightChars="400"/>
        <w:rPr>
          <w:rFonts w:ascii="Times New Roman" w:hAnsi="Times New Roman" w:eastAsia="仿宋"/>
          <w:sz w:val="34"/>
          <w:szCs w:val="32"/>
        </w:rPr>
      </w:pPr>
    </w:p>
    <w:p>
      <w:pPr>
        <w:autoSpaceDE w:val="0"/>
        <w:autoSpaceDN w:val="0"/>
        <w:snapToGrid w:val="0"/>
        <w:spacing w:line="560" w:lineRule="exact"/>
        <w:ind w:right="840" w:rightChars="400"/>
        <w:rPr>
          <w:rFonts w:ascii="Times New Roman" w:hAnsi="Times New Roman" w:eastAsia="仿宋"/>
          <w:sz w:val="34"/>
          <w:szCs w:val="32"/>
        </w:rPr>
      </w:pPr>
    </w:p>
    <w:p>
      <w:pPr>
        <w:autoSpaceDE w:val="0"/>
        <w:autoSpaceDN w:val="0"/>
        <w:snapToGrid w:val="0"/>
        <w:spacing w:line="560" w:lineRule="exact"/>
        <w:ind w:right="840" w:rightChars="400"/>
        <w:rPr>
          <w:rFonts w:ascii="Times New Roman" w:hAnsi="Times New Roman" w:eastAsia="仿宋"/>
          <w:sz w:val="34"/>
          <w:szCs w:val="32"/>
        </w:rPr>
      </w:pPr>
    </w:p>
    <w:p>
      <w:pPr>
        <w:autoSpaceDE w:val="0"/>
        <w:autoSpaceDN w:val="0"/>
        <w:snapToGrid w:val="0"/>
        <w:spacing w:line="560" w:lineRule="exact"/>
        <w:ind w:right="840" w:rightChars="400"/>
        <w:rPr>
          <w:rFonts w:ascii="Times New Roman" w:hAnsi="Times New Roman" w:eastAsia="仿宋"/>
          <w:sz w:val="20"/>
          <w:szCs w:val="32"/>
        </w:rPr>
      </w:pPr>
    </w:p>
    <w:p>
      <w:pPr>
        <w:tabs>
          <w:tab w:val="left" w:pos="7937"/>
        </w:tabs>
        <w:autoSpaceDE w:val="0"/>
        <w:autoSpaceDN w:val="0"/>
        <w:snapToGrid w:val="0"/>
        <w:spacing w:line="760" w:lineRule="exact"/>
        <w:rPr>
          <w:rFonts w:ascii="Times New Roman" w:hAnsi="Times New Roman" w:eastAsia="黑体"/>
          <w:w w:val="95"/>
          <w:sz w:val="32"/>
          <w:szCs w:val="32"/>
          <w:u w:val="single"/>
        </w:rPr>
      </w:pPr>
      <w:r>
        <w:rPr>
          <w:rFonts w:ascii="Times New Roman" w:hAnsi="Times New Roman" w:eastAsia="黑体"/>
          <w:w w:val="95"/>
          <w:sz w:val="32"/>
          <w:szCs w:val="32"/>
        </w:rPr>
        <w:t>法定代表</w:t>
      </w:r>
      <w:r>
        <w:rPr>
          <w:rFonts w:ascii="Times New Roman" w:hAnsi="Times New Roman" w:eastAsia="黑体"/>
          <w:spacing w:val="16"/>
          <w:w w:val="95"/>
          <w:sz w:val="32"/>
          <w:szCs w:val="32"/>
        </w:rPr>
        <w:t>人</w:t>
      </w:r>
      <w:r>
        <w:rPr>
          <w:rFonts w:ascii="Times New Roman" w:hAnsi="Times New Roman" w:eastAsia="黑体"/>
          <w:w w:val="95"/>
          <w:sz w:val="32"/>
          <w:szCs w:val="32"/>
        </w:rPr>
        <w:t>：</w:t>
      </w:r>
      <w:r>
        <w:rPr>
          <w:rFonts w:ascii="Times New Roman" w:hAnsi="Times New Roman" w:eastAsia="黑体"/>
          <w:w w:val="95"/>
          <w:sz w:val="32"/>
          <w:szCs w:val="32"/>
          <w:u w:val="single"/>
        </w:rPr>
        <w:t xml:space="preserve"> </w:t>
      </w:r>
      <w:r>
        <w:rPr>
          <w:rFonts w:ascii="Times New Roman" w:hAnsi="Times New Roman" w:eastAsia="黑体"/>
          <w:w w:val="95"/>
          <w:sz w:val="32"/>
          <w:szCs w:val="32"/>
          <w:u w:val="single"/>
        </w:rPr>
        <w:tab/>
      </w:r>
    </w:p>
    <w:p>
      <w:pPr>
        <w:tabs>
          <w:tab w:val="left" w:pos="7937"/>
        </w:tabs>
        <w:autoSpaceDE w:val="0"/>
        <w:autoSpaceDN w:val="0"/>
        <w:snapToGrid w:val="0"/>
        <w:spacing w:line="760" w:lineRule="exact"/>
        <w:rPr>
          <w:rFonts w:ascii="Times New Roman" w:hAnsi="Times New Roman" w:eastAsia="黑体"/>
          <w:sz w:val="32"/>
          <w:szCs w:val="32"/>
          <w:u w:val="single"/>
        </w:rPr>
      </w:pPr>
      <w:r>
        <w:rPr>
          <w:rFonts w:hint="eastAsia" w:ascii="Times New Roman" w:hAnsi="Times New Roman" w:eastAsia="黑体"/>
          <w:spacing w:val="42"/>
          <w:kern w:val="0"/>
          <w:sz w:val="32"/>
          <w:szCs w:val="32"/>
          <w:fitText w:val="1536" w:id="1657669048"/>
        </w:rPr>
        <w:t>单位地</w:t>
      </w:r>
      <w:r>
        <w:rPr>
          <w:rFonts w:hint="eastAsia" w:ascii="Times New Roman" w:hAnsi="Times New Roman" w:eastAsia="黑体"/>
          <w:spacing w:val="2"/>
          <w:kern w:val="0"/>
          <w:sz w:val="32"/>
          <w:szCs w:val="32"/>
          <w:fitText w:val="1536" w:id="1657669048"/>
        </w:rPr>
        <w:t>址</w:t>
      </w:r>
      <w:r>
        <w:rPr>
          <w:rFonts w:ascii="Times New Roman" w:hAnsi="Times New Roman" w:eastAsia="黑体"/>
          <w:sz w:val="32"/>
          <w:szCs w:val="32"/>
        </w:rPr>
        <w:t>：</w:t>
      </w:r>
      <w:r>
        <w:rPr>
          <w:rFonts w:ascii="Times New Roman" w:hAnsi="Times New Roman" w:eastAsia="黑体"/>
          <w:w w:val="99"/>
          <w:sz w:val="32"/>
          <w:szCs w:val="32"/>
          <w:u w:val="single"/>
        </w:rPr>
        <w:t xml:space="preserve"> </w:t>
      </w:r>
      <w:r>
        <w:rPr>
          <w:rFonts w:ascii="Times New Roman" w:hAnsi="Times New Roman" w:eastAsia="黑体"/>
          <w:sz w:val="32"/>
          <w:szCs w:val="32"/>
          <w:u w:val="single"/>
        </w:rPr>
        <w:tab/>
      </w:r>
    </w:p>
    <w:p>
      <w:pPr>
        <w:tabs>
          <w:tab w:val="left" w:pos="7937"/>
        </w:tabs>
        <w:autoSpaceDE w:val="0"/>
        <w:autoSpaceDN w:val="0"/>
        <w:snapToGrid w:val="0"/>
        <w:spacing w:line="760" w:lineRule="exact"/>
        <w:rPr>
          <w:rFonts w:ascii="Times New Roman" w:hAnsi="Times New Roman" w:eastAsia="黑体"/>
          <w:sz w:val="32"/>
          <w:szCs w:val="32"/>
          <w:u w:val="single"/>
        </w:rPr>
      </w:pPr>
      <w:r>
        <w:rPr>
          <w:rFonts w:hint="eastAsia" w:ascii="Times New Roman" w:hAnsi="Times New Roman" w:eastAsia="黑体"/>
          <w:spacing w:val="144"/>
          <w:kern w:val="0"/>
          <w:sz w:val="32"/>
          <w:szCs w:val="32"/>
          <w:fitText w:val="1536" w:id="1201094079"/>
        </w:rPr>
        <w:t>联系</w:t>
      </w:r>
      <w:r>
        <w:rPr>
          <w:rFonts w:hint="eastAsia" w:ascii="Times New Roman" w:hAnsi="Times New Roman" w:eastAsia="黑体"/>
          <w:spacing w:val="0"/>
          <w:kern w:val="0"/>
          <w:sz w:val="32"/>
          <w:szCs w:val="32"/>
          <w:fitText w:val="1536" w:id="1201094079"/>
        </w:rPr>
        <w:t>人</w:t>
      </w:r>
      <w:r>
        <w:rPr>
          <w:rFonts w:ascii="Times New Roman" w:hAnsi="Times New Roman" w:eastAsia="黑体"/>
          <w:sz w:val="32"/>
          <w:szCs w:val="32"/>
        </w:rPr>
        <w:t>：</w:t>
      </w:r>
      <w:r>
        <w:rPr>
          <w:rFonts w:ascii="Times New Roman" w:hAnsi="Times New Roman" w:eastAsia="黑体"/>
          <w:w w:val="99"/>
          <w:sz w:val="32"/>
          <w:szCs w:val="32"/>
          <w:u w:val="single"/>
        </w:rPr>
        <w:t xml:space="preserve"> </w:t>
      </w:r>
      <w:r>
        <w:rPr>
          <w:rFonts w:ascii="Times New Roman" w:hAnsi="Times New Roman" w:eastAsia="黑体"/>
          <w:sz w:val="32"/>
          <w:szCs w:val="32"/>
          <w:u w:val="single"/>
        </w:rPr>
        <w:tab/>
      </w:r>
    </w:p>
    <w:p>
      <w:pPr>
        <w:tabs>
          <w:tab w:val="left" w:pos="7937"/>
        </w:tabs>
        <w:autoSpaceDE w:val="0"/>
        <w:autoSpaceDN w:val="0"/>
        <w:snapToGrid w:val="0"/>
        <w:spacing w:line="760" w:lineRule="exact"/>
        <w:rPr>
          <w:rFonts w:ascii="Times New Roman" w:hAnsi="Times New Roman" w:eastAsia="黑体"/>
          <w:sz w:val="32"/>
          <w:szCs w:val="32"/>
          <w:u w:val="single"/>
        </w:rPr>
      </w:pPr>
      <w:r>
        <w:rPr>
          <w:rFonts w:hint="eastAsia" w:ascii="Times New Roman" w:hAnsi="Times New Roman" w:eastAsia="黑体"/>
          <w:spacing w:val="42"/>
          <w:kern w:val="0"/>
          <w:sz w:val="32"/>
          <w:szCs w:val="32"/>
          <w:fitText w:val="1536" w:id="736118226"/>
        </w:rPr>
        <w:t>联系电</w:t>
      </w:r>
      <w:r>
        <w:rPr>
          <w:rFonts w:hint="eastAsia" w:ascii="Times New Roman" w:hAnsi="Times New Roman" w:eastAsia="黑体"/>
          <w:spacing w:val="2"/>
          <w:kern w:val="0"/>
          <w:sz w:val="32"/>
          <w:szCs w:val="32"/>
          <w:fitText w:val="1536" w:id="736118226"/>
        </w:rPr>
        <w:t>话</w:t>
      </w:r>
      <w:r>
        <w:rPr>
          <w:rFonts w:ascii="Times New Roman" w:hAnsi="Times New Roman" w:eastAsia="黑体"/>
          <w:sz w:val="32"/>
          <w:szCs w:val="32"/>
        </w:rPr>
        <w:t>：</w:t>
      </w:r>
      <w:r>
        <w:rPr>
          <w:rFonts w:ascii="Times New Roman" w:hAnsi="Times New Roman" w:eastAsia="黑体"/>
          <w:w w:val="99"/>
          <w:sz w:val="32"/>
          <w:szCs w:val="32"/>
          <w:u w:val="single"/>
        </w:rPr>
        <w:t xml:space="preserve"> </w:t>
      </w:r>
      <w:r>
        <w:rPr>
          <w:rFonts w:ascii="Times New Roman" w:hAnsi="Times New Roman" w:eastAsia="黑体"/>
          <w:sz w:val="32"/>
          <w:szCs w:val="32"/>
          <w:u w:val="single"/>
        </w:rPr>
        <w:tab/>
      </w:r>
    </w:p>
    <w:p>
      <w:pPr>
        <w:tabs>
          <w:tab w:val="left" w:pos="7937"/>
        </w:tabs>
        <w:autoSpaceDE w:val="0"/>
        <w:autoSpaceDN w:val="0"/>
        <w:snapToGrid w:val="0"/>
        <w:spacing w:line="760" w:lineRule="exact"/>
        <w:rPr>
          <w:rFonts w:ascii="Times New Roman" w:hAnsi="Times New Roman" w:eastAsia="黑体"/>
          <w:sz w:val="32"/>
          <w:szCs w:val="32"/>
        </w:rPr>
      </w:pPr>
      <w:r>
        <w:rPr>
          <w:rFonts w:hint="eastAsia" w:ascii="Times New Roman" w:hAnsi="Times New Roman" w:eastAsia="黑体"/>
          <w:spacing w:val="42"/>
          <w:kern w:val="0"/>
          <w:sz w:val="32"/>
          <w:szCs w:val="32"/>
          <w:fitText w:val="1536" w:id="22352531"/>
        </w:rPr>
        <w:t>申请时</w:t>
      </w:r>
      <w:r>
        <w:rPr>
          <w:rFonts w:hint="eastAsia" w:ascii="Times New Roman" w:hAnsi="Times New Roman" w:eastAsia="黑体"/>
          <w:spacing w:val="2"/>
          <w:kern w:val="0"/>
          <w:sz w:val="32"/>
          <w:szCs w:val="32"/>
          <w:fitText w:val="1536" w:id="22352531"/>
        </w:rPr>
        <w:t>间</w:t>
      </w:r>
      <w:r>
        <w:rPr>
          <w:rFonts w:ascii="Times New Roman" w:hAnsi="Times New Roman" w:eastAsia="黑体"/>
          <w:sz w:val="32"/>
          <w:szCs w:val="32"/>
        </w:rPr>
        <w:t>：</w:t>
      </w:r>
      <w:r>
        <w:rPr>
          <w:rFonts w:ascii="Times New Roman" w:hAnsi="Times New Roman" w:eastAsia="黑体"/>
          <w:sz w:val="32"/>
          <w:szCs w:val="32"/>
          <w:u w:val="single"/>
        </w:rPr>
        <w:tab/>
      </w:r>
    </w:p>
    <w:p>
      <w:pPr>
        <w:autoSpaceDE w:val="0"/>
        <w:autoSpaceDN w:val="0"/>
        <w:snapToGrid w:val="0"/>
        <w:spacing w:line="560" w:lineRule="exact"/>
        <w:ind w:right="-1"/>
        <w:rPr>
          <w:rFonts w:ascii="Times New Roman" w:hAnsi="Times New Roman" w:eastAsia="仿宋"/>
          <w:sz w:val="26"/>
          <w:szCs w:val="32"/>
        </w:rPr>
      </w:pPr>
    </w:p>
    <w:p>
      <w:pPr>
        <w:autoSpaceDE w:val="0"/>
        <w:autoSpaceDN w:val="0"/>
        <w:snapToGrid w:val="0"/>
        <w:spacing w:line="560" w:lineRule="exact"/>
        <w:ind w:right="-1"/>
        <w:rPr>
          <w:rFonts w:ascii="Times New Roman" w:hAnsi="Times New Roman" w:eastAsia="仿宋"/>
          <w:sz w:val="26"/>
          <w:szCs w:val="32"/>
        </w:rPr>
      </w:pPr>
    </w:p>
    <w:p>
      <w:pPr>
        <w:pStyle w:val="2"/>
        <w:rPr>
          <w:rFonts w:eastAsia="仿宋"/>
          <w:sz w:val="26"/>
          <w:szCs w:val="32"/>
        </w:rPr>
      </w:pPr>
    </w:p>
    <w:p>
      <w:pPr>
        <w:pStyle w:val="2"/>
        <w:rPr>
          <w:rFonts w:eastAsia="仿宋"/>
          <w:sz w:val="26"/>
          <w:szCs w:val="32"/>
        </w:rPr>
      </w:pPr>
    </w:p>
    <w:p>
      <w:pPr>
        <w:autoSpaceDE w:val="0"/>
        <w:autoSpaceDN w:val="0"/>
        <w:snapToGrid w:val="0"/>
        <w:spacing w:line="560" w:lineRule="exact"/>
        <w:ind w:left="-134" w:leftChars="-64" w:right="-142" w:firstLine="567"/>
        <w:rPr>
          <w:rFonts w:ascii="Times New Roman" w:hAnsi="Times New Roman" w:eastAsia="仿宋_GB2312"/>
          <w:sz w:val="32"/>
          <w:szCs w:val="32"/>
        </w:rPr>
      </w:pPr>
      <w:r>
        <w:rPr>
          <w:rFonts w:hint="eastAsia" w:ascii="Times New Roman" w:hAnsi="Times New Roman" w:eastAsia="仿宋_GB2312"/>
          <w:sz w:val="32"/>
          <w:szCs w:val="32"/>
        </w:rPr>
        <w:t>注：申报材料连续编码并列出目录，务必添加对应页码，纸质版规范打印装订成册，左侧胶装，并加盖骑缝章。</w:t>
      </w:r>
    </w:p>
    <w:p>
      <w:pPr>
        <w:autoSpaceDE w:val="0"/>
        <w:autoSpaceDN w:val="0"/>
        <w:snapToGrid w:val="0"/>
        <w:spacing w:line="560" w:lineRule="exact"/>
        <w:ind w:right="840" w:rightChars="400"/>
        <w:rPr>
          <w:rFonts w:ascii="Times New Roman" w:hAnsi="Times New Roman" w:eastAsia="仿宋_GB2312"/>
          <w:sz w:val="32"/>
          <w:szCs w:val="32"/>
        </w:rPr>
        <w:sectPr>
          <w:footerReference r:id="rId3" w:type="default"/>
          <w:pgSz w:w="11910" w:h="16840"/>
          <w:pgMar w:top="1417" w:right="1588" w:bottom="1417" w:left="1588" w:header="0" w:footer="1134" w:gutter="0"/>
          <w:pgNumType w:fmt="numberInDash"/>
          <w:cols w:space="0" w:num="1"/>
        </w:sectPr>
      </w:pPr>
    </w:p>
    <w:p>
      <w:pPr>
        <w:autoSpaceDE w:val="0"/>
        <w:autoSpaceDN w:val="0"/>
        <w:snapToGrid w:val="0"/>
        <w:spacing w:line="600" w:lineRule="exact"/>
        <w:jc w:val="center"/>
        <w:rPr>
          <w:rFonts w:ascii="Times New Roman" w:hAnsi="Times New Roman" w:eastAsia="方正小标宋_GBK"/>
          <w:kern w:val="0"/>
          <w:sz w:val="44"/>
          <w:szCs w:val="44"/>
        </w:rPr>
      </w:pPr>
    </w:p>
    <w:p>
      <w:pPr>
        <w:autoSpaceDE w:val="0"/>
        <w:autoSpaceDN w:val="0"/>
        <w:snapToGrid w:val="0"/>
        <w:spacing w:line="600" w:lineRule="exact"/>
        <w:jc w:val="center"/>
        <w:rPr>
          <w:rFonts w:ascii="Times New Roman" w:hAnsi="Times New Roman" w:eastAsia="方正小标宋_GBK"/>
          <w:kern w:val="0"/>
          <w:sz w:val="44"/>
          <w:szCs w:val="44"/>
        </w:rPr>
      </w:pPr>
      <w:r>
        <w:rPr>
          <w:rFonts w:ascii="Times New Roman" w:hAnsi="Times New Roman" w:eastAsia="方正小标宋_GBK"/>
          <w:kern w:val="0"/>
          <w:sz w:val="44"/>
          <w:szCs w:val="44"/>
        </w:rPr>
        <w:t>申报材料提交内容要求</w:t>
      </w:r>
    </w:p>
    <w:p>
      <w:pPr>
        <w:autoSpaceDE w:val="0"/>
        <w:autoSpaceDN w:val="0"/>
        <w:snapToGrid w:val="0"/>
        <w:spacing w:line="600" w:lineRule="exact"/>
        <w:ind w:right="-1"/>
        <w:rPr>
          <w:rFonts w:ascii="Times New Roman" w:hAnsi="Times New Roman" w:eastAsia="仿宋"/>
          <w:sz w:val="28"/>
          <w:szCs w:val="32"/>
        </w:rPr>
      </w:pPr>
    </w:p>
    <w:p>
      <w:pPr>
        <w:pStyle w:val="3"/>
        <w:overflowPunct w:val="0"/>
        <w:autoSpaceDE w:val="0"/>
        <w:autoSpaceDN w:val="0"/>
        <w:spacing w:before="0" w:beforeLines="0" w:after="0" w:afterLines="0"/>
        <w:jc w:val="both"/>
        <w:rPr>
          <w:rFonts w:ascii="Times New Roman" w:hAnsi="Times New Roman" w:cs="Times New Roman"/>
        </w:rPr>
      </w:pPr>
      <w:r>
        <w:rPr>
          <w:rFonts w:ascii="Times New Roman" w:hAnsi="Times New Roman" w:cs="Times New Roman"/>
        </w:rPr>
        <w:t>一、管理机构基本概况</w:t>
      </w:r>
    </w:p>
    <w:p>
      <w:pPr>
        <w:overflowPunct w:val="0"/>
        <w:autoSpaceDE w:val="0"/>
        <w:autoSpaceDN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主要阐述管理机构历史沿革、注册资本金（含实缴情况）、机构性质（如：国有独资企业、国有绝对控股企业、国有相对控股企业、民营企业、外资企业及其他）、职工人数、股东情况</w:t>
      </w:r>
      <w:r>
        <w:rPr>
          <w:rFonts w:hint="eastAsia" w:ascii="Times New Roman" w:hAnsi="Times New Roman" w:eastAsia="仿宋_GB2312"/>
          <w:spacing w:val="-6"/>
          <w:sz w:val="32"/>
          <w:szCs w:val="32"/>
        </w:rPr>
        <w:t>（穿透至自然人）、治理架构、高级管理人员简介、子基金专属管理团队人员简介、中基协管理人登记编号等情况。</w:t>
      </w:r>
    </w:p>
    <w:p>
      <w:pPr>
        <w:overflowPunct w:val="0"/>
        <w:autoSpaceDE w:val="0"/>
        <w:autoSpaceDN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需提供材料：</w:t>
      </w:r>
    </w:p>
    <w:p>
      <w:pPr>
        <w:overflowPunct w:val="0"/>
        <w:autoSpaceDE w:val="0"/>
        <w:autoSpaceDN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（一）营业执照复印件、税务登记证书复印件、企业信用报告、完税证明复印件、实缴资本专项审计报告复印件或其他证明文件；</w:t>
      </w:r>
    </w:p>
    <w:p>
      <w:pPr>
        <w:overflowPunct w:val="0"/>
        <w:autoSpaceDE w:val="0"/>
        <w:autoSpaceDN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（二）法定代表人、高级管理人员、子基金专属管理团队人员的简历，并附身份证复印件、任职证明及所获主要荣誉，近一年内管理团队成员社保记录单据等证明材料（从属地社保机构下载打印并加盖公章）；</w:t>
      </w:r>
    </w:p>
    <w:p>
      <w:pPr>
        <w:overflowPunct w:val="0"/>
        <w:autoSpaceDE w:val="0"/>
        <w:autoSpaceDN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申报机构有关诉讼、担保、其他或有风险事项说明及文件。最近三年内申报机构及其工作人员无行政主管机构或司法机关处罚的不良记录、不存在违法违规行为或被中国证券投资基金业协会列为异常机构或存在不良诚信记录等的声明或承诺；</w:t>
      </w:r>
    </w:p>
    <w:p>
      <w:pPr>
        <w:overflowPunct w:val="0"/>
        <w:autoSpaceDE w:val="0"/>
        <w:autoSpaceDN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穿透核查。申报机构通过信用中国、信用信息公示系统、征信系统、中国裁判文书网、中国基金业协会信息公示等数据库（至少选取两家公示网站），对申报机构及其股东（穿透到实际出资方）、实际控制人、关联方及高管人员是否涉嫌违法犯罪、受到行业行政监管措施、行政监管处罚及举报投诉情况等进行穿透核查，并提供相关截屏材料。</w:t>
      </w:r>
    </w:p>
    <w:p>
      <w:pPr>
        <w:pStyle w:val="3"/>
        <w:overflowPunct w:val="0"/>
        <w:autoSpaceDE w:val="0"/>
        <w:autoSpaceDN w:val="0"/>
        <w:spacing w:before="0" w:beforeLines="0" w:after="0" w:afterLines="0"/>
        <w:jc w:val="both"/>
        <w:rPr>
          <w:rFonts w:ascii="Times New Roman" w:hAnsi="Times New Roman" w:cs="Times New Roman"/>
        </w:rPr>
      </w:pPr>
      <w:r>
        <w:rPr>
          <w:rFonts w:ascii="Times New Roman" w:hAnsi="Times New Roman" w:cs="Times New Roman"/>
        </w:rPr>
        <w:t>二、管理机构综合实力</w:t>
      </w:r>
    </w:p>
    <w:p>
      <w:pPr>
        <w:overflowPunct w:val="0"/>
        <w:autoSpaceDE w:val="0"/>
        <w:autoSpaceDN w:val="0"/>
        <w:snapToGrid w:val="0"/>
        <w:spacing w:line="60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（一）管理规模</w:t>
      </w:r>
    </w:p>
    <w:p>
      <w:pPr>
        <w:overflowPunct w:val="0"/>
        <w:autoSpaceDE w:val="0"/>
        <w:autoSpaceDN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主要阐述管理机构既往累计管理的基金实缴规模；或核心管理人员具有参与管理相应规模基金的经验。</w:t>
      </w:r>
    </w:p>
    <w:p>
      <w:pPr>
        <w:overflowPunct w:val="0"/>
        <w:autoSpaceDE w:val="0"/>
        <w:autoSpaceDN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可提供材料：管理机构既往累计管理的基金在银行的资金入账凭证或第三方机构出具的审计报告；或核心管理人员既往累计参与管理的基金在银行的资金入账凭证或第三方机构出具的审计报告。核心管理人员参与管理的上述基金投委会名单，被投项目投资决议（投资决议需体现核心管理人员签章）等。</w:t>
      </w:r>
    </w:p>
    <w:p>
      <w:pPr>
        <w:overflowPunct w:val="0"/>
        <w:autoSpaceDE w:val="0"/>
        <w:autoSpaceDN w:val="0"/>
        <w:snapToGrid w:val="0"/>
        <w:spacing w:line="60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（二）内部治理</w:t>
      </w:r>
    </w:p>
    <w:p>
      <w:pPr>
        <w:overflowPunct w:val="0"/>
        <w:autoSpaceDE w:val="0"/>
        <w:autoSpaceDN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主要阐述子基金管理人内部投资决策、风险控制及财务管理等流程制度。</w:t>
      </w:r>
    </w:p>
    <w:p>
      <w:pPr>
        <w:overflowPunct w:val="0"/>
        <w:autoSpaceDE w:val="0"/>
        <w:autoSpaceDN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可提供材料：公司的内部投资决策、风险控制、财务管理等制度性文件。</w:t>
      </w:r>
    </w:p>
    <w:p>
      <w:pPr>
        <w:overflowPunct w:val="0"/>
        <w:autoSpaceDE w:val="0"/>
        <w:autoSpaceDN w:val="0"/>
        <w:snapToGrid w:val="0"/>
        <w:spacing w:line="60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（三）本地服务能力</w:t>
      </w:r>
    </w:p>
    <w:p>
      <w:pPr>
        <w:overflowPunct w:val="0"/>
        <w:autoSpaceDE w:val="0"/>
        <w:autoSpaceDN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主要阐述管理机构在湖南已配备或拟配备的管理团队情况、固定办公场所情况等，以及在湖南省的投资经验。</w:t>
      </w:r>
    </w:p>
    <w:p>
      <w:pPr>
        <w:overflowPunct w:val="0"/>
        <w:autoSpaceDE w:val="0"/>
        <w:autoSpaceDN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可提供材料：管理机构已在湖南设立固定办公场所的，提供管理机构在湖南省内设置的固定办公场所房屋产权证明或租赁协议（租赁协议上需注明租赁期限，租赁剩余期限原则上不低于2年）。管理机构未在湖南设立固定办公场所的，须出具承诺，在中选后在湖南设立固定办公场所。核心管理人员身份证复印件、基金从业资格证复印件、联系方式，以及管理机构在湖南省内的项目投资或招商引资情况。</w:t>
      </w:r>
    </w:p>
    <w:p>
      <w:pPr>
        <w:pStyle w:val="3"/>
        <w:overflowPunct w:val="0"/>
        <w:autoSpaceDE w:val="0"/>
        <w:autoSpaceDN w:val="0"/>
        <w:spacing w:before="0" w:beforeLines="0" w:after="0" w:afterLines="0"/>
        <w:jc w:val="both"/>
        <w:rPr>
          <w:rFonts w:ascii="Times New Roman" w:hAnsi="Times New Roman" w:cs="Times New Roman"/>
        </w:rPr>
      </w:pPr>
      <w:r>
        <w:rPr>
          <w:rFonts w:ascii="Times New Roman" w:hAnsi="Times New Roman" w:cs="Times New Roman"/>
        </w:rPr>
        <w:t>三、管理机构领域能力和业绩</w:t>
      </w:r>
    </w:p>
    <w:p>
      <w:pPr>
        <w:overflowPunct w:val="0"/>
        <w:autoSpaceDE w:val="0"/>
        <w:autoSpaceDN w:val="0"/>
        <w:snapToGrid w:val="0"/>
        <w:spacing w:line="60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（一）行业引领能力</w:t>
      </w:r>
    </w:p>
    <w:p>
      <w:pPr>
        <w:overflowPunct w:val="0"/>
        <w:autoSpaceDE w:val="0"/>
        <w:autoSpaceDN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主要阐述管理机构或其重要股东在空天海洋产业领域的产业影响力</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产业运营管理能力、产业链整合带动能力、</w:t>
      </w:r>
      <w:r>
        <w:rPr>
          <w:rFonts w:hint="eastAsia" w:ascii="Times New Roman" w:hAnsi="Times New Roman" w:eastAsia="仿宋_GB2312"/>
          <w:sz w:val="32"/>
          <w:szCs w:val="32"/>
          <w:lang w:val="en-US" w:eastAsia="zh-CN"/>
        </w:rPr>
        <w:t>行业研究能力</w:t>
      </w:r>
      <w:r>
        <w:rPr>
          <w:rFonts w:hint="eastAsia" w:ascii="Times New Roman" w:hAnsi="Times New Roman" w:eastAsia="仿宋_GB2312"/>
          <w:sz w:val="32"/>
          <w:szCs w:val="32"/>
        </w:rPr>
        <w:t>。</w:t>
      </w:r>
    </w:p>
    <w:p>
      <w:pPr>
        <w:overflowPunct w:val="0"/>
        <w:autoSpaceDE w:val="0"/>
        <w:autoSpaceDN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可提供材料：管理机构或其重要股东在该领域排名情况；主办或承办重大会议（论坛）等活动情况；其他能够体现行业引领能力的证明材料。</w:t>
      </w:r>
    </w:p>
    <w:p>
      <w:pPr>
        <w:overflowPunct w:val="0"/>
        <w:autoSpaceDE w:val="0"/>
        <w:autoSpaceDN w:val="0"/>
        <w:snapToGrid w:val="0"/>
        <w:spacing w:line="60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（二）投资案例</w:t>
      </w:r>
    </w:p>
    <w:p>
      <w:pPr>
        <w:overflowPunct w:val="0"/>
        <w:autoSpaceDE w:val="0"/>
        <w:autoSpaceDN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主要阐述管理机构及核心管理人员在</w:t>
      </w:r>
      <w:bookmarkStart w:id="2" w:name="_Hlk122507600"/>
      <w:r>
        <w:rPr>
          <w:rFonts w:hint="eastAsia" w:ascii="Times New Roman" w:hAnsi="Times New Roman" w:eastAsia="仿宋_GB2312"/>
          <w:sz w:val="32"/>
          <w:szCs w:val="32"/>
        </w:rPr>
        <w:t>空天海洋产业的投资案例</w:t>
      </w:r>
      <w:bookmarkEnd w:id="2"/>
      <w:r>
        <w:rPr>
          <w:rFonts w:hint="eastAsia" w:ascii="Times New Roman" w:hAnsi="Times New Roman" w:eastAsia="仿宋_GB2312"/>
          <w:sz w:val="32"/>
          <w:szCs w:val="32"/>
        </w:rPr>
        <w:t>及其规模。</w:t>
      </w:r>
    </w:p>
    <w:p>
      <w:pPr>
        <w:overflowPunct w:val="0"/>
        <w:autoSpaceDE w:val="0"/>
        <w:autoSpaceDN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可提供材料：管理机构及核心管理人员在空天海洋产业的投资案例情况说明，以及对项目投资规模的证明材料。</w:t>
      </w:r>
    </w:p>
    <w:p>
      <w:pPr>
        <w:overflowPunct w:val="0"/>
        <w:autoSpaceDE w:val="0"/>
        <w:autoSpaceDN w:val="0"/>
        <w:snapToGrid w:val="0"/>
        <w:spacing w:line="60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（三）管理业绩</w:t>
      </w:r>
    </w:p>
    <w:p>
      <w:pPr>
        <w:overflowPunct w:val="0"/>
        <w:autoSpaceDE w:val="0"/>
        <w:autoSpaceDN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主要阐述管理机构及核心管理人员过往投资空天海洋产业领域投资项目盈亏及退出情况。</w:t>
      </w:r>
    </w:p>
    <w:p>
      <w:pPr>
        <w:overflowPunct w:val="0"/>
        <w:autoSpaceDE w:val="0"/>
        <w:autoSpaceDN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可提供材料：管理机构及核心管理人员既往累计管理每只基金业绩情况说明（包括DPI、MOIC、IRR等业绩指标，被投企业上市数量及名称，投资项目退出情况等），以及相应证明材料，重点突出空天海洋领域。</w:t>
      </w:r>
    </w:p>
    <w:p>
      <w:pPr>
        <w:pStyle w:val="3"/>
        <w:overflowPunct w:val="0"/>
        <w:autoSpaceDE w:val="0"/>
        <w:autoSpaceDN w:val="0"/>
        <w:spacing w:before="0" w:beforeLines="0" w:after="0" w:afterLines="0"/>
        <w:jc w:val="both"/>
        <w:rPr>
          <w:rFonts w:ascii="Times New Roman" w:hAnsi="Times New Roman" w:cs="Times New Roman"/>
        </w:rPr>
      </w:pPr>
      <w:r>
        <w:rPr>
          <w:rFonts w:ascii="Times New Roman" w:hAnsi="Times New Roman" w:cs="Times New Roman"/>
        </w:rPr>
        <w:t>四、子基金组建方案</w:t>
      </w:r>
    </w:p>
    <w:p>
      <w:pPr>
        <w:overflowPunct w:val="0"/>
        <w:autoSpaceDE w:val="0"/>
        <w:autoSpaceDN w:val="0"/>
        <w:spacing w:line="600" w:lineRule="exact"/>
        <w:ind w:firstLine="640" w:firstLineChars="200"/>
        <w:outlineLvl w:val="1"/>
        <w:rPr>
          <w:rFonts w:ascii="Times New Roman" w:hAnsi="Times New Roman" w:eastAsia="仿宋_GB2312"/>
          <w:sz w:val="32"/>
          <w:szCs w:val="32"/>
        </w:rPr>
      </w:pPr>
      <w:r>
        <w:rPr>
          <w:rFonts w:hint="eastAsia" w:ascii="Times New Roman" w:hAnsi="Times New Roman" w:eastAsia="仿宋_GB2312"/>
          <w:sz w:val="32"/>
          <w:szCs w:val="32"/>
        </w:rPr>
        <w:t>空天海洋</w:t>
      </w:r>
      <w:r>
        <w:rPr>
          <w:rFonts w:hint="eastAsia" w:ascii="Times New Roman" w:hAnsi="Times New Roman" w:eastAsia="仿宋_GB2312"/>
          <w:sz w:val="32"/>
          <w:szCs w:val="32"/>
          <w:lang w:val="en-US" w:eastAsia="zh-CN"/>
        </w:rPr>
        <w:t>产业</w:t>
      </w:r>
      <w:r>
        <w:rPr>
          <w:rFonts w:hint="eastAsia" w:ascii="Times New Roman" w:hAnsi="Times New Roman" w:eastAsia="仿宋_GB2312"/>
          <w:sz w:val="32"/>
          <w:szCs w:val="32"/>
        </w:rPr>
        <w:t>子基金组建方案内容包括但不限于：</w:t>
      </w:r>
    </w:p>
    <w:p>
      <w:pPr>
        <w:overflowPunct w:val="0"/>
        <w:autoSpaceDE w:val="0"/>
        <w:autoSpaceDN w:val="0"/>
        <w:snapToGrid w:val="0"/>
        <w:spacing w:line="60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（一）基本概况</w:t>
      </w:r>
    </w:p>
    <w:p>
      <w:pPr>
        <w:pStyle w:val="2"/>
        <w:overflowPunct w:val="0"/>
        <w:autoSpaceDE w:val="0"/>
        <w:autoSpaceDN w:val="0"/>
        <w:spacing w:after="0" w:line="600" w:lineRule="exact"/>
        <w:ind w:firstLine="672" w:firstLineChars="200"/>
        <w:rPr>
          <w:rFonts w:eastAsia="仿宋_GB2312"/>
          <w:sz w:val="32"/>
          <w:szCs w:val="32"/>
        </w:rPr>
      </w:pPr>
      <w:r>
        <w:rPr>
          <w:rFonts w:hint="eastAsia" w:eastAsia="仿宋_GB2312"/>
          <w:spacing w:val="8"/>
          <w:sz w:val="32"/>
          <w:szCs w:val="32"/>
        </w:rPr>
        <w:t>主要包括：名称及拟注册地点、期限（存续/投资/退出）、组</w:t>
      </w:r>
      <w:r>
        <w:rPr>
          <w:rFonts w:hint="eastAsia" w:eastAsia="仿宋_GB2312"/>
          <w:spacing w:val="9"/>
          <w:sz w:val="32"/>
          <w:szCs w:val="32"/>
        </w:rPr>
        <w:t>织形式（合伙制、公司制）、基金设立规模、申请母基金出资规</w:t>
      </w:r>
      <w:r>
        <w:rPr>
          <w:rFonts w:hint="eastAsia" w:eastAsia="仿宋_GB2312"/>
          <w:spacing w:val="7"/>
          <w:sz w:val="32"/>
          <w:szCs w:val="32"/>
        </w:rPr>
        <w:t>模及比例、拟首次交割时间、分期缴款计划、投资进度安排等。</w:t>
      </w:r>
    </w:p>
    <w:p>
      <w:pPr>
        <w:overflowPunct w:val="0"/>
        <w:autoSpaceDE w:val="0"/>
        <w:autoSpaceDN w:val="0"/>
        <w:snapToGrid w:val="0"/>
        <w:spacing w:line="60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（二）投资方向与策略</w:t>
      </w:r>
    </w:p>
    <w:p>
      <w:pPr>
        <w:pStyle w:val="2"/>
        <w:overflowPunct w:val="0"/>
        <w:autoSpaceDE w:val="0"/>
        <w:autoSpaceDN w:val="0"/>
        <w:spacing w:after="0" w:line="600" w:lineRule="exact"/>
        <w:ind w:firstLine="672" w:firstLineChars="200"/>
        <w:rPr>
          <w:rFonts w:eastAsia="仿宋_GB2312"/>
          <w:sz w:val="32"/>
          <w:szCs w:val="32"/>
        </w:rPr>
      </w:pPr>
      <w:r>
        <w:rPr>
          <w:rFonts w:hint="eastAsia" w:eastAsia="仿宋_GB2312"/>
          <w:spacing w:val="8"/>
          <w:sz w:val="32"/>
          <w:szCs w:val="32"/>
        </w:rPr>
        <w:t>结合子基金定位，阐述拟设立子基金的投资方向与策略及返投计划，并就项目储备来源、拟投项目所处阶段分布、开展投资时段分布、基金整体现金回流计划等方面进行说明，对</w:t>
      </w:r>
      <w:r>
        <w:rPr>
          <w:rFonts w:hint="eastAsia" w:eastAsia="仿宋_GB2312"/>
          <w:spacing w:val="6"/>
          <w:sz w:val="32"/>
          <w:szCs w:val="32"/>
        </w:rPr>
        <w:t>投资方向所属行业现状及趋势进行简要分析。</w:t>
      </w:r>
    </w:p>
    <w:p>
      <w:pPr>
        <w:overflowPunct w:val="0"/>
        <w:autoSpaceDE w:val="0"/>
        <w:autoSpaceDN w:val="0"/>
        <w:snapToGrid w:val="0"/>
        <w:spacing w:line="60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（三）募资计划</w:t>
      </w:r>
    </w:p>
    <w:p>
      <w:pPr>
        <w:pStyle w:val="2"/>
        <w:overflowPunct w:val="0"/>
        <w:autoSpaceDE w:val="0"/>
        <w:autoSpaceDN w:val="0"/>
        <w:spacing w:after="0" w:line="600" w:lineRule="exact"/>
        <w:ind w:firstLine="676" w:firstLineChars="200"/>
        <w:rPr>
          <w:rFonts w:eastAsia="仿宋_GB2312"/>
          <w:sz w:val="32"/>
          <w:szCs w:val="32"/>
        </w:rPr>
      </w:pPr>
      <w:r>
        <w:rPr>
          <w:rFonts w:hint="eastAsia" w:eastAsia="仿宋_GB2312"/>
          <w:spacing w:val="9"/>
          <w:sz w:val="32"/>
          <w:szCs w:val="32"/>
        </w:rPr>
        <w:t>主要包括：募资总规模、募集方式、已确认</w:t>
      </w:r>
      <w:r>
        <w:rPr>
          <w:rFonts w:hint="eastAsia" w:eastAsia="仿宋_GB2312"/>
          <w:spacing w:val="8"/>
          <w:sz w:val="32"/>
          <w:szCs w:val="32"/>
        </w:rPr>
        <w:t>的出资人和出资金额、意向出资人和出资金额、出资人情况简介。</w:t>
      </w:r>
      <w:r>
        <w:rPr>
          <w:rFonts w:hint="eastAsia" w:eastAsia="仿宋_GB2312"/>
          <w:sz w:val="32"/>
          <w:szCs w:val="32"/>
        </w:rPr>
        <w:t>管理机构已取得其他机构出具的投资意向函或证明材料，</w:t>
      </w:r>
      <w:r>
        <w:rPr>
          <w:rFonts w:hint="eastAsia" w:eastAsia="仿宋_GB2312"/>
          <w:b/>
          <w:bCs/>
          <w:sz w:val="32"/>
          <w:szCs w:val="32"/>
        </w:rPr>
        <w:t>不少于子基金认缴规模50%</w:t>
      </w:r>
      <w:r>
        <w:rPr>
          <w:rFonts w:hint="eastAsia" w:eastAsia="仿宋_GB2312"/>
          <w:sz w:val="32"/>
          <w:szCs w:val="32"/>
        </w:rPr>
        <w:t>（不含母基金出资）。</w:t>
      </w:r>
    </w:p>
    <w:p>
      <w:pPr>
        <w:pStyle w:val="2"/>
        <w:overflowPunct w:val="0"/>
        <w:autoSpaceDE w:val="0"/>
        <w:autoSpaceDN w:val="0"/>
        <w:spacing w:after="0" w:line="600" w:lineRule="exact"/>
        <w:ind w:firstLine="660" w:firstLineChars="200"/>
        <w:rPr>
          <w:rFonts w:eastAsia="仿宋_GB2312"/>
          <w:sz w:val="32"/>
          <w:szCs w:val="32"/>
        </w:rPr>
      </w:pPr>
      <w:r>
        <w:rPr>
          <w:rFonts w:hint="eastAsia" w:eastAsia="仿宋_GB2312"/>
          <w:spacing w:val="5"/>
          <w:sz w:val="32"/>
          <w:szCs w:val="32"/>
        </w:rPr>
        <w:t>该部分请提供：已确认出资的出资承诺函；意向出资人的投</w:t>
      </w:r>
      <w:r>
        <w:rPr>
          <w:rFonts w:hint="eastAsia" w:eastAsia="仿宋_GB2312"/>
          <w:spacing w:val="9"/>
          <w:sz w:val="32"/>
          <w:szCs w:val="32"/>
        </w:rPr>
        <w:t>资意向书；已确认出资人及意向出资人的营业执照复印件及合格</w:t>
      </w:r>
      <w:r>
        <w:rPr>
          <w:rFonts w:hint="eastAsia" w:eastAsia="仿宋_GB2312"/>
          <w:spacing w:val="2"/>
          <w:sz w:val="32"/>
          <w:szCs w:val="32"/>
        </w:rPr>
        <w:t>投资者证明材料等。</w:t>
      </w:r>
      <w:r>
        <w:rPr>
          <w:rFonts w:hint="eastAsia" w:eastAsia="仿宋_GB2312"/>
          <w:sz w:val="32"/>
          <w:szCs w:val="32"/>
        </w:rPr>
        <w:t>子基金管理机构的社会化募资情况、募资承诺书、既往所管基金的社会化募资比例情况。</w:t>
      </w:r>
    </w:p>
    <w:p>
      <w:pPr>
        <w:overflowPunct w:val="0"/>
        <w:autoSpaceDE w:val="0"/>
        <w:autoSpaceDN w:val="0"/>
        <w:snapToGrid w:val="0"/>
        <w:spacing w:line="60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（四）管理方案</w:t>
      </w:r>
    </w:p>
    <w:p>
      <w:pPr>
        <w:pStyle w:val="2"/>
        <w:overflowPunct w:val="0"/>
        <w:autoSpaceDE w:val="0"/>
        <w:autoSpaceDN w:val="0"/>
        <w:spacing w:after="0" w:line="600" w:lineRule="exact"/>
        <w:ind w:firstLine="680" w:firstLineChars="200"/>
        <w:rPr>
          <w:rFonts w:eastAsia="仿宋_GB2312"/>
          <w:sz w:val="32"/>
          <w:szCs w:val="32"/>
        </w:rPr>
      </w:pPr>
      <w:r>
        <w:rPr>
          <w:rFonts w:hint="eastAsia" w:eastAsia="仿宋_GB2312"/>
          <w:spacing w:val="10"/>
          <w:sz w:val="32"/>
          <w:szCs w:val="32"/>
        </w:rPr>
        <w:t>包括但不限于：</w:t>
      </w:r>
      <w:r>
        <w:rPr>
          <w:rFonts w:hint="eastAsia" w:eastAsia="仿宋_GB2312"/>
          <w:spacing w:val="9"/>
          <w:sz w:val="32"/>
          <w:szCs w:val="32"/>
        </w:rPr>
        <w:t>在管基金与申报子基金利益冲突、</w:t>
      </w:r>
      <w:r>
        <w:rPr>
          <w:rFonts w:hint="eastAsia" w:eastAsia="仿宋_GB2312"/>
          <w:spacing w:val="8"/>
          <w:sz w:val="32"/>
          <w:szCs w:val="32"/>
        </w:rPr>
        <w:t>关联交易等处理原则及方案；员工跟投制度或措施；基金管理</w:t>
      </w:r>
      <w:r>
        <w:rPr>
          <w:rFonts w:hint="eastAsia" w:eastAsia="仿宋_GB2312"/>
          <w:spacing w:val="9"/>
          <w:sz w:val="32"/>
          <w:szCs w:val="32"/>
        </w:rPr>
        <w:t>费和</w:t>
      </w:r>
      <w:r>
        <w:rPr>
          <w:rFonts w:eastAsia="仿宋_GB2312"/>
          <w:sz w:val="32"/>
          <w:szCs w:val="32"/>
        </w:rPr>
        <w:t>Carry</w:t>
      </w:r>
      <w:r>
        <w:rPr>
          <w:rFonts w:hint="eastAsia" w:eastAsia="仿宋_GB2312"/>
          <w:spacing w:val="9"/>
          <w:sz w:val="32"/>
          <w:szCs w:val="32"/>
        </w:rPr>
        <w:t>向管理团队的分配机制，员工激励约束机制等；风险</w:t>
      </w:r>
      <w:r>
        <w:rPr>
          <w:rFonts w:hint="eastAsia" w:eastAsia="仿宋_GB2312"/>
          <w:spacing w:val="8"/>
          <w:sz w:val="32"/>
          <w:szCs w:val="32"/>
        </w:rPr>
        <w:t>控制机制；项目投后管理方案及可提供的资源和服务</w:t>
      </w:r>
      <w:r>
        <w:rPr>
          <w:rFonts w:hint="eastAsia" w:eastAsia="仿宋_GB2312"/>
          <w:spacing w:val="-1"/>
          <w:sz w:val="32"/>
          <w:szCs w:val="32"/>
        </w:rPr>
        <w:t>。</w:t>
      </w:r>
    </w:p>
    <w:p>
      <w:pPr>
        <w:overflowPunct w:val="0"/>
        <w:autoSpaceDE w:val="0"/>
        <w:autoSpaceDN w:val="0"/>
        <w:snapToGrid w:val="0"/>
        <w:spacing w:line="60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（五）管理费、门槛收益率及绩效奖励</w:t>
      </w:r>
    </w:p>
    <w:p>
      <w:pPr>
        <w:pStyle w:val="2"/>
        <w:overflowPunct w:val="0"/>
        <w:autoSpaceDE w:val="0"/>
        <w:autoSpaceDN w:val="0"/>
        <w:spacing w:after="0" w:line="600" w:lineRule="exact"/>
        <w:ind w:firstLine="676" w:firstLineChars="200"/>
        <w:rPr>
          <w:rFonts w:eastAsia="仿宋_GB2312"/>
          <w:sz w:val="32"/>
          <w:szCs w:val="32"/>
        </w:rPr>
      </w:pPr>
      <w:r>
        <w:rPr>
          <w:rFonts w:hint="eastAsia" w:eastAsia="仿宋_GB2312"/>
          <w:spacing w:val="9"/>
          <w:sz w:val="32"/>
          <w:szCs w:val="32"/>
        </w:rPr>
        <w:t>主要包括：管理费方案（如：使用范围、存</w:t>
      </w:r>
      <w:r>
        <w:rPr>
          <w:rFonts w:hint="eastAsia" w:eastAsia="仿宋_GB2312"/>
          <w:spacing w:val="8"/>
          <w:sz w:val="32"/>
          <w:szCs w:val="32"/>
        </w:rPr>
        <w:t>续期间的提取比</w:t>
      </w:r>
      <w:r>
        <w:rPr>
          <w:rFonts w:hint="eastAsia" w:eastAsia="仿宋_GB2312"/>
          <w:spacing w:val="14"/>
          <w:sz w:val="32"/>
          <w:szCs w:val="32"/>
        </w:rPr>
        <w:t>例及基数等</w:t>
      </w:r>
      <w:r>
        <w:rPr>
          <w:rFonts w:hint="eastAsia" w:eastAsia="仿宋_GB2312"/>
          <w:spacing w:val="20"/>
          <w:sz w:val="32"/>
          <w:szCs w:val="32"/>
        </w:rPr>
        <w:t>）；</w:t>
      </w:r>
      <w:r>
        <w:rPr>
          <w:rFonts w:hint="eastAsia" w:eastAsia="仿宋_GB2312"/>
          <w:spacing w:val="14"/>
          <w:sz w:val="32"/>
          <w:szCs w:val="32"/>
        </w:rPr>
        <w:t>门槛收益率标准、绩效奖励的提取及分配方案等。</w:t>
      </w:r>
    </w:p>
    <w:p>
      <w:pPr>
        <w:overflowPunct w:val="0"/>
        <w:autoSpaceDE w:val="0"/>
        <w:autoSpaceDN w:val="0"/>
        <w:snapToGrid w:val="0"/>
        <w:spacing w:line="60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（六）收益分配及退出方案</w:t>
      </w:r>
    </w:p>
    <w:p>
      <w:pPr>
        <w:overflowPunct w:val="0"/>
        <w:autoSpaceDE w:val="0"/>
        <w:autoSpaceDN w:val="0"/>
        <w:snapToGrid w:val="0"/>
        <w:spacing w:line="600" w:lineRule="exact"/>
        <w:ind w:firstLine="643" w:firstLineChars="200"/>
        <w:rPr>
          <w:rFonts w:ascii="Times New Roman" w:hAnsi="Times New Roman" w:eastAsia="楷体_GB2312"/>
          <w:b/>
          <w:bCs/>
          <w:sz w:val="32"/>
          <w:szCs w:val="32"/>
        </w:rPr>
      </w:pPr>
      <w:r>
        <w:rPr>
          <w:rFonts w:hint="eastAsia" w:ascii="Times New Roman" w:hAnsi="Times New Roman" w:eastAsia="楷体_GB2312"/>
          <w:b/>
          <w:bCs/>
          <w:sz w:val="32"/>
          <w:szCs w:val="32"/>
        </w:rPr>
        <w:t>（七）申报单位认为重要的其他内容</w:t>
      </w:r>
    </w:p>
    <w:p>
      <w:pPr>
        <w:pStyle w:val="3"/>
        <w:overflowPunct w:val="0"/>
        <w:autoSpaceDE w:val="0"/>
        <w:autoSpaceDN w:val="0"/>
        <w:spacing w:before="0" w:beforeLines="0" w:after="0" w:afterLines="0"/>
        <w:jc w:val="both"/>
        <w:rPr>
          <w:rFonts w:ascii="Times New Roman" w:hAnsi="Times New Roman" w:cs="Times New Roman"/>
        </w:rPr>
      </w:pPr>
      <w:r>
        <w:rPr>
          <w:rFonts w:hint="eastAsia" w:ascii="Times New Roman" w:hAnsi="Times New Roman" w:cs="Times New Roman"/>
        </w:rPr>
        <w:t>五</w:t>
      </w:r>
      <w:r>
        <w:rPr>
          <w:rFonts w:ascii="Times New Roman" w:hAnsi="Times New Roman" w:cs="Times New Roman"/>
        </w:rPr>
        <w:t>、项目储备情况</w:t>
      </w:r>
    </w:p>
    <w:p>
      <w:pPr>
        <w:overflowPunct w:val="0"/>
        <w:autoSpaceDE w:val="0"/>
        <w:autoSpaceDN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主要阐述管理机构在空天海洋领域的项目储备以及可落地湖南项目储备情况。</w:t>
      </w:r>
    </w:p>
    <w:p>
      <w:pPr>
        <w:overflowPunct w:val="0"/>
        <w:autoSpaceDE w:val="0"/>
        <w:autoSpaceDN w:val="0"/>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可提供材料：可通过表格列示被投企业名称、项目简介、拟投资额度等信息，可对涉密信息进行脱敏处理。</w:t>
      </w:r>
    </w:p>
    <w:p>
      <w:pPr>
        <w:overflowPunct w:val="0"/>
        <w:autoSpaceDE w:val="0"/>
        <w:autoSpaceDN w:val="0"/>
        <w:snapToGrid w:val="0"/>
        <w:spacing w:line="600" w:lineRule="exact"/>
        <w:ind w:firstLine="640" w:firstLineChars="200"/>
        <w:rPr>
          <w:rFonts w:ascii="Times New Roman" w:hAnsi="Times New Roman" w:eastAsia="仿宋_GB2312"/>
          <w:sz w:val="32"/>
          <w:szCs w:val="32"/>
        </w:rPr>
      </w:pPr>
    </w:p>
    <w:p>
      <w:pPr>
        <w:overflowPunct w:val="0"/>
        <w:snapToGrid w:val="0"/>
        <w:spacing w:line="560" w:lineRule="exact"/>
        <w:ind w:firstLine="600" w:firstLineChars="200"/>
        <w:rPr>
          <w:rFonts w:ascii="Times New Roman" w:hAnsi="Times New Roman" w:eastAsia="仿宋_GB2312"/>
          <w:b/>
          <w:sz w:val="32"/>
          <w:szCs w:val="32"/>
        </w:rPr>
      </w:pPr>
      <w:r>
        <w:rPr>
          <w:rFonts w:hint="eastAsia" w:ascii="Times New Roman" w:hAnsi="Times New Roman" w:eastAsia="仿宋_GB2312"/>
          <w:sz w:val="30"/>
          <w:szCs w:val="30"/>
        </w:rPr>
        <w:t>注：申报单位可自行提供认为重要的其他内容或佐证材料，所有证明材料、情况说明均须加盖申报单位公章。</w:t>
      </w:r>
      <w:r>
        <w:rPr>
          <w:rFonts w:ascii="Times New Roman" w:hAnsi="Times New Roman" w:eastAsia="仿宋_GB2312"/>
          <w:b/>
          <w:sz w:val="32"/>
          <w:szCs w:val="32"/>
        </w:rPr>
        <w:br w:type="page"/>
      </w:r>
    </w:p>
    <w:p>
      <w:pPr>
        <w:autoSpaceDE w:val="0"/>
        <w:autoSpaceDN w:val="0"/>
        <w:snapToGrid w:val="0"/>
        <w:spacing w:line="560" w:lineRule="exact"/>
        <w:ind w:right="-1"/>
        <w:rPr>
          <w:rFonts w:ascii="Times New Roman" w:hAnsi="Times New Roman" w:eastAsia="黑体"/>
          <w:sz w:val="32"/>
          <w:szCs w:val="32"/>
        </w:rPr>
      </w:pPr>
      <w:r>
        <w:rPr>
          <w:rFonts w:hint="eastAsia" w:ascii="Times New Roman" w:hAnsi="Times New Roman" w:eastAsia="黑体"/>
          <w:sz w:val="32"/>
          <w:szCs w:val="32"/>
        </w:rPr>
        <w:t>附件3</w:t>
      </w:r>
    </w:p>
    <w:p>
      <w:pPr>
        <w:pStyle w:val="2"/>
      </w:pPr>
    </w:p>
    <w:p>
      <w:pPr>
        <w:autoSpaceDE w:val="0"/>
        <w:autoSpaceDN w:val="0"/>
        <w:snapToGrid w:val="0"/>
        <w:spacing w:line="560" w:lineRule="exact"/>
        <w:jc w:val="center"/>
        <w:outlineLvl w:val="0"/>
        <w:rPr>
          <w:rFonts w:ascii="Times New Roman" w:hAnsi="Times New Roman" w:eastAsia="方正小标宋_GBK"/>
          <w:sz w:val="44"/>
          <w:szCs w:val="44"/>
        </w:rPr>
      </w:pPr>
      <w:r>
        <w:rPr>
          <w:rFonts w:ascii="Times New Roman" w:hAnsi="Times New Roman" w:eastAsia="方正小标宋_GBK"/>
          <w:sz w:val="44"/>
          <w:szCs w:val="44"/>
        </w:rPr>
        <w:t>申 报 承 诺 书</w:t>
      </w:r>
    </w:p>
    <w:p>
      <w:pPr>
        <w:autoSpaceDE w:val="0"/>
        <w:autoSpaceDN w:val="0"/>
        <w:snapToGrid w:val="0"/>
        <w:spacing w:line="560" w:lineRule="exact"/>
        <w:ind w:right="-1" w:firstLine="632" w:firstLineChars="200"/>
        <w:rPr>
          <w:rFonts w:ascii="Times New Roman" w:hAnsi="Times New Roman" w:eastAsia="仿宋"/>
          <w:spacing w:val="6"/>
          <w:w w:val="95"/>
          <w:sz w:val="32"/>
          <w:szCs w:val="32"/>
        </w:rPr>
      </w:pPr>
      <w:bookmarkStart w:id="3" w:name="_Hlk120804515"/>
    </w:p>
    <w:p>
      <w:pPr>
        <w:autoSpaceDE w:val="0"/>
        <w:autoSpaceDN w:val="0"/>
        <w:snapToGrid w:val="0"/>
        <w:spacing w:line="600" w:lineRule="exact"/>
        <w:ind w:firstLine="608" w:firstLineChars="200"/>
        <w:rPr>
          <w:rFonts w:ascii="Times New Roman" w:hAnsi="Times New Roman" w:eastAsia="仿宋_GB2312"/>
          <w:sz w:val="32"/>
          <w:szCs w:val="32"/>
        </w:rPr>
      </w:pPr>
      <w:r>
        <w:rPr>
          <w:rFonts w:ascii="Times New Roman" w:hAnsi="Times New Roman" w:eastAsia="仿宋_GB2312"/>
          <w:w w:val="95"/>
          <w:sz w:val="32"/>
          <w:szCs w:val="32"/>
        </w:rPr>
        <w:t>本单位已了解并响应湖南省产业引导基金空天海洋</w:t>
      </w:r>
      <w:r>
        <w:rPr>
          <w:rFonts w:hint="eastAsia" w:ascii="Times New Roman" w:hAnsi="Times New Roman" w:eastAsia="仿宋_GB2312"/>
          <w:w w:val="95"/>
          <w:sz w:val="32"/>
          <w:szCs w:val="32"/>
          <w:lang w:val="en-US" w:eastAsia="zh-CN"/>
        </w:rPr>
        <w:t>产业</w:t>
      </w:r>
      <w:r>
        <w:rPr>
          <w:rFonts w:ascii="Times New Roman" w:hAnsi="Times New Roman" w:eastAsia="仿宋_GB2312"/>
          <w:w w:val="95"/>
          <w:sz w:val="32"/>
          <w:szCs w:val="32"/>
        </w:rPr>
        <w:t>子基金管理机构</w:t>
      </w:r>
      <w:r>
        <w:rPr>
          <w:rFonts w:ascii="Times New Roman" w:hAnsi="Times New Roman" w:eastAsia="仿宋_GB2312"/>
          <w:sz w:val="32"/>
          <w:szCs w:val="32"/>
        </w:rPr>
        <w:t>遴选的相关政策、规定及申报要求，现</w:t>
      </w:r>
      <w:r>
        <w:rPr>
          <w:rFonts w:ascii="Times New Roman" w:hAnsi="Times New Roman" w:eastAsia="仿宋_GB2312"/>
          <w:w w:val="95"/>
          <w:sz w:val="32"/>
          <w:szCs w:val="32"/>
        </w:rPr>
        <w:t>向湖南省财信产业基金管理有限公司申请担任湖南省产业引导基金空天海洋</w:t>
      </w:r>
      <w:r>
        <w:rPr>
          <w:rFonts w:hint="eastAsia" w:ascii="Times New Roman" w:hAnsi="Times New Roman" w:eastAsia="仿宋_GB2312"/>
          <w:w w:val="95"/>
          <w:sz w:val="32"/>
          <w:szCs w:val="32"/>
          <w:lang w:val="en-US" w:eastAsia="zh-CN"/>
        </w:rPr>
        <w:t>产业</w:t>
      </w:r>
      <w:r>
        <w:rPr>
          <w:rFonts w:ascii="Times New Roman" w:hAnsi="Times New Roman" w:eastAsia="仿宋_GB2312"/>
          <w:sz w:val="32"/>
          <w:szCs w:val="32"/>
        </w:rPr>
        <w:t>子基金管理机构</w:t>
      </w:r>
      <w:bookmarkEnd w:id="3"/>
      <w:r>
        <w:rPr>
          <w:rFonts w:ascii="Times New Roman" w:hAnsi="Times New Roman" w:eastAsia="仿宋_GB2312"/>
          <w:sz w:val="32"/>
          <w:szCs w:val="32"/>
        </w:rPr>
        <w:t>，申请湖南省产业引导基金出资___亿元。本单位已认真准备了申报材料，并对本次申报郑重承诺如下：</w:t>
      </w:r>
    </w:p>
    <w:p>
      <w:pPr>
        <w:autoSpaceDE w:val="0"/>
        <w:autoSpaceDN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一、本单位所提交的申报材料为本单位独立编写，无委托其他机构代编写行为；</w:t>
      </w:r>
    </w:p>
    <w:p>
      <w:pPr>
        <w:autoSpaceDE w:val="0"/>
        <w:autoSpaceDN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二、本单位所提交的申报材料相关内容完整、真实、准确，无欺瞒和作假行为；</w:t>
      </w:r>
    </w:p>
    <w:p>
      <w:pPr>
        <w:autoSpaceDE w:val="0"/>
        <w:autoSpaceDN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三、在申报过程中，本单位将积极配合湖南省财信产业基金管理有限公司组织的相关评审和尽职调查等工作。</w:t>
      </w:r>
    </w:p>
    <w:p>
      <w:pPr>
        <w:autoSpaceDE w:val="0"/>
        <w:autoSpaceDN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如违反上述承诺，本单位愿意承担由此带来的一切后果及相关法律责任。</w:t>
      </w:r>
    </w:p>
    <w:p>
      <w:pPr>
        <w:autoSpaceDE w:val="0"/>
        <w:autoSpaceDN w:val="0"/>
        <w:snapToGrid w:val="0"/>
        <w:spacing w:line="560" w:lineRule="exact"/>
        <w:ind w:firstLine="640" w:firstLineChars="200"/>
        <w:rPr>
          <w:rFonts w:ascii="Times New Roman" w:hAnsi="Times New Roman" w:eastAsia="仿宋_GB2312"/>
          <w:sz w:val="32"/>
          <w:szCs w:val="32"/>
        </w:rPr>
      </w:pPr>
    </w:p>
    <w:p>
      <w:pPr>
        <w:autoSpaceDE w:val="0"/>
        <w:autoSpaceDN w:val="0"/>
        <w:snapToGrid w:val="0"/>
        <w:spacing w:line="760" w:lineRule="exact"/>
        <w:ind w:right="-284" w:firstLine="640" w:firstLineChars="200"/>
        <w:rPr>
          <w:rFonts w:ascii="Times New Roman" w:hAnsi="Times New Roman" w:eastAsia="仿宋_GB2312"/>
          <w:sz w:val="32"/>
          <w:szCs w:val="32"/>
        </w:rPr>
      </w:pPr>
      <w:r>
        <w:rPr>
          <w:rFonts w:ascii="Times New Roman" w:hAnsi="Times New Roman" w:eastAsia="仿宋_GB2312"/>
          <w:sz w:val="32"/>
          <w:szCs w:val="32"/>
        </w:rPr>
        <w:t>申请单位：（公章）</w:t>
      </w:r>
    </w:p>
    <w:p>
      <w:pPr>
        <w:autoSpaceDE w:val="0"/>
        <w:autoSpaceDN w:val="0"/>
        <w:snapToGrid w:val="0"/>
        <w:spacing w:line="760" w:lineRule="exact"/>
        <w:ind w:right="-284" w:firstLine="640" w:firstLineChars="200"/>
        <w:rPr>
          <w:rFonts w:ascii="Times New Roman" w:hAnsi="Times New Roman" w:eastAsia="仿宋_GB2312"/>
          <w:sz w:val="32"/>
          <w:szCs w:val="32"/>
        </w:rPr>
      </w:pPr>
      <w:r>
        <w:rPr>
          <w:rFonts w:hint="eastAsia" w:ascii="Times New Roman" w:hAnsi="Times New Roman" w:eastAsia="仿宋_GB2312"/>
          <w:sz w:val="32"/>
          <w:szCs w:val="32"/>
        </w:rPr>
        <w:t>法定代表人（或执行事务合伙人委派代表或其授权代表）：</w:t>
      </w:r>
    </w:p>
    <w:p>
      <w:pPr>
        <w:autoSpaceDE w:val="0"/>
        <w:autoSpaceDN w:val="0"/>
        <w:snapToGrid w:val="0"/>
        <w:spacing w:line="760" w:lineRule="exact"/>
        <w:ind w:right="-1" w:firstLine="640" w:firstLineChars="200"/>
        <w:rPr>
          <w:rFonts w:ascii="Times New Roman" w:hAnsi="Times New Roman" w:eastAsia="仿宋_GB2312"/>
          <w:sz w:val="32"/>
          <w:szCs w:val="32"/>
        </w:rPr>
      </w:pPr>
      <w:r>
        <w:rPr>
          <w:rFonts w:ascii="Times New Roman" w:hAnsi="Times New Roman" w:eastAsia="仿宋_GB2312"/>
          <w:sz w:val="32"/>
          <w:szCs w:val="32"/>
        </w:rPr>
        <w:t>___________（签字）</w:t>
      </w:r>
    </w:p>
    <w:p>
      <w:pPr>
        <w:autoSpaceDE w:val="0"/>
        <w:autoSpaceDN w:val="0"/>
        <w:snapToGrid w:val="0"/>
        <w:spacing w:line="760" w:lineRule="exact"/>
        <w:ind w:right="-1" w:firstLine="640" w:firstLineChars="200"/>
        <w:rPr>
          <w:rFonts w:ascii="Times New Roman" w:hAnsi="Times New Roman" w:eastAsia="方正仿宋_GBK"/>
          <w:sz w:val="32"/>
          <w:szCs w:val="32"/>
        </w:rPr>
      </w:pPr>
      <w:r>
        <w:rPr>
          <w:rFonts w:ascii="Times New Roman" w:hAnsi="Times New Roman" w:eastAsia="仿宋_GB2312"/>
          <w:sz w:val="32"/>
          <w:szCs w:val="32"/>
        </w:rPr>
        <w:t>日期：   年    月    日</w:t>
      </w:r>
    </w:p>
    <w:p>
      <w:pPr>
        <w:autoSpaceDE w:val="0"/>
        <w:autoSpaceDN w:val="0"/>
        <w:snapToGrid w:val="0"/>
        <w:spacing w:line="760" w:lineRule="exact"/>
        <w:ind w:right="840" w:rightChars="400"/>
        <w:rPr>
          <w:rFonts w:ascii="Times New Roman" w:hAnsi="Times New Roman" w:eastAsia="方正仿宋_GBK"/>
        </w:rPr>
        <w:sectPr>
          <w:footerReference r:id="rId4" w:type="default"/>
          <w:pgSz w:w="11910" w:h="16840"/>
          <w:pgMar w:top="1417" w:right="1588" w:bottom="1417" w:left="1588" w:header="0" w:footer="1134" w:gutter="0"/>
          <w:pgNumType w:fmt="numberInDash"/>
          <w:cols w:space="0" w:num="1"/>
        </w:sectPr>
      </w:pPr>
    </w:p>
    <w:p>
      <w:pPr>
        <w:autoSpaceDE w:val="0"/>
        <w:autoSpaceDN w:val="0"/>
        <w:snapToGrid w:val="0"/>
        <w:spacing w:line="560" w:lineRule="exact"/>
        <w:ind w:right="-1"/>
        <w:rPr>
          <w:rFonts w:ascii="Times New Roman" w:hAnsi="Times New Roman" w:eastAsia="仿宋"/>
          <w:sz w:val="32"/>
          <w:szCs w:val="32"/>
        </w:rPr>
      </w:pPr>
    </w:p>
    <w:p>
      <w:pPr>
        <w:tabs>
          <w:tab w:val="left" w:pos="8080"/>
        </w:tabs>
        <w:autoSpaceDE w:val="0"/>
        <w:autoSpaceDN w:val="0"/>
        <w:snapToGrid w:val="0"/>
        <w:spacing w:line="560" w:lineRule="exact"/>
        <w:ind w:right="269" w:rightChars="128"/>
        <w:jc w:val="center"/>
        <w:outlineLvl w:val="0"/>
        <w:rPr>
          <w:rFonts w:ascii="Times New Roman" w:hAnsi="Times New Roman" w:eastAsia="方正小标宋_GBK"/>
          <w:sz w:val="44"/>
          <w:szCs w:val="44"/>
        </w:rPr>
      </w:pPr>
      <w:r>
        <w:rPr>
          <w:rFonts w:ascii="Times New Roman" w:hAnsi="Times New Roman" w:eastAsia="方正小标宋_GBK"/>
          <w:sz w:val="44"/>
          <w:szCs w:val="44"/>
        </w:rPr>
        <w:t>关于经营状况和无不良行为记录的声明函</w:t>
      </w:r>
    </w:p>
    <w:p>
      <w:pPr>
        <w:tabs>
          <w:tab w:val="left" w:pos="8080"/>
        </w:tabs>
        <w:autoSpaceDE w:val="0"/>
        <w:autoSpaceDN w:val="0"/>
        <w:snapToGrid w:val="0"/>
        <w:spacing w:line="560" w:lineRule="exact"/>
        <w:ind w:right="840" w:rightChars="400"/>
        <w:rPr>
          <w:rFonts w:ascii="Times New Roman" w:hAnsi="Times New Roman" w:eastAsia="仿宋"/>
          <w:sz w:val="28"/>
          <w:szCs w:val="32"/>
        </w:rPr>
      </w:pPr>
    </w:p>
    <w:p>
      <w:pPr>
        <w:tabs>
          <w:tab w:val="left" w:pos="8080"/>
        </w:tabs>
        <w:autoSpaceDE w:val="0"/>
        <w:autoSpaceDN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我单位在此郑重声明，我单位自成立以来经营正常，没有被责令停业，财产没有被接管、冻结</w:t>
      </w:r>
      <w:r>
        <w:rPr>
          <w:rFonts w:hint="eastAsia" w:ascii="Times New Roman" w:hAnsi="Times New Roman" w:eastAsia="仿宋_GB2312"/>
          <w:sz w:val="32"/>
          <w:szCs w:val="32"/>
        </w:rPr>
        <w:t>、</w:t>
      </w:r>
      <w:r>
        <w:rPr>
          <w:rFonts w:ascii="Times New Roman" w:hAnsi="Times New Roman" w:eastAsia="仿宋_GB2312"/>
          <w:sz w:val="32"/>
          <w:szCs w:val="32"/>
        </w:rPr>
        <w:t>查封，没有破产；在经营活动中无重大违法违规行为，没有因违法经营受到刑事处罚或者责令停产停业、吊销许可证或者执照，不存在受到监管机构通报批评或处罚等问题，没有被列入“政府采购严重违法失信行为记录名单”，未被中国证券投资基金业协会列为异常机构，近一年内不存在管理团队成员大量离职等情形。在参与本次遴选申报活动中，一经发现我单位存在上述任何情况的，我单位愿意承担由此造成的一切后果。</w:t>
      </w:r>
    </w:p>
    <w:p>
      <w:pPr>
        <w:tabs>
          <w:tab w:val="left" w:pos="8080"/>
        </w:tabs>
        <w:autoSpaceDE w:val="0"/>
        <w:autoSpaceDN w:val="0"/>
        <w:snapToGrid w:val="0"/>
        <w:spacing w:line="560" w:lineRule="exact"/>
        <w:ind w:right="840" w:rightChars="400" w:firstLine="640" w:firstLineChars="200"/>
        <w:rPr>
          <w:rFonts w:ascii="Times New Roman" w:hAnsi="Times New Roman" w:eastAsia="仿宋_GB2312"/>
          <w:sz w:val="32"/>
          <w:szCs w:val="32"/>
        </w:rPr>
      </w:pPr>
    </w:p>
    <w:p>
      <w:pPr>
        <w:tabs>
          <w:tab w:val="left" w:pos="8080"/>
        </w:tabs>
        <w:autoSpaceDE w:val="0"/>
        <w:autoSpaceDN w:val="0"/>
        <w:snapToGrid w:val="0"/>
        <w:spacing w:line="560" w:lineRule="exact"/>
        <w:ind w:right="840" w:rightChars="400" w:firstLine="640" w:firstLineChars="200"/>
        <w:rPr>
          <w:rFonts w:ascii="Times New Roman" w:hAnsi="Times New Roman" w:eastAsia="仿宋_GB2312"/>
          <w:sz w:val="32"/>
          <w:szCs w:val="32"/>
        </w:rPr>
      </w:pPr>
    </w:p>
    <w:p>
      <w:pPr>
        <w:tabs>
          <w:tab w:val="left" w:pos="8080"/>
        </w:tabs>
        <w:autoSpaceDE w:val="0"/>
        <w:autoSpaceDN w:val="0"/>
        <w:snapToGrid w:val="0"/>
        <w:spacing w:line="560" w:lineRule="exact"/>
        <w:ind w:right="840" w:rightChars="400" w:firstLine="640" w:firstLineChars="200"/>
        <w:rPr>
          <w:rFonts w:ascii="Times New Roman" w:hAnsi="Times New Roman" w:eastAsia="仿宋_GB2312"/>
          <w:sz w:val="32"/>
          <w:szCs w:val="32"/>
        </w:rPr>
      </w:pPr>
    </w:p>
    <w:p>
      <w:pPr>
        <w:snapToGrid w:val="0"/>
        <w:spacing w:line="7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申请单位：（公章）</w:t>
      </w:r>
    </w:p>
    <w:p>
      <w:pPr>
        <w:tabs>
          <w:tab w:val="left" w:pos="8222"/>
        </w:tabs>
        <w:snapToGrid w:val="0"/>
        <w:spacing w:line="7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法定代表人（或执行事务合伙人委派代表或其授权代表）：</w:t>
      </w:r>
    </w:p>
    <w:p>
      <w:pPr>
        <w:snapToGrid w:val="0"/>
        <w:spacing w:line="7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___________（签字）</w:t>
      </w:r>
    </w:p>
    <w:p>
      <w:pPr>
        <w:snapToGrid w:val="0"/>
        <w:spacing w:line="760" w:lineRule="exact"/>
        <w:ind w:firstLine="640" w:firstLineChars="200"/>
        <w:rPr>
          <w:rFonts w:ascii="Times New Roman" w:hAnsi="Times New Roman" w:eastAsia="方正仿宋_GBK"/>
          <w:sz w:val="32"/>
          <w:szCs w:val="32"/>
        </w:rPr>
      </w:pPr>
      <w:r>
        <w:rPr>
          <w:rFonts w:ascii="Times New Roman" w:hAnsi="Times New Roman" w:eastAsia="仿宋_GB2312"/>
          <w:sz w:val="32"/>
          <w:szCs w:val="32"/>
        </w:rPr>
        <w:t>日期： 年  月  日</w:t>
      </w:r>
    </w:p>
    <w:p>
      <w:pPr>
        <w:snapToGrid w:val="0"/>
        <w:spacing w:line="760" w:lineRule="exact"/>
        <w:ind w:firstLine="420" w:firstLineChars="200"/>
        <w:rPr>
          <w:rFonts w:ascii="Times New Roman" w:hAnsi="Times New Roman" w:eastAsia="方正仿宋_GBK"/>
        </w:rPr>
        <w:sectPr>
          <w:pgSz w:w="11910" w:h="16840"/>
          <w:pgMar w:top="1417" w:right="1588" w:bottom="1417" w:left="1588" w:header="0" w:footer="1134" w:gutter="0"/>
          <w:pgNumType w:fmt="numberInDash"/>
          <w:cols w:space="0" w:num="1"/>
        </w:sectPr>
      </w:pPr>
    </w:p>
    <w:p>
      <w:pPr>
        <w:snapToGrid w:val="0"/>
        <w:spacing w:line="560" w:lineRule="exact"/>
        <w:ind w:right="134" w:rightChars="64"/>
        <w:jc w:val="center"/>
        <w:outlineLvl w:val="0"/>
        <w:rPr>
          <w:rFonts w:ascii="Times New Roman" w:hAnsi="Times New Roman" w:eastAsia="方正小标宋_GBK"/>
          <w:sz w:val="44"/>
          <w:szCs w:val="44"/>
        </w:rPr>
      </w:pPr>
    </w:p>
    <w:p>
      <w:pPr>
        <w:snapToGrid w:val="0"/>
        <w:spacing w:line="560" w:lineRule="exact"/>
        <w:ind w:right="134" w:rightChars="64"/>
        <w:jc w:val="center"/>
        <w:outlineLvl w:val="0"/>
        <w:rPr>
          <w:rFonts w:ascii="Times New Roman" w:hAnsi="Times New Roman" w:eastAsia="方正小标宋_GBK"/>
          <w:sz w:val="44"/>
          <w:szCs w:val="44"/>
        </w:rPr>
      </w:pPr>
      <w:r>
        <w:rPr>
          <w:rFonts w:ascii="Times New Roman" w:hAnsi="Times New Roman" w:eastAsia="方正小标宋_GBK"/>
          <w:sz w:val="44"/>
          <w:szCs w:val="44"/>
        </w:rPr>
        <w:t>法定代表人授权书</w:t>
      </w:r>
    </w:p>
    <w:p>
      <w:pPr>
        <w:snapToGrid w:val="0"/>
        <w:spacing w:line="560" w:lineRule="exact"/>
        <w:ind w:right="134" w:rightChars="64"/>
        <w:jc w:val="center"/>
        <w:outlineLvl w:val="0"/>
        <w:rPr>
          <w:rFonts w:ascii="Times New Roman" w:hAnsi="Times New Roman" w:eastAsia="方正仿宋_GBK"/>
          <w:sz w:val="44"/>
          <w:szCs w:val="44"/>
        </w:rPr>
      </w:pPr>
    </w:p>
    <w:p>
      <w:pPr>
        <w:snapToGrid w:val="0"/>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本授权书声明：________（法定代表人姓名、职务）为______________（单位名称）法定代表人，经单位内部合法程序，兹授权__________（授权委托代理人的姓名、职务）（身份证号码：___________ ）为本单位的授权委托代理人，可代表本单位针对湖南省产业引导基金空天海洋</w:t>
      </w:r>
      <w:r>
        <w:rPr>
          <w:rFonts w:hint="eastAsia" w:ascii="Times New Roman" w:hAnsi="Times New Roman" w:eastAsia="仿宋_GB2312"/>
          <w:sz w:val="32"/>
          <w:szCs w:val="32"/>
          <w:lang w:val="en-US" w:eastAsia="zh-CN"/>
        </w:rPr>
        <w:t>产业</w:t>
      </w:r>
      <w:r>
        <w:rPr>
          <w:rFonts w:ascii="Times New Roman" w:hAnsi="Times New Roman" w:eastAsia="仿宋_GB2312"/>
          <w:sz w:val="32"/>
          <w:szCs w:val="32"/>
        </w:rPr>
        <w:t>子基金管理机构遴选项目（以下简称“本项目”），以本单位名义签署或处理与本项目遴选相关的事务。________（授权委托代理人的姓名）在上述授权范围内的一切行为均代表本单位，本单位承担授权委托代理人行为的全部法律后果。本授权书有效期自____年___月___日到  ____年___月___日。授权委托代理人无转委托权。</w:t>
      </w:r>
    </w:p>
    <w:p>
      <w:pPr>
        <w:snapToGrid w:val="0"/>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特此委托授权。</w:t>
      </w:r>
    </w:p>
    <w:p>
      <w:pPr>
        <w:snapToGrid w:val="0"/>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后附法定代表人身份证复印件（加盖公章）、授权委托代理人身份证复印件（加盖公章）。</w:t>
      </w:r>
    </w:p>
    <w:p>
      <w:pPr>
        <w:tabs>
          <w:tab w:val="left" w:pos="5399"/>
        </w:tabs>
        <w:snapToGrid w:val="0"/>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申报单位：</w:t>
      </w:r>
      <w:r>
        <w:rPr>
          <w:rFonts w:ascii="Times New Roman" w:hAnsi="Times New Roman" w:eastAsia="仿宋_GB2312"/>
          <w:sz w:val="32"/>
          <w:szCs w:val="32"/>
        </w:rPr>
        <w:tab/>
      </w:r>
      <w:r>
        <w:rPr>
          <w:rFonts w:ascii="Times New Roman" w:hAnsi="Times New Roman" w:eastAsia="仿宋_GB2312"/>
          <w:sz w:val="32"/>
          <w:szCs w:val="32"/>
        </w:rPr>
        <w:t>授权委托代理人：</w:t>
      </w:r>
    </w:p>
    <w:p>
      <w:pPr>
        <w:tabs>
          <w:tab w:val="left" w:pos="5399"/>
        </w:tabs>
        <w:snapToGrid w:val="0"/>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法定代表人签字：</w:t>
      </w:r>
      <w:r>
        <w:rPr>
          <w:rFonts w:ascii="Times New Roman" w:hAnsi="Times New Roman" w:eastAsia="仿宋_GB2312"/>
          <w:sz w:val="32"/>
          <w:szCs w:val="32"/>
        </w:rPr>
        <w:tab/>
      </w:r>
      <w:r>
        <w:rPr>
          <w:rFonts w:ascii="Times New Roman" w:hAnsi="Times New Roman" w:eastAsia="仿宋_GB2312"/>
          <w:sz w:val="32"/>
          <w:szCs w:val="32"/>
        </w:rPr>
        <w:t>签名：</w:t>
      </w:r>
    </w:p>
    <w:p>
      <w:pPr>
        <w:tabs>
          <w:tab w:val="left" w:pos="5399"/>
        </w:tabs>
        <w:snapToGrid w:val="0"/>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单位公章：</w:t>
      </w:r>
      <w:r>
        <w:rPr>
          <w:rFonts w:ascii="Times New Roman" w:hAnsi="Times New Roman" w:eastAsia="仿宋_GB2312"/>
          <w:sz w:val="32"/>
          <w:szCs w:val="32"/>
        </w:rPr>
        <w:tab/>
      </w:r>
      <w:r>
        <w:rPr>
          <w:rFonts w:ascii="Times New Roman" w:hAnsi="Times New Roman" w:eastAsia="仿宋_GB2312"/>
          <w:sz w:val="32"/>
          <w:szCs w:val="32"/>
        </w:rPr>
        <w:t>身份证号码：</w:t>
      </w:r>
    </w:p>
    <w:p>
      <w:pPr>
        <w:tabs>
          <w:tab w:val="left" w:pos="5399"/>
        </w:tabs>
        <w:snapToGrid w:val="0"/>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地址：</w:t>
      </w:r>
      <w:r>
        <w:rPr>
          <w:rFonts w:ascii="Times New Roman" w:hAnsi="Times New Roman" w:eastAsia="仿宋_GB2312"/>
          <w:sz w:val="32"/>
          <w:szCs w:val="32"/>
        </w:rPr>
        <w:tab/>
      </w:r>
      <w:r>
        <w:rPr>
          <w:rFonts w:ascii="Times New Roman" w:hAnsi="Times New Roman" w:eastAsia="仿宋_GB2312"/>
          <w:sz w:val="32"/>
          <w:szCs w:val="32"/>
        </w:rPr>
        <w:t>单位：</w:t>
      </w:r>
    </w:p>
    <w:p>
      <w:pPr>
        <w:tabs>
          <w:tab w:val="left" w:pos="5399"/>
        </w:tabs>
        <w:snapToGrid w:val="0"/>
        <w:spacing w:line="59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电话：</w:t>
      </w:r>
      <w:r>
        <w:rPr>
          <w:rFonts w:ascii="Times New Roman" w:hAnsi="Times New Roman" w:eastAsia="仿宋_GB2312"/>
          <w:sz w:val="32"/>
          <w:szCs w:val="32"/>
        </w:rPr>
        <w:tab/>
      </w:r>
      <w:r>
        <w:rPr>
          <w:rFonts w:ascii="Times New Roman" w:hAnsi="Times New Roman" w:eastAsia="仿宋_GB2312"/>
          <w:sz w:val="32"/>
          <w:szCs w:val="32"/>
        </w:rPr>
        <w:t>联系电话：</w:t>
      </w:r>
    </w:p>
    <w:p>
      <w:pPr>
        <w:snapToGrid w:val="0"/>
        <w:spacing w:line="590" w:lineRule="exact"/>
        <w:ind w:firstLine="4592" w:firstLineChars="1400"/>
        <w:rPr>
          <w:rFonts w:ascii="Times New Roman" w:hAnsi="Times New Roman" w:eastAsia="仿宋_GB2312"/>
          <w:sz w:val="32"/>
          <w:szCs w:val="32"/>
        </w:rPr>
      </w:pPr>
      <w:r>
        <w:rPr>
          <w:rFonts w:ascii="Times New Roman" w:hAnsi="Times New Roman" w:eastAsia="仿宋_GB2312"/>
          <w:spacing w:val="4"/>
          <w:sz w:val="32"/>
          <w:szCs w:val="32"/>
        </w:rPr>
        <w:t>日期：  年   月  日</w:t>
      </w:r>
    </w:p>
    <w:p>
      <w:pPr>
        <w:snapToGrid w:val="0"/>
        <w:spacing w:line="590" w:lineRule="exact"/>
        <w:ind w:firstLine="663" w:firstLineChars="221"/>
        <w:rPr>
          <w:rFonts w:ascii="Times New Roman" w:hAnsi="Times New Roman" w:eastAsia="方正仿宋_GBK"/>
          <w:sz w:val="30"/>
          <w:szCs w:val="30"/>
        </w:rPr>
      </w:pPr>
      <w:r>
        <w:rPr>
          <w:rFonts w:hint="eastAsia" w:ascii="Times New Roman" w:hAnsi="Times New Roman" w:eastAsia="仿宋_GB2312"/>
          <w:sz w:val="30"/>
          <w:szCs w:val="30"/>
        </w:rPr>
        <w:t>注：如法定代表人授权他人办理，须按此模板提供委托书。</w:t>
      </w:r>
    </w:p>
    <w:p>
      <w:pPr>
        <w:rPr>
          <w:rFonts w:ascii="Times New Roman" w:hAnsi="Times New Roman" w:eastAsia="方正仿宋_GBK"/>
          <w:sz w:val="32"/>
          <w:szCs w:val="32"/>
        </w:rPr>
      </w:pPr>
      <w:r>
        <w:rPr>
          <w:rFonts w:ascii="Times New Roman" w:hAnsi="Times New Roman" w:eastAsia="方正仿宋_GBK"/>
          <w:sz w:val="32"/>
          <w:szCs w:val="32"/>
        </w:rPr>
        <w:br w:type="page"/>
      </w:r>
    </w:p>
    <w:p>
      <w:pPr>
        <w:autoSpaceDE w:val="0"/>
        <w:autoSpaceDN w:val="0"/>
        <w:snapToGrid w:val="0"/>
        <w:spacing w:line="560" w:lineRule="exact"/>
        <w:ind w:right="-1"/>
        <w:rPr>
          <w:rFonts w:ascii="Times New Roman" w:hAnsi="Times New Roman" w:eastAsia="黑体"/>
          <w:sz w:val="32"/>
          <w:szCs w:val="32"/>
        </w:rPr>
      </w:pPr>
      <w:r>
        <w:rPr>
          <w:rFonts w:hint="eastAsia" w:ascii="Times New Roman" w:hAnsi="Times New Roman" w:eastAsia="黑体"/>
          <w:sz w:val="32"/>
          <w:szCs w:val="32"/>
        </w:rPr>
        <w:t>附件4</w:t>
      </w:r>
    </w:p>
    <w:p>
      <w:pPr>
        <w:autoSpaceDE w:val="0"/>
        <w:autoSpaceDN w:val="0"/>
        <w:snapToGrid w:val="0"/>
        <w:spacing w:line="560" w:lineRule="exact"/>
        <w:ind w:right="134" w:rightChars="64"/>
        <w:jc w:val="center"/>
        <w:outlineLvl w:val="0"/>
        <w:rPr>
          <w:rFonts w:ascii="Times New Roman" w:hAnsi="Times New Roman" w:eastAsia="方正小标宋_GBK"/>
          <w:sz w:val="44"/>
          <w:szCs w:val="44"/>
        </w:rPr>
      </w:pPr>
    </w:p>
    <w:p>
      <w:pPr>
        <w:autoSpaceDE w:val="0"/>
        <w:autoSpaceDN w:val="0"/>
        <w:snapToGrid w:val="0"/>
        <w:spacing w:line="560" w:lineRule="exact"/>
        <w:ind w:right="134" w:rightChars="64"/>
        <w:jc w:val="center"/>
        <w:outlineLvl w:val="0"/>
        <w:rPr>
          <w:rFonts w:ascii="Times New Roman" w:hAnsi="Times New Roman" w:eastAsia="方正小标宋_GBK"/>
          <w:sz w:val="44"/>
          <w:szCs w:val="44"/>
        </w:rPr>
      </w:pPr>
      <w:r>
        <w:rPr>
          <w:rFonts w:ascii="Times New Roman" w:hAnsi="Times New Roman" w:eastAsia="方正小标宋_GBK"/>
          <w:sz w:val="44"/>
          <w:szCs w:val="44"/>
        </w:rPr>
        <w:t>穿透核查承诺书</w:t>
      </w:r>
    </w:p>
    <w:p>
      <w:pPr>
        <w:autoSpaceDE w:val="0"/>
        <w:autoSpaceDN w:val="0"/>
        <w:snapToGrid w:val="0"/>
        <w:spacing w:line="560" w:lineRule="exact"/>
        <w:ind w:right="134" w:rightChars="64"/>
        <w:jc w:val="center"/>
        <w:outlineLvl w:val="0"/>
        <w:rPr>
          <w:rFonts w:ascii="Times New Roman" w:hAnsi="Times New Roman" w:eastAsia="华文中宋"/>
          <w:b/>
          <w:bCs/>
          <w:sz w:val="44"/>
          <w:szCs w:val="44"/>
        </w:rPr>
      </w:pPr>
    </w:p>
    <w:p>
      <w:pPr>
        <w:autoSpaceDE w:val="0"/>
        <w:autoSpaceDN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本单位已了解并响应湖南省产业引导基金空天海洋</w:t>
      </w:r>
      <w:r>
        <w:rPr>
          <w:rFonts w:hint="eastAsia" w:ascii="Times New Roman" w:hAnsi="Times New Roman" w:eastAsia="仿宋_GB2312"/>
          <w:kern w:val="0"/>
          <w:sz w:val="32"/>
          <w:szCs w:val="32"/>
          <w:lang w:val="en-US" w:eastAsia="zh-CN"/>
        </w:rPr>
        <w:t>产业</w:t>
      </w:r>
      <w:r>
        <w:rPr>
          <w:rFonts w:ascii="Times New Roman" w:hAnsi="Times New Roman" w:eastAsia="仿宋_GB2312"/>
          <w:kern w:val="0"/>
          <w:sz w:val="32"/>
          <w:szCs w:val="32"/>
        </w:rPr>
        <w:t>子基金管理机构遴选的相关政策、规定及申报要求，现向湖南省财信产业基金管理有限公司申请担任湖南省产业引导基金空天海洋</w:t>
      </w:r>
      <w:r>
        <w:rPr>
          <w:rFonts w:hint="eastAsia" w:ascii="Times New Roman" w:hAnsi="Times New Roman" w:eastAsia="仿宋_GB2312"/>
          <w:kern w:val="0"/>
          <w:sz w:val="32"/>
          <w:szCs w:val="32"/>
          <w:lang w:val="en-US" w:eastAsia="zh-CN"/>
        </w:rPr>
        <w:t>产业</w:t>
      </w:r>
      <w:r>
        <w:rPr>
          <w:rFonts w:ascii="Times New Roman" w:hAnsi="Times New Roman" w:eastAsia="仿宋_GB2312"/>
          <w:kern w:val="0"/>
          <w:sz w:val="32"/>
          <w:szCs w:val="32"/>
        </w:rPr>
        <w:t>子基金管理机构，本单位承诺：</w:t>
      </w:r>
    </w:p>
    <w:p>
      <w:pPr>
        <w:autoSpaceDE w:val="0"/>
        <w:autoSpaceDN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已通过信用中国、信用信息公示系统、征信系统、中国裁判文书网、中国基金业协会信息公示等数据库，查询复核本单位及股东（穿透到实际出资方）、实际控制人、关联方及高管人员无涉嫌违法犯罪行为、未受到行业行政监管措施、行政监管处罚以及举报投诉情况。</w:t>
      </w:r>
    </w:p>
    <w:p>
      <w:pPr>
        <w:autoSpaceDE w:val="0"/>
        <w:autoSpaceDN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二、以上穿透核查情况将在出资合同（或协议）中载明，并约定在子基金存续期内不涉及违反核查内容的事项。</w:t>
      </w:r>
    </w:p>
    <w:p>
      <w:pPr>
        <w:autoSpaceDE w:val="0"/>
        <w:autoSpaceDN w:val="0"/>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三、对子基金其他出资方履行穿透核查职责，穿透核查内容参照母基金对本单位穿透核查内容。</w:t>
      </w:r>
    </w:p>
    <w:p>
      <w:pPr>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如违反上述承诺，本单位愿意承担由此带来的一切后果及相关法律责任。 </w:t>
      </w:r>
    </w:p>
    <w:p>
      <w:pPr>
        <w:autoSpaceDE w:val="0"/>
        <w:autoSpaceDN w:val="0"/>
        <w:snapToGrid w:val="0"/>
        <w:spacing w:line="560" w:lineRule="exact"/>
        <w:ind w:firstLine="640" w:firstLineChars="200"/>
        <w:jc w:val="left"/>
        <w:rPr>
          <w:rFonts w:ascii="Times New Roman" w:hAnsi="Times New Roman" w:eastAsia="仿宋_GB2312"/>
          <w:kern w:val="0"/>
          <w:sz w:val="32"/>
          <w:szCs w:val="32"/>
        </w:rPr>
      </w:pPr>
    </w:p>
    <w:p>
      <w:pPr>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申请单位：（公章）</w:t>
      </w:r>
    </w:p>
    <w:p>
      <w:pPr>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法定代表人（或执行事务合伙人委派代表或其授权代表）：</w:t>
      </w:r>
    </w:p>
    <w:p>
      <w:pPr>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___________（签字）</w:t>
      </w:r>
    </w:p>
    <w:p>
      <w:pPr>
        <w:autoSpaceDE w:val="0"/>
        <w:autoSpaceDN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日期：   年    月    日</w:t>
      </w:r>
    </w:p>
    <w:p>
      <w:pPr>
        <w:autoSpaceDE w:val="0"/>
        <w:autoSpaceDN w:val="0"/>
        <w:snapToGrid w:val="0"/>
        <w:spacing w:line="600" w:lineRule="exact"/>
        <w:rPr>
          <w:rFonts w:ascii="Times New Roman" w:hAnsi="Times New Roman" w:eastAsia="黑体"/>
          <w:sz w:val="32"/>
          <w:szCs w:val="32"/>
        </w:rPr>
      </w:pPr>
      <w:r>
        <w:rPr>
          <w:rFonts w:hint="eastAsia" w:ascii="Times New Roman" w:hAnsi="Times New Roman" w:eastAsia="黑体"/>
          <w:sz w:val="32"/>
          <w:szCs w:val="32"/>
        </w:rPr>
        <w:t>附件5</w:t>
      </w:r>
    </w:p>
    <w:p>
      <w:pPr>
        <w:pStyle w:val="2"/>
        <w:spacing w:after="0" w:line="600" w:lineRule="exact"/>
      </w:pPr>
    </w:p>
    <w:p>
      <w:pPr>
        <w:autoSpaceDE w:val="0"/>
        <w:autoSpaceDN w:val="0"/>
        <w:spacing w:line="600" w:lineRule="exact"/>
        <w:jc w:val="center"/>
        <w:outlineLvl w:val="0"/>
        <w:rPr>
          <w:rFonts w:ascii="Times New Roman" w:hAnsi="Times New Roman" w:eastAsia="方正小标宋_GBK"/>
          <w:sz w:val="44"/>
          <w:szCs w:val="44"/>
        </w:rPr>
      </w:pPr>
      <w:r>
        <w:rPr>
          <w:rFonts w:ascii="Times New Roman" w:hAnsi="Times New Roman" w:eastAsia="方正小标宋_GBK"/>
          <w:sz w:val="44"/>
          <w:szCs w:val="44"/>
        </w:rPr>
        <w:t>募资承诺书</w:t>
      </w:r>
    </w:p>
    <w:p>
      <w:pPr>
        <w:autoSpaceDE w:val="0"/>
        <w:autoSpaceDN w:val="0"/>
        <w:snapToGrid w:val="0"/>
        <w:spacing w:line="600" w:lineRule="exact"/>
        <w:ind w:right="-1" w:firstLine="425" w:firstLineChars="133"/>
        <w:rPr>
          <w:rFonts w:ascii="Times New Roman" w:hAnsi="Times New Roman" w:eastAsia="仿宋"/>
          <w:sz w:val="32"/>
          <w:szCs w:val="32"/>
        </w:rPr>
      </w:pPr>
    </w:p>
    <w:p>
      <w:pPr>
        <w:autoSpaceDE w:val="0"/>
        <w:autoSpaceDN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本单位已了解并响应湖南省产业引导基金空天海洋</w:t>
      </w:r>
      <w:r>
        <w:rPr>
          <w:rFonts w:hint="eastAsia" w:ascii="Times New Roman" w:hAnsi="Times New Roman" w:eastAsia="仿宋_GB2312"/>
          <w:sz w:val="32"/>
          <w:szCs w:val="32"/>
          <w:lang w:val="en-US" w:eastAsia="zh-CN"/>
        </w:rPr>
        <w:t>产业</w:t>
      </w:r>
      <w:r>
        <w:rPr>
          <w:rFonts w:ascii="Times New Roman" w:hAnsi="Times New Roman" w:eastAsia="仿宋_GB2312"/>
          <w:sz w:val="32"/>
          <w:szCs w:val="32"/>
        </w:rPr>
        <w:t>子基金（下称“空天海洋</w:t>
      </w:r>
      <w:r>
        <w:rPr>
          <w:rFonts w:hint="eastAsia" w:ascii="Times New Roman" w:hAnsi="Times New Roman" w:eastAsia="仿宋_GB2312"/>
          <w:sz w:val="32"/>
          <w:szCs w:val="32"/>
          <w:lang w:val="en-US" w:eastAsia="zh-CN"/>
        </w:rPr>
        <w:t>产业</w:t>
      </w:r>
      <w:r>
        <w:rPr>
          <w:rFonts w:ascii="Times New Roman" w:hAnsi="Times New Roman" w:eastAsia="仿宋_GB2312"/>
          <w:sz w:val="32"/>
          <w:szCs w:val="32"/>
        </w:rPr>
        <w:t>子基金”）管理机构遴选的相关政策、规定及申报要求，现向湖南省财信产业基金管理有限公司申请担任空天海洋子基金管理机构，本单位承诺：</w:t>
      </w:r>
    </w:p>
    <w:p>
      <w:pPr>
        <w:autoSpaceDE w:val="0"/>
        <w:autoSpaceDN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若中标成为空天海洋</w:t>
      </w:r>
      <w:r>
        <w:rPr>
          <w:rFonts w:hint="eastAsia" w:ascii="Times New Roman" w:hAnsi="Times New Roman" w:eastAsia="仿宋_GB2312"/>
          <w:sz w:val="32"/>
          <w:szCs w:val="32"/>
          <w:lang w:val="en-US" w:eastAsia="zh-CN"/>
        </w:rPr>
        <w:t>产业</w:t>
      </w:r>
      <w:r>
        <w:rPr>
          <w:rFonts w:ascii="Times New Roman" w:hAnsi="Times New Roman" w:eastAsia="仿宋_GB2312"/>
          <w:sz w:val="32"/>
          <w:szCs w:val="32"/>
        </w:rPr>
        <w:t>子基金管理机构，子基金最终设立完成时</w:t>
      </w:r>
      <w:r>
        <w:rPr>
          <w:rFonts w:hint="eastAsia" w:ascii="Times New Roman" w:hAnsi="Times New Roman" w:eastAsia="仿宋_GB2312"/>
          <w:sz w:val="32"/>
          <w:szCs w:val="32"/>
          <w:lang w:val="en-US" w:eastAsia="zh-CN"/>
        </w:rPr>
        <w:t>社会化</w:t>
      </w:r>
      <w:r>
        <w:rPr>
          <w:rFonts w:ascii="Times New Roman" w:hAnsi="Times New Roman" w:eastAsia="仿宋_GB2312"/>
          <w:sz w:val="32"/>
          <w:szCs w:val="32"/>
        </w:rPr>
        <w:t>募资比例不低于申报材料里承诺的比例。</w:t>
      </w:r>
    </w:p>
    <w:p>
      <w:pPr>
        <w:autoSpaceDE w:val="0"/>
        <w:autoSpaceDN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如违反上述承诺，本单位愿意承担由此带来的一切后果及相关法律责任。</w:t>
      </w:r>
    </w:p>
    <w:p>
      <w:pPr>
        <w:autoSpaceDE w:val="0"/>
        <w:autoSpaceDN w:val="0"/>
        <w:snapToGrid w:val="0"/>
        <w:spacing w:line="600" w:lineRule="exact"/>
        <w:ind w:firstLine="640" w:firstLineChars="200"/>
        <w:rPr>
          <w:rFonts w:ascii="Times New Roman" w:hAnsi="Times New Roman" w:eastAsia="仿宋_GB2312"/>
          <w:sz w:val="32"/>
          <w:szCs w:val="32"/>
        </w:rPr>
      </w:pPr>
    </w:p>
    <w:p>
      <w:pPr>
        <w:autoSpaceDE w:val="0"/>
        <w:autoSpaceDN w:val="0"/>
        <w:snapToGrid w:val="0"/>
        <w:spacing w:line="560" w:lineRule="exact"/>
        <w:ind w:firstLine="640" w:firstLineChars="200"/>
        <w:rPr>
          <w:rFonts w:ascii="Times New Roman" w:hAnsi="Times New Roman" w:eastAsia="仿宋_GB2312"/>
          <w:sz w:val="32"/>
          <w:szCs w:val="32"/>
        </w:rPr>
      </w:pPr>
    </w:p>
    <w:p>
      <w:pPr>
        <w:autoSpaceDE w:val="0"/>
        <w:autoSpaceDN w:val="0"/>
        <w:snapToGrid w:val="0"/>
        <w:spacing w:line="560" w:lineRule="exact"/>
        <w:ind w:firstLine="640" w:firstLineChars="200"/>
        <w:rPr>
          <w:rFonts w:ascii="Times New Roman" w:hAnsi="Times New Roman" w:eastAsia="仿宋_GB2312"/>
          <w:sz w:val="32"/>
          <w:szCs w:val="32"/>
        </w:rPr>
      </w:pPr>
    </w:p>
    <w:p>
      <w:pPr>
        <w:autoSpaceDE w:val="0"/>
        <w:autoSpaceDN w:val="0"/>
        <w:snapToGrid w:val="0"/>
        <w:spacing w:line="7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申请单位：（公章）</w:t>
      </w:r>
    </w:p>
    <w:p>
      <w:pPr>
        <w:autoSpaceDE w:val="0"/>
        <w:autoSpaceDN w:val="0"/>
        <w:snapToGrid w:val="0"/>
        <w:spacing w:line="7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法定代表人（或执行事务合伙人委派代表或其授权代表）：</w:t>
      </w:r>
    </w:p>
    <w:p>
      <w:pPr>
        <w:autoSpaceDE w:val="0"/>
        <w:autoSpaceDN w:val="0"/>
        <w:snapToGrid w:val="0"/>
        <w:spacing w:line="7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___________（签字）</w:t>
      </w:r>
    </w:p>
    <w:p>
      <w:pPr>
        <w:autoSpaceDE w:val="0"/>
        <w:autoSpaceDN w:val="0"/>
        <w:snapToGrid w:val="0"/>
        <w:spacing w:line="7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日期：   年    月    日</w:t>
      </w:r>
    </w:p>
    <w:p>
      <w:pPr>
        <w:rPr>
          <w:rFonts w:ascii="Times New Roman" w:hAnsi="Times New Roman" w:eastAsia="仿宋_GB2312"/>
          <w:b/>
          <w:sz w:val="32"/>
          <w:szCs w:val="32"/>
        </w:rPr>
      </w:pPr>
    </w:p>
    <w:sectPr>
      <w:footerReference r:id="rId5" w:type="default"/>
      <w:footerReference r:id="rId6" w:type="even"/>
      <w:pgSz w:w="11906" w:h="16838"/>
      <w:pgMar w:top="1587" w:right="1587" w:bottom="1587" w:left="1588" w:header="851" w:footer="1134"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0B4037-2C0F-473B-8491-120DE2210E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E374AEBC-085C-476F-B05F-A141BB25EE5C}"/>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0F90D9A5-CD1D-48FB-AA4F-7407DB0D001C}"/>
  </w:font>
  <w:font w:name="楷体_GB2312">
    <w:panose1 w:val="02010609030101010101"/>
    <w:charset w:val="86"/>
    <w:family w:val="modern"/>
    <w:pitch w:val="default"/>
    <w:sig w:usb0="00000001" w:usb1="080E0000" w:usb2="00000000" w:usb3="00000000" w:csb0="00040000" w:csb1="00000000"/>
    <w:embedRegular r:id="rId4" w:fontKey="{859BFB03-CEE4-4C88-BF76-863E9B39929B}"/>
  </w:font>
  <w:font w:name="Wingdings 2">
    <w:panose1 w:val="05020102010507070707"/>
    <w:charset w:val="02"/>
    <w:family w:val="roman"/>
    <w:pitch w:val="default"/>
    <w:sig w:usb0="00000000" w:usb1="00000000" w:usb2="00000000" w:usb3="00000000" w:csb0="80000000" w:csb1="00000000"/>
    <w:embedRegular r:id="rId5" w:fontKey="{8B713440-E98A-45B1-A674-679E85DEE406}"/>
  </w:font>
  <w:font w:name="仿宋">
    <w:panose1 w:val="02010609060101010101"/>
    <w:charset w:val="86"/>
    <w:family w:val="modern"/>
    <w:pitch w:val="default"/>
    <w:sig w:usb0="800002BF" w:usb1="38CF7CFA" w:usb2="00000016" w:usb3="00000000" w:csb0="00040001" w:csb1="00000000"/>
    <w:embedRegular r:id="rId6" w:fontKey="{1BD2F9AA-B769-4EA6-9E76-CD8B67AD3B1F}"/>
  </w:font>
  <w:font w:name="方正仿宋_GBK">
    <w:altName w:val="微软雅黑"/>
    <w:panose1 w:val="00000000000000000000"/>
    <w:charset w:val="86"/>
    <w:family w:val="script"/>
    <w:pitch w:val="default"/>
    <w:sig w:usb0="00000000" w:usb1="00000000" w:usb2="00000000" w:usb3="00000000" w:csb0="00040000" w:csb1="00000000"/>
    <w:embedRegular r:id="rId7" w:fontKey="{04566F01-285E-4560-B807-73F90D75F6C5}"/>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embedRegular r:id="rId8" w:fontKey="{CED1198D-1973-4688-AA3A-4FA2436F63C1}"/>
  </w:font>
  <w:font w:name="华文中宋">
    <w:panose1 w:val="02010600040101010101"/>
    <w:charset w:val="86"/>
    <w:family w:val="auto"/>
    <w:pitch w:val="default"/>
    <w:sig w:usb0="00000287" w:usb1="080F0000" w:usb2="00000000" w:usb3="00000000" w:csb0="0004009F" w:csb1="DFD70000"/>
    <w:embedRegular r:id="rId9" w:fontKey="{B596D3AA-2DC3-48A3-9CE2-FDE75FCE1F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1"/>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489"/>
      <w:rPr>
        <w:rFonts w:ascii="等线" w:hAnsi="等线" w:eastAsia="等线" w:cs="等线"/>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1"/>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- 12 -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- 20 -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rPr>
                        <w:rFonts w:ascii="宋体" w:hAns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- 20 -</w:t>
                    </w:r>
                    <w:r>
                      <w:rPr>
                        <w:rFonts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3MjVhYzgwOTg5MWNlYWI0N2EyMDUwYWFjNWQzYWEifQ=="/>
    <w:docVar w:name="KSO_WPS_MARK_KEY" w:val="5245323c-57b9-42ec-a21e-733a3321384b"/>
  </w:docVars>
  <w:rsids>
    <w:rsidRoot w:val="00565E0D"/>
    <w:rsid w:val="000001E3"/>
    <w:rsid w:val="000002B7"/>
    <w:rsid w:val="00010724"/>
    <w:rsid w:val="00011073"/>
    <w:rsid w:val="00013DC8"/>
    <w:rsid w:val="000172CA"/>
    <w:rsid w:val="0001774D"/>
    <w:rsid w:val="000251FA"/>
    <w:rsid w:val="00027264"/>
    <w:rsid w:val="0002755B"/>
    <w:rsid w:val="00030DF6"/>
    <w:rsid w:val="000318DD"/>
    <w:rsid w:val="00034B86"/>
    <w:rsid w:val="00035734"/>
    <w:rsid w:val="0004674D"/>
    <w:rsid w:val="00046966"/>
    <w:rsid w:val="00050654"/>
    <w:rsid w:val="00052F17"/>
    <w:rsid w:val="00054485"/>
    <w:rsid w:val="0005557E"/>
    <w:rsid w:val="0005629D"/>
    <w:rsid w:val="00056BC5"/>
    <w:rsid w:val="00057F77"/>
    <w:rsid w:val="00060B3B"/>
    <w:rsid w:val="0006249C"/>
    <w:rsid w:val="00072052"/>
    <w:rsid w:val="00072722"/>
    <w:rsid w:val="00077730"/>
    <w:rsid w:val="00080E80"/>
    <w:rsid w:val="000818F0"/>
    <w:rsid w:val="00083E32"/>
    <w:rsid w:val="00086847"/>
    <w:rsid w:val="00087177"/>
    <w:rsid w:val="000933CE"/>
    <w:rsid w:val="00093C88"/>
    <w:rsid w:val="0009700D"/>
    <w:rsid w:val="000973FA"/>
    <w:rsid w:val="000A6408"/>
    <w:rsid w:val="000A7511"/>
    <w:rsid w:val="000A7B39"/>
    <w:rsid w:val="000B0B2D"/>
    <w:rsid w:val="000B38B3"/>
    <w:rsid w:val="000B3B4B"/>
    <w:rsid w:val="000B4664"/>
    <w:rsid w:val="000B469F"/>
    <w:rsid w:val="000C173F"/>
    <w:rsid w:val="000C286D"/>
    <w:rsid w:val="000C2F6D"/>
    <w:rsid w:val="000C3B7E"/>
    <w:rsid w:val="000C3D6D"/>
    <w:rsid w:val="000C59CD"/>
    <w:rsid w:val="000C601F"/>
    <w:rsid w:val="000C6CA2"/>
    <w:rsid w:val="000C7CE6"/>
    <w:rsid w:val="000D112C"/>
    <w:rsid w:val="000D1D18"/>
    <w:rsid w:val="000D262C"/>
    <w:rsid w:val="000D36B0"/>
    <w:rsid w:val="000D4655"/>
    <w:rsid w:val="000D5DFB"/>
    <w:rsid w:val="000E2561"/>
    <w:rsid w:val="000E3213"/>
    <w:rsid w:val="000E44A9"/>
    <w:rsid w:val="000E4E20"/>
    <w:rsid w:val="000E56FE"/>
    <w:rsid w:val="000F491E"/>
    <w:rsid w:val="000F552C"/>
    <w:rsid w:val="000F73FC"/>
    <w:rsid w:val="0011260E"/>
    <w:rsid w:val="00112CC8"/>
    <w:rsid w:val="00125818"/>
    <w:rsid w:val="001308B0"/>
    <w:rsid w:val="00133783"/>
    <w:rsid w:val="001372F4"/>
    <w:rsid w:val="00140C8A"/>
    <w:rsid w:val="00140EAB"/>
    <w:rsid w:val="001431CA"/>
    <w:rsid w:val="00145948"/>
    <w:rsid w:val="00147923"/>
    <w:rsid w:val="00147A7F"/>
    <w:rsid w:val="00147D09"/>
    <w:rsid w:val="00147D57"/>
    <w:rsid w:val="001512BA"/>
    <w:rsid w:val="00151434"/>
    <w:rsid w:val="00151E19"/>
    <w:rsid w:val="00153C3B"/>
    <w:rsid w:val="001561C9"/>
    <w:rsid w:val="00160D86"/>
    <w:rsid w:val="0016353C"/>
    <w:rsid w:val="001642B3"/>
    <w:rsid w:val="00182879"/>
    <w:rsid w:val="00182C37"/>
    <w:rsid w:val="001851C3"/>
    <w:rsid w:val="001853BE"/>
    <w:rsid w:val="00185BFA"/>
    <w:rsid w:val="001929D8"/>
    <w:rsid w:val="0019302E"/>
    <w:rsid w:val="001966BC"/>
    <w:rsid w:val="00197F02"/>
    <w:rsid w:val="001A12CD"/>
    <w:rsid w:val="001A2925"/>
    <w:rsid w:val="001A4415"/>
    <w:rsid w:val="001A4668"/>
    <w:rsid w:val="001A5118"/>
    <w:rsid w:val="001A5CB7"/>
    <w:rsid w:val="001A6C2E"/>
    <w:rsid w:val="001A7206"/>
    <w:rsid w:val="001B1186"/>
    <w:rsid w:val="001B1E6C"/>
    <w:rsid w:val="001B25FB"/>
    <w:rsid w:val="001B329E"/>
    <w:rsid w:val="001B3900"/>
    <w:rsid w:val="001B6E38"/>
    <w:rsid w:val="001C0E9D"/>
    <w:rsid w:val="001C19E1"/>
    <w:rsid w:val="001D1E3F"/>
    <w:rsid w:val="001D4268"/>
    <w:rsid w:val="001D5A75"/>
    <w:rsid w:val="001D6A42"/>
    <w:rsid w:val="001E0AD1"/>
    <w:rsid w:val="001E53E6"/>
    <w:rsid w:val="001E5F30"/>
    <w:rsid w:val="001E7284"/>
    <w:rsid w:val="001F039E"/>
    <w:rsid w:val="001F14E3"/>
    <w:rsid w:val="001F1D2C"/>
    <w:rsid w:val="001F692A"/>
    <w:rsid w:val="00200CCA"/>
    <w:rsid w:val="00201B52"/>
    <w:rsid w:val="002068FC"/>
    <w:rsid w:val="0020698A"/>
    <w:rsid w:val="00207E19"/>
    <w:rsid w:val="00213624"/>
    <w:rsid w:val="00213E46"/>
    <w:rsid w:val="00214111"/>
    <w:rsid w:val="00217F96"/>
    <w:rsid w:val="00221CA8"/>
    <w:rsid w:val="00223A3E"/>
    <w:rsid w:val="0022598A"/>
    <w:rsid w:val="00231B51"/>
    <w:rsid w:val="00233075"/>
    <w:rsid w:val="002330C2"/>
    <w:rsid w:val="00233DD3"/>
    <w:rsid w:val="00233EBB"/>
    <w:rsid w:val="00234401"/>
    <w:rsid w:val="002368CC"/>
    <w:rsid w:val="00242785"/>
    <w:rsid w:val="00247735"/>
    <w:rsid w:val="0025315F"/>
    <w:rsid w:val="00255FA6"/>
    <w:rsid w:val="00256C81"/>
    <w:rsid w:val="00260D03"/>
    <w:rsid w:val="00264ABE"/>
    <w:rsid w:val="00266B30"/>
    <w:rsid w:val="002727D2"/>
    <w:rsid w:val="00272B29"/>
    <w:rsid w:val="00274A25"/>
    <w:rsid w:val="00274B42"/>
    <w:rsid w:val="00274CC8"/>
    <w:rsid w:val="002802EB"/>
    <w:rsid w:val="00281161"/>
    <w:rsid w:val="00281C9D"/>
    <w:rsid w:val="00283A2F"/>
    <w:rsid w:val="002862B8"/>
    <w:rsid w:val="00290D09"/>
    <w:rsid w:val="002A0582"/>
    <w:rsid w:val="002A36F6"/>
    <w:rsid w:val="002A558A"/>
    <w:rsid w:val="002B6B71"/>
    <w:rsid w:val="002C0243"/>
    <w:rsid w:val="002C05FC"/>
    <w:rsid w:val="002C1AF8"/>
    <w:rsid w:val="002C4AED"/>
    <w:rsid w:val="002C52FF"/>
    <w:rsid w:val="002C62E8"/>
    <w:rsid w:val="002D0FD0"/>
    <w:rsid w:val="002D157B"/>
    <w:rsid w:val="002D306E"/>
    <w:rsid w:val="002E010A"/>
    <w:rsid w:val="002E3892"/>
    <w:rsid w:val="002E3D73"/>
    <w:rsid w:val="002E5A11"/>
    <w:rsid w:val="002E6FFC"/>
    <w:rsid w:val="002F0336"/>
    <w:rsid w:val="002F114C"/>
    <w:rsid w:val="002F3265"/>
    <w:rsid w:val="002F354E"/>
    <w:rsid w:val="002F3CF3"/>
    <w:rsid w:val="002F45CE"/>
    <w:rsid w:val="00300CC4"/>
    <w:rsid w:val="00312AF2"/>
    <w:rsid w:val="0031756F"/>
    <w:rsid w:val="00322356"/>
    <w:rsid w:val="003252F7"/>
    <w:rsid w:val="003276F8"/>
    <w:rsid w:val="00327B59"/>
    <w:rsid w:val="00330B1F"/>
    <w:rsid w:val="00345BA5"/>
    <w:rsid w:val="00345F64"/>
    <w:rsid w:val="00347397"/>
    <w:rsid w:val="00350355"/>
    <w:rsid w:val="00350425"/>
    <w:rsid w:val="00353703"/>
    <w:rsid w:val="00355E54"/>
    <w:rsid w:val="003604A4"/>
    <w:rsid w:val="0037380C"/>
    <w:rsid w:val="003742A3"/>
    <w:rsid w:val="00376EF0"/>
    <w:rsid w:val="00377A7E"/>
    <w:rsid w:val="003833E7"/>
    <w:rsid w:val="0038476A"/>
    <w:rsid w:val="003854E4"/>
    <w:rsid w:val="00386044"/>
    <w:rsid w:val="00390DE9"/>
    <w:rsid w:val="00393255"/>
    <w:rsid w:val="0039410E"/>
    <w:rsid w:val="0039492F"/>
    <w:rsid w:val="003A0264"/>
    <w:rsid w:val="003B4F4F"/>
    <w:rsid w:val="003C1071"/>
    <w:rsid w:val="003D0520"/>
    <w:rsid w:val="003D0F33"/>
    <w:rsid w:val="003D5895"/>
    <w:rsid w:val="003D6D48"/>
    <w:rsid w:val="003E04B3"/>
    <w:rsid w:val="003E204D"/>
    <w:rsid w:val="003E2621"/>
    <w:rsid w:val="003E3D97"/>
    <w:rsid w:val="003E5090"/>
    <w:rsid w:val="003E5DC8"/>
    <w:rsid w:val="003E6078"/>
    <w:rsid w:val="003F1FD9"/>
    <w:rsid w:val="003F2AFC"/>
    <w:rsid w:val="003F50D8"/>
    <w:rsid w:val="003F54BB"/>
    <w:rsid w:val="003F72D7"/>
    <w:rsid w:val="004072FD"/>
    <w:rsid w:val="00411DFF"/>
    <w:rsid w:val="004120F3"/>
    <w:rsid w:val="00417054"/>
    <w:rsid w:val="00421507"/>
    <w:rsid w:val="00425D69"/>
    <w:rsid w:val="00430BB0"/>
    <w:rsid w:val="00434028"/>
    <w:rsid w:val="00435A35"/>
    <w:rsid w:val="004415A2"/>
    <w:rsid w:val="00441809"/>
    <w:rsid w:val="00443687"/>
    <w:rsid w:val="00445A3C"/>
    <w:rsid w:val="004478CA"/>
    <w:rsid w:val="004501ED"/>
    <w:rsid w:val="004503BF"/>
    <w:rsid w:val="004516DE"/>
    <w:rsid w:val="00451D9C"/>
    <w:rsid w:val="004526F8"/>
    <w:rsid w:val="00453029"/>
    <w:rsid w:val="004608A7"/>
    <w:rsid w:val="004624EF"/>
    <w:rsid w:val="00470AB0"/>
    <w:rsid w:val="00472040"/>
    <w:rsid w:val="00473F73"/>
    <w:rsid w:val="0047637D"/>
    <w:rsid w:val="0047681B"/>
    <w:rsid w:val="00477FCE"/>
    <w:rsid w:val="00482CA2"/>
    <w:rsid w:val="004906F4"/>
    <w:rsid w:val="00491DE0"/>
    <w:rsid w:val="0049260D"/>
    <w:rsid w:val="004939AF"/>
    <w:rsid w:val="00494465"/>
    <w:rsid w:val="004A5000"/>
    <w:rsid w:val="004A635C"/>
    <w:rsid w:val="004A6C29"/>
    <w:rsid w:val="004A7096"/>
    <w:rsid w:val="004B247E"/>
    <w:rsid w:val="004B4DB9"/>
    <w:rsid w:val="004B563D"/>
    <w:rsid w:val="004B67A6"/>
    <w:rsid w:val="004C1067"/>
    <w:rsid w:val="004C228E"/>
    <w:rsid w:val="004C4372"/>
    <w:rsid w:val="004C509C"/>
    <w:rsid w:val="004C7AA6"/>
    <w:rsid w:val="004D2B67"/>
    <w:rsid w:val="004D722D"/>
    <w:rsid w:val="004E304B"/>
    <w:rsid w:val="004E77B2"/>
    <w:rsid w:val="004F007A"/>
    <w:rsid w:val="004F0EEA"/>
    <w:rsid w:val="004F1181"/>
    <w:rsid w:val="004F238A"/>
    <w:rsid w:val="004F2F06"/>
    <w:rsid w:val="004F2FFB"/>
    <w:rsid w:val="005032DA"/>
    <w:rsid w:val="005045F4"/>
    <w:rsid w:val="00507B16"/>
    <w:rsid w:val="00513ECD"/>
    <w:rsid w:val="00514894"/>
    <w:rsid w:val="00515706"/>
    <w:rsid w:val="0051652E"/>
    <w:rsid w:val="00520720"/>
    <w:rsid w:val="00522164"/>
    <w:rsid w:val="005236D5"/>
    <w:rsid w:val="005238F3"/>
    <w:rsid w:val="0052767B"/>
    <w:rsid w:val="00531808"/>
    <w:rsid w:val="005322BB"/>
    <w:rsid w:val="005379C5"/>
    <w:rsid w:val="00537BAA"/>
    <w:rsid w:val="0054195C"/>
    <w:rsid w:val="00543E1F"/>
    <w:rsid w:val="0055058A"/>
    <w:rsid w:val="00552135"/>
    <w:rsid w:val="00554133"/>
    <w:rsid w:val="005551E3"/>
    <w:rsid w:val="00557E8E"/>
    <w:rsid w:val="00562BE0"/>
    <w:rsid w:val="00564189"/>
    <w:rsid w:val="00565E0D"/>
    <w:rsid w:val="00572279"/>
    <w:rsid w:val="00573698"/>
    <w:rsid w:val="00574D00"/>
    <w:rsid w:val="005750DB"/>
    <w:rsid w:val="00580972"/>
    <w:rsid w:val="00581646"/>
    <w:rsid w:val="005843CC"/>
    <w:rsid w:val="0059108F"/>
    <w:rsid w:val="00592218"/>
    <w:rsid w:val="00592C0E"/>
    <w:rsid w:val="00593F46"/>
    <w:rsid w:val="00594309"/>
    <w:rsid w:val="00597ABD"/>
    <w:rsid w:val="00597C1C"/>
    <w:rsid w:val="005A09A3"/>
    <w:rsid w:val="005A3B87"/>
    <w:rsid w:val="005A4B7D"/>
    <w:rsid w:val="005A6071"/>
    <w:rsid w:val="005A7F23"/>
    <w:rsid w:val="005B0376"/>
    <w:rsid w:val="005B0DB6"/>
    <w:rsid w:val="005B1094"/>
    <w:rsid w:val="005B2011"/>
    <w:rsid w:val="005B2CA9"/>
    <w:rsid w:val="005B424D"/>
    <w:rsid w:val="005B44E9"/>
    <w:rsid w:val="005B5237"/>
    <w:rsid w:val="005B557D"/>
    <w:rsid w:val="005C3290"/>
    <w:rsid w:val="005C4314"/>
    <w:rsid w:val="005C5B75"/>
    <w:rsid w:val="005D1117"/>
    <w:rsid w:val="005D42C5"/>
    <w:rsid w:val="005D4B51"/>
    <w:rsid w:val="005D656B"/>
    <w:rsid w:val="005F15F6"/>
    <w:rsid w:val="005F3EB8"/>
    <w:rsid w:val="005F5CAD"/>
    <w:rsid w:val="005F6352"/>
    <w:rsid w:val="005F675B"/>
    <w:rsid w:val="005F7FD8"/>
    <w:rsid w:val="006032F2"/>
    <w:rsid w:val="00605A66"/>
    <w:rsid w:val="00606192"/>
    <w:rsid w:val="00607524"/>
    <w:rsid w:val="00607896"/>
    <w:rsid w:val="00615224"/>
    <w:rsid w:val="00615611"/>
    <w:rsid w:val="00615A0D"/>
    <w:rsid w:val="00620E2F"/>
    <w:rsid w:val="006238FE"/>
    <w:rsid w:val="00625672"/>
    <w:rsid w:val="006324B5"/>
    <w:rsid w:val="0063395C"/>
    <w:rsid w:val="00633F19"/>
    <w:rsid w:val="0063610B"/>
    <w:rsid w:val="00640E72"/>
    <w:rsid w:val="0064241E"/>
    <w:rsid w:val="006455DF"/>
    <w:rsid w:val="006514D3"/>
    <w:rsid w:val="00651EE5"/>
    <w:rsid w:val="006526E2"/>
    <w:rsid w:val="006604AD"/>
    <w:rsid w:val="0066106A"/>
    <w:rsid w:val="00663946"/>
    <w:rsid w:val="00666401"/>
    <w:rsid w:val="00667A25"/>
    <w:rsid w:val="00667F0D"/>
    <w:rsid w:val="00676D83"/>
    <w:rsid w:val="00677AB8"/>
    <w:rsid w:val="00680A84"/>
    <w:rsid w:val="00684D90"/>
    <w:rsid w:val="00684D9C"/>
    <w:rsid w:val="006870B6"/>
    <w:rsid w:val="006926CB"/>
    <w:rsid w:val="0069573B"/>
    <w:rsid w:val="00697A5D"/>
    <w:rsid w:val="006A00B3"/>
    <w:rsid w:val="006A1400"/>
    <w:rsid w:val="006A1974"/>
    <w:rsid w:val="006A3524"/>
    <w:rsid w:val="006B1247"/>
    <w:rsid w:val="006B2404"/>
    <w:rsid w:val="006C3891"/>
    <w:rsid w:val="006C6259"/>
    <w:rsid w:val="006C700E"/>
    <w:rsid w:val="006C7690"/>
    <w:rsid w:val="006D2D78"/>
    <w:rsid w:val="006D47E8"/>
    <w:rsid w:val="006E0B55"/>
    <w:rsid w:val="006E5E92"/>
    <w:rsid w:val="006E67BB"/>
    <w:rsid w:val="006E6DAB"/>
    <w:rsid w:val="006F2F5A"/>
    <w:rsid w:val="006F38A0"/>
    <w:rsid w:val="006F42AF"/>
    <w:rsid w:val="006F60E4"/>
    <w:rsid w:val="006F7901"/>
    <w:rsid w:val="006F7E0E"/>
    <w:rsid w:val="00700314"/>
    <w:rsid w:val="007014D7"/>
    <w:rsid w:val="007019AF"/>
    <w:rsid w:val="0070227E"/>
    <w:rsid w:val="007044CA"/>
    <w:rsid w:val="0070593E"/>
    <w:rsid w:val="00706E54"/>
    <w:rsid w:val="00707DF5"/>
    <w:rsid w:val="007102FF"/>
    <w:rsid w:val="0071070A"/>
    <w:rsid w:val="007154AA"/>
    <w:rsid w:val="00722C47"/>
    <w:rsid w:val="007234F7"/>
    <w:rsid w:val="00724693"/>
    <w:rsid w:val="00726385"/>
    <w:rsid w:val="00736911"/>
    <w:rsid w:val="00740A5E"/>
    <w:rsid w:val="0074536A"/>
    <w:rsid w:val="00746FDF"/>
    <w:rsid w:val="00752857"/>
    <w:rsid w:val="00752E65"/>
    <w:rsid w:val="00753D23"/>
    <w:rsid w:val="0075498A"/>
    <w:rsid w:val="0075738C"/>
    <w:rsid w:val="00763D61"/>
    <w:rsid w:val="00765E6F"/>
    <w:rsid w:val="007671E5"/>
    <w:rsid w:val="007701EF"/>
    <w:rsid w:val="00772E13"/>
    <w:rsid w:val="00780048"/>
    <w:rsid w:val="00781C47"/>
    <w:rsid w:val="007830A2"/>
    <w:rsid w:val="00784DB2"/>
    <w:rsid w:val="00785004"/>
    <w:rsid w:val="00786A0B"/>
    <w:rsid w:val="00791A41"/>
    <w:rsid w:val="007923A1"/>
    <w:rsid w:val="00794C9B"/>
    <w:rsid w:val="0079534D"/>
    <w:rsid w:val="0079587E"/>
    <w:rsid w:val="00797CC2"/>
    <w:rsid w:val="007A08C4"/>
    <w:rsid w:val="007A0FC8"/>
    <w:rsid w:val="007A14FC"/>
    <w:rsid w:val="007A1E7D"/>
    <w:rsid w:val="007A275F"/>
    <w:rsid w:val="007A4BCC"/>
    <w:rsid w:val="007A59A5"/>
    <w:rsid w:val="007A5F92"/>
    <w:rsid w:val="007B1D9B"/>
    <w:rsid w:val="007B4A52"/>
    <w:rsid w:val="007B5006"/>
    <w:rsid w:val="007B747D"/>
    <w:rsid w:val="007C2A1A"/>
    <w:rsid w:val="007C76A0"/>
    <w:rsid w:val="007D0C2D"/>
    <w:rsid w:val="007D330F"/>
    <w:rsid w:val="007D6A00"/>
    <w:rsid w:val="007D7EBB"/>
    <w:rsid w:val="007E221C"/>
    <w:rsid w:val="007E248C"/>
    <w:rsid w:val="007E3BD4"/>
    <w:rsid w:val="007F4B11"/>
    <w:rsid w:val="007F5BEC"/>
    <w:rsid w:val="007F63BC"/>
    <w:rsid w:val="00801E77"/>
    <w:rsid w:val="00802FD6"/>
    <w:rsid w:val="008040CF"/>
    <w:rsid w:val="008074AE"/>
    <w:rsid w:val="0081086B"/>
    <w:rsid w:val="00810A45"/>
    <w:rsid w:val="00810D63"/>
    <w:rsid w:val="00812D2A"/>
    <w:rsid w:val="008132A9"/>
    <w:rsid w:val="008133D5"/>
    <w:rsid w:val="0081380F"/>
    <w:rsid w:val="00814484"/>
    <w:rsid w:val="0081461B"/>
    <w:rsid w:val="00815918"/>
    <w:rsid w:val="00824432"/>
    <w:rsid w:val="00827161"/>
    <w:rsid w:val="00827230"/>
    <w:rsid w:val="00827AF0"/>
    <w:rsid w:val="00831685"/>
    <w:rsid w:val="00832AE4"/>
    <w:rsid w:val="00840FFB"/>
    <w:rsid w:val="00844CD4"/>
    <w:rsid w:val="00846BD1"/>
    <w:rsid w:val="00846F83"/>
    <w:rsid w:val="008532A5"/>
    <w:rsid w:val="00856701"/>
    <w:rsid w:val="00860C67"/>
    <w:rsid w:val="008615DA"/>
    <w:rsid w:val="008642F2"/>
    <w:rsid w:val="00870FA5"/>
    <w:rsid w:val="00871793"/>
    <w:rsid w:val="0087345F"/>
    <w:rsid w:val="00876C28"/>
    <w:rsid w:val="00881131"/>
    <w:rsid w:val="00886EEC"/>
    <w:rsid w:val="00891F4C"/>
    <w:rsid w:val="008936A8"/>
    <w:rsid w:val="0089384A"/>
    <w:rsid w:val="00895788"/>
    <w:rsid w:val="008A21D8"/>
    <w:rsid w:val="008A6120"/>
    <w:rsid w:val="008A6C16"/>
    <w:rsid w:val="008A6EB5"/>
    <w:rsid w:val="008A71FA"/>
    <w:rsid w:val="008B0BB2"/>
    <w:rsid w:val="008B320D"/>
    <w:rsid w:val="008B5962"/>
    <w:rsid w:val="008B5AA4"/>
    <w:rsid w:val="008B6673"/>
    <w:rsid w:val="008C01A9"/>
    <w:rsid w:val="008C078F"/>
    <w:rsid w:val="008C1A55"/>
    <w:rsid w:val="008C29B3"/>
    <w:rsid w:val="008C3AF2"/>
    <w:rsid w:val="008C6C97"/>
    <w:rsid w:val="008D0407"/>
    <w:rsid w:val="008D21DB"/>
    <w:rsid w:val="008D42EC"/>
    <w:rsid w:val="008D5837"/>
    <w:rsid w:val="008D76C0"/>
    <w:rsid w:val="008E27DE"/>
    <w:rsid w:val="008E57C9"/>
    <w:rsid w:val="008E6BC2"/>
    <w:rsid w:val="008F0373"/>
    <w:rsid w:val="008F0BA3"/>
    <w:rsid w:val="008F2C2B"/>
    <w:rsid w:val="0090177A"/>
    <w:rsid w:val="00907615"/>
    <w:rsid w:val="009106B9"/>
    <w:rsid w:val="00910CB6"/>
    <w:rsid w:val="00911FCC"/>
    <w:rsid w:val="00916336"/>
    <w:rsid w:val="009171A9"/>
    <w:rsid w:val="009205B6"/>
    <w:rsid w:val="00920E62"/>
    <w:rsid w:val="00923285"/>
    <w:rsid w:val="00925722"/>
    <w:rsid w:val="00931E49"/>
    <w:rsid w:val="009322A0"/>
    <w:rsid w:val="00936122"/>
    <w:rsid w:val="009406C6"/>
    <w:rsid w:val="00943409"/>
    <w:rsid w:val="0094546E"/>
    <w:rsid w:val="00945537"/>
    <w:rsid w:val="00947F7C"/>
    <w:rsid w:val="009512F3"/>
    <w:rsid w:val="00951E04"/>
    <w:rsid w:val="00954340"/>
    <w:rsid w:val="00961C89"/>
    <w:rsid w:val="0096244D"/>
    <w:rsid w:val="009677C7"/>
    <w:rsid w:val="00971D7A"/>
    <w:rsid w:val="00972928"/>
    <w:rsid w:val="00977CC2"/>
    <w:rsid w:val="00984A6D"/>
    <w:rsid w:val="00985DA4"/>
    <w:rsid w:val="00991DA4"/>
    <w:rsid w:val="00991E30"/>
    <w:rsid w:val="009929A0"/>
    <w:rsid w:val="00996B61"/>
    <w:rsid w:val="009A14C9"/>
    <w:rsid w:val="009A3802"/>
    <w:rsid w:val="009A6F86"/>
    <w:rsid w:val="009A7FAB"/>
    <w:rsid w:val="009B1B7B"/>
    <w:rsid w:val="009B1E56"/>
    <w:rsid w:val="009B2269"/>
    <w:rsid w:val="009B5325"/>
    <w:rsid w:val="009B533D"/>
    <w:rsid w:val="009B559A"/>
    <w:rsid w:val="009B5DCE"/>
    <w:rsid w:val="009C0ECF"/>
    <w:rsid w:val="009C5283"/>
    <w:rsid w:val="009C773A"/>
    <w:rsid w:val="009C7FBC"/>
    <w:rsid w:val="009D0D2F"/>
    <w:rsid w:val="009D13F9"/>
    <w:rsid w:val="009D27C1"/>
    <w:rsid w:val="009D425E"/>
    <w:rsid w:val="009D4F50"/>
    <w:rsid w:val="009D69E9"/>
    <w:rsid w:val="009E5FED"/>
    <w:rsid w:val="009E7586"/>
    <w:rsid w:val="009F05A5"/>
    <w:rsid w:val="009F3378"/>
    <w:rsid w:val="009F6D85"/>
    <w:rsid w:val="00A00F6C"/>
    <w:rsid w:val="00A147AE"/>
    <w:rsid w:val="00A15154"/>
    <w:rsid w:val="00A15397"/>
    <w:rsid w:val="00A20C52"/>
    <w:rsid w:val="00A2328D"/>
    <w:rsid w:val="00A247DF"/>
    <w:rsid w:val="00A3043B"/>
    <w:rsid w:val="00A3355F"/>
    <w:rsid w:val="00A33805"/>
    <w:rsid w:val="00A34FBC"/>
    <w:rsid w:val="00A35AF5"/>
    <w:rsid w:val="00A43988"/>
    <w:rsid w:val="00A43D5F"/>
    <w:rsid w:val="00A47369"/>
    <w:rsid w:val="00A47373"/>
    <w:rsid w:val="00A50A06"/>
    <w:rsid w:val="00A51C8F"/>
    <w:rsid w:val="00A52366"/>
    <w:rsid w:val="00A54046"/>
    <w:rsid w:val="00A55DDC"/>
    <w:rsid w:val="00A62FF2"/>
    <w:rsid w:val="00A64C3E"/>
    <w:rsid w:val="00A65B0B"/>
    <w:rsid w:val="00A675F4"/>
    <w:rsid w:val="00A70C86"/>
    <w:rsid w:val="00A72704"/>
    <w:rsid w:val="00A734AF"/>
    <w:rsid w:val="00A8142C"/>
    <w:rsid w:val="00A814C1"/>
    <w:rsid w:val="00A817D5"/>
    <w:rsid w:val="00A83C8F"/>
    <w:rsid w:val="00A8402B"/>
    <w:rsid w:val="00A841B3"/>
    <w:rsid w:val="00A85A30"/>
    <w:rsid w:val="00A85C3A"/>
    <w:rsid w:val="00A93974"/>
    <w:rsid w:val="00A95F4F"/>
    <w:rsid w:val="00AA0935"/>
    <w:rsid w:val="00AA3434"/>
    <w:rsid w:val="00AA4A26"/>
    <w:rsid w:val="00AA4F37"/>
    <w:rsid w:val="00AA7652"/>
    <w:rsid w:val="00AA7B10"/>
    <w:rsid w:val="00AB09C2"/>
    <w:rsid w:val="00AB5CC8"/>
    <w:rsid w:val="00AB6F5C"/>
    <w:rsid w:val="00AB7B53"/>
    <w:rsid w:val="00AC1952"/>
    <w:rsid w:val="00AC2B24"/>
    <w:rsid w:val="00AC3AE6"/>
    <w:rsid w:val="00AC58CC"/>
    <w:rsid w:val="00AD11F9"/>
    <w:rsid w:val="00AD234F"/>
    <w:rsid w:val="00AD780D"/>
    <w:rsid w:val="00AE1236"/>
    <w:rsid w:val="00AE17C4"/>
    <w:rsid w:val="00AE7126"/>
    <w:rsid w:val="00AF014E"/>
    <w:rsid w:val="00AF0D70"/>
    <w:rsid w:val="00AF7373"/>
    <w:rsid w:val="00B05B49"/>
    <w:rsid w:val="00B064A1"/>
    <w:rsid w:val="00B065C7"/>
    <w:rsid w:val="00B06633"/>
    <w:rsid w:val="00B1015F"/>
    <w:rsid w:val="00B11039"/>
    <w:rsid w:val="00B111B4"/>
    <w:rsid w:val="00B115CC"/>
    <w:rsid w:val="00B1216C"/>
    <w:rsid w:val="00B123B0"/>
    <w:rsid w:val="00B130BF"/>
    <w:rsid w:val="00B136F6"/>
    <w:rsid w:val="00B13BAA"/>
    <w:rsid w:val="00B13E0D"/>
    <w:rsid w:val="00B2307A"/>
    <w:rsid w:val="00B23701"/>
    <w:rsid w:val="00B303CF"/>
    <w:rsid w:val="00B3041B"/>
    <w:rsid w:val="00B3188E"/>
    <w:rsid w:val="00B376C6"/>
    <w:rsid w:val="00B42735"/>
    <w:rsid w:val="00B42CE9"/>
    <w:rsid w:val="00B455F6"/>
    <w:rsid w:val="00B46C89"/>
    <w:rsid w:val="00B52448"/>
    <w:rsid w:val="00B52F3C"/>
    <w:rsid w:val="00B542F7"/>
    <w:rsid w:val="00B5520D"/>
    <w:rsid w:val="00B55A9B"/>
    <w:rsid w:val="00B56D54"/>
    <w:rsid w:val="00B61D44"/>
    <w:rsid w:val="00B63944"/>
    <w:rsid w:val="00B70ABF"/>
    <w:rsid w:val="00B71158"/>
    <w:rsid w:val="00B7469D"/>
    <w:rsid w:val="00B75D5A"/>
    <w:rsid w:val="00B8224D"/>
    <w:rsid w:val="00B8412B"/>
    <w:rsid w:val="00B905FB"/>
    <w:rsid w:val="00B90AB3"/>
    <w:rsid w:val="00B91100"/>
    <w:rsid w:val="00B91F56"/>
    <w:rsid w:val="00B92BE8"/>
    <w:rsid w:val="00B93EEB"/>
    <w:rsid w:val="00B95703"/>
    <w:rsid w:val="00BA2AEF"/>
    <w:rsid w:val="00BA3785"/>
    <w:rsid w:val="00BA413C"/>
    <w:rsid w:val="00BA7925"/>
    <w:rsid w:val="00BB3B34"/>
    <w:rsid w:val="00BB5E0D"/>
    <w:rsid w:val="00BC1649"/>
    <w:rsid w:val="00BC1CBA"/>
    <w:rsid w:val="00BC6218"/>
    <w:rsid w:val="00BC7A5F"/>
    <w:rsid w:val="00BD1961"/>
    <w:rsid w:val="00BD1A4B"/>
    <w:rsid w:val="00BD5F60"/>
    <w:rsid w:val="00BD6329"/>
    <w:rsid w:val="00BD7715"/>
    <w:rsid w:val="00BD79EA"/>
    <w:rsid w:val="00BE1890"/>
    <w:rsid w:val="00BF0F72"/>
    <w:rsid w:val="00BF4B67"/>
    <w:rsid w:val="00BF6770"/>
    <w:rsid w:val="00C000B4"/>
    <w:rsid w:val="00C014D6"/>
    <w:rsid w:val="00C021D6"/>
    <w:rsid w:val="00C05C4E"/>
    <w:rsid w:val="00C07F95"/>
    <w:rsid w:val="00C1134C"/>
    <w:rsid w:val="00C126C0"/>
    <w:rsid w:val="00C13C5C"/>
    <w:rsid w:val="00C14164"/>
    <w:rsid w:val="00C1519E"/>
    <w:rsid w:val="00C157A1"/>
    <w:rsid w:val="00C15EAA"/>
    <w:rsid w:val="00C200FC"/>
    <w:rsid w:val="00C25BC5"/>
    <w:rsid w:val="00C263C9"/>
    <w:rsid w:val="00C32475"/>
    <w:rsid w:val="00C334F9"/>
    <w:rsid w:val="00C4022F"/>
    <w:rsid w:val="00C406FE"/>
    <w:rsid w:val="00C41D96"/>
    <w:rsid w:val="00C44AC9"/>
    <w:rsid w:val="00C504CD"/>
    <w:rsid w:val="00C50591"/>
    <w:rsid w:val="00C57EA6"/>
    <w:rsid w:val="00C7171A"/>
    <w:rsid w:val="00C77B1E"/>
    <w:rsid w:val="00C8000A"/>
    <w:rsid w:val="00C938AA"/>
    <w:rsid w:val="00C96EBC"/>
    <w:rsid w:val="00CA1A83"/>
    <w:rsid w:val="00CA24F3"/>
    <w:rsid w:val="00CA304D"/>
    <w:rsid w:val="00CA5906"/>
    <w:rsid w:val="00CA5E72"/>
    <w:rsid w:val="00CA6B00"/>
    <w:rsid w:val="00CB0998"/>
    <w:rsid w:val="00CB41A6"/>
    <w:rsid w:val="00CB7E5D"/>
    <w:rsid w:val="00CC5300"/>
    <w:rsid w:val="00CC7F96"/>
    <w:rsid w:val="00CD6E3E"/>
    <w:rsid w:val="00CE2078"/>
    <w:rsid w:val="00CE3D23"/>
    <w:rsid w:val="00CE6516"/>
    <w:rsid w:val="00CE652E"/>
    <w:rsid w:val="00CE793F"/>
    <w:rsid w:val="00CF0980"/>
    <w:rsid w:val="00CF3A46"/>
    <w:rsid w:val="00CF45CC"/>
    <w:rsid w:val="00CF46C5"/>
    <w:rsid w:val="00CF4957"/>
    <w:rsid w:val="00CF7183"/>
    <w:rsid w:val="00D000A5"/>
    <w:rsid w:val="00D03019"/>
    <w:rsid w:val="00D050CD"/>
    <w:rsid w:val="00D05A3B"/>
    <w:rsid w:val="00D060A3"/>
    <w:rsid w:val="00D1247E"/>
    <w:rsid w:val="00D1440C"/>
    <w:rsid w:val="00D1580C"/>
    <w:rsid w:val="00D15DEF"/>
    <w:rsid w:val="00D20481"/>
    <w:rsid w:val="00D2130A"/>
    <w:rsid w:val="00D223CF"/>
    <w:rsid w:val="00D2396D"/>
    <w:rsid w:val="00D26520"/>
    <w:rsid w:val="00D303ED"/>
    <w:rsid w:val="00D3395D"/>
    <w:rsid w:val="00D34B98"/>
    <w:rsid w:val="00D35792"/>
    <w:rsid w:val="00D35A46"/>
    <w:rsid w:val="00D40E63"/>
    <w:rsid w:val="00D43E75"/>
    <w:rsid w:val="00D44A75"/>
    <w:rsid w:val="00D454F4"/>
    <w:rsid w:val="00D456DD"/>
    <w:rsid w:val="00D466A5"/>
    <w:rsid w:val="00D47704"/>
    <w:rsid w:val="00D51249"/>
    <w:rsid w:val="00D544D7"/>
    <w:rsid w:val="00D56F49"/>
    <w:rsid w:val="00D62E77"/>
    <w:rsid w:val="00D70805"/>
    <w:rsid w:val="00D724B5"/>
    <w:rsid w:val="00D7258F"/>
    <w:rsid w:val="00D73333"/>
    <w:rsid w:val="00D7436F"/>
    <w:rsid w:val="00D7629D"/>
    <w:rsid w:val="00D80073"/>
    <w:rsid w:val="00D80F5D"/>
    <w:rsid w:val="00D856AD"/>
    <w:rsid w:val="00D85A26"/>
    <w:rsid w:val="00D85D06"/>
    <w:rsid w:val="00D86561"/>
    <w:rsid w:val="00D90E83"/>
    <w:rsid w:val="00D93464"/>
    <w:rsid w:val="00D9589D"/>
    <w:rsid w:val="00D95FAB"/>
    <w:rsid w:val="00D976DD"/>
    <w:rsid w:val="00DA3633"/>
    <w:rsid w:val="00DA3B69"/>
    <w:rsid w:val="00DA6FE6"/>
    <w:rsid w:val="00DB20C8"/>
    <w:rsid w:val="00DB7D7C"/>
    <w:rsid w:val="00DC4CF2"/>
    <w:rsid w:val="00DC6B44"/>
    <w:rsid w:val="00DC79DD"/>
    <w:rsid w:val="00DD1A3A"/>
    <w:rsid w:val="00DD2879"/>
    <w:rsid w:val="00DD3203"/>
    <w:rsid w:val="00DD3E55"/>
    <w:rsid w:val="00DD6722"/>
    <w:rsid w:val="00DD782C"/>
    <w:rsid w:val="00DE3BAC"/>
    <w:rsid w:val="00DE5B95"/>
    <w:rsid w:val="00DE75F4"/>
    <w:rsid w:val="00DF0582"/>
    <w:rsid w:val="00DF120E"/>
    <w:rsid w:val="00DF281B"/>
    <w:rsid w:val="00DF485C"/>
    <w:rsid w:val="00DF6FF3"/>
    <w:rsid w:val="00DF71A6"/>
    <w:rsid w:val="00E00083"/>
    <w:rsid w:val="00E01D3A"/>
    <w:rsid w:val="00E027E9"/>
    <w:rsid w:val="00E05EEC"/>
    <w:rsid w:val="00E10452"/>
    <w:rsid w:val="00E12E4A"/>
    <w:rsid w:val="00E15FDE"/>
    <w:rsid w:val="00E16A01"/>
    <w:rsid w:val="00E22375"/>
    <w:rsid w:val="00E2330C"/>
    <w:rsid w:val="00E249BE"/>
    <w:rsid w:val="00E32D5A"/>
    <w:rsid w:val="00E33457"/>
    <w:rsid w:val="00E35E9E"/>
    <w:rsid w:val="00E401E7"/>
    <w:rsid w:val="00E42F2F"/>
    <w:rsid w:val="00E506BA"/>
    <w:rsid w:val="00E50AB5"/>
    <w:rsid w:val="00E5693E"/>
    <w:rsid w:val="00E661DE"/>
    <w:rsid w:val="00E67575"/>
    <w:rsid w:val="00E71180"/>
    <w:rsid w:val="00E7303E"/>
    <w:rsid w:val="00E75BA5"/>
    <w:rsid w:val="00E8206B"/>
    <w:rsid w:val="00E82292"/>
    <w:rsid w:val="00E824B9"/>
    <w:rsid w:val="00E8381E"/>
    <w:rsid w:val="00E873EF"/>
    <w:rsid w:val="00E90271"/>
    <w:rsid w:val="00E95668"/>
    <w:rsid w:val="00EA210C"/>
    <w:rsid w:val="00EA2678"/>
    <w:rsid w:val="00EA64B7"/>
    <w:rsid w:val="00EB0210"/>
    <w:rsid w:val="00EB484C"/>
    <w:rsid w:val="00EC15F9"/>
    <w:rsid w:val="00EC2A35"/>
    <w:rsid w:val="00ED08AC"/>
    <w:rsid w:val="00ED4B60"/>
    <w:rsid w:val="00ED4E06"/>
    <w:rsid w:val="00EE07EF"/>
    <w:rsid w:val="00EE0950"/>
    <w:rsid w:val="00EE62A5"/>
    <w:rsid w:val="00EF4903"/>
    <w:rsid w:val="00EF5030"/>
    <w:rsid w:val="00EF54ED"/>
    <w:rsid w:val="00EF6945"/>
    <w:rsid w:val="00F005B5"/>
    <w:rsid w:val="00F02A97"/>
    <w:rsid w:val="00F22D39"/>
    <w:rsid w:val="00F23BC3"/>
    <w:rsid w:val="00F30B4D"/>
    <w:rsid w:val="00F30D1E"/>
    <w:rsid w:val="00F31B5A"/>
    <w:rsid w:val="00F3315D"/>
    <w:rsid w:val="00F36A9A"/>
    <w:rsid w:val="00F37C42"/>
    <w:rsid w:val="00F411DC"/>
    <w:rsid w:val="00F41FB3"/>
    <w:rsid w:val="00F4252A"/>
    <w:rsid w:val="00F43772"/>
    <w:rsid w:val="00F45D73"/>
    <w:rsid w:val="00F52B69"/>
    <w:rsid w:val="00F54405"/>
    <w:rsid w:val="00F558AD"/>
    <w:rsid w:val="00F57B33"/>
    <w:rsid w:val="00F602CE"/>
    <w:rsid w:val="00F6371A"/>
    <w:rsid w:val="00F639A3"/>
    <w:rsid w:val="00F6478B"/>
    <w:rsid w:val="00F64866"/>
    <w:rsid w:val="00F7078B"/>
    <w:rsid w:val="00F72837"/>
    <w:rsid w:val="00F7438E"/>
    <w:rsid w:val="00F766E8"/>
    <w:rsid w:val="00F82CD5"/>
    <w:rsid w:val="00F85E2E"/>
    <w:rsid w:val="00F93AB1"/>
    <w:rsid w:val="00F96EE9"/>
    <w:rsid w:val="00FA3607"/>
    <w:rsid w:val="00FA4B70"/>
    <w:rsid w:val="00FA710E"/>
    <w:rsid w:val="00FB25CB"/>
    <w:rsid w:val="00FB4555"/>
    <w:rsid w:val="00FC4BD2"/>
    <w:rsid w:val="00FD092E"/>
    <w:rsid w:val="00FD29F1"/>
    <w:rsid w:val="00FE4582"/>
    <w:rsid w:val="00FE4E78"/>
    <w:rsid w:val="00FE507D"/>
    <w:rsid w:val="00FF1965"/>
    <w:rsid w:val="00FF1D74"/>
    <w:rsid w:val="00FF2E17"/>
    <w:rsid w:val="00FF31F7"/>
    <w:rsid w:val="01005953"/>
    <w:rsid w:val="01100DB6"/>
    <w:rsid w:val="0127533C"/>
    <w:rsid w:val="013C690E"/>
    <w:rsid w:val="01AA1AC9"/>
    <w:rsid w:val="01EF3980"/>
    <w:rsid w:val="01F033C3"/>
    <w:rsid w:val="0239375A"/>
    <w:rsid w:val="028F5EDA"/>
    <w:rsid w:val="02C02CE0"/>
    <w:rsid w:val="02DF23B3"/>
    <w:rsid w:val="02E903CF"/>
    <w:rsid w:val="03634626"/>
    <w:rsid w:val="036A774F"/>
    <w:rsid w:val="037A04B1"/>
    <w:rsid w:val="03F4527E"/>
    <w:rsid w:val="04657F2A"/>
    <w:rsid w:val="047F4CE4"/>
    <w:rsid w:val="04A02746"/>
    <w:rsid w:val="04AA09A6"/>
    <w:rsid w:val="04AF192D"/>
    <w:rsid w:val="0515496C"/>
    <w:rsid w:val="05604E9F"/>
    <w:rsid w:val="05D90BCF"/>
    <w:rsid w:val="06085010"/>
    <w:rsid w:val="062C0CFF"/>
    <w:rsid w:val="067D7D4A"/>
    <w:rsid w:val="0684226E"/>
    <w:rsid w:val="06BF3F2A"/>
    <w:rsid w:val="06C158EB"/>
    <w:rsid w:val="06CE1DB6"/>
    <w:rsid w:val="06DF1110"/>
    <w:rsid w:val="06FD535B"/>
    <w:rsid w:val="070677A2"/>
    <w:rsid w:val="075C1F4C"/>
    <w:rsid w:val="07DD7C89"/>
    <w:rsid w:val="080460CC"/>
    <w:rsid w:val="08595E47"/>
    <w:rsid w:val="08DD09D6"/>
    <w:rsid w:val="093403CB"/>
    <w:rsid w:val="09581E0B"/>
    <w:rsid w:val="0963712E"/>
    <w:rsid w:val="098470A4"/>
    <w:rsid w:val="099C1C88"/>
    <w:rsid w:val="09C676BC"/>
    <w:rsid w:val="0A7D53C7"/>
    <w:rsid w:val="0AC22BB4"/>
    <w:rsid w:val="0AD2003A"/>
    <w:rsid w:val="0AD52BA3"/>
    <w:rsid w:val="0ADD6A6C"/>
    <w:rsid w:val="0ADE68B6"/>
    <w:rsid w:val="0AF8471C"/>
    <w:rsid w:val="0B246449"/>
    <w:rsid w:val="0B550CF8"/>
    <w:rsid w:val="0B882E7B"/>
    <w:rsid w:val="0BA650B0"/>
    <w:rsid w:val="0BCE560B"/>
    <w:rsid w:val="0BE43E2A"/>
    <w:rsid w:val="0C460641"/>
    <w:rsid w:val="0C564C76"/>
    <w:rsid w:val="0C5821E5"/>
    <w:rsid w:val="0C712EE4"/>
    <w:rsid w:val="0CAC6154"/>
    <w:rsid w:val="0CE95B9C"/>
    <w:rsid w:val="0D0C53E6"/>
    <w:rsid w:val="0D1349C7"/>
    <w:rsid w:val="0D416D84"/>
    <w:rsid w:val="0D492049"/>
    <w:rsid w:val="0D975457"/>
    <w:rsid w:val="0DC03E2A"/>
    <w:rsid w:val="0E422384"/>
    <w:rsid w:val="0EB2020F"/>
    <w:rsid w:val="0F022F45"/>
    <w:rsid w:val="0F6406CF"/>
    <w:rsid w:val="100920B1"/>
    <w:rsid w:val="107240FA"/>
    <w:rsid w:val="108F6A88"/>
    <w:rsid w:val="109C7737"/>
    <w:rsid w:val="10DD5A17"/>
    <w:rsid w:val="114B5E4B"/>
    <w:rsid w:val="118A2253"/>
    <w:rsid w:val="11AE4CBE"/>
    <w:rsid w:val="11E20E0C"/>
    <w:rsid w:val="120A31E6"/>
    <w:rsid w:val="121A05A5"/>
    <w:rsid w:val="122431D2"/>
    <w:rsid w:val="122F223E"/>
    <w:rsid w:val="125C0BBE"/>
    <w:rsid w:val="1279351E"/>
    <w:rsid w:val="127F2825"/>
    <w:rsid w:val="12E60488"/>
    <w:rsid w:val="12E70A98"/>
    <w:rsid w:val="13031039"/>
    <w:rsid w:val="132F62D2"/>
    <w:rsid w:val="13337B71"/>
    <w:rsid w:val="137B32C6"/>
    <w:rsid w:val="137F5BB2"/>
    <w:rsid w:val="13F015BE"/>
    <w:rsid w:val="13F05A62"/>
    <w:rsid w:val="13F7060C"/>
    <w:rsid w:val="14777D42"/>
    <w:rsid w:val="14830684"/>
    <w:rsid w:val="14D7452C"/>
    <w:rsid w:val="1590060B"/>
    <w:rsid w:val="15C10C2A"/>
    <w:rsid w:val="15E30A31"/>
    <w:rsid w:val="162F4567"/>
    <w:rsid w:val="164E081E"/>
    <w:rsid w:val="16587E18"/>
    <w:rsid w:val="169F551D"/>
    <w:rsid w:val="16FE45D7"/>
    <w:rsid w:val="17145C31"/>
    <w:rsid w:val="17C3523B"/>
    <w:rsid w:val="17E458DD"/>
    <w:rsid w:val="182D4E00"/>
    <w:rsid w:val="187B1258"/>
    <w:rsid w:val="18896266"/>
    <w:rsid w:val="18AE0E0D"/>
    <w:rsid w:val="18DE50D3"/>
    <w:rsid w:val="18E90CD1"/>
    <w:rsid w:val="19090587"/>
    <w:rsid w:val="193B5164"/>
    <w:rsid w:val="196B395A"/>
    <w:rsid w:val="19874772"/>
    <w:rsid w:val="19C2100C"/>
    <w:rsid w:val="19CA28B1"/>
    <w:rsid w:val="1A246465"/>
    <w:rsid w:val="1A3318B1"/>
    <w:rsid w:val="1B0460A7"/>
    <w:rsid w:val="1B0A6A4E"/>
    <w:rsid w:val="1B0D34C4"/>
    <w:rsid w:val="1B3020AA"/>
    <w:rsid w:val="1B642891"/>
    <w:rsid w:val="1B747941"/>
    <w:rsid w:val="1B86038B"/>
    <w:rsid w:val="1BA67C97"/>
    <w:rsid w:val="1BB01C4A"/>
    <w:rsid w:val="1BB47375"/>
    <w:rsid w:val="1BED2887"/>
    <w:rsid w:val="1C275D99"/>
    <w:rsid w:val="1C4A1E61"/>
    <w:rsid w:val="1C5046FF"/>
    <w:rsid w:val="1C540E42"/>
    <w:rsid w:val="1C861E43"/>
    <w:rsid w:val="1CC31212"/>
    <w:rsid w:val="1D0C5EE7"/>
    <w:rsid w:val="1D287072"/>
    <w:rsid w:val="1D526E45"/>
    <w:rsid w:val="1DB01DBE"/>
    <w:rsid w:val="1DD82E36"/>
    <w:rsid w:val="1DDD7152"/>
    <w:rsid w:val="1EAE27A1"/>
    <w:rsid w:val="1ECE699F"/>
    <w:rsid w:val="1ED8648A"/>
    <w:rsid w:val="1F16618C"/>
    <w:rsid w:val="1F5642FC"/>
    <w:rsid w:val="1FC97167"/>
    <w:rsid w:val="1FD06747"/>
    <w:rsid w:val="1FE21111"/>
    <w:rsid w:val="201C7BDE"/>
    <w:rsid w:val="204038CD"/>
    <w:rsid w:val="206F7D0E"/>
    <w:rsid w:val="20B931CC"/>
    <w:rsid w:val="21361BE1"/>
    <w:rsid w:val="219F63D1"/>
    <w:rsid w:val="21B52B49"/>
    <w:rsid w:val="21CD4A5B"/>
    <w:rsid w:val="2205092A"/>
    <w:rsid w:val="220A6445"/>
    <w:rsid w:val="221029F2"/>
    <w:rsid w:val="229444E9"/>
    <w:rsid w:val="22B562CA"/>
    <w:rsid w:val="22C601F3"/>
    <w:rsid w:val="23490CEA"/>
    <w:rsid w:val="23604A35"/>
    <w:rsid w:val="23BC498C"/>
    <w:rsid w:val="24021943"/>
    <w:rsid w:val="241E4176"/>
    <w:rsid w:val="248C48CE"/>
    <w:rsid w:val="24CD1C80"/>
    <w:rsid w:val="24D10C3B"/>
    <w:rsid w:val="24D708E2"/>
    <w:rsid w:val="2504136D"/>
    <w:rsid w:val="25657932"/>
    <w:rsid w:val="25815F5C"/>
    <w:rsid w:val="259049AF"/>
    <w:rsid w:val="25BF7042"/>
    <w:rsid w:val="25F81F2F"/>
    <w:rsid w:val="2618376D"/>
    <w:rsid w:val="26192BF6"/>
    <w:rsid w:val="261E3C8C"/>
    <w:rsid w:val="26782C7D"/>
    <w:rsid w:val="26897480"/>
    <w:rsid w:val="27294430"/>
    <w:rsid w:val="274A6DDF"/>
    <w:rsid w:val="27826579"/>
    <w:rsid w:val="278D24A1"/>
    <w:rsid w:val="281F026C"/>
    <w:rsid w:val="28657B53"/>
    <w:rsid w:val="29051210"/>
    <w:rsid w:val="29A44ECD"/>
    <w:rsid w:val="2A2B739C"/>
    <w:rsid w:val="2B0D4CF3"/>
    <w:rsid w:val="2B595843"/>
    <w:rsid w:val="2B63399E"/>
    <w:rsid w:val="2BFD6B16"/>
    <w:rsid w:val="2C4A5124"/>
    <w:rsid w:val="2C4D3779"/>
    <w:rsid w:val="2C6460A1"/>
    <w:rsid w:val="2CD02995"/>
    <w:rsid w:val="2CD2313D"/>
    <w:rsid w:val="2CF3191C"/>
    <w:rsid w:val="2D07689D"/>
    <w:rsid w:val="2D0D4B37"/>
    <w:rsid w:val="2D452F54"/>
    <w:rsid w:val="2D522E91"/>
    <w:rsid w:val="2D690BAC"/>
    <w:rsid w:val="2D746964"/>
    <w:rsid w:val="2DC12EEE"/>
    <w:rsid w:val="2DCC2C44"/>
    <w:rsid w:val="2DDB0EC9"/>
    <w:rsid w:val="2E024EC2"/>
    <w:rsid w:val="2E1F613B"/>
    <w:rsid w:val="2E582C20"/>
    <w:rsid w:val="2E6D7F83"/>
    <w:rsid w:val="2EA27B20"/>
    <w:rsid w:val="2EEB0EA8"/>
    <w:rsid w:val="2EEB534C"/>
    <w:rsid w:val="2F3E7AF1"/>
    <w:rsid w:val="2F4405B8"/>
    <w:rsid w:val="2F46399F"/>
    <w:rsid w:val="2FCD67FF"/>
    <w:rsid w:val="2FE140FD"/>
    <w:rsid w:val="2FEA115F"/>
    <w:rsid w:val="2FEA5603"/>
    <w:rsid w:val="302218DD"/>
    <w:rsid w:val="30825925"/>
    <w:rsid w:val="30A40D12"/>
    <w:rsid w:val="30A56EA8"/>
    <w:rsid w:val="30BF083E"/>
    <w:rsid w:val="30DA7426"/>
    <w:rsid w:val="31722CBF"/>
    <w:rsid w:val="31905262"/>
    <w:rsid w:val="31D06241"/>
    <w:rsid w:val="32180206"/>
    <w:rsid w:val="327C2C35"/>
    <w:rsid w:val="32D6161D"/>
    <w:rsid w:val="32E60304"/>
    <w:rsid w:val="32FB3B93"/>
    <w:rsid w:val="333F7A14"/>
    <w:rsid w:val="335336C1"/>
    <w:rsid w:val="33576B0C"/>
    <w:rsid w:val="3361798A"/>
    <w:rsid w:val="33EC67DF"/>
    <w:rsid w:val="34321327"/>
    <w:rsid w:val="347F1C84"/>
    <w:rsid w:val="349615D4"/>
    <w:rsid w:val="34AB36CA"/>
    <w:rsid w:val="34D643A8"/>
    <w:rsid w:val="34F75D34"/>
    <w:rsid w:val="35026FA5"/>
    <w:rsid w:val="35040F15"/>
    <w:rsid w:val="352B2DCA"/>
    <w:rsid w:val="35EE63BC"/>
    <w:rsid w:val="368340BC"/>
    <w:rsid w:val="369F7453"/>
    <w:rsid w:val="36D81E78"/>
    <w:rsid w:val="372238D5"/>
    <w:rsid w:val="37313B18"/>
    <w:rsid w:val="375C18F3"/>
    <w:rsid w:val="376E08C8"/>
    <w:rsid w:val="377203B8"/>
    <w:rsid w:val="382B67B9"/>
    <w:rsid w:val="38730D47"/>
    <w:rsid w:val="388365F5"/>
    <w:rsid w:val="388F4F9A"/>
    <w:rsid w:val="392A002C"/>
    <w:rsid w:val="39570EB8"/>
    <w:rsid w:val="39882115"/>
    <w:rsid w:val="399D36E6"/>
    <w:rsid w:val="39DC7135"/>
    <w:rsid w:val="3A0A19D1"/>
    <w:rsid w:val="3A802DEC"/>
    <w:rsid w:val="3ADC7A8D"/>
    <w:rsid w:val="3AF13CEA"/>
    <w:rsid w:val="3B491430"/>
    <w:rsid w:val="3B8B15B8"/>
    <w:rsid w:val="3C096E11"/>
    <w:rsid w:val="3C4257CA"/>
    <w:rsid w:val="3CD16DF5"/>
    <w:rsid w:val="3D1F1780"/>
    <w:rsid w:val="3D23371B"/>
    <w:rsid w:val="3D2E6E96"/>
    <w:rsid w:val="3DA54918"/>
    <w:rsid w:val="3E191CFA"/>
    <w:rsid w:val="3E375EB7"/>
    <w:rsid w:val="3E8B7FB1"/>
    <w:rsid w:val="3EC314F9"/>
    <w:rsid w:val="3F173D71"/>
    <w:rsid w:val="3F2226C4"/>
    <w:rsid w:val="3F580DF2"/>
    <w:rsid w:val="3F776BC3"/>
    <w:rsid w:val="3FF102E8"/>
    <w:rsid w:val="3FFF2BF2"/>
    <w:rsid w:val="403B0F00"/>
    <w:rsid w:val="404B79F8"/>
    <w:rsid w:val="40766A74"/>
    <w:rsid w:val="4079618D"/>
    <w:rsid w:val="40E30BE5"/>
    <w:rsid w:val="40EF2A79"/>
    <w:rsid w:val="41081350"/>
    <w:rsid w:val="415C210B"/>
    <w:rsid w:val="41AF3FB7"/>
    <w:rsid w:val="41F4499C"/>
    <w:rsid w:val="42310697"/>
    <w:rsid w:val="423C04CE"/>
    <w:rsid w:val="42451BBF"/>
    <w:rsid w:val="4290203A"/>
    <w:rsid w:val="42A31D6D"/>
    <w:rsid w:val="42C341BE"/>
    <w:rsid w:val="437D2182"/>
    <w:rsid w:val="43D83C99"/>
    <w:rsid w:val="440C749E"/>
    <w:rsid w:val="4441183E"/>
    <w:rsid w:val="44421112"/>
    <w:rsid w:val="445552E9"/>
    <w:rsid w:val="446C618F"/>
    <w:rsid w:val="44B5736C"/>
    <w:rsid w:val="44C1638D"/>
    <w:rsid w:val="44CB55AC"/>
    <w:rsid w:val="44DA240E"/>
    <w:rsid w:val="451900C5"/>
    <w:rsid w:val="45D55AA5"/>
    <w:rsid w:val="461B7F67"/>
    <w:rsid w:val="46671C28"/>
    <w:rsid w:val="46E42955"/>
    <w:rsid w:val="47833E98"/>
    <w:rsid w:val="479D4749"/>
    <w:rsid w:val="47B71E17"/>
    <w:rsid w:val="47CA5D6C"/>
    <w:rsid w:val="47D17961"/>
    <w:rsid w:val="48147269"/>
    <w:rsid w:val="48567BBA"/>
    <w:rsid w:val="486E2920"/>
    <w:rsid w:val="488579A8"/>
    <w:rsid w:val="489E287C"/>
    <w:rsid w:val="48A04659"/>
    <w:rsid w:val="48C22BFF"/>
    <w:rsid w:val="48EE7ABB"/>
    <w:rsid w:val="493354CD"/>
    <w:rsid w:val="493E6095"/>
    <w:rsid w:val="49492F43"/>
    <w:rsid w:val="498875C7"/>
    <w:rsid w:val="498B5309"/>
    <w:rsid w:val="49B74350"/>
    <w:rsid w:val="49FB0E9C"/>
    <w:rsid w:val="4A595408"/>
    <w:rsid w:val="4AF96DA6"/>
    <w:rsid w:val="4B3B4123"/>
    <w:rsid w:val="4B856EC5"/>
    <w:rsid w:val="4C5F1E4B"/>
    <w:rsid w:val="4CB1049F"/>
    <w:rsid w:val="4D0A515A"/>
    <w:rsid w:val="4D1B7BC6"/>
    <w:rsid w:val="4D3816FD"/>
    <w:rsid w:val="4D8827E9"/>
    <w:rsid w:val="4DD54DA5"/>
    <w:rsid w:val="4DF91D24"/>
    <w:rsid w:val="4E1C4782"/>
    <w:rsid w:val="4E326931"/>
    <w:rsid w:val="4E344BCF"/>
    <w:rsid w:val="4E3D04F4"/>
    <w:rsid w:val="4E3E294A"/>
    <w:rsid w:val="4E557C94"/>
    <w:rsid w:val="4E970213"/>
    <w:rsid w:val="4EEF1F8C"/>
    <w:rsid w:val="4F3A8E8B"/>
    <w:rsid w:val="4F8545A9"/>
    <w:rsid w:val="4FF82594"/>
    <w:rsid w:val="50225C84"/>
    <w:rsid w:val="503E4E84"/>
    <w:rsid w:val="50680152"/>
    <w:rsid w:val="5091245A"/>
    <w:rsid w:val="50A15412"/>
    <w:rsid w:val="5108493A"/>
    <w:rsid w:val="51506877"/>
    <w:rsid w:val="515801C7"/>
    <w:rsid w:val="51C23B5A"/>
    <w:rsid w:val="51D22FE8"/>
    <w:rsid w:val="51D500F7"/>
    <w:rsid w:val="51E05EB9"/>
    <w:rsid w:val="51E332DC"/>
    <w:rsid w:val="51EB2DE9"/>
    <w:rsid w:val="520C2D5F"/>
    <w:rsid w:val="523E560F"/>
    <w:rsid w:val="525766D1"/>
    <w:rsid w:val="53034162"/>
    <w:rsid w:val="53407165"/>
    <w:rsid w:val="536F73C2"/>
    <w:rsid w:val="538E6122"/>
    <w:rsid w:val="5402266C"/>
    <w:rsid w:val="542B1BC3"/>
    <w:rsid w:val="542E4D92"/>
    <w:rsid w:val="549E4761"/>
    <w:rsid w:val="553C5568"/>
    <w:rsid w:val="553E1482"/>
    <w:rsid w:val="555E38D2"/>
    <w:rsid w:val="55C54829"/>
    <w:rsid w:val="56233DE8"/>
    <w:rsid w:val="56452625"/>
    <w:rsid w:val="564D17F1"/>
    <w:rsid w:val="56530930"/>
    <w:rsid w:val="566D34E3"/>
    <w:rsid w:val="567F1D52"/>
    <w:rsid w:val="56837A94"/>
    <w:rsid w:val="56F9340F"/>
    <w:rsid w:val="570F5142"/>
    <w:rsid w:val="577F30F6"/>
    <w:rsid w:val="578869E5"/>
    <w:rsid w:val="57BF0769"/>
    <w:rsid w:val="57DA7B88"/>
    <w:rsid w:val="58B62FDA"/>
    <w:rsid w:val="58B8154B"/>
    <w:rsid w:val="58D565A1"/>
    <w:rsid w:val="591E5852"/>
    <w:rsid w:val="59657925"/>
    <w:rsid w:val="597B1964"/>
    <w:rsid w:val="597E4543"/>
    <w:rsid w:val="598A13F7"/>
    <w:rsid w:val="59AD307A"/>
    <w:rsid w:val="59C90F04"/>
    <w:rsid w:val="5A330905"/>
    <w:rsid w:val="5A530D01"/>
    <w:rsid w:val="5A736072"/>
    <w:rsid w:val="5AA31EC3"/>
    <w:rsid w:val="5AD05BCC"/>
    <w:rsid w:val="5AD92379"/>
    <w:rsid w:val="5AF076C2"/>
    <w:rsid w:val="5B37709F"/>
    <w:rsid w:val="5B4C1EBB"/>
    <w:rsid w:val="5B8B207C"/>
    <w:rsid w:val="5BA069F2"/>
    <w:rsid w:val="5BC7251F"/>
    <w:rsid w:val="5BC92AEC"/>
    <w:rsid w:val="5C0B0184"/>
    <w:rsid w:val="5C225659"/>
    <w:rsid w:val="5C3B7710"/>
    <w:rsid w:val="5CFF690A"/>
    <w:rsid w:val="5D5A0E23"/>
    <w:rsid w:val="5D616655"/>
    <w:rsid w:val="5D6F00C7"/>
    <w:rsid w:val="5D8A795A"/>
    <w:rsid w:val="5DAA2355"/>
    <w:rsid w:val="5DC6688C"/>
    <w:rsid w:val="5DD706A8"/>
    <w:rsid w:val="5DE97722"/>
    <w:rsid w:val="5E11256E"/>
    <w:rsid w:val="5E203FF8"/>
    <w:rsid w:val="5EE60C58"/>
    <w:rsid w:val="5F261904"/>
    <w:rsid w:val="5F4F0E5B"/>
    <w:rsid w:val="5FA7663E"/>
    <w:rsid w:val="60086D49"/>
    <w:rsid w:val="60597BC3"/>
    <w:rsid w:val="60736193"/>
    <w:rsid w:val="60B62814"/>
    <w:rsid w:val="60E8429D"/>
    <w:rsid w:val="61397AF9"/>
    <w:rsid w:val="61A94127"/>
    <w:rsid w:val="62113BDF"/>
    <w:rsid w:val="621760A0"/>
    <w:rsid w:val="62261C1B"/>
    <w:rsid w:val="62467BC8"/>
    <w:rsid w:val="62761849"/>
    <w:rsid w:val="62B2099E"/>
    <w:rsid w:val="62CA6A4B"/>
    <w:rsid w:val="62CB1F95"/>
    <w:rsid w:val="62EC6C22"/>
    <w:rsid w:val="6381582A"/>
    <w:rsid w:val="638C3D00"/>
    <w:rsid w:val="639E1EA7"/>
    <w:rsid w:val="63BD1F6C"/>
    <w:rsid w:val="63CB2A7A"/>
    <w:rsid w:val="645541F9"/>
    <w:rsid w:val="651A6DED"/>
    <w:rsid w:val="653071F5"/>
    <w:rsid w:val="65490008"/>
    <w:rsid w:val="657C227E"/>
    <w:rsid w:val="6581312F"/>
    <w:rsid w:val="65DA654A"/>
    <w:rsid w:val="662A2143"/>
    <w:rsid w:val="66784098"/>
    <w:rsid w:val="66A01EEA"/>
    <w:rsid w:val="672F50CE"/>
    <w:rsid w:val="6732696D"/>
    <w:rsid w:val="67335B2D"/>
    <w:rsid w:val="674A1F08"/>
    <w:rsid w:val="6780592A"/>
    <w:rsid w:val="679D2438"/>
    <w:rsid w:val="68FE744E"/>
    <w:rsid w:val="693365A4"/>
    <w:rsid w:val="694E189C"/>
    <w:rsid w:val="698F00A6"/>
    <w:rsid w:val="69951B60"/>
    <w:rsid w:val="69EC175E"/>
    <w:rsid w:val="6A2627B9"/>
    <w:rsid w:val="6A6D262D"/>
    <w:rsid w:val="6AC36259"/>
    <w:rsid w:val="6ADC6960"/>
    <w:rsid w:val="6B5F095A"/>
    <w:rsid w:val="6B737C7F"/>
    <w:rsid w:val="6BA25945"/>
    <w:rsid w:val="6BC009EB"/>
    <w:rsid w:val="6BEA0511"/>
    <w:rsid w:val="6C10523F"/>
    <w:rsid w:val="6C661592"/>
    <w:rsid w:val="6C852557"/>
    <w:rsid w:val="6CD8527C"/>
    <w:rsid w:val="6CF21937"/>
    <w:rsid w:val="6D291089"/>
    <w:rsid w:val="6D2B657F"/>
    <w:rsid w:val="6D2F2FBF"/>
    <w:rsid w:val="6D382E30"/>
    <w:rsid w:val="6D4A2C62"/>
    <w:rsid w:val="6D6D06AA"/>
    <w:rsid w:val="6D877A12"/>
    <w:rsid w:val="6DB8158E"/>
    <w:rsid w:val="6DBE63E7"/>
    <w:rsid w:val="6E027099"/>
    <w:rsid w:val="6E47333C"/>
    <w:rsid w:val="6E4B2301"/>
    <w:rsid w:val="6E755173"/>
    <w:rsid w:val="6E8B1784"/>
    <w:rsid w:val="6E9344D3"/>
    <w:rsid w:val="6E991117"/>
    <w:rsid w:val="6EDC6B13"/>
    <w:rsid w:val="6F0B6421"/>
    <w:rsid w:val="6F4436E1"/>
    <w:rsid w:val="6F4B4A6F"/>
    <w:rsid w:val="6F6D630A"/>
    <w:rsid w:val="6F8C7562"/>
    <w:rsid w:val="6FD0517F"/>
    <w:rsid w:val="6FEF1B60"/>
    <w:rsid w:val="6FF869A5"/>
    <w:rsid w:val="706D455C"/>
    <w:rsid w:val="7075370E"/>
    <w:rsid w:val="711141AC"/>
    <w:rsid w:val="71175551"/>
    <w:rsid w:val="711F61B4"/>
    <w:rsid w:val="712E0EC1"/>
    <w:rsid w:val="71D62D16"/>
    <w:rsid w:val="71D84CE0"/>
    <w:rsid w:val="725400DF"/>
    <w:rsid w:val="727C24B1"/>
    <w:rsid w:val="734B536B"/>
    <w:rsid w:val="73B13A3B"/>
    <w:rsid w:val="73B9469D"/>
    <w:rsid w:val="73C6500C"/>
    <w:rsid w:val="73D262BD"/>
    <w:rsid w:val="73E43752"/>
    <w:rsid w:val="73F358A7"/>
    <w:rsid w:val="740578E3"/>
    <w:rsid w:val="7443040B"/>
    <w:rsid w:val="7564688B"/>
    <w:rsid w:val="756E5C8B"/>
    <w:rsid w:val="75874327"/>
    <w:rsid w:val="75E214D5"/>
    <w:rsid w:val="7612431B"/>
    <w:rsid w:val="761E6A3A"/>
    <w:rsid w:val="76441E30"/>
    <w:rsid w:val="76562678"/>
    <w:rsid w:val="76E442A3"/>
    <w:rsid w:val="77124B1F"/>
    <w:rsid w:val="773A78A3"/>
    <w:rsid w:val="773B6FD2"/>
    <w:rsid w:val="77707769"/>
    <w:rsid w:val="780F0F07"/>
    <w:rsid w:val="78175E36"/>
    <w:rsid w:val="7819395D"/>
    <w:rsid w:val="783A1F1C"/>
    <w:rsid w:val="78436C2C"/>
    <w:rsid w:val="785D5F3F"/>
    <w:rsid w:val="78C64775"/>
    <w:rsid w:val="78DE59AA"/>
    <w:rsid w:val="793622EC"/>
    <w:rsid w:val="797F1EE5"/>
    <w:rsid w:val="79882B23"/>
    <w:rsid w:val="79E473B8"/>
    <w:rsid w:val="7A184D02"/>
    <w:rsid w:val="7A3507F6"/>
    <w:rsid w:val="7A392094"/>
    <w:rsid w:val="7A513882"/>
    <w:rsid w:val="7AAE6305"/>
    <w:rsid w:val="7B030B40"/>
    <w:rsid w:val="7B0A61F0"/>
    <w:rsid w:val="7B8B2DC3"/>
    <w:rsid w:val="7BBC2712"/>
    <w:rsid w:val="7BC861ED"/>
    <w:rsid w:val="7C292191"/>
    <w:rsid w:val="7C792C1C"/>
    <w:rsid w:val="7C833A9B"/>
    <w:rsid w:val="7CBB668B"/>
    <w:rsid w:val="7CBD74FA"/>
    <w:rsid w:val="7CE73217"/>
    <w:rsid w:val="7CED1E2D"/>
    <w:rsid w:val="7CF46746"/>
    <w:rsid w:val="7D0411CC"/>
    <w:rsid w:val="7D227FEB"/>
    <w:rsid w:val="7D781125"/>
    <w:rsid w:val="7D935F5F"/>
    <w:rsid w:val="7D93745B"/>
    <w:rsid w:val="7DC10D1E"/>
    <w:rsid w:val="7DDA1296"/>
    <w:rsid w:val="7DE62533"/>
    <w:rsid w:val="7E176507"/>
    <w:rsid w:val="7EBC09D3"/>
    <w:rsid w:val="7EF23159"/>
    <w:rsid w:val="7EFF843E"/>
    <w:rsid w:val="7F233313"/>
    <w:rsid w:val="7F6979A4"/>
    <w:rsid w:val="7F8518D8"/>
    <w:rsid w:val="7F9F425C"/>
    <w:rsid w:val="7FAC67B0"/>
    <w:rsid w:val="7FFB02AB"/>
    <w:rsid w:val="9EDD5FF0"/>
    <w:rsid w:val="BF5C45D8"/>
    <w:rsid w:val="DD5FDC7E"/>
    <w:rsid w:val="E3BCB0D1"/>
    <w:rsid w:val="EFEF0073"/>
    <w:rsid w:val="F7FE911A"/>
    <w:rsid w:val="FDDF3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spacing w:before="50" w:beforeLines="50" w:after="50" w:afterLines="50" w:line="600" w:lineRule="exact"/>
      <w:ind w:firstLine="640" w:firstLineChars="200"/>
      <w:jc w:val="left"/>
      <w:outlineLvl w:val="0"/>
    </w:pPr>
    <w:rPr>
      <w:rFonts w:ascii="方正小标宋_GBK" w:hAnsi="方正小标宋_GBK" w:eastAsia="黑体" w:cs="方正小标宋_GBK"/>
      <w:sz w:val="32"/>
      <w:szCs w:val="44"/>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Cs w:val="24"/>
    </w:rPr>
  </w:style>
  <w:style w:type="paragraph" w:styleId="6">
    <w:name w:val="annotation text"/>
    <w:basedOn w:val="1"/>
    <w:link w:val="26"/>
    <w:unhideWhenUsed/>
    <w:qFormat/>
    <w:uiPriority w:val="0"/>
    <w:pPr>
      <w:jc w:val="left"/>
    </w:pPr>
  </w:style>
  <w:style w:type="paragraph" w:styleId="7">
    <w:name w:val="Body Text Indent"/>
    <w:basedOn w:val="1"/>
    <w:link w:val="32"/>
    <w:semiHidden/>
    <w:unhideWhenUsed/>
    <w:qFormat/>
    <w:uiPriority w:val="99"/>
    <w:pPr>
      <w:spacing w:after="120"/>
      <w:ind w:left="420" w:leftChars="200"/>
    </w:pPr>
  </w:style>
  <w:style w:type="paragraph" w:styleId="8">
    <w:name w:val="Plain Text"/>
    <w:basedOn w:val="1"/>
    <w:next w:val="9"/>
    <w:link w:val="34"/>
    <w:unhideWhenUsed/>
    <w:qFormat/>
    <w:uiPriority w:val="99"/>
    <w:rPr>
      <w:rFonts w:ascii="宋体" w:hAnsi="Courier New" w:cs="Courier New"/>
      <w:szCs w:val="21"/>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alloon Text"/>
    <w:basedOn w:val="1"/>
    <w:link w:val="25"/>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annotation subject"/>
    <w:basedOn w:val="6"/>
    <w:next w:val="6"/>
    <w:link w:val="27"/>
    <w:semiHidden/>
    <w:unhideWhenUsed/>
    <w:qFormat/>
    <w:uiPriority w:val="99"/>
    <w:rPr>
      <w:b/>
      <w:bCs/>
    </w:rPr>
  </w:style>
  <w:style w:type="paragraph" w:styleId="14">
    <w:name w:val="Body Text First Indent"/>
    <w:basedOn w:val="2"/>
    <w:unhideWhenUsed/>
    <w:qFormat/>
    <w:uiPriority w:val="99"/>
    <w:pPr>
      <w:ind w:firstLine="420" w:firstLineChars="100"/>
    </w:pPr>
    <w:rPr>
      <w:rFonts w:ascii="宋体" w:hAnsi="宋体"/>
    </w:rPr>
  </w:style>
  <w:style w:type="paragraph" w:styleId="15">
    <w:name w:val="Body Text First Indent 2"/>
    <w:basedOn w:val="7"/>
    <w:link w:val="33"/>
    <w:semiHidden/>
    <w:unhideWhenUsed/>
    <w:qFormat/>
    <w:uiPriority w:val="99"/>
    <w:pPr>
      <w:ind w:firstLine="420" w:firstLineChars="200"/>
    </w:pPr>
  </w:style>
  <w:style w:type="character" w:styleId="18">
    <w:name w:val="Strong"/>
    <w:basedOn w:val="17"/>
    <w:qFormat/>
    <w:uiPriority w:val="22"/>
    <w:rPr>
      <w:b/>
      <w:bCs/>
    </w:rPr>
  </w:style>
  <w:style w:type="character" w:styleId="19">
    <w:name w:val="Hyperlink"/>
    <w:basedOn w:val="17"/>
    <w:semiHidden/>
    <w:unhideWhenUsed/>
    <w:qFormat/>
    <w:uiPriority w:val="99"/>
    <w:rPr>
      <w:color w:val="0000FF"/>
      <w:u w:val="single"/>
    </w:rPr>
  </w:style>
  <w:style w:type="character" w:styleId="20">
    <w:name w:val="annotation reference"/>
    <w:basedOn w:val="17"/>
    <w:unhideWhenUsed/>
    <w:qFormat/>
    <w:uiPriority w:val="0"/>
    <w:rPr>
      <w:sz w:val="21"/>
      <w:szCs w:val="21"/>
    </w:rPr>
  </w:style>
  <w:style w:type="paragraph" w:customStyle="1" w:styleId="2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
    <w:name w:val="彩色列表 - 着色 11"/>
    <w:basedOn w:val="1"/>
    <w:qFormat/>
    <w:uiPriority w:val="34"/>
    <w:pPr>
      <w:spacing w:line="440" w:lineRule="exact"/>
      <w:ind w:firstLine="420" w:firstLineChars="200"/>
    </w:pPr>
    <w:rPr>
      <w:rFonts w:ascii="Arial" w:hAnsi="Arial"/>
      <w:szCs w:val="24"/>
    </w:rPr>
  </w:style>
  <w:style w:type="character" w:customStyle="1" w:styleId="23">
    <w:name w:val="页眉 字符"/>
    <w:basedOn w:val="17"/>
    <w:link w:val="9"/>
    <w:qFormat/>
    <w:uiPriority w:val="99"/>
    <w:rPr>
      <w:rFonts w:ascii="Calibri" w:hAnsi="Calibri" w:eastAsia="宋体" w:cs="Times New Roman"/>
      <w:sz w:val="18"/>
      <w:szCs w:val="18"/>
    </w:rPr>
  </w:style>
  <w:style w:type="character" w:customStyle="1" w:styleId="24">
    <w:name w:val="页脚 字符"/>
    <w:basedOn w:val="17"/>
    <w:link w:val="11"/>
    <w:qFormat/>
    <w:uiPriority w:val="99"/>
    <w:rPr>
      <w:rFonts w:ascii="Calibri" w:hAnsi="Calibri" w:eastAsia="宋体" w:cs="Times New Roman"/>
      <w:sz w:val="18"/>
      <w:szCs w:val="18"/>
    </w:rPr>
  </w:style>
  <w:style w:type="character" w:customStyle="1" w:styleId="25">
    <w:name w:val="批注框文本 字符"/>
    <w:basedOn w:val="17"/>
    <w:link w:val="10"/>
    <w:semiHidden/>
    <w:qFormat/>
    <w:uiPriority w:val="99"/>
    <w:rPr>
      <w:rFonts w:ascii="Calibri" w:hAnsi="Calibri" w:eastAsia="宋体" w:cs="Times New Roman"/>
      <w:sz w:val="18"/>
      <w:szCs w:val="18"/>
    </w:rPr>
  </w:style>
  <w:style w:type="character" w:customStyle="1" w:styleId="26">
    <w:name w:val="批注文字 字符"/>
    <w:basedOn w:val="17"/>
    <w:link w:val="6"/>
    <w:qFormat/>
    <w:uiPriority w:val="0"/>
    <w:rPr>
      <w:rFonts w:ascii="Calibri" w:hAnsi="Calibri" w:eastAsia="宋体" w:cs="Times New Roman"/>
    </w:rPr>
  </w:style>
  <w:style w:type="character" w:customStyle="1" w:styleId="27">
    <w:name w:val="批注主题 字符"/>
    <w:basedOn w:val="26"/>
    <w:link w:val="13"/>
    <w:semiHidden/>
    <w:qFormat/>
    <w:uiPriority w:val="99"/>
    <w:rPr>
      <w:rFonts w:ascii="Calibri" w:hAnsi="Calibri" w:eastAsia="宋体" w:cs="Times New Roman"/>
      <w:b/>
      <w:bCs/>
    </w:rPr>
  </w:style>
  <w:style w:type="paragraph" w:styleId="28">
    <w:name w:val="List Paragraph"/>
    <w:basedOn w:val="1"/>
    <w:qFormat/>
    <w:uiPriority w:val="99"/>
    <w:pPr>
      <w:ind w:firstLine="420" w:firstLineChars="200"/>
    </w:pPr>
  </w:style>
  <w:style w:type="paragraph" w:customStyle="1" w:styleId="29">
    <w:name w:val="修订1"/>
    <w:hidden/>
    <w:semiHidden/>
    <w:qFormat/>
    <w:uiPriority w:val="99"/>
    <w:rPr>
      <w:rFonts w:ascii="Calibri" w:hAnsi="Calibri" w:eastAsia="宋体" w:cs="Times New Roman"/>
      <w:kern w:val="2"/>
      <w:sz w:val="21"/>
      <w:szCs w:val="22"/>
      <w:lang w:val="en-US" w:eastAsia="zh-CN" w:bidi="ar-SA"/>
    </w:rPr>
  </w:style>
  <w:style w:type="paragraph" w:customStyle="1" w:styleId="30">
    <w:name w:val="修订2"/>
    <w:hidden/>
    <w:semiHidden/>
    <w:qFormat/>
    <w:uiPriority w:val="99"/>
    <w:rPr>
      <w:rFonts w:ascii="Calibri" w:hAnsi="Calibri" w:eastAsia="宋体" w:cs="Times New Roman"/>
      <w:kern w:val="2"/>
      <w:sz w:val="21"/>
      <w:szCs w:val="22"/>
      <w:lang w:val="en-US" w:eastAsia="zh-CN" w:bidi="ar-SA"/>
    </w:rPr>
  </w:style>
  <w:style w:type="character" w:customStyle="1" w:styleId="31">
    <w:name w:val="font11"/>
    <w:basedOn w:val="17"/>
    <w:qFormat/>
    <w:uiPriority w:val="0"/>
    <w:rPr>
      <w:rFonts w:hint="eastAsia" w:ascii="仿宋_GB2312" w:eastAsia="仿宋_GB2312" w:cs="仿宋_GB2312"/>
      <w:color w:val="000000"/>
      <w:sz w:val="24"/>
      <w:szCs w:val="24"/>
      <w:u w:val="none"/>
    </w:rPr>
  </w:style>
  <w:style w:type="character" w:customStyle="1" w:styleId="32">
    <w:name w:val="正文文本缩进 字符"/>
    <w:basedOn w:val="17"/>
    <w:link w:val="7"/>
    <w:semiHidden/>
    <w:qFormat/>
    <w:uiPriority w:val="99"/>
    <w:rPr>
      <w:rFonts w:ascii="Calibri" w:hAnsi="Calibri"/>
      <w:kern w:val="2"/>
      <w:sz w:val="21"/>
      <w:szCs w:val="22"/>
    </w:rPr>
  </w:style>
  <w:style w:type="character" w:customStyle="1" w:styleId="33">
    <w:name w:val="正文文本首行缩进 2 字符"/>
    <w:basedOn w:val="32"/>
    <w:link w:val="15"/>
    <w:semiHidden/>
    <w:qFormat/>
    <w:uiPriority w:val="99"/>
    <w:rPr>
      <w:rFonts w:ascii="Calibri" w:hAnsi="Calibri"/>
      <w:kern w:val="2"/>
      <w:sz w:val="21"/>
      <w:szCs w:val="22"/>
    </w:rPr>
  </w:style>
  <w:style w:type="character" w:customStyle="1" w:styleId="34">
    <w:name w:val="纯文本 字符"/>
    <w:basedOn w:val="17"/>
    <w:link w:val="8"/>
    <w:qFormat/>
    <w:uiPriority w:val="99"/>
    <w:rPr>
      <w:rFonts w:ascii="宋体" w:hAnsi="Courier New" w:cs="Courier New"/>
      <w:kern w:val="2"/>
      <w:sz w:val="21"/>
      <w:szCs w:val="21"/>
    </w:rPr>
  </w:style>
  <w:style w:type="character" w:customStyle="1" w:styleId="35">
    <w:name w:val="spark-text"/>
    <w:basedOn w:val="17"/>
    <w:qFormat/>
    <w:uiPriority w:val="0"/>
  </w:style>
  <w:style w:type="paragraph" w:customStyle="1" w:styleId="36">
    <w:name w:val="修订3"/>
    <w:hidden/>
    <w:unhideWhenUsed/>
    <w:qFormat/>
    <w:uiPriority w:val="99"/>
    <w:rPr>
      <w:rFonts w:ascii="Calibri" w:hAnsi="Calibri" w:eastAsia="宋体" w:cs="Times New Roman"/>
      <w:kern w:val="2"/>
      <w:sz w:val="21"/>
      <w:szCs w:val="22"/>
      <w:lang w:val="en-US" w:eastAsia="zh-CN" w:bidi="ar-SA"/>
    </w:rPr>
  </w:style>
  <w:style w:type="paragraph" w:customStyle="1" w:styleId="37">
    <w:name w:val="修订4"/>
    <w:hidden/>
    <w:unhideWhenUsed/>
    <w:qFormat/>
    <w:uiPriority w:val="99"/>
    <w:rPr>
      <w:rFonts w:ascii="Calibri" w:hAnsi="Calibri" w:eastAsia="宋体" w:cs="Times New Roman"/>
      <w:kern w:val="2"/>
      <w:sz w:val="21"/>
      <w:szCs w:val="22"/>
      <w:lang w:val="en-US" w:eastAsia="zh-CN" w:bidi="ar-SA"/>
    </w:rPr>
  </w:style>
  <w:style w:type="paragraph" w:customStyle="1" w:styleId="38">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1222</Words>
  <Characters>6971</Characters>
  <Lines>58</Lines>
  <Paragraphs>16</Paragraphs>
  <TotalTime>7</TotalTime>
  <ScaleCrop>false</ScaleCrop>
  <LinksUpToDate>false</LinksUpToDate>
  <CharactersWithSpaces>8177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2024-02-08T06:03:00Z</dcterms:created>
  <dc:creator>lx</dc:creator>
  <cp:lastModifiedBy>lx</cp:lastModifiedBy>
  <cp:lastPrinted>2024-02-07T10:05:00Z</cp:lastPrinted>
  <dcterms:modified xsi:type="dcterms:W3CDTF">2024-02-08T12:53:31Z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2DA098CF84554AE0A5EE5DD7BE3EF4D9</vt:lpwstr>
  </property>
</Properties>
</file>