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297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50FAA6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ascii="Times New Roman" w:hAnsi="Times New Roman" w:eastAsia="仿宋_GB2312" w:cs="Times New Roman"/>
          <w:sz w:val="32"/>
          <w:szCs w:val="32"/>
          <w:lang w:val="en"/>
        </w:rPr>
        <w:t>行罚</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14:paraId="282C3E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104140</wp:posOffset>
                </wp:positionV>
                <wp:extent cx="5616575" cy="0"/>
                <wp:effectExtent l="0" t="12700" r="9525" b="12700"/>
                <wp:wrapNone/>
                <wp:docPr id="6" name="直接连接符 6"/>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8.2pt;height:0pt;width:442.25pt;z-index:251661312;mso-width-relative:page;mso-height-relative:page;" filled="f" stroked="t" coordsize="21600,21600" o:gfxdata="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WT3JW1AAAAAYBAAAPAAAAAAAAAAEAIAAAACIAAABkcnMvZG93bnJldi54bWxQSwEC&#10;FAAUAAAACACHTuJAOzgH1vgBAADlAwAADgAAAAAAAAABACAAAAAjAQAAZHJzL2Uyb0RvYy54bWxQ&#10;SwUGAAAAAAYABgBZAQAAjQUAAAAA&#10;">
                <v:fill on="f" focussize="0,0"/>
                <v:stroke weight="2pt" color="#FF0000" joinstyle="round"/>
                <v:imagedata o:title=""/>
                <o:lock v:ext="edit" aspectratio="f"/>
              </v:line>
            </w:pict>
          </mc:Fallback>
        </mc:AlternateContent>
      </w:r>
    </w:p>
    <w:p w14:paraId="22DD36CA">
      <w:pPr>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ascii="Times New Roman" w:hAnsi="Times New Roman" w:cs="Times New Roman"/>
        </w:rPr>
      </w:pPr>
    </w:p>
    <w:p w14:paraId="32655EE5">
      <w:pPr>
        <w:keepNext w:val="0"/>
        <w:keepLines w:val="0"/>
        <w:pageBreakBefore w:val="0"/>
        <w:widowControl w:val="0"/>
        <w:kinsoku/>
        <w:wordWrap/>
        <w:overflowPunct w:val="0"/>
        <w:topLinePunct w:val="0"/>
        <w:autoSpaceDN/>
        <w:bidi w:val="0"/>
        <w:adjustRightInd w:val="0"/>
        <w:snapToGrid w:val="0"/>
        <w:spacing w:afterLines="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行政处罚</w:t>
      </w:r>
      <w:r>
        <w:rPr>
          <w:rFonts w:hint="default" w:ascii="Times New Roman" w:hAnsi="Times New Roman" w:eastAsia="方正小标宋简体" w:cs="Times New Roman"/>
          <w:sz w:val="44"/>
          <w:szCs w:val="44"/>
          <w:lang w:val="en-US" w:eastAsia="zh-CN"/>
        </w:rPr>
        <w:t>决定</w:t>
      </w:r>
      <w:r>
        <w:rPr>
          <w:rFonts w:hint="default" w:ascii="Times New Roman" w:hAnsi="Times New Roman" w:eastAsia="方正小标宋简体" w:cs="Times New Roman"/>
          <w:sz w:val="44"/>
          <w:szCs w:val="44"/>
        </w:rPr>
        <w:t>书</w:t>
      </w:r>
    </w:p>
    <w:p w14:paraId="7FF47B44">
      <w:pPr>
        <w:keepNext w:val="0"/>
        <w:keepLines w:val="0"/>
        <w:pageBreakBefore w:val="0"/>
        <w:widowControl w:val="0"/>
        <w:kinsoku/>
        <w:wordWrap/>
        <w:overflowPunct w:val="0"/>
        <w:topLinePunct w:val="0"/>
        <w:autoSpaceDN/>
        <w:bidi w:val="0"/>
        <w:adjustRightInd w:val="0"/>
        <w:snapToGrid w:val="0"/>
        <w:spacing w:afterLines="0" w:line="600" w:lineRule="exact"/>
        <w:jc w:val="both"/>
        <w:textAlignment w:val="auto"/>
        <w:rPr>
          <w:rFonts w:hint="default" w:ascii="Times New Roman" w:hAnsi="Times New Roman" w:eastAsia="方正小标宋_GBK" w:cs="Times New Roman"/>
          <w:sz w:val="44"/>
          <w:szCs w:val="44"/>
        </w:rPr>
      </w:pPr>
    </w:p>
    <w:p w14:paraId="61CCEB9D">
      <w:pPr>
        <w:keepNext w:val="0"/>
        <w:keepLines w:val="0"/>
        <w:pageBreakBefore w:val="0"/>
        <w:widowControl w:val="0"/>
        <w:kinsoku/>
        <w:wordWrap/>
        <w:overflowPunct w:val="0"/>
        <w:topLinePunct w:val="0"/>
        <w:autoSpaceDE/>
        <w:autoSpaceDN/>
        <w:bidi w:val="0"/>
        <w:spacing w:afterLines="0"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当事人：</w:t>
      </w:r>
      <w:r>
        <w:rPr>
          <w:rFonts w:hint="default" w:ascii="Times New Roman" w:hAnsi="Times New Roman" w:eastAsia="仿宋_GB2312" w:cs="Times New Roman"/>
          <w:sz w:val="32"/>
          <w:szCs w:val="32"/>
          <w:lang w:val="en-US" w:eastAsia="zh-CN"/>
        </w:rPr>
        <w:t>湖南宏丰益联合会计师事务所（普通合伙）</w:t>
      </w:r>
    </w:p>
    <w:p w14:paraId="5B52312C">
      <w:pPr>
        <w:keepNext w:val="0"/>
        <w:keepLines w:val="0"/>
        <w:pageBreakBefore w:val="0"/>
        <w:widowControl w:val="0"/>
        <w:kinsoku/>
        <w:wordWrap/>
        <w:overflowPunct w:val="0"/>
        <w:topLinePunct w:val="0"/>
        <w:autoSpaceDE/>
        <w:autoSpaceDN/>
        <w:bidi w:val="0"/>
        <w:spacing w:afterLines="0" w:line="60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rPr>
        <w:t>地址：</w:t>
      </w:r>
      <w:r>
        <w:rPr>
          <w:rFonts w:hint="eastAsia" w:ascii="Times New Roman" w:hAnsi="Times New Roman" w:eastAsia="仿宋_GB2312" w:cs="Times New Roman"/>
          <w:sz w:val="32"/>
          <w:szCs w:val="32"/>
          <w:lang w:val="en-US" w:eastAsia="zh-CN"/>
        </w:rPr>
        <w:t>xx</w:t>
      </w:r>
    </w:p>
    <w:p w14:paraId="52D0FBDC">
      <w:pPr>
        <w:keepNext w:val="0"/>
        <w:keepLines w:val="0"/>
        <w:pageBreakBefore w:val="0"/>
        <w:widowControl w:val="0"/>
        <w:tabs>
          <w:tab w:val="left" w:pos="3396"/>
        </w:tabs>
        <w:kinsoku/>
        <w:wordWrap/>
        <w:overflowPunct w:val="0"/>
        <w:topLinePunct w:val="0"/>
        <w:autoSpaceDE/>
        <w:autoSpaceDN/>
        <w:bidi w:val="0"/>
        <w:adjustRightInd/>
        <w:snapToGrid/>
        <w:spacing w:after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1A52D510">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textAlignment w:val="auto"/>
        <w:rPr>
          <w:rFonts w:hint="default"/>
        </w:rPr>
      </w:pPr>
      <w:r>
        <w:rPr>
          <w:rFonts w:hint="default" w:ascii="Times New Roman" w:hAnsi="Times New Roman" w:eastAsia="仿宋_GB2312" w:cs="Times New Roman"/>
          <w:bCs/>
          <w:sz w:val="32"/>
          <w:szCs w:val="32"/>
        </w:rPr>
        <w:t>根据</w:t>
      </w:r>
      <w:r>
        <w:rPr>
          <w:rFonts w:hint="default" w:ascii="Times New Roman" w:hAnsi="Times New Roman" w:eastAsia="仿宋_GB2312" w:cs="Times New Roman"/>
          <w:sz w:val="32"/>
          <w:szCs w:val="32"/>
        </w:rPr>
        <w:t>《湖南省财政厅关于组织开展全省2025年度会计和评估监督检查工作的通知》（湘财监〔2025〕7号）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pacing w:val="0"/>
          <w:sz w:val="32"/>
          <w:szCs w:val="32"/>
        </w:rPr>
        <w:t>我厅</w:t>
      </w:r>
      <w:r>
        <w:rPr>
          <w:rFonts w:hint="default" w:ascii="Times New Roman" w:hAnsi="Times New Roman" w:eastAsia="仿宋_GB2312" w:cs="Times New Roman"/>
          <w:bCs/>
          <w:sz w:val="32"/>
          <w:szCs w:val="32"/>
        </w:rPr>
        <w:t>对湖南宏丰益联合会计师事务所（普通合伙）</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你单位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202</w:t>
      </w:r>
      <w:bookmarkStart w:id="0" w:name="_GoBack"/>
      <w:bookmarkEnd w:id="0"/>
      <w:r>
        <w:rPr>
          <w:rFonts w:hint="default" w:ascii="Times New Roman" w:hAnsi="Times New Roman" w:eastAsia="仿宋_GB2312" w:cs="Times New Roman"/>
          <w:spacing w:val="6"/>
          <w:sz w:val="32"/>
          <w:szCs w:val="32"/>
        </w:rPr>
        <w:t>4年</w:t>
      </w:r>
      <w:r>
        <w:rPr>
          <w:rFonts w:hint="default" w:ascii="Times New Roman" w:hAnsi="Times New Roman" w:eastAsia="仿宋_GB2312" w:cs="Times New Roman"/>
          <w:spacing w:val="6"/>
          <w:sz w:val="32"/>
          <w:szCs w:val="32"/>
          <w:lang w:val="en-US" w:eastAsia="zh-CN"/>
        </w:rPr>
        <w:t>度</w:t>
      </w:r>
      <w:r>
        <w:rPr>
          <w:rFonts w:hint="default" w:ascii="Times New Roman" w:hAnsi="Times New Roman" w:eastAsia="仿宋_GB2312" w:cs="Times New Roman"/>
          <w:b w:val="0"/>
          <w:bCs w:val="0"/>
          <w:sz w:val="32"/>
          <w:szCs w:val="32"/>
          <w:highlight w:val="none"/>
          <w:lang w:val="en-US" w:eastAsia="zh-CN"/>
        </w:rPr>
        <w:t>会计信息质量、执业质量及综合管理等</w:t>
      </w:r>
      <w:r>
        <w:rPr>
          <w:rFonts w:hint="default" w:ascii="Times New Roman" w:hAnsi="Times New Roman" w:eastAsia="仿宋_GB2312" w:cs="Times New Roman"/>
          <w:spacing w:val="6"/>
          <w:sz w:val="32"/>
          <w:szCs w:val="32"/>
        </w:rPr>
        <w:t>情况</w:t>
      </w:r>
      <w:r>
        <w:rPr>
          <w:rFonts w:hint="default" w:ascii="Times New Roman" w:hAnsi="Times New Roman" w:eastAsia="仿宋_GB2312" w:cs="Times New Roman"/>
          <w:spacing w:val="6"/>
          <w:sz w:val="32"/>
          <w:szCs w:val="32"/>
          <w:lang w:val="en-US" w:eastAsia="zh-CN"/>
        </w:rPr>
        <w:t>进行了</w:t>
      </w:r>
      <w:r>
        <w:rPr>
          <w:rFonts w:hint="default" w:ascii="Times New Roman" w:hAnsi="Times New Roman" w:eastAsia="仿宋_GB2312" w:cs="Times New Roman"/>
          <w:spacing w:val="6"/>
          <w:sz w:val="32"/>
          <w:szCs w:val="32"/>
        </w:rPr>
        <w:t>检查</w:t>
      </w:r>
      <w:r>
        <w:rPr>
          <w:rFonts w:hint="default" w:ascii="Times New Roman" w:hAnsi="Times New Roman" w:eastAsia="仿宋_GB2312" w:cs="Times New Roman"/>
          <w:bCs/>
          <w:sz w:val="32"/>
          <w:szCs w:val="32"/>
          <w:lang w:eastAsia="zh-CN"/>
        </w:rPr>
        <w:t>。检查发现的主要问题和行政处罚决定如下</w:t>
      </w:r>
      <w:r>
        <w:rPr>
          <w:rFonts w:hint="default" w:ascii="Times New Roman" w:hAnsi="Times New Roman" w:eastAsia="仿宋_GB2312" w:cs="Times New Roman"/>
          <w:spacing w:val="-6"/>
          <w:sz w:val="32"/>
          <w:szCs w:val="32"/>
        </w:rPr>
        <w:t>：</w:t>
      </w:r>
    </w:p>
    <w:p w14:paraId="600C30C6">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textAlignment w:val="auto"/>
        <w:outlineLvl w:val="0"/>
        <w:rPr>
          <w:rFonts w:hint="default" w:ascii="Times New Roman" w:hAnsi="Times New Roman" w:eastAsia="黑体"/>
          <w:sz w:val="32"/>
          <w:szCs w:val="32"/>
          <w:lang w:eastAsia="zh-CN"/>
        </w:rPr>
      </w:pPr>
      <w:r>
        <w:rPr>
          <w:rFonts w:ascii="Times New Roman" w:hAnsi="Times New Roman" w:eastAsia="黑体"/>
          <w:sz w:val="32"/>
          <w:szCs w:val="32"/>
        </w:rPr>
        <w:t>一、</w:t>
      </w:r>
      <w:r>
        <w:rPr>
          <w:rFonts w:hint="default" w:ascii="Times New Roman" w:hAnsi="Times New Roman" w:eastAsia="黑体"/>
          <w:sz w:val="32"/>
          <w:szCs w:val="32"/>
          <w:lang w:val="en-US" w:eastAsia="zh-CN"/>
        </w:rPr>
        <w:t>检查中发现</w:t>
      </w:r>
      <w:r>
        <w:rPr>
          <w:rFonts w:ascii="Times New Roman" w:hAnsi="Times New Roman" w:eastAsia="黑体"/>
          <w:sz w:val="32"/>
          <w:szCs w:val="32"/>
        </w:rPr>
        <w:t>的问题</w:t>
      </w:r>
    </w:p>
    <w:p w14:paraId="351DEB04">
      <w:pPr>
        <w:keepNext w:val="0"/>
        <w:keepLines w:val="0"/>
        <w:pageBreakBefore w:val="0"/>
        <w:widowControl w:val="0"/>
        <w:kinsoku/>
        <w:wordWrap/>
        <w:overflowPunct w:val="0"/>
        <w:topLinePunct w:val="0"/>
        <w:autoSpaceDE/>
        <w:autoSpaceDN/>
        <w:bidi w:val="0"/>
        <w:adjustRightInd/>
        <w:snapToGrid/>
        <w:spacing w:afterLines="0" w:line="600" w:lineRule="exact"/>
        <w:ind w:firstLine="643" w:firstLineChars="200"/>
        <w:jc w:val="both"/>
        <w:textAlignment w:val="auto"/>
        <w:outlineLvl w:val="1"/>
        <w:rPr>
          <w:rFonts w:hint="default" w:ascii="Times New Roman" w:hAnsi="Times New Roman" w:eastAsia="楷体_GB2312"/>
          <w:b/>
          <w:bCs/>
          <w:spacing w:val="0"/>
          <w:sz w:val="32"/>
          <w:szCs w:val="32"/>
          <w:lang w:val="en" w:eastAsia="zh-CN"/>
        </w:rPr>
      </w:pPr>
      <w:r>
        <w:rPr>
          <w:rFonts w:ascii="Times New Roman" w:hAnsi="Times New Roman" w:eastAsia="楷体_GB2312"/>
          <w:b/>
          <w:bCs/>
          <w:spacing w:val="0"/>
          <w:sz w:val="32"/>
          <w:szCs w:val="32"/>
        </w:rPr>
        <w:t>未</w:t>
      </w:r>
      <w:r>
        <w:rPr>
          <w:rFonts w:ascii="Times New Roman" w:hAnsi="Times New Roman" w:eastAsia="楷体_GB2312"/>
          <w:b/>
          <w:bCs/>
          <w:spacing w:val="-11"/>
          <w:sz w:val="32"/>
          <w:szCs w:val="32"/>
        </w:rPr>
        <w:t>履行必要的审计程序</w:t>
      </w:r>
      <w:r>
        <w:rPr>
          <w:rFonts w:hint="default" w:ascii="Times New Roman" w:hAnsi="Times New Roman" w:eastAsia="楷体_GB2312"/>
          <w:b/>
          <w:bCs/>
          <w:spacing w:val="-11"/>
          <w:sz w:val="32"/>
          <w:szCs w:val="32"/>
          <w:lang w:eastAsia="zh-CN"/>
        </w:rPr>
        <w:t>，未获取充分适当的审计证据；会计师事务所、注册会计师未实施严格的逐级复核制度，未按规定编制和保存审计工作底稿。</w:t>
      </w:r>
    </w:p>
    <w:p w14:paraId="7ED41390">
      <w:pPr>
        <w:pStyle w:val="10"/>
        <w:keepNext w:val="0"/>
        <w:keepLines w:val="0"/>
        <w:pageBreakBefore w:val="0"/>
        <w:widowControl w:val="0"/>
        <w:kinsoku/>
        <w:wordWrap/>
        <w:overflowPunct w:val="0"/>
        <w:topLinePunct w:val="0"/>
        <w:autoSpaceDE/>
        <w:autoSpaceDN/>
        <w:bidi w:val="0"/>
        <w:adjustRightInd/>
        <w:snapToGrid/>
        <w:spacing w:afterLines="0" w:line="600" w:lineRule="exact"/>
        <w:ind w:firstLine="640"/>
        <w:textAlignment w:val="auto"/>
        <w:rPr>
          <w:rFonts w:hint="default" w:ascii="Times New Roman" w:hAnsi="Times New Roman" w:eastAsia="仿宋_GB2312" w:cs="Times New Roman"/>
          <w:b/>
          <w:bCs w:val="0"/>
          <w:kern w:val="0"/>
          <w:sz w:val="32"/>
          <w:szCs w:val="32"/>
          <w:lang w:val="en-US" w:eastAsia="zh-CN" w:bidi="ar-SA"/>
        </w:rPr>
      </w:pPr>
      <w:r>
        <w:rPr>
          <w:rFonts w:hint="default" w:ascii="Times New Roman" w:hAnsi="Times New Roman" w:eastAsia="仿宋_GB2312" w:cs="Times New Roman"/>
          <w:b/>
          <w:bCs w:val="0"/>
          <w:kern w:val="0"/>
          <w:sz w:val="32"/>
          <w:szCs w:val="32"/>
          <w:lang w:val="en-US" w:eastAsia="zh-CN" w:bidi="ar-SA"/>
        </w:rPr>
        <w:t>1.你单位对</w:t>
      </w:r>
      <w:r>
        <w:rPr>
          <w:rFonts w:hint="eastAsia" w:ascii="Times New Roman" w:hAnsi="Times New Roman" w:eastAsia="仿宋_GB2312" w:cs="Times New Roman"/>
          <w:b/>
          <w:bCs w:val="0"/>
          <w:kern w:val="0"/>
          <w:sz w:val="32"/>
          <w:szCs w:val="32"/>
          <w:lang w:val="en-US" w:eastAsia="zh-CN" w:bidi="ar-SA"/>
        </w:rPr>
        <w:t>xx</w:t>
      </w:r>
      <w:r>
        <w:rPr>
          <w:rFonts w:hint="default" w:ascii="Times New Roman" w:hAnsi="Times New Roman" w:eastAsia="仿宋_GB2312" w:cs="Times New Roman"/>
          <w:b/>
          <w:bCs w:val="0"/>
          <w:kern w:val="0"/>
          <w:sz w:val="32"/>
          <w:szCs w:val="32"/>
          <w:lang w:val="en-US" w:eastAsia="zh-CN" w:bidi="ar-SA"/>
        </w:rPr>
        <w:t>公司2023年度财务报表出具的湘宏丰益审字（2024）第140号审计报告</w:t>
      </w:r>
      <w:r>
        <w:rPr>
          <w:rFonts w:hint="eastAsia" w:ascii="Times New Roman" w:hAnsi="Times New Roman" w:eastAsia="仿宋_GB2312" w:cs="Times New Roman"/>
          <w:b/>
          <w:bCs w:val="0"/>
          <w:kern w:val="0"/>
          <w:sz w:val="32"/>
          <w:szCs w:val="32"/>
          <w:lang w:val="en-US" w:eastAsia="zh-CN" w:bidi="ar-SA"/>
        </w:rPr>
        <w:t>，</w:t>
      </w:r>
      <w:r>
        <w:rPr>
          <w:rFonts w:hint="default" w:ascii="Times New Roman" w:hAnsi="Times New Roman" w:eastAsia="仿宋_GB2312" w:cs="Times New Roman"/>
          <w:b/>
          <w:bCs w:val="0"/>
          <w:kern w:val="0"/>
          <w:sz w:val="32"/>
          <w:szCs w:val="32"/>
          <w:lang w:val="en-US" w:eastAsia="zh-CN" w:bidi="ar-SA"/>
        </w:rPr>
        <w:t>存在以下问题：</w:t>
      </w:r>
    </w:p>
    <w:p w14:paraId="3B831841">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-255905</wp:posOffset>
                </wp:positionH>
                <wp:positionV relativeFrom="paragraph">
                  <wp:posOffset>1409065</wp:posOffset>
                </wp:positionV>
                <wp:extent cx="6120130" cy="0"/>
                <wp:effectExtent l="0" t="28575" r="1270" b="34925"/>
                <wp:wrapNone/>
                <wp:docPr id="5"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round/>
                          <a:headEnd type="none" w="med" len="med"/>
                          <a:tailEnd type="none" w="med" len="med"/>
                        </a:ln>
                      </wps:spPr>
                      <wps:bodyPr upright="1"/>
                    </wps:wsp>
                  </a:graphicData>
                </a:graphic>
              </wp:anchor>
            </w:drawing>
          </mc:Choice>
          <mc:Fallback>
            <w:pict>
              <v:line id="直接连接符 2" o:spid="_x0000_s1026" o:spt="20" style="position:absolute;left:0pt;margin-left:-20.15pt;margin-top:110.95pt;height:0pt;width:481.9pt;z-index:251659264;mso-width-relative:page;mso-height-relative:page;" filled="f" stroked="t" coordsize="21600,21600" o:gfxdata="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EIqY2AAAAAsBAAAPAAAAAAAAAAEAIAAAACIAAABkcnMvZG93&#10;bnJldi54bWxQSwECFAAUAAAACACHTuJAQdgv6wACAAD1AwAADgAAAAAAAAABACAAAAAnAQAAZHJz&#10;L2Uyb0RvYy54bWxQSwUGAAAAAAYABgBZAQAAmQU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bCs/>
          <w:sz w:val="32"/>
          <w:szCs w:val="32"/>
          <w:highlight w:val="none"/>
          <w:lang w:val="en-US" w:eastAsia="zh-CN"/>
        </w:rPr>
        <w:t>（1）未取得银行开户清单进行核对、未实施银行函证程序、未记录未实施银行函证的理由；</w:t>
      </w:r>
    </w:p>
    <w:p w14:paraId="78DF3101">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（2）应收账款、其他应收款、预收账款、其他应付款等4个往来科目未实施函证程序、未记录未实施函证的理由；</w:t>
      </w:r>
    </w:p>
    <w:p w14:paraId="0F8222B0">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Cs/>
          <w:sz w:val="32"/>
          <w:szCs w:val="32"/>
          <w:highlight w:val="none"/>
          <w:lang w:val="en-US" w:eastAsia="zh-CN"/>
        </w:rPr>
        <w:t>（3）未实施存货监盘程序；</w:t>
      </w:r>
    </w:p>
    <w:p w14:paraId="19AA6D3E">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Cs/>
          <w:sz w:val="32"/>
          <w:szCs w:val="32"/>
          <w:highlight w:val="none"/>
          <w:lang w:val="en-US" w:eastAsia="zh-CN"/>
        </w:rPr>
        <w:t>（4）未编制现金流量表审计工作底稿；</w:t>
      </w:r>
    </w:p>
    <w:p w14:paraId="3B470F71">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（5）库存现金监盘表存在逻辑错误；</w:t>
      </w:r>
    </w:p>
    <w:p w14:paraId="70FAC902">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（6）未对固定资产本期折旧发生额实施测算程序，未编制固定资产折旧分配表；</w:t>
      </w:r>
    </w:p>
    <w:p w14:paraId="071E2F07">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（7）未对本期减少的短期借款设计并实施恰当的进一步审计程序；</w:t>
      </w:r>
    </w:p>
    <w:p w14:paraId="33DD9E52">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（8）未对营业收入科目实施分析性复核程序；</w:t>
      </w:r>
    </w:p>
    <w:p w14:paraId="75F556F3">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（9）未对营业税金及附加科目与应交税费科目进行勾稽复核；</w:t>
      </w:r>
    </w:p>
    <w:p w14:paraId="2E7194E4">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（10）应交税费科目未取得增值税纳税申报表进行核对；</w:t>
      </w:r>
    </w:p>
    <w:p w14:paraId="273B953B">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（11）业务承接/保持评价表中项目负责人与业务复核核对表中项目负责经理复核签字人不一致。</w:t>
      </w:r>
    </w:p>
    <w:p w14:paraId="632D4B28">
      <w:pPr>
        <w:pStyle w:val="10"/>
        <w:keepNext w:val="0"/>
        <w:keepLines w:val="0"/>
        <w:pageBreakBefore w:val="0"/>
        <w:widowControl w:val="0"/>
        <w:kinsoku/>
        <w:wordWrap/>
        <w:overflowPunct w:val="0"/>
        <w:topLinePunct w:val="0"/>
        <w:autoSpaceDE/>
        <w:autoSpaceDN/>
        <w:bidi w:val="0"/>
        <w:adjustRightInd/>
        <w:snapToGrid/>
        <w:spacing w:afterLines="0" w:line="600" w:lineRule="exact"/>
        <w:ind w:firstLine="642"/>
        <w:textAlignment w:val="auto"/>
        <w:rPr>
          <w:rFonts w:hint="default" w:ascii="Times New Roman" w:hAnsi="Times New Roman" w:eastAsia="仿宋_GB2312" w:cs="Times New Roman"/>
          <w:b/>
          <w:bCs w:val="0"/>
          <w:kern w:val="0"/>
          <w:sz w:val="32"/>
          <w:szCs w:val="32"/>
          <w:lang w:val="en-US" w:eastAsia="zh-CN" w:bidi="ar-SA"/>
        </w:rPr>
      </w:pPr>
      <w:r>
        <w:rPr>
          <w:rFonts w:hint="default" w:ascii="Times New Roman" w:hAnsi="Times New Roman" w:eastAsia="仿宋_GB2312" w:cs="Times New Roman"/>
          <w:b/>
          <w:bCs w:val="0"/>
          <w:kern w:val="0"/>
          <w:sz w:val="32"/>
          <w:szCs w:val="32"/>
          <w:lang w:val="en-US" w:eastAsia="zh-CN" w:bidi="ar-SA"/>
        </w:rPr>
        <w:t>2.你单位对</w:t>
      </w:r>
      <w:r>
        <w:rPr>
          <w:rFonts w:hint="eastAsia" w:ascii="Times New Roman" w:hAnsi="Times New Roman" w:eastAsia="仿宋_GB2312" w:cs="Times New Roman"/>
          <w:b/>
          <w:bCs w:val="0"/>
          <w:kern w:val="0"/>
          <w:sz w:val="32"/>
          <w:szCs w:val="32"/>
          <w:lang w:val="en-US" w:eastAsia="zh-CN" w:bidi="ar-SA"/>
        </w:rPr>
        <w:t>xx</w:t>
      </w:r>
      <w:r>
        <w:rPr>
          <w:rFonts w:hint="default" w:ascii="Times New Roman" w:hAnsi="Times New Roman" w:eastAsia="仿宋_GB2312" w:cs="Times New Roman"/>
          <w:b/>
          <w:bCs w:val="0"/>
          <w:kern w:val="0"/>
          <w:sz w:val="32"/>
          <w:szCs w:val="32"/>
          <w:lang w:val="en-US" w:eastAsia="zh-CN" w:bidi="ar-SA"/>
        </w:rPr>
        <w:t>公司2022年度财务报表出具的湘宏丰益审字（2024）第393号审计报告，存在以下问题：</w:t>
      </w:r>
    </w:p>
    <w:p w14:paraId="204059F3">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（1）</w:t>
      </w:r>
      <w:r>
        <w:rPr>
          <w:rFonts w:hint="default" w:ascii="Times New Roman" w:hAnsi="Times New Roman" w:eastAsia="仿宋_GB2312" w:cs="Times New Roman"/>
          <w:bCs/>
          <w:sz w:val="32"/>
          <w:szCs w:val="32"/>
          <w:highlight w:val="none"/>
          <w:lang w:val="en-US" w:eastAsia="zh-CN"/>
        </w:rPr>
        <w:t>未取得银行开户清单进行核对、未实施银行函证程序、未记录未实施银行函证的理由；</w:t>
      </w:r>
    </w:p>
    <w:p w14:paraId="4E68E51C">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kern w:val="0"/>
          <w:sz w:val="32"/>
          <w:szCs w:val="32"/>
          <w:lang w:val="en-US" w:eastAsia="zh-CN" w:bidi="ar-SA"/>
        </w:rPr>
        <w:t>（2）应收账款、其他应收款、预付账款</w:t>
      </w:r>
      <w:r>
        <w:rPr>
          <w:rFonts w:hint="default" w:ascii="Times New Roman" w:hAnsi="Times New Roman" w:eastAsia="仿宋_GB2312" w:cs="Times New Roman"/>
          <w:bCs/>
          <w:sz w:val="32"/>
          <w:szCs w:val="32"/>
          <w:highlight w:val="none"/>
          <w:lang w:val="en-US" w:eastAsia="zh-CN"/>
        </w:rPr>
        <w:t>等3个往来科目未实施函证程序、未记录未实施函证的理由；</w:t>
      </w:r>
    </w:p>
    <w:p w14:paraId="26CB8643">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sz w:val="32"/>
          <w:szCs w:val="32"/>
          <w:highlight w:val="none"/>
          <w:lang w:val="en-US" w:eastAsia="zh-CN"/>
        </w:rPr>
        <w:t>（3）未实施存货监盘程序；</w:t>
      </w:r>
    </w:p>
    <w:p w14:paraId="202693AA">
      <w:pPr>
        <w:pStyle w:val="10"/>
        <w:keepNext w:val="0"/>
        <w:keepLines w:val="0"/>
        <w:pageBreakBefore w:val="0"/>
        <w:widowControl w:val="0"/>
        <w:kinsoku/>
        <w:wordWrap/>
        <w:overflowPunct w:val="0"/>
        <w:topLinePunct w:val="0"/>
        <w:autoSpaceDE/>
        <w:autoSpaceDN/>
        <w:bidi w:val="0"/>
        <w:adjustRightInd/>
        <w:snapToGrid/>
        <w:spacing w:afterLines="0" w:line="600" w:lineRule="exact"/>
        <w:ind w:firstLine="640"/>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（4）未对固定资产本期折旧发生额、无形资产本期摊销发生额实施测算程序；</w:t>
      </w:r>
    </w:p>
    <w:p w14:paraId="043D804C">
      <w:pPr>
        <w:pStyle w:val="10"/>
        <w:keepNext w:val="0"/>
        <w:keepLines w:val="0"/>
        <w:pageBreakBefore w:val="0"/>
        <w:widowControl w:val="0"/>
        <w:kinsoku/>
        <w:wordWrap/>
        <w:overflowPunct w:val="0"/>
        <w:topLinePunct w:val="0"/>
        <w:autoSpaceDE/>
        <w:autoSpaceDN/>
        <w:bidi w:val="0"/>
        <w:adjustRightInd/>
        <w:snapToGrid/>
        <w:spacing w:afterLines="0" w:line="600" w:lineRule="exact"/>
        <w:ind w:firstLine="640"/>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（5）短期借款未实施银行函证程序、未记录未实施银行函证的理由；</w:t>
      </w:r>
    </w:p>
    <w:p w14:paraId="4FF2F3F2">
      <w:pPr>
        <w:pStyle w:val="10"/>
        <w:keepNext w:val="0"/>
        <w:keepLines w:val="0"/>
        <w:pageBreakBefore w:val="0"/>
        <w:widowControl w:val="0"/>
        <w:kinsoku/>
        <w:wordWrap/>
        <w:overflowPunct w:val="0"/>
        <w:topLinePunct w:val="0"/>
        <w:autoSpaceDE/>
        <w:autoSpaceDN/>
        <w:bidi w:val="0"/>
        <w:adjustRightInd/>
        <w:snapToGrid/>
        <w:spacing w:afterLines="0" w:line="600" w:lineRule="exact"/>
        <w:ind w:firstLine="640"/>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（6）未对营业收入科目实施分析性复核程序，未按项目对毛利率实施分析程序；</w:t>
      </w:r>
    </w:p>
    <w:p w14:paraId="1A90C2A3">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sz w:val="32"/>
          <w:szCs w:val="32"/>
          <w:highlight w:val="none"/>
          <w:lang w:val="en-US" w:eastAsia="zh-CN"/>
        </w:rPr>
        <w:t>（7）未对营业税金及附加科目与应交税费科目进行勾稽复核；</w:t>
      </w:r>
    </w:p>
    <w:p w14:paraId="015E158F">
      <w:pPr>
        <w:pStyle w:val="10"/>
        <w:keepNext w:val="0"/>
        <w:keepLines w:val="0"/>
        <w:pageBreakBefore w:val="0"/>
        <w:widowControl w:val="0"/>
        <w:kinsoku/>
        <w:wordWrap/>
        <w:overflowPunct w:val="0"/>
        <w:topLinePunct w:val="0"/>
        <w:autoSpaceDE/>
        <w:autoSpaceDN/>
        <w:bidi w:val="0"/>
        <w:adjustRightInd/>
        <w:snapToGrid/>
        <w:spacing w:afterLines="0" w:line="600" w:lineRule="exact"/>
        <w:ind w:firstLine="640"/>
        <w:textAlignment w:val="auto"/>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（8）</w:t>
      </w:r>
      <w:r>
        <w:rPr>
          <w:rFonts w:hint="default" w:ascii="Times New Roman" w:hAnsi="Times New Roman" w:eastAsia="仿宋_GB2312" w:cs="Times New Roman"/>
          <w:bCs/>
          <w:sz w:val="32"/>
          <w:szCs w:val="32"/>
          <w:highlight w:val="none"/>
          <w:lang w:val="en-US" w:eastAsia="zh-CN"/>
        </w:rPr>
        <w:t>未按规定编制和保存审计工作底稿，</w:t>
      </w:r>
      <w:r>
        <w:rPr>
          <w:rFonts w:hint="default" w:ascii="Times New Roman" w:hAnsi="Times New Roman" w:eastAsia="仿宋_GB2312" w:cs="Times New Roman"/>
          <w:bCs/>
          <w:kern w:val="0"/>
          <w:sz w:val="32"/>
          <w:szCs w:val="32"/>
          <w:lang w:val="en-US" w:eastAsia="zh-CN" w:bidi="ar-SA"/>
        </w:rPr>
        <w:t>底稿中存在比较多的模糊不清或与审计无关的无效纸张。</w:t>
      </w:r>
    </w:p>
    <w:p w14:paraId="2D72D92B">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上述问题违反了《中华人民共和国注册会计师法》第二十一条</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《会计师事务所执业许可和监督管理办法》（财政部令第97号）第六十条</w:t>
      </w:r>
      <w:r>
        <w:rPr>
          <w:rFonts w:hint="eastAsia" w:ascii="Times New Roman" w:hAnsi="Times New Roman" w:eastAsia="仿宋_GB2312" w:cs="Times New Roman"/>
          <w:bCs/>
          <w:sz w:val="32"/>
          <w:szCs w:val="32"/>
          <w:highlight w:val="none"/>
          <w:lang w:val="en-US" w:eastAsia="zh-CN"/>
        </w:rPr>
        <w:t>，不符合</w:t>
      </w:r>
      <w:r>
        <w:rPr>
          <w:rFonts w:hint="default" w:ascii="Times New Roman" w:hAnsi="Times New Roman" w:eastAsia="仿宋_GB2312" w:cs="Times New Roman"/>
          <w:bCs/>
          <w:sz w:val="32"/>
          <w:szCs w:val="32"/>
          <w:highlight w:val="none"/>
          <w:lang w:val="en-US" w:eastAsia="zh-CN"/>
        </w:rPr>
        <w:t>《中国注册会计师审计准则第1301号——审计证据》第十条</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《中国注册会计师审计准则第1311号——对存货、诉讼和索赔、分部信息等特定项目获取审计证据的具体考虑》第四条</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《中国注册会计师审计准则第1312号——函证》第十二条等</w:t>
      </w:r>
      <w:r>
        <w:rPr>
          <w:rFonts w:hint="eastAsia" w:ascii="Times New Roman" w:hAnsi="Times New Roman" w:eastAsia="仿宋_GB2312" w:cs="Times New Roman"/>
          <w:bCs/>
          <w:sz w:val="32"/>
          <w:szCs w:val="32"/>
          <w:highlight w:val="none"/>
          <w:lang w:val="en-US" w:eastAsia="zh-CN"/>
        </w:rPr>
        <w:t>规定</w:t>
      </w:r>
      <w:r>
        <w:rPr>
          <w:rFonts w:hint="default" w:ascii="Times New Roman" w:hAnsi="Times New Roman" w:eastAsia="仿宋_GB2312" w:cs="Times New Roman"/>
          <w:bCs/>
          <w:sz w:val="32"/>
          <w:szCs w:val="32"/>
          <w:highlight w:val="none"/>
          <w:lang w:val="en-US" w:eastAsia="zh-CN"/>
        </w:rPr>
        <w:t>。</w:t>
      </w:r>
    </w:p>
    <w:p w14:paraId="5F46A5A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Times New Roman" w:hAnsi="Times New Roman" w:eastAsia="仿宋_GB2312" w:cs="Times New Roman"/>
          <w:sz w:val="32"/>
          <w:szCs w:val="32"/>
          <w:highlight w:val="none"/>
        </w:rPr>
        <w:t>以上</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份报告</w:t>
      </w:r>
      <w:r>
        <w:rPr>
          <w:rFonts w:hint="default" w:ascii="Times New Roman" w:hAnsi="Times New Roman" w:eastAsia="仿宋_GB2312" w:cs="Times New Roman"/>
          <w:sz w:val="32"/>
          <w:szCs w:val="32"/>
          <w:highlight w:val="none"/>
          <w:lang w:val="en-US" w:eastAsia="zh-CN"/>
        </w:rPr>
        <w:t>实际</w:t>
      </w:r>
      <w:r>
        <w:rPr>
          <w:rFonts w:hint="default" w:ascii="Times New Roman" w:hAnsi="Times New Roman" w:eastAsia="仿宋_GB2312" w:cs="Times New Roman"/>
          <w:sz w:val="32"/>
          <w:szCs w:val="32"/>
          <w:highlight w:val="none"/>
        </w:rPr>
        <w:t>合计收费金额</w:t>
      </w:r>
      <w:r>
        <w:rPr>
          <w:rFonts w:hint="default"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rPr>
        <w:t>万元。</w:t>
      </w:r>
    </w:p>
    <w:p w14:paraId="53F1EA05">
      <w:pPr>
        <w:keepNext w:val="0"/>
        <w:keepLines w:val="0"/>
        <w:pageBreakBefore w:val="0"/>
        <w:widowControl w:val="0"/>
        <w:tabs>
          <w:tab w:val="left" w:pos="0"/>
        </w:tabs>
        <w:kinsoku/>
        <w:wordWrap/>
        <w:overflowPunct w:val="0"/>
        <w:topLinePunct w:val="0"/>
        <w:autoSpaceDE/>
        <w:autoSpaceDN/>
        <w:bidi w:val="0"/>
        <w:adjustRightInd/>
        <w:snapToGrid/>
        <w:spacing w:afterLines="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以上事实，有你单位编制的审计报告及工作底稿，以及你单位签章确认的财政检查工作底稿等资料作为证据。</w:t>
      </w:r>
    </w:p>
    <w:p w14:paraId="4EE60CB4">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textAlignment w:val="auto"/>
        <w:outlineLvl w:val="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bCs/>
          <w:sz w:val="32"/>
          <w:szCs w:val="32"/>
        </w:rPr>
        <w:t>作出的处罚决定</w:t>
      </w:r>
      <w:r>
        <w:rPr>
          <w:rFonts w:hint="default" w:ascii="Times New Roman" w:hAnsi="Times New Roman" w:eastAsia="黑体" w:cs="Times New Roman"/>
          <w:bCs/>
          <w:sz w:val="32"/>
          <w:szCs w:val="32"/>
          <w:lang w:val="en-US" w:eastAsia="zh-CN"/>
        </w:rPr>
        <w:t>和处罚依据：</w:t>
      </w:r>
    </w:p>
    <w:p w14:paraId="2A03FD7E">
      <w:pPr>
        <w:keepNext w:val="0"/>
        <w:keepLines w:val="0"/>
        <w:pageBreakBefore w:val="0"/>
        <w:widowControl w:val="0"/>
        <w:kinsoku/>
        <w:wordWrap/>
        <w:overflowPunct w:val="0"/>
        <w:topLinePunct w:val="0"/>
        <w:autoSpaceDE/>
        <w:autoSpaceDN/>
        <w:bidi w:val="0"/>
        <w:adjustRightInd/>
        <w:snapToGrid/>
        <w:spacing w:afterLines="0"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lang w:val="en-US" w:eastAsia="zh-CN"/>
        </w:rPr>
        <w:t>针对上述问题，</w:t>
      </w:r>
      <w:r>
        <w:rPr>
          <w:rFonts w:hint="default" w:ascii="Times New Roman" w:hAnsi="Times New Roman" w:eastAsia="仿宋_GB2312" w:cs="Times New Roman"/>
          <w:sz w:val="32"/>
          <w:szCs w:val="32"/>
          <w:highlight w:val="none"/>
        </w:rPr>
        <w:t>根据《中华人民共和国注册会计师法》第三十九条</w:t>
      </w:r>
      <w:r>
        <w:rPr>
          <w:rFonts w:hint="default" w:ascii="Times New Roman" w:hAnsi="Times New Roman" w:eastAsia="仿宋_GB2312" w:cs="Times New Roman"/>
          <w:sz w:val="32"/>
          <w:szCs w:val="32"/>
          <w:highlight w:val="none"/>
          <w:lang w:val="en-US" w:eastAsia="zh-CN"/>
        </w:rPr>
        <w:t>第一款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《会计师事务所执业许可和监督管理办法》（财政部令第97号）第六十七条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《湖南省财政厅行政处罚裁量权基准（2022年版）》“三、注册会计师和会计师事务所监督类”第</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项和第</w:t>
      </w:r>
      <w:r>
        <w:rPr>
          <w:rFonts w:hint="default" w:ascii="Times New Roman" w:hAnsi="Times New Roman" w:eastAsia="仿宋_GB2312" w:cs="Times New Roman"/>
          <w:sz w:val="32"/>
          <w:szCs w:val="32"/>
          <w:highlight w:val="none"/>
          <w:lang w:val="en-US" w:eastAsia="zh-CN"/>
        </w:rPr>
        <w:t>13项的</w:t>
      </w:r>
      <w:r>
        <w:rPr>
          <w:rFonts w:hint="default" w:ascii="Times New Roman" w:hAnsi="Times New Roman" w:eastAsia="仿宋_GB2312" w:cs="Times New Roman"/>
          <w:sz w:val="32"/>
          <w:szCs w:val="32"/>
          <w:highlight w:val="none"/>
          <w:lang w:eastAsia="zh-CN"/>
        </w:rPr>
        <w:t>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none"/>
        </w:rPr>
        <w:t>我厅对你单位作出以下处罚：</w:t>
      </w:r>
      <w:r>
        <w:rPr>
          <w:rFonts w:hint="default" w:ascii="Times New Roman" w:hAnsi="Times New Roman" w:eastAsia="仿宋_GB2312" w:cs="Times New Roman"/>
          <w:color w:val="auto"/>
          <w:sz w:val="32"/>
          <w:szCs w:val="32"/>
          <w:highlight w:val="none"/>
          <w:u w:val="none"/>
        </w:rPr>
        <w:t>警告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没收违法所得0.6万元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同时，责令你单位立即整改。</w:t>
      </w:r>
    </w:p>
    <w:p w14:paraId="65DD2F25">
      <w:pPr>
        <w:keepNext w:val="0"/>
        <w:keepLines w:val="0"/>
        <w:pageBreakBefore w:val="0"/>
        <w:widowControl w:val="0"/>
        <w:tabs>
          <w:tab w:val="left" w:pos="4970"/>
        </w:tabs>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根据《中华人民共和国行政处罚法》</w:t>
      </w:r>
      <w:r>
        <w:rPr>
          <w:rFonts w:hint="default" w:ascii="Times New Roman" w:hAnsi="Times New Roman" w:eastAsia="仿宋_GB2312" w:cs="Times New Roman"/>
          <w:sz w:val="32"/>
          <w:szCs w:val="32"/>
          <w:lang w:val="en-US" w:eastAsia="zh-CN"/>
        </w:rPr>
        <w:t>第六十七条</w:t>
      </w:r>
      <w:r>
        <w:rPr>
          <w:rFonts w:hint="default" w:ascii="Times New Roman" w:hAnsi="Times New Roman" w:eastAsia="仿宋_GB2312" w:cs="Times New Roman"/>
          <w:sz w:val="32"/>
          <w:szCs w:val="32"/>
        </w:rPr>
        <w:t>，你单位应当在收到本决定书之日起15日内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凭《湖南省非税收入缴款通知单（电子）》缴纳</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违法所得</w:t>
      </w:r>
      <w:r>
        <w:rPr>
          <w:rFonts w:hint="default" w:ascii="Times New Roman" w:hAnsi="Times New Roman" w:eastAsia="仿宋_GB2312" w:cs="Times New Roman"/>
          <w:sz w:val="32"/>
          <w:szCs w:val="32"/>
        </w:rPr>
        <w:t>。你单位应对上述存在的问题进行认真整改，并自收到本决定书之日起30日内将缴款凭证和整改落实情况书面报送我厅。</w:t>
      </w:r>
    </w:p>
    <w:p w14:paraId="2B26D70B">
      <w:pPr>
        <w:keepNext w:val="0"/>
        <w:keepLines w:val="0"/>
        <w:pageBreakBefore w:val="0"/>
        <w:widowControl w:val="0"/>
        <w:tabs>
          <w:tab w:val="left" w:pos="817"/>
        </w:tabs>
        <w:kinsoku/>
        <w:wordWrap/>
        <w:overflowPunct w:val="0"/>
        <w:topLinePunct w:val="0"/>
        <w:autoSpaceDE w:val="0"/>
        <w:autoSpaceDN w:val="0"/>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如不服本决定，你单位可自收到本决定书之日起60日内，依法向湖南省人民政府申请行政复议；或者在收到本决定书之日起6个月内，依法向长沙铁路运输法院提起行政诉讼。复议和诉讼期间，上述决定不停止执行。</w:t>
      </w:r>
    </w:p>
    <w:p w14:paraId="38EF755D">
      <w:pPr>
        <w:pStyle w:val="2"/>
        <w:keepNext w:val="0"/>
        <w:keepLines w:val="0"/>
        <w:pageBreakBefore w:val="0"/>
        <w:widowControl w:val="0"/>
        <w:kinsoku/>
        <w:wordWrap/>
        <w:overflowPunct w:val="0"/>
        <w:topLinePunct w:val="0"/>
        <w:autoSpaceDE/>
        <w:autoSpaceDN/>
        <w:bidi w:val="0"/>
        <w:adjustRightInd/>
        <w:snapToGrid/>
        <w:spacing w:afterLines="0" w:line="600" w:lineRule="exact"/>
        <w:ind w:firstLine="560" w:firstLineChars="200"/>
        <w:textAlignment w:val="auto"/>
        <w:rPr>
          <w:rFonts w:hint="default" w:ascii="Times New Roman" w:hAnsi="Times New Roman" w:cs="Times New Roman"/>
          <w:lang w:val="en-US" w:eastAsia="zh-CN"/>
        </w:rPr>
      </w:pPr>
    </w:p>
    <w:p w14:paraId="3E72FC57">
      <w:pPr>
        <w:keepNext w:val="0"/>
        <w:keepLines w:val="0"/>
        <w:pageBreakBefore w:val="0"/>
        <w:widowControl w:val="0"/>
        <w:kinsoku/>
        <w:wordWrap/>
        <w:topLinePunct w:val="0"/>
        <w:autoSpaceDE/>
        <w:autoSpaceDN/>
        <w:bidi w:val="0"/>
        <w:adjustRightInd/>
        <w:snapToGrid/>
        <w:spacing w:line="600" w:lineRule="exact"/>
        <w:textAlignment w:val="auto"/>
        <w:rPr>
          <w:rFonts w:hint="default" w:ascii="Times New Roman" w:hAnsi="Times New Roman" w:cs="Times New Roman"/>
          <w:lang w:val="en-US" w:eastAsia="zh-CN"/>
        </w:rPr>
      </w:pPr>
    </w:p>
    <w:p w14:paraId="72504437">
      <w:pPr>
        <w:keepNext w:val="0"/>
        <w:keepLines w:val="0"/>
        <w:pageBreakBefore w:val="0"/>
        <w:widowControl w:val="0"/>
        <w:kinsoku/>
        <w:wordWrap/>
        <w:overflowPunct w:val="0"/>
        <w:topLinePunct w:val="0"/>
        <w:autoSpaceDE/>
        <w:autoSpaceDN/>
        <w:bidi w:val="0"/>
        <w:adjustRightInd w:val="0"/>
        <w:snapToGrid w:val="0"/>
        <w:spacing w:afterLines="0" w:line="600" w:lineRule="exact"/>
        <w:ind w:firstLine="5920" w:firstLineChars="18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湖南省财政厅</w:t>
      </w:r>
    </w:p>
    <w:p w14:paraId="44121872">
      <w:pPr>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sectPr>
      <w:footerReference r:id="rId5" w:type="first"/>
      <w:headerReference r:id="rId3" w:type="default"/>
      <w:footerReference r:id="rId4" w:type="default"/>
      <w:pgSz w:w="11905" w:h="16837"/>
      <w:pgMar w:top="1417" w:right="1588" w:bottom="1417" w:left="1588" w:header="720" w:footer="1304" w:gutter="0"/>
      <w:pgNumType w:fmt="numberInDash" w:start="1"/>
      <w:cols w:space="0" w:num="1"/>
      <w:titlePg/>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53B8">
    <w:pPr>
      <w:pStyle w:val="4"/>
      <w:ind w:right="280" w:firstLine="360"/>
      <w:jc w:val="right"/>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8510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98510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88B88">
    <w:pPr>
      <w:pStyle w:val="4"/>
      <w:jc w:val="right"/>
      <w:rPr>
        <w:rFonts w:hint="default" w:eastAsia="宋体"/>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FE6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35DE7"/>
    <w:rsid w:val="004F3043"/>
    <w:rsid w:val="00553719"/>
    <w:rsid w:val="00641B34"/>
    <w:rsid w:val="0067237F"/>
    <w:rsid w:val="00724687"/>
    <w:rsid w:val="00742F0C"/>
    <w:rsid w:val="009C4B7E"/>
    <w:rsid w:val="00A90A98"/>
    <w:rsid w:val="00DD55B7"/>
    <w:rsid w:val="016D5076"/>
    <w:rsid w:val="04A041C2"/>
    <w:rsid w:val="073F55EF"/>
    <w:rsid w:val="09251900"/>
    <w:rsid w:val="0A52464B"/>
    <w:rsid w:val="0ACE1D41"/>
    <w:rsid w:val="0B5F3883"/>
    <w:rsid w:val="0C52140C"/>
    <w:rsid w:val="0CDDCBB8"/>
    <w:rsid w:val="11394DA9"/>
    <w:rsid w:val="166D6C88"/>
    <w:rsid w:val="16995DF6"/>
    <w:rsid w:val="177F0358"/>
    <w:rsid w:val="17F98430"/>
    <w:rsid w:val="1A021FC0"/>
    <w:rsid w:val="1B724496"/>
    <w:rsid w:val="1FD07CC5"/>
    <w:rsid w:val="20910CE3"/>
    <w:rsid w:val="23A05697"/>
    <w:rsid w:val="24D970CE"/>
    <w:rsid w:val="28490A33"/>
    <w:rsid w:val="2856215C"/>
    <w:rsid w:val="2BC01D66"/>
    <w:rsid w:val="2E467D01"/>
    <w:rsid w:val="2FDB1195"/>
    <w:rsid w:val="318C42D0"/>
    <w:rsid w:val="31FD543D"/>
    <w:rsid w:val="324631B9"/>
    <w:rsid w:val="351F26D0"/>
    <w:rsid w:val="36E35323"/>
    <w:rsid w:val="39DF5AAD"/>
    <w:rsid w:val="3AFBA4E0"/>
    <w:rsid w:val="3C10322D"/>
    <w:rsid w:val="3CDC348D"/>
    <w:rsid w:val="3FD745B9"/>
    <w:rsid w:val="411053AE"/>
    <w:rsid w:val="43E598B3"/>
    <w:rsid w:val="49346E87"/>
    <w:rsid w:val="4DF94678"/>
    <w:rsid w:val="4F6F8BBF"/>
    <w:rsid w:val="53211655"/>
    <w:rsid w:val="53427D28"/>
    <w:rsid w:val="55AF5F19"/>
    <w:rsid w:val="563BE32B"/>
    <w:rsid w:val="5B2C196C"/>
    <w:rsid w:val="5C60789B"/>
    <w:rsid w:val="5EFC451A"/>
    <w:rsid w:val="5FE7C52A"/>
    <w:rsid w:val="5FFF0D08"/>
    <w:rsid w:val="6191122B"/>
    <w:rsid w:val="67F74226"/>
    <w:rsid w:val="69FFFC0E"/>
    <w:rsid w:val="6BBFD470"/>
    <w:rsid w:val="6D02533F"/>
    <w:rsid w:val="6DEF2A6B"/>
    <w:rsid w:val="6F7F08FD"/>
    <w:rsid w:val="6FAE4C6A"/>
    <w:rsid w:val="6FFC3678"/>
    <w:rsid w:val="70206657"/>
    <w:rsid w:val="70ACB892"/>
    <w:rsid w:val="73814520"/>
    <w:rsid w:val="74FA8475"/>
    <w:rsid w:val="753FC1A3"/>
    <w:rsid w:val="77FBDAA4"/>
    <w:rsid w:val="77FDFD41"/>
    <w:rsid w:val="77FE570E"/>
    <w:rsid w:val="77FFC407"/>
    <w:rsid w:val="787F6154"/>
    <w:rsid w:val="7ADF6958"/>
    <w:rsid w:val="7BA9BEAA"/>
    <w:rsid w:val="7BCB1412"/>
    <w:rsid w:val="7C6F9403"/>
    <w:rsid w:val="7C8F6D72"/>
    <w:rsid w:val="7CA72759"/>
    <w:rsid w:val="7CDE7BE7"/>
    <w:rsid w:val="7ED534F6"/>
    <w:rsid w:val="7EF53357"/>
    <w:rsid w:val="7F126CAF"/>
    <w:rsid w:val="7F7C0EC5"/>
    <w:rsid w:val="7F9B3DF0"/>
    <w:rsid w:val="7FA78155"/>
    <w:rsid w:val="7FCFBBBA"/>
    <w:rsid w:val="7FF9FE1B"/>
    <w:rsid w:val="7FFEBCC2"/>
    <w:rsid w:val="7FFF3443"/>
    <w:rsid w:val="7FFF9E0E"/>
    <w:rsid w:val="7FFFC2C9"/>
    <w:rsid w:val="87D37F41"/>
    <w:rsid w:val="87FB6441"/>
    <w:rsid w:val="9FC6C268"/>
    <w:rsid w:val="9FDF5C86"/>
    <w:rsid w:val="A9ED94C7"/>
    <w:rsid w:val="AFF65E7C"/>
    <w:rsid w:val="B3B70DC3"/>
    <w:rsid w:val="B7EF0EE4"/>
    <w:rsid w:val="BB37F615"/>
    <w:rsid w:val="BE5F249F"/>
    <w:rsid w:val="BF7F5F2A"/>
    <w:rsid w:val="BFFF1FEA"/>
    <w:rsid w:val="C3EFFB75"/>
    <w:rsid w:val="D79F840B"/>
    <w:rsid w:val="D8A76245"/>
    <w:rsid w:val="D8F770F2"/>
    <w:rsid w:val="DCFB3B4B"/>
    <w:rsid w:val="DEFBA0D3"/>
    <w:rsid w:val="DFD32DC2"/>
    <w:rsid w:val="DFFBCB7A"/>
    <w:rsid w:val="E4CCA7EA"/>
    <w:rsid w:val="EBF77CAB"/>
    <w:rsid w:val="EBFA2E49"/>
    <w:rsid w:val="ECFF632A"/>
    <w:rsid w:val="EDA7C951"/>
    <w:rsid w:val="EDF3057B"/>
    <w:rsid w:val="EFBCC740"/>
    <w:rsid w:val="EFCF0C25"/>
    <w:rsid w:val="F3794319"/>
    <w:rsid w:val="F5FF1A7C"/>
    <w:rsid w:val="F7EF1B6C"/>
    <w:rsid w:val="F9594359"/>
    <w:rsid w:val="FBF72169"/>
    <w:rsid w:val="FCD6799A"/>
    <w:rsid w:val="FCEDFE83"/>
    <w:rsid w:val="FD9D22AF"/>
    <w:rsid w:val="FDBFE77C"/>
    <w:rsid w:val="FDD2A885"/>
    <w:rsid w:val="FDF6B88E"/>
    <w:rsid w:val="FDFEA654"/>
    <w:rsid w:val="FE73D927"/>
    <w:rsid w:val="FEDBF844"/>
    <w:rsid w:val="FF7F4852"/>
    <w:rsid w:val="FF9EB253"/>
    <w:rsid w:val="FFBFBE78"/>
    <w:rsid w:val="FFDB22E4"/>
    <w:rsid w:val="FFDF30E6"/>
    <w:rsid w:val="FFDFFB4B"/>
    <w:rsid w:val="FFEF24E8"/>
    <w:rsid w:val="FFEF707D"/>
    <w:rsid w:val="FFF9E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表格内容"/>
    <w:basedOn w:val="3"/>
    <w:qFormat/>
    <w:uiPriority w:val="0"/>
    <w:pPr>
      <w:suppressLineNumbers/>
      <w:suppressAutoHyphens/>
      <w:jc w:val="left"/>
    </w:pPr>
    <w:rPr>
      <w:rFonts w:cs="Tahoma"/>
      <w:kern w:val="0"/>
      <w:sz w:val="24"/>
    </w:rPr>
  </w:style>
  <w:style w:type="paragraph" w:customStyle="1" w:styleId="10">
    <w:name w:val="样式2"/>
    <w:basedOn w:val="1"/>
    <w:qFormat/>
    <w:uiPriority w:val="0"/>
    <w:pPr>
      <w:spacing w:line="360" w:lineRule="auto"/>
      <w:ind w:firstLine="480" w:firstLineChars="200"/>
    </w:pPr>
    <w:rPr>
      <w:rFonts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1559</Words>
  <Characters>1624</Characters>
  <Lines>3</Lines>
  <Paragraphs>1</Paragraphs>
  <TotalTime>13</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2018-11-09T15:23:00Z</dcterms:created>
  <dc:creator>Administrator</dc:creator>
  <cp:lastModifiedBy>文若</cp:lastModifiedBy>
  <cp:lastPrinted>2026-04-16T07:47:52Z</cp:lastPrinted>
  <dcterms:modified xsi:type="dcterms:W3CDTF">2026-04-16T07:55:03Z</dcterms:modified>
  <dc:title>湖南省财政厅发文（指标、函）稿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F601A1E1D3EC419491A8D49AF4F7A8F3_13</vt:lpwstr>
  </property>
  <property fmtid="{D5CDD505-2E9C-101B-9397-08002B2CF9AE}" pid="3" name="KSOProductBuildVer">
    <vt:lpwstr>2052-12.1.0.25225</vt:lpwstr>
  </property>
  <property fmtid="{D5CDD505-2E9C-101B-9397-08002B2CF9AE}" pid="4" name="KSOTemplateDocerSaveRecord">
    <vt:lpwstr>eyJoZGlkIjoiNTU0ZmIwYTQ3NzlmZGUxZmU3Zjk0M2IyZTNmM2IxNjAiLCJ1c2VySWQiOiIxMTUxNjkyMDcxIn0=</vt:lpwstr>
  </property>
</Properties>
</file>