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96"/>
          <w:tab w:val="left" w:pos="6552"/>
          <w:tab w:val="left" w:pos="6708"/>
        </w:tabs>
        <w:spacing w:line="600" w:lineRule="exact"/>
        <w:ind w:firstLine="0" w:firstLineChars="0"/>
        <w:jc w:val="left"/>
        <w:rPr>
          <w:rFonts w:hint="default" w:ascii="Times New Roman" w:hAnsi="Times New Roman" w:eastAsia="黑体" w:cs="Times New Roman"/>
          <w:b w:val="0"/>
          <w:bCs/>
          <w:color w:val="000000" w:themeColor="text1"/>
          <w:w w:val="100"/>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w w:val="100"/>
          <w:sz w:val="32"/>
          <w:szCs w:val="32"/>
          <w:highlight w:val="none"/>
          <w:lang w:val="en-US" w:eastAsia="zh-CN"/>
          <w14:textFill>
            <w14:solidFill>
              <w14:schemeClr w14:val="tx1"/>
            </w14:solidFill>
          </w14:textFill>
        </w:rPr>
        <w:t>HNPR-2026-10008</w:t>
      </w:r>
    </w:p>
    <w:p>
      <w:pPr>
        <w:tabs>
          <w:tab w:val="left" w:pos="6708"/>
        </w:tabs>
        <w:ind w:right="-104" w:rightChars="-37"/>
        <w:jc w:val="center"/>
        <w:rPr>
          <w:rFonts w:hint="default" w:ascii="Times New Roman" w:hAnsi="Times New Roman" w:eastAsia="仿宋_GB2312" w:cs="Times New Roman"/>
          <w:color w:val="auto"/>
          <w:sz w:val="32"/>
          <w:highlight w:val="none"/>
        </w:rPr>
      </w:pPr>
    </w:p>
    <w:p>
      <w:pPr>
        <w:tabs>
          <w:tab w:val="left" w:pos="6708"/>
        </w:tabs>
        <w:ind w:right="-104" w:rightChars="-37"/>
        <w:jc w:val="center"/>
        <w:rPr>
          <w:rFonts w:hint="default" w:ascii="Times New Roman" w:hAnsi="Times New Roman" w:eastAsia="仿宋_GB2312" w:cs="Times New Roman"/>
          <w:color w:val="auto"/>
          <w:sz w:val="32"/>
          <w:highlight w:val="none"/>
        </w:rPr>
      </w:pPr>
    </w:p>
    <w:p>
      <w:pPr>
        <w:tabs>
          <w:tab w:val="left" w:pos="6708"/>
        </w:tabs>
        <w:ind w:right="-104" w:rightChars="-37"/>
        <w:jc w:val="center"/>
        <w:rPr>
          <w:rFonts w:hint="default" w:ascii="Times New Roman" w:hAnsi="Times New Roman" w:eastAsia="仿宋_GB2312" w:cs="Times New Roman"/>
          <w:color w:val="auto"/>
          <w:sz w:val="32"/>
          <w:highlight w:val="none"/>
        </w:rPr>
      </w:pPr>
    </w:p>
    <w:p>
      <w:pPr>
        <w:tabs>
          <w:tab w:val="left" w:pos="6708"/>
        </w:tabs>
        <w:ind w:right="-104" w:rightChars="-37"/>
        <w:jc w:val="center"/>
        <w:rPr>
          <w:rFonts w:hint="default" w:ascii="Times New Roman" w:hAnsi="Times New Roman" w:eastAsia="仿宋_GB2312" w:cs="Times New Roman"/>
          <w:color w:val="auto"/>
          <w:sz w:val="32"/>
          <w:highlight w:val="none"/>
        </w:rPr>
      </w:pPr>
    </w:p>
    <w:p>
      <w:pPr>
        <w:tabs>
          <w:tab w:val="left" w:pos="6708"/>
        </w:tabs>
        <w:ind w:right="-104" w:rightChars="-37"/>
        <w:jc w:val="center"/>
        <w:rPr>
          <w:rFonts w:hint="default" w:ascii="Times New Roman" w:hAnsi="Times New Roman" w:eastAsia="仿宋_GB2312" w:cs="Times New Roman"/>
          <w:color w:val="auto"/>
          <w:sz w:val="32"/>
          <w:highlight w:val="none"/>
        </w:rPr>
      </w:pPr>
    </w:p>
    <w:p>
      <w:pPr>
        <w:tabs>
          <w:tab w:val="left" w:pos="6708"/>
        </w:tabs>
        <w:ind w:right="-104" w:rightChars="-37"/>
        <w:jc w:val="center"/>
        <w:rPr>
          <w:rFonts w:hint="default" w:ascii="Times New Roman" w:hAnsi="Times New Roman" w:eastAsia="仿宋_GB2312" w:cs="Times New Roman"/>
          <w:color w:val="auto"/>
          <w:sz w:val="32"/>
          <w:highlight w:val="none"/>
        </w:rPr>
      </w:pPr>
    </w:p>
    <w:p>
      <w:pPr>
        <w:tabs>
          <w:tab w:val="left" w:pos="6708"/>
        </w:tabs>
        <w:ind w:right="-104" w:rightChars="-37"/>
        <w:jc w:val="center"/>
        <w:rPr>
          <w:rFonts w:hint="default" w:ascii="Times New Roman" w:hAnsi="Times New Roman" w:eastAsia="仿宋_GB2312" w:cs="Times New Roman"/>
          <w:color w:val="auto"/>
          <w:sz w:val="32"/>
          <w:highlight w:val="none"/>
        </w:rPr>
      </w:pPr>
    </w:p>
    <w:p>
      <w:pPr>
        <w:tabs>
          <w:tab w:val="left" w:pos="6708"/>
        </w:tabs>
        <w:ind w:right="-104" w:rightChars="-37"/>
        <w:jc w:val="center"/>
        <w:rPr>
          <w:rFonts w:hint="default" w:ascii="Times New Roman" w:hAnsi="Times New Roman" w:eastAsia="仿宋_GB2312" w:cs="Times New Roman"/>
          <w:color w:val="auto"/>
          <w:sz w:val="32"/>
          <w:highlight w:val="none"/>
        </w:rPr>
      </w:pPr>
    </w:p>
    <w:p>
      <w:pPr>
        <w:tabs>
          <w:tab w:val="left" w:pos="6708"/>
        </w:tabs>
        <w:ind w:right="-104" w:rightChars="-37"/>
        <w:jc w:val="center"/>
        <w:rPr>
          <w:rFonts w:hint="default" w:ascii="Times New Roman" w:hAnsi="Times New Roman" w:eastAsia="仿宋_GB2312" w:cs="Times New Roman"/>
          <w:color w:val="auto"/>
          <w:sz w:val="32"/>
          <w:highlight w:val="none"/>
        </w:rPr>
      </w:pPr>
    </w:p>
    <w:p>
      <w:pPr>
        <w:tabs>
          <w:tab w:val="left" w:pos="6708"/>
        </w:tabs>
        <w:ind w:right="-104" w:rightChars="-37"/>
        <w:jc w:val="center"/>
        <w:rPr>
          <w:rFonts w:hint="default" w:ascii="Times New Roman" w:hAnsi="Times New Roman" w:eastAsia="仿宋_GB2312" w:cs="Times New Roman"/>
          <w:color w:val="auto"/>
          <w:sz w:val="32"/>
          <w:highlight w:val="none"/>
        </w:rPr>
      </w:pPr>
    </w:p>
    <w:p>
      <w:pPr>
        <w:tabs>
          <w:tab w:val="left" w:pos="6708"/>
        </w:tabs>
        <w:ind w:right="-104" w:rightChars="-37"/>
        <w:jc w:val="center"/>
        <w:rPr>
          <w:rFonts w:hint="default" w:ascii="Times New Roman" w:hAnsi="Times New Roman" w:eastAsia="仿宋_GB2312" w:cs="Times New Roman"/>
          <w:color w:val="auto"/>
          <w:sz w:val="32"/>
          <w:highlight w:val="none"/>
        </w:rPr>
      </w:pPr>
    </w:p>
    <w:p>
      <w:pPr>
        <w:tabs>
          <w:tab w:val="left" w:pos="6708"/>
        </w:tabs>
        <w:ind w:right="-104" w:rightChars="-37"/>
        <w:jc w:val="center"/>
        <w:rPr>
          <w:rFonts w:hint="default" w:ascii="Times New Roman" w:hAnsi="Times New Roman" w:eastAsia="仿宋_GB2312" w:cs="Times New Roman"/>
          <w:color w:val="auto"/>
          <w:sz w:val="32"/>
          <w:highlight w:val="none"/>
        </w:rPr>
      </w:pPr>
    </w:p>
    <w:p>
      <w:pPr>
        <w:tabs>
          <w:tab w:val="left" w:pos="6708"/>
        </w:tabs>
        <w:ind w:right="-104" w:rightChars="-37"/>
        <w:jc w:val="center"/>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湘财</w:t>
      </w:r>
      <w:r>
        <w:rPr>
          <w:rFonts w:hint="eastAsia" w:ascii="Times New Roman" w:hAnsi="Times New Roman" w:eastAsia="仿宋_GB2312" w:cs="Times New Roman"/>
          <w:color w:val="auto"/>
          <w:sz w:val="32"/>
          <w:highlight w:val="none"/>
          <w:lang w:eastAsia="zh-CN"/>
        </w:rPr>
        <w:t>教</w:t>
      </w:r>
      <w:r>
        <w:rPr>
          <w:rFonts w:hint="default" w:ascii="Times New Roman" w:hAnsi="Times New Roman" w:eastAsia="仿宋_GB2312" w:cs="Times New Roman"/>
          <w:color w:val="auto"/>
          <w:sz w:val="32"/>
          <w:highlight w:val="none"/>
        </w:rPr>
        <w:t>〔20</w:t>
      </w:r>
      <w:r>
        <w:rPr>
          <w:rFonts w:hint="eastAsia" w:ascii="Times New Roman" w:hAnsi="Times New Roman" w:eastAsia="仿宋_GB2312" w:cs="Times New Roman"/>
          <w:color w:val="auto"/>
          <w:sz w:val="32"/>
          <w:highlight w:val="none"/>
          <w:lang w:eastAsia="zh-CN"/>
        </w:rPr>
        <w:t>2</w:t>
      </w:r>
      <w:r>
        <w:rPr>
          <w:rFonts w:hint="eastAsia" w:ascii="Times New Roman" w:hAnsi="Times New Roman" w:eastAsia="仿宋_GB2312" w:cs="Times New Roman"/>
          <w:color w:val="auto"/>
          <w:sz w:val="32"/>
          <w:highlight w:val="none"/>
          <w:lang w:val="en-US" w:eastAsia="zh-CN"/>
        </w:rPr>
        <w:t>6</w:t>
      </w:r>
      <w:r>
        <w:rPr>
          <w:rFonts w:hint="default"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val="en-US" w:eastAsia="zh-CN"/>
        </w:rPr>
        <w:t>16</w:t>
      </w:r>
      <w:r>
        <w:rPr>
          <w:rFonts w:hint="default" w:ascii="Times New Roman" w:hAnsi="Times New Roman" w:eastAsia="仿宋_GB2312" w:cs="Times New Roman"/>
          <w:color w:val="auto"/>
          <w:sz w:val="32"/>
          <w:highlight w:val="none"/>
        </w:rPr>
        <w:t>号</w:t>
      </w:r>
    </w:p>
    <w:p>
      <w:pPr>
        <w:tabs>
          <w:tab w:val="left" w:pos="6708"/>
        </w:tabs>
        <w:ind w:right="-104" w:rightChars="-37"/>
        <w:jc w:val="center"/>
        <w:rPr>
          <w:rFonts w:hint="default" w:ascii="Times New Roman" w:hAnsi="Times New Roman" w:eastAsia="仿宋_GB2312" w:cs="Times New Roman"/>
          <w:color w:val="auto"/>
          <w:sz w:val="32"/>
          <w:highlight w:val="none"/>
        </w:rPr>
      </w:pPr>
    </w:p>
    <w:p>
      <w:pPr>
        <w:spacing w:line="600" w:lineRule="exact"/>
        <w:jc w:val="both"/>
        <w:rPr>
          <w:rFonts w:hint="default" w:ascii="Times New Roman" w:hAnsi="Times New Roman" w:eastAsia="方正大标宋简体" w:cs="Times New Roman"/>
          <w:color w:val="auto"/>
          <w:sz w:val="44"/>
          <w:szCs w:val="44"/>
          <w:highlight w:val="none"/>
        </w:rPr>
      </w:pPr>
    </w:p>
    <w:p>
      <w:pPr>
        <w:spacing w:line="640" w:lineRule="exact"/>
        <w:jc w:val="center"/>
        <w:rPr>
          <w:rFonts w:ascii="Times New Roman" w:hAnsi="Times New Roman" w:eastAsia="方正小标宋_GBK"/>
          <w:color w:val="auto"/>
          <w:spacing w:val="-11"/>
          <w:sz w:val="44"/>
          <w:szCs w:val="44"/>
          <w:highlight w:val="none"/>
        </w:rPr>
      </w:pPr>
      <w:r>
        <w:rPr>
          <w:rFonts w:ascii="Times New Roman" w:hAnsi="Times New Roman" w:eastAsia="方正小标宋_GBK"/>
          <w:color w:val="auto"/>
          <w:spacing w:val="-11"/>
          <w:sz w:val="44"/>
          <w:szCs w:val="44"/>
          <w:highlight w:val="none"/>
        </w:rPr>
        <w:t>湖南省财政厅 湖南省教育厅关于印发</w:t>
      </w:r>
      <w:r>
        <w:rPr>
          <w:rFonts w:hint="eastAsia" w:ascii="Times New Roman" w:hAnsi="Times New Roman" w:eastAsia="方正小标宋_GBK"/>
          <w:color w:val="auto"/>
          <w:spacing w:val="-11"/>
          <w:sz w:val="44"/>
          <w:szCs w:val="44"/>
          <w:highlight w:val="none"/>
        </w:rPr>
        <w:t>《</w:t>
      </w:r>
      <w:r>
        <w:rPr>
          <w:rFonts w:ascii="Times New Roman" w:hAnsi="Times New Roman" w:eastAsia="方正小标宋_GBK"/>
          <w:color w:val="auto"/>
          <w:spacing w:val="-11"/>
          <w:sz w:val="44"/>
          <w:szCs w:val="44"/>
          <w:highlight w:val="none"/>
        </w:rPr>
        <w:t>湖南省</w:t>
      </w:r>
    </w:p>
    <w:p>
      <w:pPr>
        <w:spacing w:line="640" w:lineRule="exact"/>
        <w:jc w:val="center"/>
        <w:rPr>
          <w:rFonts w:ascii="Times New Roman" w:hAnsi="Times New Roman" w:eastAsia="方正小标宋_GBK"/>
          <w:color w:val="auto"/>
          <w:sz w:val="44"/>
          <w:szCs w:val="44"/>
          <w:highlight w:val="none"/>
        </w:rPr>
      </w:pPr>
      <w:r>
        <w:rPr>
          <w:rFonts w:ascii="Times New Roman" w:hAnsi="Times New Roman" w:eastAsia="方正小标宋_GBK"/>
          <w:color w:val="auto"/>
          <w:sz w:val="44"/>
          <w:szCs w:val="44"/>
          <w:highlight w:val="none"/>
        </w:rPr>
        <w:t>城乡义务教育补助经费管理办法</w:t>
      </w:r>
      <w:r>
        <w:rPr>
          <w:rFonts w:hint="eastAsia" w:ascii="Times New Roman" w:hAnsi="Times New Roman" w:eastAsia="方正小标宋_GBK"/>
          <w:color w:val="auto"/>
          <w:sz w:val="44"/>
          <w:szCs w:val="44"/>
          <w:highlight w:val="none"/>
        </w:rPr>
        <w:t>》的</w:t>
      </w:r>
      <w:r>
        <w:rPr>
          <w:rFonts w:ascii="Times New Roman" w:hAnsi="Times New Roman" w:eastAsia="方正小标宋_GBK"/>
          <w:color w:val="auto"/>
          <w:sz w:val="44"/>
          <w:szCs w:val="44"/>
          <w:highlight w:val="none"/>
        </w:rPr>
        <w:t>通知</w:t>
      </w:r>
    </w:p>
    <w:p>
      <w:pPr>
        <w:spacing w:line="640" w:lineRule="exact"/>
        <w:jc w:val="center"/>
        <w:rPr>
          <w:rFonts w:hint="default" w:ascii="Times New Roman" w:hAnsi="Times New Roman" w:eastAsia="黑体"/>
          <w:b/>
          <w:color w:val="auto"/>
          <w:sz w:val="44"/>
          <w:szCs w:val="44"/>
          <w:highlight w:val="none"/>
        </w:rPr>
      </w:pPr>
    </w:p>
    <w:p>
      <w:pPr>
        <w:spacing w:line="640" w:lineRule="exact"/>
        <w:rPr>
          <w:rFonts w:hint="default"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各市州、县市区财政局、教育（体）局</w:t>
      </w:r>
      <w:r>
        <w:rPr>
          <w:rFonts w:hint="default" w:ascii="Times New Roman" w:hAnsi="Times New Roman" w:eastAsia="仿宋_GB2312"/>
          <w:color w:val="auto"/>
          <w:sz w:val="32"/>
          <w:szCs w:val="32"/>
          <w:highlight w:val="none"/>
        </w:rPr>
        <w:t>：</w:t>
      </w:r>
    </w:p>
    <w:p>
      <w:pPr>
        <w:overflowPunct w:val="0"/>
        <w:spacing w:line="64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为规范和加强城乡义务教育补助经费管理，提高资金使用效益，推进义务教育均衡发展，根据</w:t>
      </w:r>
      <w:r>
        <w:rPr>
          <w:rFonts w:hint="default"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财政部 教育部关于印发&lt;城乡义务教育补助经费管理办法&gt;的通知</w:t>
      </w:r>
      <w:r>
        <w:rPr>
          <w:rFonts w:hint="default"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（财教</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2025</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68号）精神和国家、省有关规定，省财政厅、省教育厅对《湖南省城乡义务教育补助经费管理办法》进行了修订。现印发给你们，请遵照执行。</w:t>
      </w:r>
    </w:p>
    <w:p>
      <w:pPr>
        <w:overflowPunct w:val="0"/>
        <w:spacing w:line="64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附件：湖南省城乡义务教育补助经费管理办法</w:t>
      </w:r>
    </w:p>
    <w:p>
      <w:pPr>
        <w:spacing w:line="640" w:lineRule="exact"/>
        <w:ind w:firstLine="723"/>
        <w:rPr>
          <w:rFonts w:hint="default" w:ascii="Times New Roman" w:hAnsi="Times New Roman" w:eastAsia="仿宋_GB2312"/>
          <w:color w:val="auto"/>
          <w:sz w:val="32"/>
          <w:szCs w:val="32"/>
          <w:highlight w:val="none"/>
        </w:rPr>
      </w:pPr>
    </w:p>
    <w:p>
      <w:pPr>
        <w:spacing w:line="640" w:lineRule="exact"/>
        <w:ind w:firstLine="640" w:firstLineChars="200"/>
        <w:rPr>
          <w:rFonts w:hint="default" w:ascii="Times New Roman" w:hAnsi="Times New Roman" w:eastAsia="仿宋_GB2312"/>
          <w:color w:val="auto"/>
          <w:sz w:val="32"/>
          <w:szCs w:val="32"/>
          <w:highlight w:val="none"/>
        </w:rPr>
      </w:pPr>
    </w:p>
    <w:p>
      <w:pPr>
        <w:spacing w:line="640" w:lineRule="exact"/>
        <w:ind w:firstLine="960" w:firstLineChars="300"/>
        <w:jc w:val="left"/>
        <w:rPr>
          <w:rFonts w:ascii="Times New Roman" w:hAnsi="Times New Roman" w:eastAsia="仿宋_GB2312"/>
          <w:color w:val="auto"/>
          <w:sz w:val="32"/>
          <w:szCs w:val="32"/>
          <w:highlight w:val="none"/>
        </w:rPr>
      </w:pPr>
      <w:r>
        <w:rPr>
          <w:rFonts w:hint="default" w:ascii="Times New Roman" w:hAnsi="Times New Roman" w:eastAsia="仿宋_GB2312"/>
          <w:color w:val="auto"/>
          <w:sz w:val="32"/>
          <w:szCs w:val="32"/>
          <w:highlight w:val="none"/>
        </w:rPr>
        <w:t>湖南省</w:t>
      </w:r>
      <w:r>
        <w:rPr>
          <w:rFonts w:ascii="Times New Roman" w:hAnsi="Times New Roman" w:eastAsia="仿宋_GB2312"/>
          <w:color w:val="auto"/>
          <w:sz w:val="32"/>
          <w:szCs w:val="32"/>
          <w:highlight w:val="none"/>
        </w:rPr>
        <w:t xml:space="preserve">财政厅         </w:t>
      </w:r>
      <w:r>
        <w:rPr>
          <w:rFonts w:hint="eastAsia" w:ascii="Times New Roman" w:hAnsi="Times New Roman" w:eastAsia="仿宋_GB2312"/>
          <w:color w:val="auto"/>
          <w:sz w:val="32"/>
          <w:szCs w:val="32"/>
          <w:highlight w:val="none"/>
          <w:lang w:val="en-US" w:eastAsia="zh-CN"/>
        </w:rPr>
        <w:t xml:space="preserve">    </w:t>
      </w:r>
      <w:r>
        <w:rPr>
          <w:rFonts w:ascii="Times New Roman" w:hAnsi="Times New Roman" w:eastAsia="仿宋_GB2312"/>
          <w:color w:val="auto"/>
          <w:sz w:val="32"/>
          <w:szCs w:val="32"/>
          <w:highlight w:val="none"/>
        </w:rPr>
        <w:t xml:space="preserve">     湖南省教育厅</w:t>
      </w:r>
    </w:p>
    <w:p>
      <w:pPr>
        <w:spacing w:line="640" w:lineRule="exact"/>
        <w:ind w:firstLine="5600" w:firstLineChars="1750"/>
        <w:rPr>
          <w:rFonts w:hint="default" w:ascii="Times New Roman" w:hAnsi="Times New Roman" w:eastAsia="仿宋_GB2312"/>
          <w:color w:val="auto"/>
          <w:sz w:val="32"/>
          <w:szCs w:val="32"/>
          <w:highlight w:val="none"/>
        </w:rPr>
      </w:pPr>
      <w:r>
        <w:rPr>
          <w:rFonts w:hint="default"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6</w:t>
      </w:r>
      <w:r>
        <w:rPr>
          <w:rFonts w:hint="default"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6</w:t>
      </w:r>
      <w:r>
        <w:rPr>
          <w:rFonts w:hint="default"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lang w:eastAsia="zh-CN"/>
        </w:rPr>
        <w:t>2</w:t>
      </w:r>
      <w:r>
        <w:rPr>
          <w:rFonts w:hint="eastAsia" w:ascii="Times New Roman" w:hAnsi="Times New Roman" w:eastAsia="仿宋_GB2312"/>
          <w:color w:val="auto"/>
          <w:sz w:val="32"/>
          <w:szCs w:val="32"/>
          <w:highlight w:val="none"/>
          <w:lang w:val="en-US" w:eastAsia="zh-CN"/>
        </w:rPr>
        <w:t>4</w:t>
      </w:r>
      <w:r>
        <w:rPr>
          <w:rFonts w:hint="default" w:ascii="Times New Roman" w:hAnsi="Times New Roman" w:eastAsia="仿宋_GB2312"/>
          <w:color w:val="auto"/>
          <w:sz w:val="32"/>
          <w:szCs w:val="32"/>
          <w:highlight w:val="none"/>
        </w:rPr>
        <w:t>日</w:t>
      </w:r>
    </w:p>
    <w:p>
      <w:pPr>
        <w:spacing w:line="640" w:lineRule="exact"/>
        <w:ind w:firstLine="640"/>
        <w:jc w:val="center"/>
        <w:rPr>
          <w:rFonts w:ascii="Times New Roman" w:hAnsi="Times New Roman" w:eastAsia="仿宋_GB2312"/>
          <w:color w:val="auto"/>
          <w:sz w:val="32"/>
          <w:szCs w:val="32"/>
          <w:highlight w:val="none"/>
        </w:rPr>
      </w:pPr>
    </w:p>
    <w:p>
      <w:pPr>
        <w:spacing w:line="640" w:lineRule="exact"/>
        <w:ind w:right="640"/>
        <w:rPr>
          <w:rFonts w:hint="default" w:ascii="Times New Roman" w:hAnsi="Times New Roman" w:eastAsia="仿宋_GB2312"/>
          <w:color w:val="auto"/>
          <w:sz w:val="32"/>
          <w:szCs w:val="32"/>
          <w:highlight w:val="none"/>
        </w:rPr>
      </w:pPr>
    </w:p>
    <w:p>
      <w:pPr>
        <w:widowControl/>
        <w:shd w:val="clear" w:color="auto" w:fill="FFFFFF"/>
        <w:spacing w:line="640" w:lineRule="exact"/>
        <w:jc w:val="left"/>
        <w:rPr>
          <w:rFonts w:hint="default" w:ascii="Times New Roman" w:hAnsi="Times New Roman" w:eastAsia="方正大标宋简体" w:cs="Times New Roman"/>
          <w:color w:val="000000"/>
          <w:kern w:val="0"/>
          <w:szCs w:val="28"/>
          <w:highlight w:val="none"/>
          <w:shd w:val="clear" w:color="auto" w:fill="FFFFFF"/>
          <w:lang w:bidi="ar"/>
        </w:rPr>
      </w:pPr>
    </w:p>
    <w:p>
      <w:pPr>
        <w:widowControl/>
        <w:shd w:val="clear" w:color="auto" w:fill="FFFFFF"/>
        <w:spacing w:line="640" w:lineRule="exact"/>
        <w:jc w:val="left"/>
        <w:rPr>
          <w:rFonts w:hint="default" w:ascii="Times New Roman" w:hAnsi="Times New Roman" w:eastAsia="方正大标宋简体" w:cs="Times New Roman"/>
          <w:color w:val="000000"/>
          <w:kern w:val="0"/>
          <w:szCs w:val="28"/>
          <w:highlight w:val="none"/>
          <w:shd w:val="clear" w:color="auto" w:fill="FFFFFF"/>
          <w:lang w:bidi="ar"/>
        </w:rPr>
      </w:pPr>
    </w:p>
    <w:p>
      <w:pPr>
        <w:widowControl/>
        <w:shd w:val="clear" w:color="auto" w:fill="FFFFFF"/>
        <w:spacing w:line="640" w:lineRule="exact"/>
        <w:jc w:val="left"/>
        <w:rPr>
          <w:rFonts w:hint="default" w:ascii="Times New Roman" w:hAnsi="Times New Roman" w:eastAsia="方正大标宋简体" w:cs="Times New Roman"/>
          <w:color w:val="000000"/>
          <w:kern w:val="0"/>
          <w:szCs w:val="28"/>
          <w:highlight w:val="none"/>
          <w:shd w:val="clear" w:color="auto" w:fill="FFFFFF"/>
          <w:lang w:bidi="ar"/>
        </w:rPr>
      </w:pPr>
    </w:p>
    <w:p>
      <w:pPr>
        <w:widowControl/>
        <w:shd w:val="clear" w:color="auto" w:fill="FFFFFF"/>
        <w:spacing w:line="640" w:lineRule="exact"/>
        <w:jc w:val="left"/>
        <w:rPr>
          <w:rFonts w:hint="default" w:ascii="Times New Roman" w:hAnsi="Times New Roman" w:eastAsia="方正大标宋简体" w:cs="Times New Roman"/>
          <w:color w:val="000000"/>
          <w:kern w:val="0"/>
          <w:szCs w:val="28"/>
          <w:highlight w:val="none"/>
          <w:shd w:val="clear" w:color="auto" w:fill="FFFFFF"/>
          <w:lang w:bidi="ar"/>
        </w:rPr>
      </w:pPr>
    </w:p>
    <w:p>
      <w:pPr>
        <w:widowControl/>
        <w:shd w:val="clear" w:color="auto" w:fill="FFFFFF"/>
        <w:spacing w:line="640" w:lineRule="exact"/>
        <w:jc w:val="left"/>
        <w:rPr>
          <w:rFonts w:hint="default" w:ascii="Times New Roman" w:hAnsi="Times New Roman" w:eastAsia="方正大标宋简体" w:cs="Times New Roman"/>
          <w:color w:val="000000"/>
          <w:kern w:val="0"/>
          <w:szCs w:val="28"/>
          <w:highlight w:val="none"/>
          <w:shd w:val="clear" w:color="auto" w:fill="FFFFFF"/>
          <w:lang w:bidi="ar"/>
        </w:rPr>
      </w:pPr>
    </w:p>
    <w:p>
      <w:pPr>
        <w:widowControl/>
        <w:shd w:val="clear" w:color="auto" w:fill="FFFFFF"/>
        <w:spacing w:line="640" w:lineRule="exact"/>
        <w:jc w:val="left"/>
        <w:rPr>
          <w:rFonts w:hint="default" w:ascii="Times New Roman" w:hAnsi="Times New Roman" w:eastAsia="方正大标宋简体" w:cs="Times New Roman"/>
          <w:color w:val="000000"/>
          <w:kern w:val="0"/>
          <w:szCs w:val="28"/>
          <w:highlight w:val="none"/>
          <w:shd w:val="clear" w:color="auto" w:fill="FFFFFF"/>
          <w:lang w:bidi="ar"/>
        </w:rPr>
      </w:pPr>
    </w:p>
    <w:p>
      <w:pPr>
        <w:widowControl/>
        <w:shd w:val="clear" w:color="auto" w:fill="FFFFFF"/>
        <w:spacing w:line="640" w:lineRule="exact"/>
        <w:jc w:val="left"/>
        <w:rPr>
          <w:rFonts w:hint="default" w:ascii="Times New Roman" w:hAnsi="Times New Roman" w:eastAsia="方正大标宋简体" w:cs="Times New Roman"/>
          <w:color w:val="000000"/>
          <w:kern w:val="0"/>
          <w:szCs w:val="28"/>
          <w:highlight w:val="none"/>
          <w:shd w:val="clear" w:color="auto" w:fill="FFFFFF"/>
          <w:lang w:bidi="ar"/>
        </w:rPr>
      </w:pPr>
    </w:p>
    <w:p>
      <w:pPr>
        <w:widowControl/>
        <w:shd w:val="clear" w:color="auto" w:fill="FFFFFF"/>
        <w:spacing w:line="640" w:lineRule="exact"/>
        <w:jc w:val="left"/>
        <w:rPr>
          <w:rFonts w:hint="default" w:ascii="Times New Roman" w:hAnsi="Times New Roman" w:eastAsia="方正大标宋简体" w:cs="Times New Roman"/>
          <w:color w:val="000000"/>
          <w:kern w:val="0"/>
          <w:szCs w:val="28"/>
          <w:highlight w:val="none"/>
          <w:shd w:val="clear" w:color="auto" w:fill="FFFFFF"/>
          <w:lang w:bidi="ar"/>
        </w:rPr>
      </w:pPr>
    </w:p>
    <w:p>
      <w:pPr>
        <w:widowControl/>
        <w:shd w:val="clear" w:color="auto" w:fill="FFFFFF"/>
        <w:spacing w:line="640" w:lineRule="exact"/>
        <w:jc w:val="left"/>
        <w:rPr>
          <w:rFonts w:hint="default" w:ascii="Times New Roman" w:hAnsi="Times New Roman" w:eastAsia="方正大标宋简体" w:cs="Times New Roman"/>
          <w:color w:val="000000"/>
          <w:kern w:val="0"/>
          <w:szCs w:val="28"/>
          <w:highlight w:val="none"/>
          <w:shd w:val="clear" w:color="auto" w:fill="FFFFFF"/>
          <w:lang w:bidi="ar"/>
        </w:rPr>
      </w:pPr>
    </w:p>
    <w:p>
      <w:pPr>
        <w:widowControl/>
        <w:shd w:val="clear" w:color="auto" w:fill="FFFFFF"/>
        <w:spacing w:line="640" w:lineRule="exact"/>
        <w:jc w:val="left"/>
        <w:rPr>
          <w:rFonts w:hint="default" w:ascii="Times New Roman" w:hAnsi="Times New Roman" w:eastAsia="方正大标宋简体" w:cs="Times New Roman"/>
          <w:color w:val="000000"/>
          <w:kern w:val="0"/>
          <w:szCs w:val="28"/>
          <w:highlight w:val="none"/>
          <w:shd w:val="clear" w:color="auto" w:fill="FFFFFF"/>
          <w:lang w:bidi="ar"/>
        </w:rPr>
      </w:pPr>
    </w:p>
    <w:p>
      <w:pPr>
        <w:widowControl/>
        <w:shd w:val="clear" w:color="auto" w:fill="FFFFFF"/>
        <w:spacing w:line="640" w:lineRule="exact"/>
        <w:jc w:val="left"/>
        <w:rPr>
          <w:rFonts w:hint="default" w:ascii="Times New Roman" w:hAnsi="Times New Roman" w:eastAsia="方正大标宋简体" w:cs="Times New Roman"/>
          <w:color w:val="000000"/>
          <w:kern w:val="0"/>
          <w:szCs w:val="28"/>
          <w:highlight w:val="none"/>
          <w:shd w:val="clear" w:color="auto" w:fill="FFFFFF"/>
          <w:lang w:bidi="ar"/>
        </w:rPr>
      </w:pPr>
    </w:p>
    <w:p>
      <w:pPr>
        <w:widowControl/>
        <w:shd w:val="clear" w:color="auto" w:fill="auto"/>
        <w:jc w:val="left"/>
        <w:rPr>
          <w:rFonts w:hint="default" w:ascii="Times New Roman" w:hAnsi="Times New Roman" w:eastAsia="方正大标宋简体" w:cs="Times New Roman"/>
          <w:color w:val="000000"/>
          <w:kern w:val="0"/>
          <w:szCs w:val="28"/>
          <w:highlight w:val="none"/>
          <w:shd w:val="clear" w:color="auto" w:fill="FFFFFF"/>
          <w:lang w:bidi="ar"/>
        </w:rPr>
      </w:pPr>
      <w:r>
        <w:rPr>
          <w:rFonts w:hint="default" w:ascii="Times New Roman" w:hAnsi="Times New Roman" w:eastAsia="方正大标宋简体" w:cs="Times New Roman"/>
          <w:color w:val="000000"/>
          <w:kern w:val="0"/>
          <w:szCs w:val="28"/>
          <w:highlight w:val="none"/>
          <w:shd w:val="clear" w:color="auto" w:fill="FFFFFF"/>
          <w:lang w:bidi="ar"/>
        </w:rPr>
        <w:br w:type="page"/>
      </w:r>
    </w:p>
    <w:p>
      <w:pPr>
        <w:widowControl w:val="0"/>
        <w:shd w:val="clear" w:color="auto" w:fill="FFFFFF"/>
        <w:overflowPunct w:val="0"/>
        <w:spacing w:beforeLines="0" w:line="560" w:lineRule="exact"/>
        <w:jc w:val="left"/>
        <w:rPr>
          <w:rFonts w:hint="default" w:ascii="Times New Roman" w:hAnsi="Times New Roman" w:eastAsia="黑体"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黑体" w:cs="Times New Roman"/>
          <w:b w:val="0"/>
          <w:bCs w:val="0"/>
          <w:color w:val="000000"/>
          <w:kern w:val="0"/>
          <w:sz w:val="32"/>
          <w:szCs w:val="32"/>
          <w:highlight w:val="none"/>
          <w:shd w:val="clear" w:color="auto" w:fill="FFFFFF"/>
          <w:lang w:val="en-US" w:eastAsia="zh-CN" w:bidi="ar"/>
        </w:rPr>
        <w:t>附件</w:t>
      </w:r>
    </w:p>
    <w:p>
      <w:pPr>
        <w:widowControl w:val="0"/>
        <w:shd w:val="clear" w:color="auto" w:fill="FFFFFF"/>
        <w:overflowPunct w:val="0"/>
        <w:spacing w:beforeLines="0" w:line="560" w:lineRule="exact"/>
        <w:jc w:val="left"/>
        <w:rPr>
          <w:rFonts w:hint="default" w:ascii="Times New Roman" w:hAnsi="Times New Roman" w:eastAsia="黑体" w:cs="Times New Roman"/>
          <w:b w:val="0"/>
          <w:bCs w:val="0"/>
          <w:color w:val="000000"/>
          <w:kern w:val="0"/>
          <w:sz w:val="32"/>
          <w:szCs w:val="32"/>
          <w:highlight w:val="none"/>
          <w:shd w:val="clear" w:color="auto" w:fill="FFFFFF"/>
          <w:lang w:val="en-US" w:eastAsia="zh-CN" w:bidi="ar"/>
        </w:rPr>
      </w:pPr>
    </w:p>
    <w:p>
      <w:pPr>
        <w:widowControl w:val="0"/>
        <w:shd w:val="clear" w:color="auto" w:fill="FFFFFF"/>
        <w:overflowPunct w:val="0"/>
        <w:spacing w:before="0" w:beforeLines="0" w:line="560" w:lineRule="exact"/>
        <w:jc w:val="center"/>
        <w:rPr>
          <w:rFonts w:hint="default" w:ascii="Times New Roman" w:hAnsi="Times New Roman" w:eastAsia="方正大标宋简体" w:cs="Times New Roman"/>
          <w:color w:val="000000"/>
          <w:kern w:val="0"/>
          <w:sz w:val="40"/>
          <w:szCs w:val="40"/>
          <w:highlight w:val="none"/>
          <w:shd w:val="clear" w:color="auto" w:fill="FFFFFF"/>
          <w:lang w:bidi="ar"/>
        </w:rPr>
      </w:pPr>
      <w:r>
        <w:rPr>
          <w:rFonts w:hint="default" w:ascii="Times New Roman" w:hAnsi="Times New Roman" w:eastAsia="方正小标宋_GBK" w:cs="Times New Roman"/>
          <w:color w:val="000000"/>
          <w:kern w:val="0"/>
          <w:sz w:val="40"/>
          <w:szCs w:val="40"/>
          <w:highlight w:val="none"/>
          <w:shd w:val="clear" w:color="auto" w:fill="FFFFFF"/>
          <w:lang w:bidi="ar"/>
        </w:rPr>
        <w:t>湖南省城乡义务教育补助经费管理办法</w:t>
      </w:r>
    </w:p>
    <w:p>
      <w:pPr>
        <w:widowControl w:val="0"/>
        <w:shd w:val="clear" w:color="auto" w:fill="FFFFFF"/>
        <w:overflowPunct w:val="0"/>
        <w:spacing w:beforeLines="0" w:line="560" w:lineRule="exact"/>
        <w:rPr>
          <w:rFonts w:hint="default" w:ascii="Times New Roman" w:hAnsi="Times New Roman" w:eastAsia="仿宋_GB2312" w:cs="Times New Roman"/>
          <w:color w:val="000000"/>
          <w:sz w:val="32"/>
          <w:szCs w:val="32"/>
          <w:highlight w:val="none"/>
        </w:rPr>
      </w:pPr>
    </w:p>
    <w:p>
      <w:pPr>
        <w:widowControl w:val="0"/>
        <w:shd w:val="clear" w:color="auto" w:fill="FFFFFF"/>
        <w:overflowPunct w:val="0"/>
        <w:spacing w:beforeLines="0" w:line="560" w:lineRule="exact"/>
        <w:ind w:firstLine="642"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第一条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 xml:space="preserve"> 为规范和加强城乡义务教育补助经费管理，提高资金使用效益，推进义务教育优质均衡发展，根据《财政部</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 xml:space="preserve"> </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教育部关于印发〈城乡义务教育补助经费管理办法〉的通知》（财教〔2025〕68号）、《湖南省人民政府办公厅关于印发&lt;教育领域省与市县财政事权和支出责任划分改革实施方案&gt;的通知》（湘政办发〔2020〕15号）和有关法律制度规定，制定本办法。</w:t>
      </w:r>
    </w:p>
    <w:p>
      <w:pPr>
        <w:widowControl w:val="0"/>
        <w:shd w:val="clear" w:color="auto" w:fill="FFFFFF"/>
        <w:overflowPunct w:val="0"/>
        <w:spacing w:beforeLines="0" w:line="560" w:lineRule="exact"/>
        <w:ind w:firstLine="642" w:firstLineChars="200"/>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第二条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 xml:space="preserve"> 本办法所称城乡义务教育补助经费（以下简称补助经费），是指中央和省级财政</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安排</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用于支持城乡义务教育发展的转移支付资金。本办法所称城市、农村地区划分标准：国家统计局最新版本《统计用区划代码》中的区县代码（第5-6位）为01-20，且《统计用城乡划分代码》中的城乡分类代码（第13-15位）为111的主城区为城市，其他地区为农村。</w:t>
      </w:r>
    </w:p>
    <w:p>
      <w:pPr>
        <w:widowControl w:val="0"/>
        <w:shd w:val="clear" w:color="auto" w:fill="FFFFFF"/>
        <w:overflowPunct w:val="0"/>
        <w:spacing w:beforeLines="0" w:line="560" w:lineRule="exact"/>
        <w:ind w:firstLine="642" w:firstLineChars="200"/>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第三条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 xml:space="preserve"> </w:t>
      </w:r>
      <w:r>
        <w:rPr>
          <w:rFonts w:hint="default" w:ascii="Times New Roman" w:hAnsi="Times New Roman" w:eastAsia="仿宋_GB2312" w:cs="Times New Roman"/>
          <w:b w:val="0"/>
          <w:bCs w:val="0"/>
          <w:i w:val="0"/>
          <w:iCs w:val="0"/>
          <w:color w:val="000000"/>
          <w:spacing w:val="-6"/>
          <w:kern w:val="0"/>
          <w:sz w:val="32"/>
          <w:szCs w:val="32"/>
          <w:highlight w:val="none"/>
          <w:u w:val="none"/>
          <w:shd w:val="clear" w:color="auto" w:fill="FFFFFF"/>
          <w:lang w:bidi="ar"/>
        </w:rPr>
        <w:t>补助经费管理遵循“城乡统一、重在农村，统筹安排、突出重点，客观公正、规范透明，注重绩效、强化监督”的原则。</w:t>
      </w:r>
    </w:p>
    <w:p>
      <w:pPr>
        <w:widowControl w:val="0"/>
        <w:shd w:val="clear" w:color="auto" w:fill="FFFFFF"/>
        <w:overflowPunct w:val="0"/>
        <w:spacing w:beforeLines="0" w:line="560" w:lineRule="exact"/>
        <w:ind w:firstLine="642"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第四条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 xml:space="preserve"> 补助经费支持方向包括：</w:t>
      </w:r>
    </w:p>
    <w:p>
      <w:pPr>
        <w:widowControl w:val="0"/>
        <w:shd w:val="clear" w:color="auto" w:fill="FFFFFF"/>
        <w:overflowPunct w:val="0"/>
        <w:spacing w:beforeLines="0" w:line="560" w:lineRule="exact"/>
        <w:ind w:firstLine="640"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（一）落实城乡义务教育经费保障机制。</w:t>
      </w:r>
    </w:p>
    <w:p>
      <w:pPr>
        <w:widowControl w:val="0"/>
        <w:shd w:val="clear" w:color="auto" w:fill="FFFFFF"/>
        <w:overflowPunct w:val="0"/>
        <w:spacing w:beforeLines="0" w:line="560" w:lineRule="exact"/>
        <w:ind w:firstLine="640" w:firstLineChars="200"/>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1.对城乡义务教育学生（含民办学校学生）免除学杂费、免费提供教科书、对家庭经济困难学生补助生活费。民办学校学生免学杂费标准按学校获得的生均公用经费补助标准执行。免费提供国家规定课程教科书和免费为小学一年级新生提供正版学生字典所需经费由中</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央财政全额承担，免费提供地方课程教科书所需经费由省财政承担；另外，限额范围内为原建档立卡脱贫户等家庭经济困难学生免费提供教辅材料和</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市州、</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市县区规定课程教科书所需经费由</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市州、</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市县</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区</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财政承担。家庭经济困难学生生活补助资金由中央、省与</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市州、</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市县区按规定比例分担，其中家庭经济困难寄宿生生活补助国家基础标准由国家统一制定，并按国家基础标准的一定比例核定家庭经济困</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难非寄宿生生活补助标准</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，各地可以结合实际分档确定非寄宿生具体生活补助标准</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w:t>
      </w:r>
    </w:p>
    <w:p>
      <w:pPr>
        <w:widowControl w:val="0"/>
        <w:shd w:val="clear" w:color="auto" w:fill="FFFFFF"/>
        <w:overflowPunct w:val="0"/>
        <w:spacing w:beforeLines="0" w:line="560" w:lineRule="exact"/>
        <w:ind w:firstLine="640"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2.对城乡义务教育学校（含民办学校）按照不低于生均公用经费基准定额的标准补助公用经费，并适当提高寄宿制学校、规模较小学校、专门学校、特殊教育学校</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和随班就读残疾学生的公用经费补助水平。城乡义务教育生均公用经费基准定额由国家统一制定。公用经费补助资金由中央、省与</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市州、</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市县区</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按规定比例分担，用于保障学校正常运转、完成教育教学活动和其他日常工作任务等方面支出，具体支出范围主要包括：教学业务与管理、教师培训、实验实习、文体活动、水电</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取暖、交通差旅、邮电，仪器设备及图书资料等购置，房屋、建筑物及仪器设备的日常维修维护等。其中，教师培训费按照学校年度公用经费预算总额的5%安排，用于教师按照学校年度培训计划参加培训所需的差旅费、伙食补助费、资料费和住宿费等开支；心理健康教育经费按照年生均10元的标准在学校公用经费预算中单列，支持中小学校开展心理健康教育。中央与地方按比例分担的公用经费补助资金不得用于教职工福利、临时聘用人员工资等人员经费、基本建设投资、偿还债务等方面的支出。</w:t>
      </w:r>
    </w:p>
    <w:p>
      <w:pPr>
        <w:widowControl w:val="0"/>
        <w:shd w:val="clear" w:color="auto" w:fill="FFFFFF"/>
        <w:overflowPunct w:val="0"/>
        <w:spacing w:beforeLines="0" w:line="560" w:lineRule="exact"/>
        <w:ind w:firstLine="640" w:firstLineChars="200"/>
        <w:jc w:val="both"/>
        <w:rPr>
          <w:rFonts w:hint="default" w:ascii="Times New Roman" w:hAnsi="Times New Roman" w:eastAsia="仿宋_GB2312" w:cs="Times New Roman"/>
          <w:b w:val="0"/>
          <w:bCs w:val="0"/>
          <w:i w:val="0"/>
          <w:iCs w:val="0"/>
          <w:color w:val="auto"/>
          <w:sz w:val="32"/>
          <w:szCs w:val="32"/>
          <w:highlight w:val="none"/>
          <w:u w:val="none"/>
        </w:rPr>
      </w:pP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3.巩固完善义务教育学校校舍安全保障长效机制，支持公办学校维修改造、抗震加</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固、改扩建校舍及其附属设施。公办学校校舍单位面积补助测算标准由国家统一制定，农村公办义务教育学校所需资金由中央、省与</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市州、</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市县区按规定比例分担，城市公办义务教育学校所需资金由省与</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市州、</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市县区按规定比例分担。民办义务教育学校要建立健全校舍安全保障长效机制，所需资金按照“谁举办，谁负责”的原则，由举办方承担。</w:t>
      </w:r>
    </w:p>
    <w:p>
      <w:pPr>
        <w:widowControl w:val="0"/>
        <w:shd w:val="clear" w:color="auto" w:fill="FFFFFF"/>
        <w:overflowPunct w:val="0"/>
        <w:spacing w:beforeLines="0" w:line="560" w:lineRule="exact"/>
        <w:ind w:firstLine="640"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4.中央财政综合奖补资金统筹用于城乡义务教育经</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费保障机制相关支出。由省财政厅会同省教育厅根据</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党中央、国务院</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和省委</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省政府有关决策部署和义务教育改革发展工作重点确定支持内容。其中，省财政厅、省教育厅对审计、财会监督等监督检查发现补助经费使用管理存在重大问题的市州，暂停参与分配综合奖补，待完成整改再视情况参与分配。</w:t>
      </w:r>
    </w:p>
    <w:p>
      <w:pPr>
        <w:shd w:val="clear" w:color="auto" w:fill="FFFFFF"/>
        <w:overflowPunct w:val="0"/>
        <w:spacing w:beforeLines="0" w:line="560" w:lineRule="exact"/>
        <w:ind w:firstLine="640" w:firstLineChars="200"/>
        <w:jc w:val="both"/>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pP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二）实施农村义务教育阶段学校教师特设岗位计划，对特岗教师给予工资性补助。工资性补助基础标准由国家统一制定，国家计划所需资金由中央财政承担，补助资金根据在岗特岗教师人数、补助标准与相关市县据实结算。</w:t>
      </w:r>
    </w:p>
    <w:p>
      <w:pPr>
        <w:shd w:val="clear" w:color="auto" w:fill="FFFFFF"/>
        <w:overflowPunct w:val="0"/>
        <w:spacing w:beforeLines="0" w:line="560" w:lineRule="exact"/>
        <w:ind w:firstLine="640" w:firstLineChars="200"/>
        <w:jc w:val="both"/>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pP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（三）实施农村义务教育学生营养改善计划。国家统一制定学生营养膳食补助国家基础标准。国家计划地区所需资金由中央财政全额承担；省级计划地区为武陵山、罗霄山原集中连片特困地区外</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的原国家扶贫开发工作重点县</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、原省级扶贫开发工作重点县、民族县、革命老区县（不含城市学校），所需资金由省财政承担，中央在地方落实国家基础标准后，给予生均定额奖补</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武陵山、罗霄山原集中连片特困地区县的县城农村属性学校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可参照省级计划地区实施，中央和省级在地方落实国家基础标准后按规定比例，给予生均定额奖补</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。其他革命老区县自行开展营养改善计划（不含城市学校）</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所需资金</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由</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市县级财政承担，中央在地方落实国家基础标准后，给予生均定额奖补。上述实施范围以外自主实施营养餐政策的地区，所需资金由地方自行承担。</w:t>
      </w:r>
    </w:p>
    <w:p>
      <w:pPr>
        <w:widowControl w:val="0"/>
        <w:shd w:val="clear" w:color="auto" w:fill="FFFFFF"/>
        <w:overflowPunct w:val="0"/>
        <w:spacing w:beforeLines="0" w:line="560" w:lineRule="exact"/>
        <w:ind w:firstLine="640" w:firstLineChars="200"/>
        <w:jc w:val="both"/>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pP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中央和省级财政下达的营养改善计划</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补助</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资金，要全部用于为在校学生提供等值优质食品，不得以现金形式直接发放给学生个人或家长，不得用于补贴教职工伙食和非营养改善计划校学生伙食、弥补学校公用经费和开支聘用人员费用等方面，不得用于劳务费、宣传费、运输费等工作经费。坚决杜绝各种形式的克扣、侵占、截留、挤占和挪用。学校食堂（伙房）的水、电、煤、气等日常运行费用纳入学校公用经费开支，有条件的地区对营养改善计划实施学校可适当提高公用经费补助水平。学校自主经营食堂（伙房）供餐增加的聘用人员待遇等开支，由县级财政统筹解决，不留硬缺口。</w:t>
      </w:r>
    </w:p>
    <w:p>
      <w:pPr>
        <w:widowControl w:val="0"/>
        <w:shd w:val="clear" w:color="auto" w:fill="FFFFFF"/>
        <w:overflowPunct w:val="0"/>
        <w:spacing w:beforeLines="0" w:line="560" w:lineRule="exact"/>
        <w:ind w:firstLine="642"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第五条</w:t>
      </w:r>
      <w:r>
        <w:rPr>
          <w:rFonts w:hint="eastAsia" w:ascii="Times New Roman" w:hAnsi="Times New Roman" w:eastAsia="仿宋_GB2312" w:cs="Times New Roman"/>
          <w:b/>
          <w:bCs/>
          <w:i w:val="0"/>
          <w:iCs w:val="0"/>
          <w:color w:val="000000"/>
          <w:kern w:val="0"/>
          <w:sz w:val="32"/>
          <w:szCs w:val="32"/>
          <w:highlight w:val="none"/>
          <w:u w:val="none"/>
          <w:shd w:val="clear" w:color="auto" w:fill="FFFFFF"/>
          <w:lang w:val="en-US" w:eastAsia="zh-CN" w:bidi="ar"/>
        </w:rPr>
        <w:t xml:space="preserve"> </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省财政厅、省教育厅根据党中央、国务院和省委、省政府有关决策部署、义务教育改革发展实际以及财力状况适时调整除国家基准标准外的相关补助标准、分配因素和计算方法。现行补助标准、分配因素和计算方法详见附表。国家基础标准按照上级文件规定动态调整。</w:t>
      </w:r>
    </w:p>
    <w:p>
      <w:pPr>
        <w:widowControl w:val="0"/>
        <w:shd w:val="clear" w:color="auto" w:fill="FFFFFF"/>
        <w:overflowPunct w:val="0"/>
        <w:spacing w:beforeLines="0" w:line="560" w:lineRule="exact"/>
        <w:ind w:firstLine="640" w:firstLineChars="200"/>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城乡义务教育补助经费分配公式为：某地城乡义务教育补助经费=城乡义务教育经费保障机制资金+特岗教师工资性补助资金+学生营养改善计划补助资金。</w:t>
      </w:r>
    </w:p>
    <w:p>
      <w:pPr>
        <w:widowControl w:val="0"/>
        <w:shd w:val="clear" w:color="auto" w:fill="FFFFFF"/>
        <w:overflowPunct w:val="0"/>
        <w:spacing w:beforeLines="0" w:line="560" w:lineRule="exact"/>
        <w:ind w:firstLine="642" w:firstLineChars="200"/>
        <w:jc w:val="both"/>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第六条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 xml:space="preserve"> </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市州</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财政、教育部门应当于每年1月底前向省财政厅、省教育厅报送当年本</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市州</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（含所辖</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县市区</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补助经费申报材料，并对申报材料的真实性、合规性、准确性负责。逾期提交的，相应扣减相关分配因素得分。省财政厅适时组织相关部门对地方政策落实和资金使用情况开展抽查监督，发现问题严肃处理，视情况进一步采取约谈、通报、扣减预算等措施，强化监督震慑。</w:t>
      </w:r>
    </w:p>
    <w:p>
      <w:pPr>
        <w:widowControl w:val="0"/>
        <w:shd w:val="clear" w:color="auto" w:fill="FFFFFF"/>
        <w:overflowPunct w:val="0"/>
        <w:spacing w:beforeLines="0" w:line="560" w:lineRule="exact"/>
        <w:ind w:firstLine="640"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申报材料主要包括：</w:t>
      </w:r>
    </w:p>
    <w:p>
      <w:pPr>
        <w:widowControl w:val="0"/>
        <w:shd w:val="clear" w:color="auto" w:fill="FFFFFF"/>
        <w:overflowPunct w:val="0"/>
        <w:spacing w:beforeLines="0" w:line="560" w:lineRule="exact"/>
        <w:ind w:firstLine="640"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一）上年度工作总结，主要包括上年度补助经费使用情况、年度绩效目标完成情况、市县财政投入情况、主要管理措施、问题分析、对策及审计、财会监督（含财政部湖南监管局）等监督检查发现问题和整改情况。</w:t>
      </w:r>
    </w:p>
    <w:p>
      <w:pPr>
        <w:widowControl w:val="0"/>
        <w:shd w:val="clear" w:color="auto" w:fill="FFFFFF"/>
        <w:overflowPunct w:val="0"/>
        <w:spacing w:beforeLines="0" w:line="560" w:lineRule="exact"/>
        <w:ind w:firstLine="640"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（二）当年工作计划，主要包括当年本地义务教育工作目标、补助经费区域绩效目标表、重点任务和资金安排计划，绩效指标要指向明确、细化量化、合理可行、相应匹配。</w:t>
      </w:r>
    </w:p>
    <w:p>
      <w:pPr>
        <w:widowControl w:val="0"/>
        <w:shd w:val="clear" w:color="auto" w:fill="FFFFFF"/>
        <w:overflowPunct w:val="0"/>
        <w:spacing w:beforeLines="0" w:line="560" w:lineRule="exact"/>
        <w:ind w:firstLine="642"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第七条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 xml:space="preserve"> 补助经费由省财政厅、省教育厅共同管理。省教育厅负责审核市县相关材料和数据，提供资金测算需要的基础数据，提出资金需求测算方案，并对提供的基础数据的准确性、及时性负责。省财政厅根据预算管理相关规定，会同省教育厅研究确定各地补助经费预算、绩效目标。各地财政、教育部门要根据职责承担在基础数据报送、经费分担、资金使用管理等方面的责任，切实加强资金管理。</w:t>
      </w:r>
    </w:p>
    <w:p>
      <w:pPr>
        <w:widowControl w:val="0"/>
        <w:shd w:val="clear" w:color="auto" w:fill="FFFFFF"/>
        <w:overflowPunct w:val="0"/>
        <w:spacing w:beforeLines="0" w:line="560" w:lineRule="exact"/>
        <w:ind w:firstLine="642"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第八条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 xml:space="preserve"> 省财政厅、省教育厅按照预算级次及时分配下达城乡义务教育中央和省级补助经费</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及区域绩效目标</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。对于中央转移支付资金，在收到文件后三十日内分配下达，并抄送财政部湖南监管局；对于省级年初预算安排的资金，在</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湖南省人民代表大会</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批准预算后的三十日内分配下达，据实结算等特殊项目的资金分期下达预算；每年12月20日前，提前下达市县下一年度部分补助资金预算指标。市州、县市区财政、教育部门在收到中央和省级补助经费预算文件后，应当按照预算级次合理分配、并按照《</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中华人民共和国</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预算法》规定时限及时下达。</w:t>
      </w:r>
    </w:p>
    <w:p>
      <w:pPr>
        <w:widowControl w:val="0"/>
        <w:shd w:val="clear" w:color="auto" w:fill="FFFFFF"/>
        <w:overflowPunct w:val="0"/>
        <w:spacing w:beforeLines="0" w:line="560" w:lineRule="exact"/>
        <w:ind w:firstLine="642"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 xml:space="preserve">第九条 </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补助经费支付</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执行</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国库集中支付制度。涉及政府采购的，</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按照</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政府采购</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有关法律</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制度</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执行</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，其中国家和省规定课程免费教科书由省教育厅、省财政厅结合全省实际，</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按照</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政府采购</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有关</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规定统一组织采购。</w:t>
      </w:r>
    </w:p>
    <w:p>
      <w:pPr>
        <w:shd w:val="clear" w:color="auto" w:fill="FFFFFF"/>
        <w:overflowPunct w:val="0"/>
        <w:spacing w:beforeLines="0" w:line="560" w:lineRule="exact"/>
        <w:ind w:firstLine="642" w:firstLineChars="200"/>
        <w:jc w:val="both"/>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第十条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 xml:space="preserve"> 省财政厅、省教育厅在分配补助经费时，结合年度义务教育重点工作</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和</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省级财政安</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排的城乡义务教育补助经费，</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强化</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省级统筹力度，优化资金分配结构，重点向农村地区、革命老区、民族地区和脱贫地区予以倾斜。市州、县市区财政、教育部门</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要</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切实扛起资金保障主体责任</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，按责任、按规定落实应承担的资金</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；科学划定受助学生比例，提高资助的精准度；合理确定校舍安全保障长效机制项目的管理</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级次</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与实施</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办法</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做好</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与发展改革部门安排基本建设项目等各渠道资金</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的</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统筹</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和</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对接，防止资金、项目安排重复交叉或缺位；统筹落实特岗教师</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在</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聘任期间的工资、津补贴等政策；科学</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确定营养改善计划供餐模式和经费补助方式。</w:t>
      </w:r>
    </w:p>
    <w:p>
      <w:pPr>
        <w:shd w:val="clear" w:color="auto" w:fill="FFFFFF"/>
        <w:overflowPunct w:val="0"/>
        <w:spacing w:beforeLines="0" w:line="560" w:lineRule="exact"/>
        <w:ind w:firstLine="642"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第十一条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 xml:space="preserve"> </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市州、</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市县区</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财政、教育部门应当落实经费管理的主体责任，</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加强</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区域内相关教育经费</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的</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统筹安排</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和使用</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考虑不同规模学校的运转实际需求，重点向乡镇寄宿制学校、乡村小规模学校、教学点、薄弱学校和营养改善计划学校倾斜，保障学校基本需求。加强学校预算管理，细化预算编制，硬化预算执行，强化预算监督。</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强化学校财务管理，</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规范经费使用，保障补助经费使用安全、规范、高效。</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市州、</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县市区教育部门</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要</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联合有关部门</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定期对辖区内学校校舍情况进行全面排查、核实，适应学龄人口变化趋势，</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结合</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本地学校布局调整</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等</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规划，编制校舍安全保障总规划和年度计划，按照我省校舍安全保障长效机制项目管理</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有关</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规定，牵头组织开展项目实施工作，项目实施进展及资金安排，要逐级上报省教育厅、省财政厅备案</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w:t>
      </w:r>
    </w:p>
    <w:p>
      <w:pPr>
        <w:widowControl w:val="0"/>
        <w:shd w:val="clear" w:color="auto" w:fill="FFFFFF"/>
        <w:overflowPunct w:val="0"/>
        <w:spacing w:beforeLines="0" w:line="560" w:lineRule="exact"/>
        <w:ind w:firstLine="642"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第十二条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 学校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要</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建立健全预算管理制度，</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按照</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“轻重缓急、统筹兼顾”的原则安排使用公用经费，既要足额保障日常教育教学活动所需的基本支出，</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也</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要合理预留资金用于支持学生全面发展的各类活动支出。要进一步完善学校内部经费管理</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办法</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，细化公用经费等各类经费的支出范围与标准；加强实物消耗核算管理，建立规范的经费、实物管理流程，</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建立</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物品采购登记台账，</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健全</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物品验收、入库、保管、领用</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、出库</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等各环节管理制度，明确各岗位责任</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，严格管理</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；建立健全内部控制</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制度</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、经济责任</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制度</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等监督制度，依法公开财务信息；规范做好面向个人各类补助资金信息</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的</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公示工作，主动接受社会公众监督。</w:t>
      </w:r>
    </w:p>
    <w:p>
      <w:pPr>
        <w:widowControl w:val="0"/>
        <w:shd w:val="clear" w:color="auto" w:fill="FFFFFF"/>
        <w:overflowPunct w:val="0"/>
        <w:spacing w:beforeLines="0" w:line="560" w:lineRule="exact"/>
        <w:ind w:firstLine="642"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第十三条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 xml:space="preserve"> </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市州、县市区</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财政、教育部门</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要</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严格落实全面实施预算绩效管理</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有关</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要求，建立健全财政与审计联动的绩效管理机制，按照规定科学合理设定补助经费绩效目标，对照绩效目标开展绩效监控、绩效评价工作，强化绩效评价结果的转化运用，规范做好绩效信息公开工作，持续提升补助经费的配置效率和使用效益。省财政厅、省教育厅根据工作需要适时组织开展补助经费绩效评价，将绩效评价结果运用到预算安排和调整中，并与以后年度预算安排挂钩。</w:t>
      </w:r>
    </w:p>
    <w:p>
      <w:pPr>
        <w:widowControl w:val="0"/>
        <w:shd w:val="clear" w:color="auto" w:fill="FFFFFF"/>
        <w:overflowPunct w:val="0"/>
        <w:spacing w:beforeLines="0" w:line="560" w:lineRule="exact"/>
        <w:ind w:firstLine="642"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第十四条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 xml:space="preserve"> </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市州、县市区</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bidi="ar"/>
        </w:rPr>
        <w:t>财政</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部门</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要</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会同同级教育部门，按照各自职责分工加强项目审核申报、资金使用管理等各环节工作，建立“谁使用、谁负责”的责任机制。严禁将补助经费用于平衡预算、偿还债务、支付利息、对外投资等支出，不得从补助经费中提取工作经费或管理经费。</w:t>
      </w:r>
    </w:p>
    <w:p>
      <w:pPr>
        <w:widowControl w:val="0"/>
        <w:shd w:val="clear" w:color="auto" w:fill="FFFFFF"/>
        <w:overflowPunct w:val="0"/>
        <w:spacing w:beforeLines="0" w:line="560" w:lineRule="exact"/>
        <w:ind w:firstLine="642" w:firstLineChars="200"/>
        <w:jc w:val="both"/>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第十五条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 xml:space="preserve"> 各级财政、教育部门及其工作人员</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以及申报、使用补助经费的部门、单位及个人，在</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项目资金审核</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管理、</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补助资金</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分配使用等相关工作中，存在违反本办法规定，</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以及其他</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滥用职权、玩忽职守、徇私舞弊等违法违规情形的，将依法依规追究其相应责任。</w:t>
      </w:r>
    </w:p>
    <w:p>
      <w:pPr>
        <w:widowControl w:val="0"/>
        <w:shd w:val="clear" w:color="auto" w:fill="FFFFFF"/>
        <w:overflowPunct w:val="0"/>
        <w:spacing w:beforeLines="0" w:line="560" w:lineRule="exact"/>
        <w:ind w:firstLine="642"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第十六条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 xml:space="preserve"> 各地财政、教育部门应当</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根据</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本办法，结合本地发展实际、财政保障能力及经费管理需求</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等</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，制定符合区域实际的补助经费具体管理</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细则</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，并按规定</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eastAsia="zh-CN" w:bidi="ar"/>
        </w:rPr>
        <w:t>报</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省财政厅、省教育厅备案。</w:t>
      </w:r>
    </w:p>
    <w:p>
      <w:pPr>
        <w:widowControl w:val="0"/>
        <w:shd w:val="clear" w:color="auto" w:fill="FFFFFF"/>
        <w:overflowPunct w:val="0"/>
        <w:spacing w:beforeLines="0" w:line="560" w:lineRule="exact"/>
        <w:ind w:firstLine="642" w:firstLineChars="200"/>
        <w:jc w:val="both"/>
        <w:rPr>
          <w:rFonts w:hint="default" w:ascii="Times New Roman" w:hAnsi="Times New Roman" w:eastAsia="仿宋_GB2312" w:cs="Times New Roman"/>
          <w:b w:val="0"/>
          <w:bCs w:val="0"/>
          <w:i w:val="0"/>
          <w:iCs w:val="0"/>
          <w:color w:val="000000"/>
          <w:sz w:val="32"/>
          <w:szCs w:val="32"/>
          <w:highlight w:val="none"/>
          <w:u w:val="none"/>
        </w:rPr>
      </w:pPr>
      <w:r>
        <w:rPr>
          <w:rFonts w:hint="default" w:ascii="Times New Roman" w:hAnsi="Times New Roman" w:eastAsia="仿宋_GB2312" w:cs="Times New Roman"/>
          <w:b/>
          <w:bCs/>
          <w:i w:val="0"/>
          <w:iCs w:val="0"/>
          <w:color w:val="000000"/>
          <w:kern w:val="0"/>
          <w:sz w:val="32"/>
          <w:szCs w:val="32"/>
          <w:highlight w:val="none"/>
          <w:u w:val="none"/>
          <w:shd w:val="clear" w:color="auto" w:fill="FFFFFF"/>
          <w:lang w:bidi="ar"/>
        </w:rPr>
        <w:t>第十七条</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 xml:space="preserve"> 本办法自发布之日起施行，</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eastAsia="zh-CN" w:bidi="ar"/>
        </w:rPr>
        <w:t>有效期</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en-US" w:eastAsia="zh-CN" w:bidi="ar"/>
        </w:rPr>
        <w:t>5年。</w:t>
      </w: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《湖南省财政厅 湖南省教育厅&lt;湖南省城乡义务教育补助经费管理办法&gt;的通知》（湘财教〔2021〕2号）同时废止。</w:t>
      </w:r>
    </w:p>
    <w:p>
      <w:pPr>
        <w:widowControl w:val="0"/>
        <w:shd w:val="clear" w:color="auto" w:fill="FFFFFF"/>
        <w:overflowPunct w:val="0"/>
        <w:spacing w:beforeLines="0" w:line="560" w:lineRule="exact"/>
        <w:ind w:firstLine="640" w:firstLineChars="200"/>
        <w:jc w:val="both"/>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pPr>
    </w:p>
    <w:p>
      <w:pPr>
        <w:widowControl w:val="0"/>
        <w:shd w:val="clear" w:color="auto" w:fill="FFFFFF"/>
        <w:overflowPunct w:val="0"/>
        <w:spacing w:beforeLines="0" w:line="560" w:lineRule="exact"/>
        <w:ind w:firstLine="640" w:firstLineChars="200"/>
        <w:jc w:val="both"/>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pPr>
      <w:r>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bidi="ar"/>
        </w:rPr>
        <w:t>附表：补助标准、分配因素和计算方法</w:t>
      </w:r>
    </w:p>
    <w:p>
      <w:pPr>
        <w:widowControl w:val="0"/>
        <w:shd w:val="clear" w:color="auto" w:fill="FFFFFF"/>
        <w:overflowPunct w:val="0"/>
        <w:spacing w:line="600" w:lineRule="exact"/>
        <w:jc w:val="left"/>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kern w:val="0"/>
          <w:sz w:val="32"/>
          <w:szCs w:val="32"/>
          <w:highlight w:val="none"/>
          <w:shd w:val="clear" w:color="auto" w:fill="FFFFFF"/>
          <w:lang w:bidi="ar"/>
        </w:rPr>
        <w:t>附表</w:t>
      </w:r>
    </w:p>
    <w:p>
      <w:pPr>
        <w:widowControl w:val="0"/>
        <w:shd w:val="clear" w:color="auto" w:fill="FFFFFF"/>
        <w:overflowPunct w:val="0"/>
        <w:spacing w:line="400" w:lineRule="exact"/>
        <w:jc w:val="center"/>
        <w:rPr>
          <w:rFonts w:hint="default" w:ascii="Times New Roman" w:hAnsi="Times New Roman" w:eastAsia="方正大标宋简体" w:cs="Times New Roman"/>
          <w:color w:val="000000"/>
          <w:kern w:val="0"/>
          <w:sz w:val="40"/>
          <w:szCs w:val="40"/>
          <w:highlight w:val="none"/>
          <w:u w:val="single" w:color="FFFFFF"/>
          <w:shd w:val="clear" w:color="auto" w:fill="FFFFFF"/>
          <w:lang w:bidi="ar"/>
        </w:rPr>
      </w:pPr>
    </w:p>
    <w:p>
      <w:pPr>
        <w:widowControl w:val="0"/>
        <w:shd w:val="clear" w:color="auto" w:fill="FFFFFF"/>
        <w:overflowPunct w:val="0"/>
        <w:spacing w:line="600" w:lineRule="exact"/>
        <w:jc w:val="center"/>
        <w:rPr>
          <w:rFonts w:hint="default" w:ascii="Times New Roman" w:hAnsi="Times New Roman" w:eastAsia="方正大标宋简体" w:cs="Times New Roman"/>
          <w:color w:val="000000"/>
          <w:kern w:val="0"/>
          <w:sz w:val="40"/>
          <w:szCs w:val="40"/>
          <w:highlight w:val="none"/>
          <w:u w:val="single" w:color="FFFFFF"/>
          <w:shd w:val="clear" w:color="auto" w:fill="FFFFFF"/>
          <w:lang w:bidi="ar"/>
        </w:rPr>
      </w:pPr>
      <w:r>
        <w:rPr>
          <w:rFonts w:hint="default" w:ascii="Times New Roman" w:hAnsi="Times New Roman" w:eastAsia="方正大标宋简体" w:cs="Times New Roman"/>
          <w:color w:val="000000"/>
          <w:kern w:val="0"/>
          <w:sz w:val="40"/>
          <w:szCs w:val="40"/>
          <w:highlight w:val="none"/>
          <w:u w:val="single" w:color="FFFFFF"/>
          <w:shd w:val="clear" w:color="auto" w:fill="FFFFFF"/>
          <w:lang w:bidi="ar"/>
        </w:rPr>
        <w:t>补助标准、分配因素和计算方法</w:t>
      </w:r>
    </w:p>
    <w:p>
      <w:pPr>
        <w:widowControl w:val="0"/>
        <w:shd w:val="clear" w:color="auto" w:fill="FFFFFF"/>
        <w:overflowPunct w:val="0"/>
        <w:spacing w:line="400" w:lineRule="exact"/>
        <w:jc w:val="center"/>
        <w:rPr>
          <w:rFonts w:hint="default" w:ascii="Times New Roman" w:hAnsi="Times New Roman" w:eastAsia="方正大标宋简体" w:cs="Times New Roman"/>
          <w:color w:val="000000"/>
          <w:kern w:val="0"/>
          <w:sz w:val="40"/>
          <w:szCs w:val="40"/>
          <w:highlight w:val="none"/>
          <w:u w:val="single" w:color="FFFFFF"/>
          <w:shd w:val="clear" w:color="auto" w:fill="FFFFFF"/>
          <w:lang w:bidi="ar"/>
        </w:rPr>
      </w:pPr>
    </w:p>
    <w:tbl>
      <w:tblPr>
        <w:tblStyle w:val="9"/>
        <w:tblpPr w:leftFromText="180" w:rightFromText="180" w:vertAnchor="text" w:tblpXSpec="center" w:tblpY="1"/>
        <w:tblOverlap w:val="never"/>
        <w:tblW w:w="971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12"/>
        <w:gridCol w:w="1198"/>
        <w:gridCol w:w="770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7" w:hRule="atLeast"/>
          <w:jc w:val="center"/>
        </w:trPr>
        <w:tc>
          <w:tcPr>
            <w:tcW w:w="2010" w:type="dxa"/>
            <w:gridSpan w:val="2"/>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spacing w:line="0" w:lineRule="atLeast"/>
              <w:jc w:val="center"/>
              <w:rPr>
                <w:rFonts w:hint="default" w:ascii="Times New Roman" w:hAnsi="Times New Roman" w:eastAsia="黑体" w:cs="Times New Roman"/>
                <w:b w:val="0"/>
                <w:bCs w:val="0"/>
                <w:color w:val="000000"/>
                <w:sz w:val="24"/>
                <w:szCs w:val="24"/>
                <w:highlight w:val="none"/>
              </w:rPr>
            </w:pPr>
            <w:r>
              <w:rPr>
                <w:rFonts w:hint="default" w:ascii="Times New Roman" w:hAnsi="Times New Roman" w:eastAsia="黑体" w:cs="Times New Roman"/>
                <w:b w:val="0"/>
                <w:bCs w:val="0"/>
                <w:color w:val="000000"/>
                <w:kern w:val="0"/>
                <w:sz w:val="24"/>
                <w:szCs w:val="24"/>
                <w:highlight w:val="none"/>
                <w:lang w:bidi="ar"/>
              </w:rPr>
              <w:t>项目</w:t>
            </w:r>
          </w:p>
        </w:tc>
        <w:tc>
          <w:tcPr>
            <w:tcW w:w="7708" w:type="dxa"/>
            <w:tcBorders>
              <w:top w:val="single" w:color="auto" w:sz="8" w:space="0"/>
              <w:left w:val="nil"/>
              <w:bottom w:val="single" w:color="auto" w:sz="8" w:space="0"/>
              <w:right w:val="single" w:color="auto" w:sz="8" w:space="0"/>
            </w:tcBorders>
            <w:noWrap w:val="0"/>
            <w:tcMar>
              <w:top w:w="0" w:type="dxa"/>
              <w:left w:w="0" w:type="dxa"/>
              <w:bottom w:w="0" w:type="dxa"/>
              <w:right w:w="0" w:type="dxa"/>
            </w:tcMar>
            <w:vAlign w:val="center"/>
          </w:tcPr>
          <w:p>
            <w:pPr>
              <w:widowControl/>
              <w:spacing w:line="0" w:lineRule="atLeast"/>
              <w:jc w:val="center"/>
              <w:rPr>
                <w:rFonts w:hint="default" w:ascii="Times New Roman" w:hAnsi="Times New Roman" w:eastAsia="黑体" w:cs="Times New Roman"/>
                <w:b w:val="0"/>
                <w:bCs w:val="0"/>
                <w:color w:val="000000"/>
                <w:sz w:val="24"/>
                <w:szCs w:val="24"/>
                <w:highlight w:val="none"/>
              </w:rPr>
            </w:pPr>
            <w:r>
              <w:rPr>
                <w:rFonts w:hint="default" w:ascii="Times New Roman" w:hAnsi="Times New Roman" w:eastAsia="黑体" w:cs="Times New Roman"/>
                <w:b w:val="0"/>
                <w:bCs w:val="0"/>
                <w:color w:val="000000"/>
                <w:kern w:val="0"/>
                <w:sz w:val="24"/>
                <w:szCs w:val="24"/>
                <w:highlight w:val="none"/>
                <w:lang w:bidi="ar"/>
              </w:rPr>
              <w:t>分配因素和计算方法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16"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城</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乡</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义</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务</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教</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育</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经</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费</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保</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障</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机</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制</w:t>
            </w:r>
          </w:p>
        </w:tc>
        <w:tc>
          <w:tcPr>
            <w:tcW w:w="1198" w:type="dxa"/>
            <w:tcBorders>
              <w:top w:val="nil"/>
              <w:left w:val="single" w:color="auto" w:sz="4" w:space="0"/>
              <w:bottom w:val="single" w:color="auto" w:sz="8" w:space="0"/>
              <w:right w:val="single" w:color="auto" w:sz="8" w:space="0"/>
            </w:tcBorders>
            <w:noWrap w:val="0"/>
            <w:tcMar>
              <w:top w:w="0" w:type="dxa"/>
              <w:left w:w="0" w:type="dxa"/>
              <w:bottom w:w="0" w:type="dxa"/>
              <w:right w:w="0" w:type="dxa"/>
            </w:tcMar>
            <w:vAlign w:val="center"/>
          </w:tcPr>
          <w:p>
            <w:pPr>
              <w:widowControl/>
              <w:spacing w:line="0" w:lineRule="atLeast"/>
              <w:jc w:val="center"/>
              <w:rPr>
                <w:rFonts w:hint="default" w:ascii="Times New Roman" w:hAnsi="Times New Roman" w:eastAsia="仿宋_GB2312" w:cs="Times New Roman"/>
                <w:color w:val="auto"/>
                <w:sz w:val="24"/>
                <w:szCs w:val="24"/>
                <w:highlight w:val="none"/>
                <w:u w:val="single" w:color="FFFFFF"/>
              </w:rPr>
            </w:pPr>
            <w:r>
              <w:rPr>
                <w:rFonts w:hint="default" w:ascii="Times New Roman" w:hAnsi="Times New Roman" w:eastAsia="仿宋_GB2312" w:cs="Times New Roman"/>
                <w:color w:val="auto"/>
                <w:kern w:val="0"/>
                <w:sz w:val="24"/>
                <w:szCs w:val="24"/>
                <w:highlight w:val="none"/>
                <w:u w:val="single" w:color="FFFFFF"/>
                <w:lang w:bidi="ar"/>
              </w:rPr>
              <w:t>公用经费补助</w:t>
            </w:r>
          </w:p>
        </w:tc>
        <w:tc>
          <w:tcPr>
            <w:tcW w:w="7708" w:type="dxa"/>
            <w:tcBorders>
              <w:top w:val="single" w:color="auto" w:sz="8" w:space="0"/>
              <w:left w:val="nil"/>
              <w:bottom w:val="single" w:color="auto" w:sz="8" w:space="0"/>
              <w:right w:val="single" w:color="auto" w:sz="8" w:space="0"/>
            </w:tcBorders>
            <w:noWrap w:val="0"/>
            <w:tcMar>
              <w:top w:w="0" w:type="dxa"/>
              <w:left w:w="0" w:type="dxa"/>
              <w:bottom w:w="0" w:type="dxa"/>
              <w:right w:w="0" w:type="dxa"/>
            </w:tcMar>
            <w:vAlign w:val="center"/>
          </w:tcPr>
          <w:p>
            <w:pPr>
              <w:widowControl/>
              <w:spacing w:line="0" w:lineRule="atLeast"/>
              <w:jc w:val="left"/>
              <w:rPr>
                <w:rFonts w:hint="default" w:ascii="Times New Roman" w:hAnsi="Times New Roman" w:eastAsia="仿宋_GB2312" w:cs="Times New Roman"/>
                <w:color w:val="auto"/>
                <w:kern w:val="0"/>
                <w:sz w:val="24"/>
                <w:szCs w:val="24"/>
                <w:highlight w:val="none"/>
                <w:u w:val="single" w:color="FFFFFF"/>
                <w:lang w:bidi="ar"/>
              </w:rPr>
            </w:pPr>
            <w:r>
              <w:rPr>
                <w:rFonts w:hint="default" w:ascii="Times New Roman" w:hAnsi="Times New Roman" w:eastAsia="仿宋_GB2312" w:cs="Times New Roman"/>
                <w:color w:val="auto"/>
                <w:kern w:val="0"/>
                <w:sz w:val="24"/>
                <w:szCs w:val="24"/>
                <w:highlight w:val="none"/>
                <w:u w:val="single" w:color="FFFFFF"/>
                <w:lang w:bidi="ar"/>
              </w:rPr>
              <w:t>按照在校生数、补助标准和分配系数计算。生均公用经费基准定额为</w:t>
            </w:r>
            <w:r>
              <w:rPr>
                <w:rFonts w:hint="default" w:ascii="Times New Roman" w:hAnsi="Times New Roman" w:eastAsia="仿宋_GB2312" w:cs="Times New Roman"/>
                <w:b w:val="0"/>
                <w:bCs w:val="0"/>
                <w:color w:val="auto"/>
                <w:kern w:val="0"/>
                <w:sz w:val="24"/>
                <w:szCs w:val="24"/>
                <w:highlight w:val="none"/>
                <w:u w:val="none" w:color="auto"/>
                <w:lang w:bidi="ar"/>
              </w:rPr>
              <w:t>小学每生每年720元、初中每生每年940元</w:t>
            </w:r>
            <w:r>
              <w:rPr>
                <w:rFonts w:hint="default" w:ascii="Times New Roman" w:hAnsi="Times New Roman" w:eastAsia="仿宋_GB2312" w:cs="Times New Roman"/>
                <w:color w:val="auto"/>
                <w:kern w:val="0"/>
                <w:sz w:val="24"/>
                <w:szCs w:val="24"/>
                <w:highlight w:val="none"/>
                <w:u w:val="single" w:color="FFFFFF"/>
                <w:lang w:bidi="ar"/>
              </w:rPr>
              <w:t>；在此基础上，对寄宿制学校按照寄宿生年生均</w:t>
            </w:r>
            <w:r>
              <w:rPr>
                <w:rFonts w:hint="default" w:ascii="Times New Roman" w:hAnsi="Times New Roman" w:eastAsia="仿宋_GB2312" w:cs="Times New Roman"/>
                <w:b w:val="0"/>
                <w:bCs w:val="0"/>
                <w:color w:val="auto"/>
                <w:kern w:val="0"/>
                <w:sz w:val="24"/>
                <w:szCs w:val="24"/>
                <w:highlight w:val="none"/>
                <w:u w:val="none" w:color="auto"/>
                <w:lang w:bidi="ar"/>
              </w:rPr>
              <w:t>400</w:t>
            </w:r>
            <w:r>
              <w:rPr>
                <w:rFonts w:hint="default" w:ascii="Times New Roman" w:hAnsi="Times New Roman" w:eastAsia="仿宋_GB2312" w:cs="Times New Roman"/>
                <w:b w:val="0"/>
                <w:bCs w:val="0"/>
                <w:color w:val="auto"/>
                <w:kern w:val="0"/>
                <w:sz w:val="24"/>
                <w:szCs w:val="24"/>
                <w:highlight w:val="none"/>
                <w:u w:val="single" w:color="FFFFFF"/>
                <w:lang w:bidi="ar"/>
              </w:rPr>
              <w:t>元</w:t>
            </w:r>
            <w:r>
              <w:rPr>
                <w:rFonts w:hint="default" w:ascii="Times New Roman" w:hAnsi="Times New Roman" w:eastAsia="仿宋_GB2312" w:cs="Times New Roman"/>
                <w:color w:val="auto"/>
                <w:kern w:val="0"/>
                <w:sz w:val="24"/>
                <w:szCs w:val="24"/>
                <w:highlight w:val="none"/>
                <w:u w:val="single" w:color="FFFFFF"/>
                <w:lang w:bidi="ar"/>
              </w:rPr>
              <w:t>标准增加公用经费补助</w:t>
            </w:r>
            <w:r>
              <w:rPr>
                <w:rFonts w:hint="eastAsia" w:ascii="Times New Roman" w:hAnsi="Times New Roman" w:eastAsia="仿宋_GB2312" w:cs="Times New Roman"/>
                <w:color w:val="auto"/>
                <w:kern w:val="0"/>
                <w:sz w:val="24"/>
                <w:szCs w:val="24"/>
                <w:highlight w:val="none"/>
                <w:u w:val="single" w:color="FFFFFF"/>
                <w:lang w:eastAsia="zh-CN" w:bidi="ar"/>
              </w:rPr>
              <w:t>；</w:t>
            </w:r>
            <w:r>
              <w:rPr>
                <w:rFonts w:hint="default" w:ascii="Times New Roman" w:hAnsi="Times New Roman" w:eastAsia="仿宋_GB2312" w:cs="Times New Roman"/>
                <w:color w:val="auto"/>
                <w:kern w:val="0"/>
                <w:sz w:val="24"/>
                <w:szCs w:val="24"/>
                <w:highlight w:val="none"/>
                <w:u w:val="single" w:color="FFFFFF"/>
                <w:lang w:bidi="ar"/>
              </w:rPr>
              <w:t>继续落实农村地区不足100人的规模较小学校按100人核定公用经费政策；特殊教育学校和随班就读残疾学生按每生每年</w:t>
            </w:r>
            <w:r>
              <w:rPr>
                <w:rFonts w:hint="default" w:ascii="Times New Roman" w:hAnsi="Times New Roman" w:eastAsia="仿宋_GB2312" w:cs="Times New Roman"/>
                <w:b w:val="0"/>
                <w:bCs w:val="0"/>
                <w:color w:val="auto"/>
                <w:kern w:val="0"/>
                <w:sz w:val="24"/>
                <w:szCs w:val="24"/>
                <w:highlight w:val="none"/>
                <w:u w:val="none" w:color="auto"/>
                <w:lang w:bidi="ar"/>
              </w:rPr>
              <w:t>7000</w:t>
            </w:r>
            <w:r>
              <w:rPr>
                <w:rFonts w:hint="default" w:ascii="Times New Roman" w:hAnsi="Times New Roman" w:eastAsia="仿宋_GB2312" w:cs="Times New Roman"/>
                <w:b w:val="0"/>
                <w:bCs w:val="0"/>
                <w:color w:val="auto"/>
                <w:kern w:val="0"/>
                <w:sz w:val="24"/>
                <w:szCs w:val="24"/>
                <w:highlight w:val="none"/>
                <w:u w:val="single" w:color="FFFFFF"/>
                <w:lang w:bidi="ar"/>
              </w:rPr>
              <w:t>元</w:t>
            </w:r>
            <w:r>
              <w:rPr>
                <w:rFonts w:hint="default" w:ascii="Times New Roman" w:hAnsi="Times New Roman" w:eastAsia="仿宋_GB2312" w:cs="Times New Roman"/>
                <w:color w:val="auto"/>
                <w:kern w:val="0"/>
                <w:sz w:val="24"/>
                <w:szCs w:val="24"/>
                <w:highlight w:val="none"/>
                <w:u w:val="single" w:color="FFFFFF"/>
                <w:lang w:bidi="ar"/>
              </w:rPr>
              <w:t>标准补助。</w:t>
            </w:r>
          </w:p>
          <w:p>
            <w:pPr>
              <w:widowControl/>
              <w:spacing w:line="0" w:lineRule="atLeast"/>
              <w:jc w:val="left"/>
              <w:rPr>
                <w:rFonts w:hint="default" w:ascii="Times New Roman" w:hAnsi="Times New Roman" w:eastAsia="仿宋_GB2312" w:cs="Times New Roman"/>
                <w:color w:val="auto"/>
                <w:kern w:val="0"/>
                <w:sz w:val="24"/>
                <w:szCs w:val="24"/>
                <w:highlight w:val="none"/>
                <w:u w:val="single" w:color="FFFFFF"/>
                <w:lang w:bidi="ar"/>
              </w:rPr>
            </w:pPr>
            <w:r>
              <w:rPr>
                <w:rFonts w:hint="default" w:ascii="Times New Roman" w:hAnsi="Times New Roman" w:eastAsia="仿宋_GB2312" w:cs="Times New Roman"/>
                <w:color w:val="auto"/>
                <w:kern w:val="0"/>
                <w:sz w:val="24"/>
                <w:szCs w:val="24"/>
                <w:highlight w:val="none"/>
                <w:u w:val="single" w:color="FFFFFF"/>
                <w:lang w:bidi="ar"/>
              </w:rPr>
              <w:t>分配系数：享受或比照享受西部政策地区中央分担80%、地方分担20%；其他地区中央分担60%、地方分担40%（寄宿生公用经费补助提标部分由省与市县财政承担）。地方分担部分，根据</w:t>
            </w:r>
            <w:r>
              <w:rPr>
                <w:rFonts w:hint="default" w:ascii="Times New Roman" w:hAnsi="Times New Roman" w:eastAsia="仿宋_GB2312" w:cs="Times New Roman"/>
                <w:color w:val="auto"/>
                <w:kern w:val="0"/>
                <w:sz w:val="24"/>
                <w:szCs w:val="24"/>
                <w:highlight w:val="none"/>
                <w:u w:val="single" w:color="FFFFFF"/>
                <w:lang w:bidi="ar"/>
              </w:rPr>
              <w:t>《</w:t>
            </w:r>
            <w:r>
              <w:rPr>
                <w:rFonts w:hint="eastAsia" w:ascii="Times New Roman" w:hAnsi="Times New Roman" w:eastAsia="仿宋_GB2312" w:cs="Times New Roman"/>
                <w:color w:val="auto"/>
                <w:kern w:val="0"/>
                <w:sz w:val="24"/>
                <w:szCs w:val="24"/>
                <w:highlight w:val="none"/>
                <w:u w:val="single" w:color="FFFFFF"/>
                <w:lang w:eastAsia="zh-CN" w:bidi="ar"/>
              </w:rPr>
              <w:t>湖南省人民政府办公厅关于印发</w:t>
            </w:r>
            <w:r>
              <w:rPr>
                <w:rFonts w:hint="eastAsia" w:ascii="Times New Roman" w:hAnsi="Times New Roman" w:eastAsia="仿宋_GB2312" w:cs="Times New Roman"/>
                <w:color w:val="auto"/>
                <w:kern w:val="0"/>
                <w:sz w:val="24"/>
                <w:szCs w:val="24"/>
                <w:highlight w:val="none"/>
                <w:u w:val="single" w:color="FFFFFF"/>
                <w:lang w:val="en-US" w:eastAsia="zh-CN" w:bidi="ar"/>
              </w:rPr>
              <w:t>&lt;</w:t>
            </w:r>
            <w:r>
              <w:rPr>
                <w:rFonts w:hint="default" w:ascii="Times New Roman" w:hAnsi="Times New Roman" w:eastAsia="仿宋_GB2312" w:cs="Times New Roman"/>
                <w:color w:val="auto"/>
                <w:kern w:val="0"/>
                <w:sz w:val="24"/>
                <w:szCs w:val="24"/>
                <w:highlight w:val="none"/>
                <w:u w:val="single" w:color="FFFFFF"/>
                <w:lang w:bidi="ar"/>
              </w:rPr>
              <w:t>教育领域省与市县财政事权和支出责任划分改革实施方案</w:t>
            </w:r>
            <w:r>
              <w:rPr>
                <w:rFonts w:hint="eastAsia" w:ascii="Times New Roman" w:hAnsi="Times New Roman" w:eastAsia="仿宋_GB2312" w:cs="Times New Roman"/>
                <w:color w:val="auto"/>
                <w:kern w:val="0"/>
                <w:sz w:val="24"/>
                <w:szCs w:val="24"/>
                <w:highlight w:val="none"/>
                <w:u w:val="single" w:color="FFFFFF"/>
                <w:lang w:val="en-US" w:eastAsia="zh-CN" w:bidi="ar"/>
              </w:rPr>
              <w:t>&gt;的通知</w:t>
            </w:r>
            <w:r>
              <w:rPr>
                <w:rFonts w:hint="default" w:ascii="Times New Roman" w:hAnsi="Times New Roman" w:eastAsia="仿宋_GB2312" w:cs="Times New Roman"/>
                <w:color w:val="auto"/>
                <w:kern w:val="0"/>
                <w:sz w:val="24"/>
                <w:szCs w:val="24"/>
                <w:highlight w:val="none"/>
                <w:u w:val="single" w:color="FFFFFF"/>
                <w:lang w:bidi="ar"/>
              </w:rPr>
              <w:t>》（湘政办发〔2020〕15号）明确的市县统一分类分档情况，由省与市县按统一比例分担。</w:t>
            </w:r>
          </w:p>
          <w:p>
            <w:pPr>
              <w:widowControl/>
              <w:spacing w:line="0" w:lineRule="atLeast"/>
              <w:jc w:val="left"/>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kern w:val="0"/>
                <w:sz w:val="24"/>
                <w:szCs w:val="24"/>
                <w:highlight w:val="none"/>
                <w:u w:val="single" w:color="FFFFFF"/>
                <w:lang w:bidi="ar"/>
              </w:rPr>
              <w:t>计算方法：补助经费=[在校生数×（生均公用经费基准定额）+（寄宿生数</w:t>
            </w:r>
            <w:r>
              <w:rPr>
                <w:rFonts w:hint="default" w:ascii="Times New Roman" w:hAnsi="Times New Roman" w:eastAsia="仿宋_GB2312" w:cs="Times New Roman"/>
                <w:color w:val="auto"/>
                <w:spacing w:val="-6"/>
                <w:kern w:val="0"/>
                <w:sz w:val="24"/>
                <w:szCs w:val="24"/>
                <w:highlight w:val="none"/>
                <w:u w:val="single" w:color="FFFFFF"/>
                <w:lang w:bidi="ar"/>
              </w:rPr>
              <w:t>×</w:t>
            </w:r>
            <w:r>
              <w:rPr>
                <w:rFonts w:hint="default" w:ascii="Times New Roman" w:hAnsi="Times New Roman" w:eastAsia="仿宋_GB2312" w:cs="Times New Roman"/>
                <w:b w:val="0"/>
                <w:bCs w:val="0"/>
                <w:color w:val="auto"/>
                <w:spacing w:val="-6"/>
                <w:kern w:val="0"/>
                <w:sz w:val="24"/>
                <w:szCs w:val="24"/>
                <w:highlight w:val="none"/>
                <w:u w:val="none" w:color="auto"/>
                <w:lang w:bidi="ar"/>
              </w:rPr>
              <w:t>400元/年•人</w:t>
            </w:r>
            <w:r>
              <w:rPr>
                <w:rFonts w:hint="default" w:ascii="Times New Roman" w:hAnsi="Times New Roman" w:eastAsia="仿宋_GB2312" w:cs="Times New Roman"/>
                <w:color w:val="auto"/>
                <w:spacing w:val="-6"/>
                <w:kern w:val="0"/>
                <w:sz w:val="24"/>
                <w:szCs w:val="24"/>
                <w:highlight w:val="none"/>
                <w:u w:val="single" w:color="FFFFFF"/>
                <w:lang w:bidi="ar"/>
              </w:rPr>
              <w:t>）+（</w:t>
            </w:r>
            <w:r>
              <w:rPr>
                <w:rFonts w:hint="default" w:ascii="Times New Roman" w:hAnsi="Times New Roman" w:eastAsia="仿宋_GB2312" w:cs="Times New Roman"/>
                <w:color w:val="auto"/>
                <w:spacing w:val="-6"/>
                <w:kern w:val="0"/>
                <w:sz w:val="24"/>
                <w:szCs w:val="24"/>
                <w:highlight w:val="none"/>
                <w:u w:val="none" w:color="auto"/>
                <w:lang w:bidi="ar"/>
              </w:rPr>
              <w:t>残疾学生数×</w:t>
            </w:r>
            <w:r>
              <w:rPr>
                <w:rFonts w:hint="default" w:ascii="Times New Roman" w:hAnsi="Times New Roman" w:eastAsia="仿宋_GB2312" w:cs="Times New Roman"/>
                <w:b w:val="0"/>
                <w:bCs w:val="0"/>
                <w:color w:val="auto"/>
                <w:spacing w:val="-6"/>
                <w:kern w:val="0"/>
                <w:sz w:val="24"/>
                <w:szCs w:val="24"/>
                <w:highlight w:val="none"/>
                <w:u w:val="none" w:color="auto"/>
                <w:lang w:bidi="ar"/>
              </w:rPr>
              <w:t>7000元/年•人</w:t>
            </w:r>
            <w:r>
              <w:rPr>
                <w:rFonts w:hint="default" w:ascii="Times New Roman" w:hAnsi="Times New Roman" w:eastAsia="仿宋_GB2312" w:cs="Times New Roman"/>
                <w:color w:val="auto"/>
                <w:spacing w:val="-6"/>
                <w:kern w:val="0"/>
                <w:sz w:val="24"/>
                <w:szCs w:val="24"/>
                <w:highlight w:val="none"/>
                <w:u w:val="none" w:color="auto"/>
                <w:lang w:bidi="ar"/>
              </w:rPr>
              <w:t>）</w:t>
            </w:r>
            <w:r>
              <w:rPr>
                <w:rFonts w:hint="default" w:ascii="Times New Roman" w:hAnsi="Times New Roman" w:eastAsia="仿宋_GB2312" w:cs="Times New Roman"/>
                <w:color w:val="auto"/>
                <w:spacing w:val="-6"/>
                <w:kern w:val="0"/>
                <w:sz w:val="24"/>
                <w:szCs w:val="24"/>
                <w:highlight w:val="none"/>
                <w:u w:val="single" w:color="FFFFFF"/>
                <w:lang w:bidi="ar"/>
              </w:rPr>
              <w:t>+（农村不足100人的规模较小学校数×100-规模较小学校在校生数）×生均公用经费基准定额]×分配系数。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2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0" w:lineRule="atLeast"/>
              <w:rPr>
                <w:rFonts w:hint="default" w:ascii="Times New Roman" w:hAnsi="Times New Roman" w:eastAsia="仿宋_GB2312" w:cs="Times New Roman"/>
                <w:color w:val="auto"/>
                <w:sz w:val="24"/>
                <w:szCs w:val="24"/>
                <w:highlight w:val="none"/>
              </w:rPr>
            </w:pPr>
          </w:p>
        </w:tc>
        <w:tc>
          <w:tcPr>
            <w:tcW w:w="1198" w:type="dxa"/>
            <w:tcBorders>
              <w:top w:val="nil"/>
              <w:left w:val="single" w:color="auto" w:sz="4" w:space="0"/>
              <w:bottom w:val="single" w:color="auto" w:sz="4" w:space="0"/>
              <w:right w:val="single" w:color="auto" w:sz="8" w:space="0"/>
            </w:tcBorders>
            <w:noWrap w:val="0"/>
            <w:tcMar>
              <w:top w:w="0" w:type="dxa"/>
              <w:left w:w="0" w:type="dxa"/>
              <w:bottom w:w="0" w:type="dxa"/>
              <w:right w:w="0" w:type="dxa"/>
            </w:tcMar>
            <w:vAlign w:val="center"/>
          </w:tcPr>
          <w:p>
            <w:pPr>
              <w:widowControl/>
              <w:spacing w:line="0" w:lineRule="atLeast"/>
              <w:jc w:val="center"/>
              <w:rPr>
                <w:rFonts w:hint="default" w:ascii="Times New Roman" w:hAnsi="Times New Roman" w:eastAsia="仿宋_GB2312" w:cs="Times New Roman"/>
                <w:color w:val="auto"/>
                <w:sz w:val="24"/>
                <w:szCs w:val="24"/>
                <w:highlight w:val="none"/>
                <w:u w:val="single" w:color="FFFFFF"/>
              </w:rPr>
            </w:pPr>
            <w:r>
              <w:rPr>
                <w:rFonts w:hint="default" w:ascii="Times New Roman" w:hAnsi="Times New Roman" w:eastAsia="仿宋_GB2312" w:cs="Times New Roman"/>
                <w:color w:val="auto"/>
                <w:kern w:val="0"/>
                <w:sz w:val="24"/>
                <w:szCs w:val="24"/>
                <w:highlight w:val="none"/>
                <w:u w:val="single" w:color="FFFFFF"/>
                <w:lang w:bidi="ar"/>
              </w:rPr>
              <w:t>国家和省规定课程免费教科书（含字典）补助</w:t>
            </w:r>
          </w:p>
        </w:tc>
        <w:tc>
          <w:tcPr>
            <w:tcW w:w="7708" w:type="dxa"/>
            <w:tcBorders>
              <w:top w:val="nil"/>
              <w:left w:val="nil"/>
              <w:bottom w:val="single" w:color="auto" w:sz="4" w:space="0"/>
              <w:right w:val="single" w:color="auto" w:sz="8" w:space="0"/>
            </w:tcBorders>
            <w:noWrap w:val="0"/>
            <w:tcMar>
              <w:top w:w="0" w:type="dxa"/>
              <w:left w:w="0" w:type="dxa"/>
              <w:bottom w:w="0" w:type="dxa"/>
              <w:right w:w="0" w:type="dxa"/>
            </w:tcMar>
            <w:vAlign w:val="center"/>
          </w:tcPr>
          <w:p>
            <w:pPr>
              <w:widowControl/>
              <w:spacing w:line="0" w:lineRule="atLeast"/>
              <w:jc w:val="left"/>
              <w:rPr>
                <w:rFonts w:hint="default" w:ascii="Times New Roman" w:hAnsi="Times New Roman" w:eastAsia="仿宋_GB2312" w:cs="Times New Roman"/>
                <w:color w:val="auto"/>
                <w:kern w:val="0"/>
                <w:sz w:val="24"/>
                <w:szCs w:val="24"/>
                <w:highlight w:val="none"/>
                <w:u w:val="single" w:color="FFFFFF"/>
                <w:lang w:bidi="ar"/>
              </w:rPr>
            </w:pPr>
            <w:r>
              <w:rPr>
                <w:rFonts w:hint="default" w:ascii="Times New Roman" w:hAnsi="Times New Roman" w:eastAsia="仿宋_GB2312" w:cs="Times New Roman"/>
                <w:color w:val="auto"/>
                <w:kern w:val="0"/>
                <w:sz w:val="24"/>
                <w:szCs w:val="24"/>
                <w:highlight w:val="none"/>
                <w:u w:val="single" w:color="FFFFFF"/>
                <w:lang w:bidi="ar"/>
              </w:rPr>
              <w:t>国家规定课程免费教科书，按照在校生数、国家基础标准和循环比例计算。国家现行基础标准为：小学105元/年•人，循环比例为</w:t>
            </w:r>
            <w:r>
              <w:rPr>
                <w:rFonts w:hint="default" w:ascii="Times New Roman" w:hAnsi="Times New Roman" w:eastAsia="仿宋_GB2312" w:cs="Times New Roman"/>
                <w:color w:val="auto"/>
                <w:kern w:val="0"/>
                <w:sz w:val="24"/>
                <w:szCs w:val="24"/>
                <w:highlight w:val="none"/>
                <w:u w:val="single" w:color="FFFFFF"/>
                <w:lang w:bidi="ar"/>
              </w:rPr>
              <w:t>75%+25%×</w:t>
            </w:r>
            <w:r>
              <w:rPr>
                <w:rFonts w:hint="default" w:ascii="Times New Roman" w:hAnsi="Times New Roman" w:eastAsia="仿宋_GB2312" w:cs="Times New Roman"/>
                <w:b w:val="0"/>
                <w:bCs w:val="0"/>
                <w:color w:val="auto"/>
                <w:kern w:val="0"/>
                <w:sz w:val="24"/>
                <w:szCs w:val="24"/>
                <w:highlight w:val="none"/>
                <w:u w:val="none" w:color="auto"/>
                <w:lang w:bidi="ar"/>
              </w:rPr>
              <w:t>50%</w:t>
            </w:r>
            <w:r>
              <w:rPr>
                <w:rFonts w:hint="default" w:ascii="Times New Roman" w:hAnsi="Times New Roman" w:eastAsia="仿宋_GB2312" w:cs="Times New Roman"/>
                <w:color w:val="auto"/>
                <w:kern w:val="0"/>
                <w:sz w:val="24"/>
                <w:szCs w:val="24"/>
                <w:highlight w:val="none"/>
                <w:u w:val="single" w:color="FFFFFF"/>
                <w:lang w:bidi="ar"/>
              </w:rPr>
              <w:t>；初</w:t>
            </w:r>
            <w:r>
              <w:rPr>
                <w:rFonts w:hint="default" w:ascii="Times New Roman" w:hAnsi="Times New Roman" w:eastAsia="仿宋_GB2312" w:cs="Times New Roman"/>
                <w:color w:val="auto"/>
                <w:spacing w:val="-6"/>
                <w:kern w:val="0"/>
                <w:sz w:val="24"/>
                <w:szCs w:val="24"/>
                <w:highlight w:val="none"/>
                <w:u w:val="single" w:color="FFFFFF"/>
                <w:lang w:bidi="ar"/>
              </w:rPr>
              <w:t>中180元/年•人，循环比例为80%+20%×</w:t>
            </w:r>
            <w:r>
              <w:rPr>
                <w:rFonts w:hint="default" w:ascii="Times New Roman" w:hAnsi="Times New Roman" w:eastAsia="仿宋_GB2312" w:cs="Times New Roman"/>
                <w:b w:val="0"/>
                <w:bCs w:val="0"/>
                <w:color w:val="auto"/>
                <w:spacing w:val="-6"/>
                <w:kern w:val="0"/>
                <w:sz w:val="24"/>
                <w:szCs w:val="24"/>
                <w:highlight w:val="none"/>
                <w:u w:val="none" w:color="auto"/>
                <w:lang w:bidi="ar"/>
              </w:rPr>
              <w:t>50%</w:t>
            </w:r>
            <w:r>
              <w:rPr>
                <w:rFonts w:hint="default" w:ascii="Times New Roman" w:hAnsi="Times New Roman" w:eastAsia="仿宋_GB2312" w:cs="Times New Roman"/>
                <w:color w:val="auto"/>
                <w:spacing w:val="-6"/>
                <w:kern w:val="0"/>
                <w:sz w:val="24"/>
                <w:szCs w:val="24"/>
                <w:highlight w:val="none"/>
                <w:u w:val="single" w:color="FFFFFF"/>
                <w:lang w:bidi="ar"/>
              </w:rPr>
              <w:t>；小学一年级字典14元/年•人。</w:t>
            </w:r>
          </w:p>
          <w:p>
            <w:pPr>
              <w:widowControl/>
              <w:spacing w:line="0" w:lineRule="atLeast"/>
              <w:jc w:val="left"/>
              <w:rPr>
                <w:rFonts w:hint="default" w:ascii="Times New Roman" w:hAnsi="Times New Roman" w:eastAsia="仿宋_GB2312" w:cs="Times New Roman"/>
                <w:color w:val="auto"/>
                <w:sz w:val="24"/>
                <w:szCs w:val="24"/>
                <w:highlight w:val="none"/>
                <w:u w:val="single" w:color="FFFFFF"/>
              </w:rPr>
            </w:pPr>
            <w:r>
              <w:rPr>
                <w:rFonts w:hint="default" w:ascii="Times New Roman" w:hAnsi="Times New Roman" w:eastAsia="仿宋_GB2312" w:cs="Times New Roman"/>
                <w:color w:val="auto"/>
                <w:kern w:val="0"/>
                <w:sz w:val="24"/>
                <w:szCs w:val="24"/>
                <w:highlight w:val="none"/>
                <w:u w:val="single" w:color="FFFFFF"/>
                <w:lang w:bidi="ar"/>
              </w:rPr>
              <w:t>计算方法：补助经费=小学在校生数×105元/年•人×</w:t>
            </w:r>
            <w:r>
              <w:rPr>
                <w:rFonts w:hint="eastAsia" w:ascii="Times New Roman" w:hAnsi="Times New Roman" w:eastAsia="仿宋_GB2312" w:cs="Times New Roman"/>
                <w:color w:val="auto"/>
                <w:kern w:val="0"/>
                <w:sz w:val="24"/>
                <w:szCs w:val="24"/>
                <w:highlight w:val="none"/>
                <w:u w:val="single" w:color="FFFFFF"/>
                <w:lang w:eastAsia="zh-CN" w:bidi="ar"/>
              </w:rPr>
              <w:t>（</w:t>
            </w:r>
            <w:r>
              <w:rPr>
                <w:rFonts w:hint="default" w:ascii="Times New Roman" w:hAnsi="Times New Roman" w:eastAsia="仿宋_GB2312" w:cs="Times New Roman"/>
                <w:color w:val="auto"/>
                <w:kern w:val="0"/>
                <w:sz w:val="24"/>
                <w:szCs w:val="24"/>
                <w:highlight w:val="none"/>
                <w:u w:val="single" w:color="FFFFFF"/>
                <w:lang w:bidi="ar"/>
              </w:rPr>
              <w:t>75%+25%×</w:t>
            </w:r>
            <w:r>
              <w:rPr>
                <w:rFonts w:hint="default" w:ascii="Times New Roman" w:hAnsi="Times New Roman" w:eastAsia="仿宋_GB2312" w:cs="Times New Roman"/>
                <w:b w:val="0"/>
                <w:bCs w:val="0"/>
                <w:color w:val="auto"/>
                <w:kern w:val="0"/>
                <w:sz w:val="24"/>
                <w:szCs w:val="24"/>
                <w:highlight w:val="none"/>
                <w:u w:val="none" w:color="auto"/>
                <w:lang w:bidi="ar"/>
              </w:rPr>
              <w:t>50%</w:t>
            </w:r>
            <w:r>
              <w:rPr>
                <w:rFonts w:hint="eastAsia" w:ascii="Times New Roman" w:hAnsi="Times New Roman" w:eastAsia="仿宋_GB2312" w:cs="Times New Roman"/>
                <w:color w:val="auto"/>
                <w:kern w:val="0"/>
                <w:sz w:val="24"/>
                <w:szCs w:val="24"/>
                <w:highlight w:val="none"/>
                <w:u w:val="single" w:color="FFFFFF"/>
                <w:lang w:eastAsia="zh-CN" w:bidi="ar"/>
              </w:rPr>
              <w:t>）</w:t>
            </w:r>
            <w:r>
              <w:rPr>
                <w:rFonts w:hint="default" w:ascii="Times New Roman" w:hAnsi="Times New Roman" w:eastAsia="仿宋_GB2312" w:cs="Times New Roman"/>
                <w:color w:val="auto"/>
                <w:kern w:val="0"/>
                <w:sz w:val="24"/>
                <w:szCs w:val="24"/>
                <w:highlight w:val="none"/>
                <w:u w:val="single" w:color="FFFFFF"/>
                <w:lang w:bidi="ar"/>
              </w:rPr>
              <w:t>+初中在校生数×180元/年•人×</w:t>
            </w:r>
            <w:r>
              <w:rPr>
                <w:rFonts w:hint="eastAsia" w:ascii="Times New Roman" w:hAnsi="Times New Roman" w:eastAsia="仿宋_GB2312" w:cs="Times New Roman"/>
                <w:color w:val="auto"/>
                <w:kern w:val="0"/>
                <w:sz w:val="24"/>
                <w:szCs w:val="24"/>
                <w:highlight w:val="none"/>
                <w:u w:val="single" w:color="FFFFFF"/>
                <w:lang w:eastAsia="zh-CN" w:bidi="ar"/>
              </w:rPr>
              <w:t>（</w:t>
            </w:r>
            <w:r>
              <w:rPr>
                <w:rFonts w:hint="default" w:ascii="Times New Roman" w:hAnsi="Times New Roman" w:eastAsia="仿宋_GB2312" w:cs="Times New Roman"/>
                <w:color w:val="auto"/>
                <w:kern w:val="0"/>
                <w:sz w:val="24"/>
                <w:szCs w:val="24"/>
                <w:highlight w:val="none"/>
                <w:u w:val="single" w:color="FFFFFF"/>
                <w:lang w:bidi="ar"/>
              </w:rPr>
              <w:t>80%+20%×</w:t>
            </w:r>
            <w:r>
              <w:rPr>
                <w:rFonts w:hint="default" w:ascii="Times New Roman" w:hAnsi="Times New Roman" w:eastAsia="仿宋_GB2312" w:cs="Times New Roman"/>
                <w:b w:val="0"/>
                <w:bCs w:val="0"/>
                <w:color w:val="auto"/>
                <w:kern w:val="0"/>
                <w:sz w:val="24"/>
                <w:szCs w:val="24"/>
                <w:highlight w:val="none"/>
                <w:u w:val="none" w:color="auto"/>
                <w:lang w:bidi="ar"/>
              </w:rPr>
              <w:t>50%</w:t>
            </w:r>
            <w:r>
              <w:rPr>
                <w:rFonts w:hint="eastAsia" w:ascii="Times New Roman" w:hAnsi="Times New Roman" w:eastAsia="仿宋_GB2312" w:cs="Times New Roman"/>
                <w:color w:val="auto"/>
                <w:kern w:val="0"/>
                <w:sz w:val="24"/>
                <w:szCs w:val="24"/>
                <w:highlight w:val="none"/>
                <w:u w:val="single" w:color="FFFFFF"/>
                <w:lang w:eastAsia="zh-CN" w:bidi="ar"/>
              </w:rPr>
              <w:t>）</w:t>
            </w:r>
            <w:r>
              <w:rPr>
                <w:rFonts w:hint="default" w:ascii="Times New Roman" w:hAnsi="Times New Roman" w:eastAsia="仿宋_GB2312" w:cs="Times New Roman"/>
                <w:color w:val="auto"/>
                <w:kern w:val="0"/>
                <w:sz w:val="24"/>
                <w:szCs w:val="24"/>
                <w:highlight w:val="none"/>
                <w:u w:val="single" w:color="FFFFFF"/>
                <w:lang w:bidi="ar"/>
              </w:rPr>
              <w:t>+</w:t>
            </w:r>
            <w:r>
              <w:rPr>
                <w:rFonts w:hint="eastAsia" w:ascii="Times New Roman" w:hAnsi="Times New Roman" w:eastAsia="仿宋_GB2312" w:cs="Times New Roman"/>
                <w:color w:val="auto"/>
                <w:kern w:val="0"/>
                <w:sz w:val="24"/>
                <w:szCs w:val="24"/>
                <w:highlight w:val="none"/>
                <w:u w:val="single" w:color="FFFFFF"/>
                <w:lang w:eastAsia="zh-CN" w:bidi="ar"/>
              </w:rPr>
              <w:t>（</w:t>
            </w:r>
            <w:r>
              <w:rPr>
                <w:rFonts w:hint="default" w:ascii="Times New Roman" w:hAnsi="Times New Roman" w:eastAsia="仿宋_GB2312" w:cs="Times New Roman"/>
                <w:color w:val="auto"/>
                <w:kern w:val="0"/>
                <w:sz w:val="24"/>
                <w:szCs w:val="24"/>
                <w:highlight w:val="none"/>
                <w:u w:val="single" w:color="FFFFFF"/>
                <w:lang w:bidi="ar"/>
              </w:rPr>
              <w:t>小学一年级在校生数×14元/年•人</w:t>
            </w:r>
            <w:r>
              <w:rPr>
                <w:rFonts w:hint="eastAsia" w:ascii="Times New Roman" w:hAnsi="Times New Roman" w:eastAsia="仿宋_GB2312" w:cs="Times New Roman"/>
                <w:color w:val="auto"/>
                <w:kern w:val="0"/>
                <w:sz w:val="24"/>
                <w:szCs w:val="24"/>
                <w:highlight w:val="none"/>
                <w:u w:val="single" w:color="FFFFFF"/>
                <w:lang w:eastAsia="zh-CN" w:bidi="ar"/>
              </w:rPr>
              <w:t>）</w:t>
            </w:r>
            <w:r>
              <w:rPr>
                <w:rFonts w:hint="default" w:ascii="Times New Roman" w:hAnsi="Times New Roman" w:eastAsia="仿宋_GB2312" w:cs="Times New Roman"/>
                <w:color w:val="auto"/>
                <w:kern w:val="0"/>
                <w:sz w:val="24"/>
                <w:szCs w:val="24"/>
                <w:highlight w:val="none"/>
                <w:u w:val="single" w:color="FFFFFF"/>
                <w:lang w:bidi="ar"/>
              </w:rPr>
              <w:t>。</w:t>
            </w:r>
          </w:p>
          <w:p>
            <w:pPr>
              <w:widowControl/>
              <w:spacing w:line="0" w:lineRule="atLeast"/>
              <w:jc w:val="left"/>
              <w:rPr>
                <w:rFonts w:hint="default" w:ascii="Times New Roman" w:hAnsi="Times New Roman" w:eastAsia="仿宋_GB2312" w:cs="Times New Roman"/>
                <w:color w:val="auto"/>
                <w:kern w:val="0"/>
                <w:sz w:val="24"/>
                <w:szCs w:val="24"/>
                <w:highlight w:val="none"/>
                <w:u w:val="single" w:color="FFFFFF"/>
                <w:lang w:bidi="ar"/>
              </w:rPr>
            </w:pPr>
            <w:r>
              <w:rPr>
                <w:rFonts w:hint="default" w:ascii="Times New Roman" w:hAnsi="Times New Roman" w:eastAsia="仿宋_GB2312" w:cs="Times New Roman"/>
                <w:color w:val="auto"/>
                <w:kern w:val="0"/>
                <w:sz w:val="24"/>
                <w:szCs w:val="24"/>
                <w:highlight w:val="none"/>
                <w:u w:val="single" w:color="FFFFFF"/>
                <w:lang w:bidi="ar"/>
              </w:rPr>
              <w:t>省规定课程免费教科书，按照在校生数和省补助标准计算。现行省补助标准为：小学5.1元/年•人，初中21.4元/年•人。</w:t>
            </w:r>
          </w:p>
          <w:p>
            <w:pPr>
              <w:widowControl/>
              <w:spacing w:line="0" w:lineRule="atLeast"/>
              <w:jc w:val="left"/>
              <w:rPr>
                <w:rFonts w:hint="default" w:ascii="Times New Roman" w:hAnsi="Times New Roman" w:eastAsia="仿宋_GB2312" w:cs="Times New Roman"/>
                <w:color w:val="auto"/>
                <w:kern w:val="0"/>
                <w:sz w:val="24"/>
                <w:szCs w:val="24"/>
                <w:highlight w:val="none"/>
                <w:u w:val="single" w:color="FFFFFF"/>
                <w:lang w:bidi="ar"/>
              </w:rPr>
            </w:pPr>
            <w:r>
              <w:rPr>
                <w:rFonts w:hint="default" w:ascii="Times New Roman" w:hAnsi="Times New Roman" w:eastAsia="仿宋_GB2312" w:cs="Times New Roman"/>
                <w:color w:val="auto"/>
                <w:kern w:val="0"/>
                <w:sz w:val="24"/>
                <w:szCs w:val="24"/>
                <w:highlight w:val="none"/>
                <w:u w:val="single" w:color="FFFFFF"/>
                <w:lang w:bidi="ar"/>
              </w:rPr>
              <w:t>计算方法：补助经费=小学在校生数×5.1元/年•人+初中在校生数×21.4元/年•人。</w:t>
            </w:r>
          </w:p>
          <w:p>
            <w:pPr>
              <w:widowControl/>
              <w:spacing w:line="0" w:lineRule="atLeast"/>
              <w:jc w:val="left"/>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kern w:val="0"/>
                <w:sz w:val="24"/>
                <w:szCs w:val="24"/>
                <w:highlight w:val="none"/>
                <w:u w:val="single" w:color="FFFFFF"/>
                <w:lang w:bidi="ar"/>
              </w:rPr>
              <w:t>此外，根据教育部、财政部以及省委</w:t>
            </w:r>
            <w:r>
              <w:rPr>
                <w:rFonts w:hint="eastAsia" w:ascii="Times New Roman" w:hAnsi="Times New Roman" w:eastAsia="仿宋_GB2312" w:cs="Times New Roman"/>
                <w:color w:val="auto"/>
                <w:kern w:val="0"/>
                <w:sz w:val="24"/>
                <w:szCs w:val="24"/>
                <w:highlight w:val="none"/>
                <w:u w:val="single" w:color="FFFFFF"/>
                <w:lang w:eastAsia="zh-CN" w:bidi="ar"/>
              </w:rPr>
              <w:t>、</w:t>
            </w:r>
            <w:r>
              <w:rPr>
                <w:rFonts w:hint="default" w:ascii="Times New Roman" w:hAnsi="Times New Roman" w:eastAsia="仿宋_GB2312" w:cs="Times New Roman"/>
                <w:color w:val="auto"/>
                <w:kern w:val="0"/>
                <w:sz w:val="24"/>
                <w:szCs w:val="24"/>
                <w:highlight w:val="none"/>
                <w:u w:val="single" w:color="FFFFFF"/>
                <w:lang w:bidi="ar"/>
              </w:rPr>
              <w:t>省政府决策部署，</w:t>
            </w:r>
            <w:r>
              <w:rPr>
                <w:rFonts w:hint="default" w:ascii="Times New Roman" w:hAnsi="Times New Roman" w:eastAsia="仿宋_GB2312" w:cs="Times New Roman"/>
                <w:color w:val="auto"/>
                <w:kern w:val="0"/>
                <w:sz w:val="24"/>
                <w:szCs w:val="24"/>
                <w:highlight w:val="none"/>
                <w:u w:val="single" w:color="FFFFFF"/>
                <w:lang w:val="en" w:bidi="ar"/>
              </w:rPr>
              <w:t>新增地方课程教科书</w:t>
            </w:r>
            <w:r>
              <w:rPr>
                <w:rFonts w:hint="default" w:ascii="Times New Roman" w:hAnsi="Times New Roman" w:eastAsia="仿宋_GB2312" w:cs="Times New Roman"/>
                <w:color w:val="auto"/>
                <w:kern w:val="0"/>
                <w:sz w:val="24"/>
                <w:szCs w:val="24"/>
                <w:highlight w:val="none"/>
                <w:u w:val="single" w:color="FFFFFF"/>
                <w:lang w:bidi="ar"/>
              </w:rPr>
              <w:t>另行按程序报批安排。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79"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0" w:lineRule="atLeast"/>
              <w:rPr>
                <w:rFonts w:hint="default" w:ascii="Times New Roman" w:hAnsi="Times New Roman" w:eastAsia="仿宋_GB2312" w:cs="Times New Roman"/>
                <w:color w:val="auto"/>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u w:val="single" w:color="FFFFFF"/>
                <w:lang w:bidi="ar"/>
              </w:rPr>
              <w:t>家庭经济困难学生生活补助</w:t>
            </w:r>
          </w:p>
        </w:tc>
        <w:tc>
          <w:tcPr>
            <w:tcW w:w="770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widowControl/>
              <w:spacing w:line="0" w:lineRule="atLeast"/>
              <w:jc w:val="left"/>
              <w:rPr>
                <w:rFonts w:hint="default" w:ascii="Times New Roman" w:hAnsi="Times New Roman" w:eastAsia="仿宋_GB2312" w:cs="Times New Roman"/>
                <w:color w:val="auto"/>
                <w:kern w:val="0"/>
                <w:sz w:val="24"/>
                <w:szCs w:val="24"/>
                <w:highlight w:val="none"/>
                <w:u w:val="single" w:color="FFFFFF"/>
                <w:lang w:bidi="ar"/>
              </w:rPr>
            </w:pPr>
            <w:r>
              <w:rPr>
                <w:rFonts w:hint="default" w:ascii="Times New Roman" w:hAnsi="Times New Roman" w:eastAsia="仿宋_GB2312" w:cs="Times New Roman"/>
                <w:color w:val="auto"/>
                <w:kern w:val="0"/>
                <w:sz w:val="24"/>
                <w:szCs w:val="24"/>
                <w:highlight w:val="none"/>
                <w:u w:val="single" w:color="FFFFFF"/>
                <w:lang w:bidi="ar"/>
              </w:rPr>
              <w:t>按照家庭经济困难学生数、补助标准和分配系数计算。</w:t>
            </w:r>
          </w:p>
          <w:p>
            <w:pPr>
              <w:widowControl/>
              <w:spacing w:line="0" w:lineRule="atLeast"/>
              <w:jc w:val="left"/>
              <w:rPr>
                <w:rFonts w:hint="default" w:ascii="Times New Roman" w:hAnsi="Times New Roman" w:eastAsia="仿宋_GB2312" w:cs="Times New Roman"/>
                <w:color w:val="auto"/>
                <w:kern w:val="0"/>
                <w:sz w:val="24"/>
                <w:szCs w:val="24"/>
                <w:highlight w:val="none"/>
                <w:u w:val="single" w:color="FFFFFF"/>
                <w:lang w:bidi="ar"/>
              </w:rPr>
            </w:pPr>
            <w:r>
              <w:rPr>
                <w:rFonts w:hint="default" w:ascii="Times New Roman" w:hAnsi="Times New Roman" w:eastAsia="仿宋_GB2312" w:cs="Times New Roman"/>
                <w:color w:val="auto"/>
                <w:kern w:val="0"/>
                <w:sz w:val="24"/>
                <w:szCs w:val="24"/>
                <w:highlight w:val="none"/>
                <w:u w:val="single" w:color="FFFFFF"/>
                <w:lang w:bidi="ar"/>
              </w:rPr>
              <w:t>家庭经济困难寄宿生生活补助国家基础标准为</w:t>
            </w:r>
            <w:r>
              <w:rPr>
                <w:rFonts w:hint="default" w:ascii="Times New Roman" w:hAnsi="Times New Roman" w:eastAsia="仿宋_GB2312" w:cs="Times New Roman"/>
                <w:color w:val="auto"/>
                <w:kern w:val="0"/>
                <w:sz w:val="24"/>
                <w:szCs w:val="24"/>
                <w:highlight w:val="none"/>
                <w:u w:val="none" w:color="auto"/>
                <w:lang w:bidi="ar"/>
              </w:rPr>
              <w:t>小学</w:t>
            </w:r>
            <w:r>
              <w:rPr>
                <w:rFonts w:hint="default" w:ascii="Times New Roman" w:hAnsi="Times New Roman" w:eastAsia="仿宋_GB2312" w:cs="Times New Roman"/>
                <w:b w:val="0"/>
                <w:bCs w:val="0"/>
                <w:color w:val="auto"/>
                <w:kern w:val="0"/>
                <w:sz w:val="24"/>
                <w:szCs w:val="24"/>
                <w:highlight w:val="none"/>
                <w:lang w:bidi="ar"/>
              </w:rPr>
              <w:t>1250元/年•人</w:t>
            </w:r>
            <w:r>
              <w:rPr>
                <w:rFonts w:hint="default" w:ascii="Times New Roman" w:hAnsi="Times New Roman" w:eastAsia="仿宋_GB2312" w:cs="Times New Roman"/>
                <w:color w:val="auto"/>
                <w:kern w:val="0"/>
                <w:sz w:val="24"/>
                <w:szCs w:val="24"/>
                <w:highlight w:val="none"/>
                <w:u w:val="none" w:color="auto"/>
                <w:lang w:bidi="ar"/>
              </w:rPr>
              <w:t>，初中</w:t>
            </w:r>
            <w:r>
              <w:rPr>
                <w:rFonts w:hint="default" w:ascii="Times New Roman" w:hAnsi="Times New Roman" w:eastAsia="仿宋_GB2312" w:cs="Times New Roman"/>
                <w:b w:val="0"/>
                <w:bCs w:val="0"/>
                <w:color w:val="auto"/>
                <w:kern w:val="0"/>
                <w:sz w:val="24"/>
                <w:szCs w:val="24"/>
                <w:highlight w:val="none"/>
                <w:lang w:bidi="ar"/>
              </w:rPr>
              <w:t>1500元/年•人</w:t>
            </w:r>
            <w:r>
              <w:rPr>
                <w:rFonts w:hint="default" w:ascii="Times New Roman" w:hAnsi="Times New Roman" w:eastAsia="仿宋_GB2312" w:cs="Times New Roman"/>
                <w:color w:val="auto"/>
                <w:kern w:val="0"/>
                <w:sz w:val="24"/>
                <w:szCs w:val="24"/>
                <w:highlight w:val="none"/>
                <w:u w:val="single" w:color="FFFFFF"/>
                <w:lang w:bidi="ar"/>
              </w:rPr>
              <w:t>，按国家基础标准50%核定家庭经济困难非寄宿生生活补助标准。分配系数为中央分担50%、地方分担50%。地方分担部分，根据《</w:t>
            </w:r>
            <w:r>
              <w:rPr>
                <w:rFonts w:hint="eastAsia" w:ascii="Times New Roman" w:hAnsi="Times New Roman" w:eastAsia="仿宋_GB2312" w:cs="Times New Roman"/>
                <w:color w:val="auto"/>
                <w:kern w:val="0"/>
                <w:sz w:val="24"/>
                <w:szCs w:val="24"/>
                <w:highlight w:val="none"/>
                <w:u w:val="single" w:color="FFFFFF"/>
                <w:lang w:eastAsia="zh-CN" w:bidi="ar"/>
              </w:rPr>
              <w:t>湖南省人民政府办公厅关于印发</w:t>
            </w:r>
            <w:r>
              <w:rPr>
                <w:rFonts w:hint="eastAsia" w:ascii="Times New Roman" w:hAnsi="Times New Roman" w:eastAsia="仿宋_GB2312" w:cs="Times New Roman"/>
                <w:color w:val="auto"/>
                <w:kern w:val="0"/>
                <w:sz w:val="24"/>
                <w:szCs w:val="24"/>
                <w:highlight w:val="none"/>
                <w:u w:val="single" w:color="FFFFFF"/>
                <w:lang w:val="en-US" w:eastAsia="zh-CN" w:bidi="ar"/>
              </w:rPr>
              <w:t>&lt;</w:t>
            </w:r>
            <w:r>
              <w:rPr>
                <w:rFonts w:hint="default" w:ascii="Times New Roman" w:hAnsi="Times New Roman" w:eastAsia="仿宋_GB2312" w:cs="Times New Roman"/>
                <w:color w:val="auto"/>
                <w:kern w:val="0"/>
                <w:sz w:val="24"/>
                <w:szCs w:val="24"/>
                <w:highlight w:val="none"/>
                <w:u w:val="single" w:color="FFFFFF"/>
                <w:lang w:bidi="ar"/>
              </w:rPr>
              <w:t>教育领域省与市县财政事权和支出责任划分改革实施方案</w:t>
            </w:r>
            <w:r>
              <w:rPr>
                <w:rFonts w:hint="eastAsia" w:ascii="Times New Roman" w:hAnsi="Times New Roman" w:eastAsia="仿宋_GB2312" w:cs="Times New Roman"/>
                <w:color w:val="auto"/>
                <w:kern w:val="0"/>
                <w:sz w:val="24"/>
                <w:szCs w:val="24"/>
                <w:highlight w:val="none"/>
                <w:u w:val="single" w:color="FFFFFF"/>
                <w:lang w:val="en-US" w:eastAsia="zh-CN" w:bidi="ar"/>
              </w:rPr>
              <w:t>&gt;的通知</w:t>
            </w:r>
            <w:r>
              <w:rPr>
                <w:rFonts w:hint="default" w:ascii="Times New Roman" w:hAnsi="Times New Roman" w:eastAsia="仿宋_GB2312" w:cs="Times New Roman"/>
                <w:color w:val="auto"/>
                <w:kern w:val="0"/>
                <w:sz w:val="24"/>
                <w:szCs w:val="24"/>
                <w:highlight w:val="none"/>
                <w:u w:val="single" w:color="FFFFFF"/>
                <w:lang w:bidi="ar"/>
              </w:rPr>
              <w:t>》（湘政办发〔2020〕15号）明确的市县统一分类分档情况，由省与市县按统一比例分担。</w:t>
            </w:r>
          </w:p>
          <w:p>
            <w:pPr>
              <w:widowControl/>
              <w:spacing w:line="0" w:lineRule="atLeast"/>
              <w:jc w:val="left"/>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kern w:val="0"/>
                <w:sz w:val="24"/>
                <w:szCs w:val="24"/>
                <w:highlight w:val="none"/>
                <w:u w:val="single" w:color="FFFFFF"/>
                <w:lang w:bidi="ar"/>
              </w:rPr>
              <w:t>计算方法：补助经费=家庭经济困难寄宿生数×国家基础标准×分配系数+家庭经济困难非寄宿生数×补助标准×分配系数</w:t>
            </w:r>
            <w:r>
              <w:rPr>
                <w:rFonts w:hint="default" w:ascii="Times New Roman" w:hAnsi="Times New Roman" w:eastAsia="仿宋_GB2312" w:cs="Times New Roman"/>
                <w:i/>
                <w:iCs/>
                <w:color w:val="auto"/>
                <w:kern w:val="0"/>
                <w:sz w:val="24"/>
                <w:szCs w:val="24"/>
                <w:highlight w:val="none"/>
                <w:u w:val="single" w:color="FFFFFF"/>
                <w:lang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6" w:hRule="atLeast"/>
          <w:jc w:val="center"/>
        </w:trPr>
        <w:tc>
          <w:tcPr>
            <w:tcW w:w="2010"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widowControl/>
              <w:spacing w:line="0" w:lineRule="atLeast"/>
              <w:jc w:val="center"/>
              <w:rPr>
                <w:rFonts w:hint="default" w:ascii="Times New Roman" w:hAnsi="Times New Roman" w:eastAsia="仿宋_GB2312" w:cs="Times New Roman"/>
                <w:color w:val="auto"/>
                <w:kern w:val="0"/>
                <w:sz w:val="24"/>
                <w:szCs w:val="24"/>
                <w:highlight w:val="none"/>
                <w:u w:val="single" w:color="FFFFFF"/>
                <w:lang w:bidi="ar"/>
              </w:rPr>
            </w:pPr>
            <w:r>
              <w:rPr>
                <w:rFonts w:hint="default" w:ascii="Times New Roman" w:hAnsi="Times New Roman" w:eastAsia="黑体" w:cs="Times New Roman"/>
                <w:b w:val="0"/>
                <w:bCs w:val="0"/>
                <w:color w:val="auto"/>
                <w:kern w:val="0"/>
                <w:sz w:val="24"/>
                <w:szCs w:val="24"/>
                <w:highlight w:val="none"/>
                <w:lang w:bidi="ar"/>
              </w:rPr>
              <w:t>项目</w:t>
            </w:r>
          </w:p>
        </w:tc>
        <w:tc>
          <w:tcPr>
            <w:tcW w:w="770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widowControl/>
              <w:spacing w:line="0" w:lineRule="atLeast"/>
              <w:jc w:val="center"/>
              <w:rPr>
                <w:rFonts w:hint="default" w:ascii="Times New Roman" w:hAnsi="Times New Roman" w:eastAsia="仿宋_GB2312" w:cs="Times New Roman"/>
                <w:color w:val="auto"/>
                <w:kern w:val="0"/>
                <w:sz w:val="24"/>
                <w:szCs w:val="24"/>
                <w:highlight w:val="none"/>
                <w:u w:val="single" w:color="FFFFFF"/>
                <w:lang w:bidi="ar"/>
              </w:rPr>
            </w:pPr>
            <w:r>
              <w:rPr>
                <w:rFonts w:hint="default" w:ascii="Times New Roman" w:hAnsi="Times New Roman" w:eastAsia="黑体" w:cs="Times New Roman"/>
                <w:b w:val="0"/>
                <w:bCs w:val="0"/>
                <w:color w:val="auto"/>
                <w:kern w:val="0"/>
                <w:sz w:val="24"/>
                <w:szCs w:val="24"/>
                <w:highlight w:val="none"/>
                <w:lang w:bidi="ar"/>
              </w:rPr>
              <w:t>分配因素和计算方法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24" w:hRule="atLeast"/>
          <w:jc w:val="center"/>
        </w:trPr>
        <w:tc>
          <w:tcPr>
            <w:tcW w:w="812" w:type="dxa"/>
            <w:tcBorders>
              <w:top w:val="single" w:color="auto" w:sz="4"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城</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乡</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义</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务</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教</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育</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经</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费</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保</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障</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机</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制</w:t>
            </w:r>
          </w:p>
        </w:tc>
        <w:tc>
          <w:tcPr>
            <w:tcW w:w="1198" w:type="dxa"/>
            <w:tcBorders>
              <w:top w:val="single" w:color="auto" w:sz="4" w:space="0"/>
              <w:left w:val="nil"/>
              <w:bottom w:val="single" w:color="auto" w:sz="8" w:space="0"/>
              <w:right w:val="single" w:color="auto" w:sz="8" w:space="0"/>
            </w:tcBorders>
            <w:noWrap w:val="0"/>
            <w:tcMar>
              <w:top w:w="0" w:type="dxa"/>
              <w:left w:w="0" w:type="dxa"/>
              <w:bottom w:w="0" w:type="dxa"/>
              <w:right w:w="0" w:type="dxa"/>
            </w:tcMar>
            <w:vAlign w:val="center"/>
          </w:tcPr>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u w:val="single" w:color="FFFFFF"/>
                <w:lang w:bidi="ar"/>
              </w:rPr>
              <w:t>校舍安全保障长效机制补助</w:t>
            </w:r>
          </w:p>
        </w:tc>
        <w:tc>
          <w:tcPr>
            <w:tcW w:w="7708" w:type="dxa"/>
            <w:tcBorders>
              <w:top w:val="single" w:color="auto" w:sz="4" w:space="0"/>
              <w:left w:val="nil"/>
              <w:bottom w:val="single" w:color="auto" w:sz="8" w:space="0"/>
              <w:right w:val="single" w:color="auto" w:sz="8" w:space="0"/>
            </w:tcBorders>
            <w:noWrap w:val="0"/>
            <w:tcMar>
              <w:top w:w="0" w:type="dxa"/>
              <w:left w:w="0" w:type="dxa"/>
              <w:bottom w:w="0" w:type="dxa"/>
              <w:right w:w="0" w:type="dxa"/>
            </w:tcMar>
            <w:vAlign w:val="center"/>
          </w:tcPr>
          <w:p>
            <w:pPr>
              <w:widowControl/>
              <w:spacing w:line="0" w:lineRule="atLeast"/>
              <w:jc w:val="left"/>
              <w:rPr>
                <w:rFonts w:hint="default" w:ascii="Times New Roman" w:hAnsi="Times New Roman" w:eastAsia="仿宋_GB2312" w:cs="Times New Roman"/>
                <w:color w:val="auto"/>
                <w:kern w:val="0"/>
                <w:sz w:val="24"/>
                <w:szCs w:val="24"/>
                <w:highlight w:val="none"/>
                <w:u w:val="single" w:color="FFFFFF"/>
                <w:lang w:bidi="ar"/>
              </w:rPr>
            </w:pPr>
            <w:r>
              <w:rPr>
                <w:rFonts w:hint="default" w:ascii="Times New Roman" w:hAnsi="Times New Roman" w:eastAsia="仿宋_GB2312" w:cs="Times New Roman"/>
                <w:color w:val="auto"/>
                <w:kern w:val="0"/>
                <w:sz w:val="24"/>
                <w:szCs w:val="24"/>
                <w:highlight w:val="none"/>
                <w:u w:val="single" w:color="FFFFFF"/>
                <w:lang w:bidi="ar"/>
              </w:rPr>
              <w:t>按照在校生数、生均建筑面积标准、单位面积补助测算标准、分配系数等计算。单位面积补助测算标准为</w:t>
            </w:r>
            <w:r>
              <w:rPr>
                <w:rFonts w:hint="default" w:ascii="Times New Roman" w:hAnsi="Times New Roman" w:eastAsia="仿宋_GB2312" w:cs="Times New Roman"/>
                <w:b w:val="0"/>
                <w:bCs w:val="0"/>
                <w:color w:val="auto"/>
                <w:kern w:val="0"/>
                <w:sz w:val="24"/>
                <w:szCs w:val="24"/>
                <w:highlight w:val="none"/>
                <w:lang w:bidi="ar"/>
              </w:rPr>
              <w:t>1100元/平方米。</w:t>
            </w:r>
          </w:p>
          <w:p>
            <w:pPr>
              <w:widowControl/>
              <w:spacing w:line="0" w:lineRule="atLeast"/>
              <w:jc w:val="left"/>
              <w:rPr>
                <w:rFonts w:hint="default" w:ascii="Times New Roman" w:hAnsi="Times New Roman" w:eastAsia="仿宋_GB2312" w:cs="Times New Roman"/>
                <w:color w:val="auto"/>
                <w:kern w:val="0"/>
                <w:sz w:val="24"/>
                <w:szCs w:val="24"/>
                <w:highlight w:val="none"/>
                <w:u w:val="single" w:color="FFFFFF"/>
                <w:lang w:bidi="ar"/>
              </w:rPr>
            </w:pPr>
            <w:r>
              <w:rPr>
                <w:rFonts w:hint="default" w:ascii="Times New Roman" w:hAnsi="Times New Roman" w:eastAsia="仿宋_GB2312" w:cs="Times New Roman"/>
                <w:color w:val="auto"/>
                <w:kern w:val="0"/>
                <w:sz w:val="24"/>
                <w:szCs w:val="24"/>
                <w:highlight w:val="none"/>
                <w:u w:val="single" w:color="FFFFFF"/>
                <w:lang w:bidi="ar"/>
              </w:rPr>
              <w:t>分配系数：农村公办学校校舍安全保障长效机制补助，中央分担60%</w:t>
            </w:r>
            <w:r>
              <w:rPr>
                <w:rFonts w:hint="eastAsia" w:ascii="Times New Roman" w:hAnsi="Times New Roman" w:eastAsia="仿宋_GB2312" w:cs="Times New Roman"/>
                <w:color w:val="auto"/>
                <w:kern w:val="0"/>
                <w:sz w:val="24"/>
                <w:szCs w:val="24"/>
                <w:highlight w:val="none"/>
                <w:u w:val="single" w:color="FFFFFF"/>
                <w:lang w:eastAsia="zh-CN" w:bidi="ar"/>
              </w:rPr>
              <w:t>，</w:t>
            </w:r>
            <w:r>
              <w:rPr>
                <w:rFonts w:hint="default" w:ascii="Times New Roman" w:hAnsi="Times New Roman" w:eastAsia="仿宋_GB2312" w:cs="Times New Roman"/>
                <w:color w:val="auto"/>
                <w:kern w:val="0"/>
                <w:sz w:val="24"/>
                <w:szCs w:val="24"/>
                <w:highlight w:val="none"/>
                <w:u w:val="single" w:color="FFFFFF"/>
                <w:lang w:bidi="ar"/>
              </w:rPr>
              <w:t>地方分担40%。城市公办学校校舍安全保障长效机制补助，由地方全额承担。地方分担部分，根据</w:t>
            </w:r>
            <w:r>
              <w:rPr>
                <w:rFonts w:hint="default" w:ascii="Times New Roman" w:hAnsi="Times New Roman" w:eastAsia="仿宋_GB2312" w:cs="Times New Roman"/>
                <w:color w:val="auto"/>
                <w:kern w:val="0"/>
                <w:sz w:val="24"/>
                <w:szCs w:val="24"/>
                <w:highlight w:val="none"/>
                <w:u w:val="single" w:color="FFFFFF"/>
                <w:lang w:bidi="ar"/>
              </w:rPr>
              <w:t>《</w:t>
            </w:r>
            <w:r>
              <w:rPr>
                <w:rFonts w:hint="eastAsia" w:ascii="Times New Roman" w:hAnsi="Times New Roman" w:eastAsia="仿宋_GB2312" w:cs="Times New Roman"/>
                <w:color w:val="auto"/>
                <w:kern w:val="0"/>
                <w:sz w:val="24"/>
                <w:szCs w:val="24"/>
                <w:highlight w:val="none"/>
                <w:u w:val="single" w:color="FFFFFF"/>
                <w:lang w:eastAsia="zh-CN" w:bidi="ar"/>
              </w:rPr>
              <w:t>湖南省人民政府办公厅关于印发</w:t>
            </w:r>
            <w:r>
              <w:rPr>
                <w:rFonts w:hint="eastAsia" w:ascii="Times New Roman" w:hAnsi="Times New Roman" w:eastAsia="仿宋_GB2312" w:cs="Times New Roman"/>
                <w:color w:val="auto"/>
                <w:kern w:val="0"/>
                <w:sz w:val="24"/>
                <w:szCs w:val="24"/>
                <w:highlight w:val="none"/>
                <w:u w:val="single" w:color="FFFFFF"/>
                <w:lang w:val="en-US" w:eastAsia="zh-CN" w:bidi="ar"/>
              </w:rPr>
              <w:t>&lt;</w:t>
            </w:r>
            <w:r>
              <w:rPr>
                <w:rFonts w:hint="default" w:ascii="Times New Roman" w:hAnsi="Times New Roman" w:eastAsia="仿宋_GB2312" w:cs="Times New Roman"/>
                <w:color w:val="auto"/>
                <w:kern w:val="0"/>
                <w:sz w:val="24"/>
                <w:szCs w:val="24"/>
                <w:highlight w:val="none"/>
                <w:u w:val="single" w:color="FFFFFF"/>
                <w:lang w:bidi="ar"/>
              </w:rPr>
              <w:t>教育领域省与市县财政事权和支出责任划分改革实施方案</w:t>
            </w:r>
            <w:r>
              <w:rPr>
                <w:rFonts w:hint="eastAsia" w:ascii="Times New Roman" w:hAnsi="Times New Roman" w:eastAsia="仿宋_GB2312" w:cs="Times New Roman"/>
                <w:color w:val="auto"/>
                <w:kern w:val="0"/>
                <w:sz w:val="24"/>
                <w:szCs w:val="24"/>
                <w:highlight w:val="none"/>
                <w:u w:val="single" w:color="FFFFFF"/>
                <w:lang w:val="en-US" w:eastAsia="zh-CN" w:bidi="ar"/>
              </w:rPr>
              <w:t>&gt;的通知</w:t>
            </w:r>
            <w:r>
              <w:rPr>
                <w:rFonts w:hint="default" w:ascii="Times New Roman" w:hAnsi="Times New Roman" w:eastAsia="仿宋_GB2312" w:cs="Times New Roman"/>
                <w:color w:val="auto"/>
                <w:kern w:val="0"/>
                <w:sz w:val="24"/>
                <w:szCs w:val="24"/>
                <w:highlight w:val="none"/>
                <w:u w:val="single" w:color="FFFFFF"/>
                <w:lang w:bidi="ar"/>
              </w:rPr>
              <w:t>》（湘政办发〔2020〕15号）明确的市县统一分类分档情况，由省与市县按统一比例分担。</w:t>
            </w:r>
          </w:p>
          <w:p>
            <w:pPr>
              <w:widowControl/>
              <w:spacing w:line="0" w:lineRule="atLeast"/>
              <w:jc w:val="left"/>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kern w:val="0"/>
                <w:sz w:val="24"/>
                <w:szCs w:val="24"/>
                <w:highlight w:val="none"/>
                <w:u w:val="single" w:color="FFFFFF"/>
                <w:lang w:bidi="ar"/>
              </w:rPr>
              <w:t>计算方法：补助经费=[需维修改造校舍面积×折旧率1+安全校舍面积×折旧率2]×单位面积补助测算标准×分配系数。其中：折旧率1为1/30年，折旧率2为1/50年。安全校舍面积按照总建筑面积标准（在校生数×生均建筑面积标准）减去需维修改造校舍面积计算，负数取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63" w:hRule="atLeast"/>
          <w:jc w:val="center"/>
        </w:trPr>
        <w:tc>
          <w:tcPr>
            <w:tcW w:w="2010" w:type="dxa"/>
            <w:gridSpan w:val="2"/>
            <w:tcBorders>
              <w:top w:val="nil"/>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spacing w:line="0" w:lineRule="atLeast"/>
              <w:jc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特岗教师</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工资性补助</w:t>
            </w:r>
          </w:p>
        </w:tc>
        <w:tc>
          <w:tcPr>
            <w:tcW w:w="7708" w:type="dxa"/>
            <w:tcBorders>
              <w:top w:val="nil"/>
              <w:left w:val="nil"/>
              <w:bottom w:val="single" w:color="auto" w:sz="8" w:space="0"/>
              <w:right w:val="single" w:color="auto" w:sz="8" w:space="0"/>
            </w:tcBorders>
            <w:noWrap w:val="0"/>
            <w:tcMar>
              <w:top w:w="0" w:type="dxa"/>
              <w:left w:w="0" w:type="dxa"/>
              <w:bottom w:w="0" w:type="dxa"/>
              <w:right w:w="0" w:type="dxa"/>
            </w:tcMar>
            <w:vAlign w:val="center"/>
          </w:tcPr>
          <w:p>
            <w:pPr>
              <w:widowControl/>
              <w:spacing w:line="0" w:lineRule="atLeast"/>
              <w:jc w:val="left"/>
              <w:rPr>
                <w:rFonts w:hint="default" w:ascii="Times New Roman" w:hAnsi="Times New Roman" w:eastAsia="仿宋_GB2312" w:cs="Times New Roman"/>
                <w:color w:val="auto"/>
                <w:kern w:val="0"/>
                <w:sz w:val="24"/>
                <w:szCs w:val="24"/>
                <w:highlight w:val="none"/>
                <w:u w:val="none" w:color="auto"/>
                <w:lang w:bidi="ar"/>
              </w:rPr>
            </w:pPr>
            <w:r>
              <w:rPr>
                <w:rFonts w:hint="default" w:ascii="Times New Roman" w:hAnsi="Times New Roman" w:eastAsia="仿宋_GB2312" w:cs="Times New Roman"/>
                <w:color w:val="auto"/>
                <w:kern w:val="0"/>
                <w:sz w:val="24"/>
                <w:szCs w:val="24"/>
                <w:highlight w:val="none"/>
                <w:u w:val="single" w:color="FFFFFF"/>
                <w:lang w:bidi="ar"/>
              </w:rPr>
              <w:t>按照在岗特岗教师数和补助标准计算。其中，国家计划由中央财政承担，省级</w:t>
            </w:r>
            <w:r>
              <w:rPr>
                <w:rFonts w:hint="default" w:ascii="Times New Roman" w:hAnsi="Times New Roman" w:eastAsia="仿宋_GB2312" w:cs="Times New Roman"/>
                <w:color w:val="auto"/>
                <w:kern w:val="0"/>
                <w:sz w:val="24"/>
                <w:szCs w:val="24"/>
                <w:highlight w:val="none"/>
                <w:u w:val="none" w:color="auto"/>
                <w:lang w:bidi="ar"/>
              </w:rPr>
              <w:t>计划由省级财政承担</w:t>
            </w:r>
            <w:r>
              <w:rPr>
                <w:rFonts w:hint="default" w:ascii="Times New Roman" w:hAnsi="Times New Roman" w:eastAsia="仿宋_GB2312" w:cs="Times New Roman"/>
                <w:color w:val="auto"/>
                <w:kern w:val="0"/>
                <w:sz w:val="24"/>
                <w:szCs w:val="24"/>
                <w:highlight w:val="none"/>
                <w:lang w:val="en" w:bidi="ar"/>
              </w:rPr>
              <w:t>，补助标准和计算公式根据财政部、教育部最新政策文件适时调整</w:t>
            </w:r>
            <w:r>
              <w:rPr>
                <w:rFonts w:hint="default" w:ascii="Times New Roman" w:hAnsi="Times New Roman" w:eastAsia="仿宋_GB2312" w:cs="Times New Roman"/>
                <w:color w:val="auto"/>
                <w:kern w:val="0"/>
                <w:sz w:val="24"/>
                <w:szCs w:val="24"/>
                <w:highlight w:val="none"/>
                <w:u w:val="none" w:color="auto"/>
                <w:lang w:bidi="ar"/>
              </w:rPr>
              <w:t>。</w:t>
            </w:r>
          </w:p>
          <w:p>
            <w:pPr>
              <w:widowControl/>
              <w:spacing w:line="0" w:lineRule="atLeast"/>
              <w:jc w:val="left"/>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补助标准：</w:t>
            </w:r>
            <w:r>
              <w:rPr>
                <w:rFonts w:hint="default" w:ascii="Times New Roman" w:hAnsi="Times New Roman" w:eastAsia="仿宋_GB2312" w:cs="Times New Roman"/>
                <w:b w:val="0"/>
                <w:bCs w:val="0"/>
                <w:color w:val="auto"/>
                <w:kern w:val="0"/>
                <w:sz w:val="24"/>
                <w:szCs w:val="24"/>
                <w:highlight w:val="none"/>
                <w:lang w:bidi="ar"/>
              </w:rPr>
              <w:t>3.88万元/年•人</w:t>
            </w:r>
            <w:r>
              <w:rPr>
                <w:rFonts w:hint="default" w:ascii="Times New Roman" w:hAnsi="Times New Roman" w:eastAsia="仿宋_GB2312" w:cs="Times New Roman"/>
                <w:color w:val="auto"/>
                <w:kern w:val="0"/>
                <w:sz w:val="24"/>
                <w:szCs w:val="24"/>
                <w:highlight w:val="none"/>
                <w:lang w:bidi="ar"/>
              </w:rPr>
              <w:t>。</w:t>
            </w:r>
          </w:p>
          <w:p>
            <w:pPr>
              <w:widowControl/>
              <w:spacing w:line="0" w:lineRule="atLeast"/>
              <w:jc w:val="left"/>
              <w:rPr>
                <w:rFonts w:hint="default" w:ascii="Times New Roman" w:hAnsi="Times New Roman" w:eastAsia="仿宋_GB2312" w:cs="Times New Roman"/>
                <w:color w:val="auto"/>
                <w:kern w:val="0"/>
                <w:sz w:val="24"/>
                <w:szCs w:val="24"/>
                <w:highlight w:val="none"/>
                <w:u w:val="single"/>
                <w:lang w:bidi="ar"/>
              </w:rPr>
            </w:pPr>
            <w:r>
              <w:rPr>
                <w:rFonts w:hint="default" w:ascii="Times New Roman" w:hAnsi="Times New Roman" w:eastAsia="仿宋_GB2312" w:cs="Times New Roman"/>
                <w:color w:val="auto"/>
                <w:kern w:val="0"/>
                <w:sz w:val="24"/>
                <w:szCs w:val="24"/>
                <w:highlight w:val="none"/>
                <w:lang w:bidi="ar"/>
              </w:rPr>
              <w:t>计算方法：补助经费=在岗特岗教师数×补助标准。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10" w:hRule="atLeast"/>
          <w:jc w:val="center"/>
        </w:trPr>
        <w:tc>
          <w:tcPr>
            <w:tcW w:w="2010" w:type="dxa"/>
            <w:gridSpan w:val="2"/>
            <w:tcBorders>
              <w:top w:val="nil"/>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spacing w:line="0" w:lineRule="atLeast"/>
              <w:jc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学生营养</w:t>
            </w:r>
          </w:p>
          <w:p>
            <w:pPr>
              <w:widowControl/>
              <w:spacing w:line="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膳食补助</w:t>
            </w:r>
          </w:p>
        </w:tc>
        <w:tc>
          <w:tcPr>
            <w:tcW w:w="7708" w:type="dxa"/>
            <w:tcBorders>
              <w:top w:val="nil"/>
              <w:left w:val="nil"/>
              <w:bottom w:val="single" w:color="auto" w:sz="8" w:space="0"/>
              <w:right w:val="single" w:color="auto" w:sz="8" w:space="0"/>
            </w:tcBorders>
            <w:noWrap w:val="0"/>
            <w:tcMar>
              <w:top w:w="0" w:type="dxa"/>
              <w:left w:w="0" w:type="dxa"/>
              <w:bottom w:w="0" w:type="dxa"/>
              <w:right w:w="0" w:type="dxa"/>
            </w:tcMar>
            <w:vAlign w:val="center"/>
          </w:tcPr>
          <w:p>
            <w:pPr>
              <w:widowControl/>
              <w:spacing w:line="0" w:lineRule="atLeast"/>
              <w:jc w:val="left"/>
              <w:rPr>
                <w:rFonts w:ascii="Times New Roman" w:hAnsi="Times New Roman" w:eastAsia="仿宋_GB2312" w:cs="Times New Roman"/>
                <w:color w:val="auto"/>
                <w:kern w:val="0"/>
                <w:sz w:val="24"/>
                <w:szCs w:val="24"/>
                <w:highlight w:val="none"/>
                <w:u w:val="single" w:color="FFFFFF"/>
                <w:lang w:bidi="ar"/>
              </w:rPr>
            </w:pPr>
            <w:r>
              <w:rPr>
                <w:rFonts w:hint="default" w:ascii="Times New Roman" w:hAnsi="Times New Roman" w:eastAsia="仿宋_GB2312" w:cs="Times New Roman"/>
                <w:color w:val="auto"/>
                <w:kern w:val="0"/>
                <w:sz w:val="24"/>
                <w:szCs w:val="24"/>
                <w:highlight w:val="none"/>
                <w:u w:val="single" w:color="FFFFFF"/>
                <w:lang w:bidi="ar"/>
              </w:rPr>
              <w:t>按照享受政策学生数、补助标准和实际补助天数计算。国家基础标准为</w:t>
            </w:r>
            <w:r>
              <w:rPr>
                <w:rFonts w:hint="default" w:ascii="Times New Roman" w:hAnsi="Times New Roman" w:eastAsia="仿宋_GB2312" w:cs="Times New Roman"/>
                <w:b w:val="0"/>
                <w:bCs w:val="0"/>
                <w:color w:val="auto"/>
                <w:kern w:val="0"/>
                <w:sz w:val="24"/>
                <w:szCs w:val="24"/>
                <w:highlight w:val="none"/>
                <w:lang w:bidi="ar"/>
              </w:rPr>
              <w:t>5元/天•人，后续</w:t>
            </w:r>
            <w:r>
              <w:rPr>
                <w:rFonts w:hint="default" w:ascii="Times New Roman" w:hAnsi="Times New Roman" w:eastAsia="仿宋_GB2312" w:cs="Times New Roman"/>
                <w:color w:val="auto"/>
                <w:kern w:val="0"/>
                <w:sz w:val="24"/>
                <w:szCs w:val="24"/>
                <w:highlight w:val="none"/>
                <w:lang w:val="en" w:bidi="ar"/>
              </w:rPr>
              <w:t>根据财政部、教育部最新政策文件适时调整</w:t>
            </w:r>
            <w:r>
              <w:rPr>
                <w:rFonts w:hint="default" w:ascii="Times New Roman" w:hAnsi="Times New Roman" w:eastAsia="仿宋_GB2312" w:cs="Times New Roman"/>
                <w:color w:val="auto"/>
                <w:kern w:val="0"/>
                <w:sz w:val="24"/>
                <w:szCs w:val="24"/>
                <w:highlight w:val="none"/>
                <w:lang w:bidi="ar"/>
              </w:rPr>
              <w:t>。</w:t>
            </w:r>
          </w:p>
          <w:p>
            <w:pPr>
              <w:widowControl/>
              <w:spacing w:line="0" w:lineRule="atLeast"/>
              <w:jc w:val="left"/>
              <w:rPr>
                <w:rFonts w:hint="default" w:ascii="Times New Roman" w:hAnsi="Times New Roman" w:eastAsia="仿宋_GB2312" w:cs="Times New Roman"/>
                <w:color w:val="auto"/>
                <w:kern w:val="0"/>
                <w:sz w:val="24"/>
                <w:szCs w:val="24"/>
                <w:highlight w:val="none"/>
                <w:u w:val="single" w:color="FFFFFF"/>
                <w:lang w:bidi="ar"/>
              </w:rPr>
            </w:pPr>
            <w:r>
              <w:rPr>
                <w:rFonts w:hint="default" w:ascii="Times New Roman" w:hAnsi="Times New Roman" w:eastAsia="仿宋_GB2312" w:cs="Times New Roman"/>
                <w:color w:val="auto"/>
                <w:kern w:val="0"/>
                <w:sz w:val="24"/>
                <w:szCs w:val="24"/>
                <w:highlight w:val="none"/>
                <w:u w:val="single" w:color="FFFFFF"/>
                <w:lang w:bidi="ar"/>
              </w:rPr>
              <w:t>对于</w:t>
            </w:r>
            <w:r>
              <w:rPr>
                <w:rFonts w:hint="default" w:ascii="Times New Roman" w:hAnsi="Times New Roman" w:eastAsia="仿宋_GB2312" w:cs="Times New Roman"/>
                <w:color w:val="auto"/>
                <w:kern w:val="0"/>
                <w:sz w:val="24"/>
                <w:szCs w:val="24"/>
                <w:highlight w:val="none"/>
                <w:u w:val="single" w:color="FFFFFF"/>
                <w:lang w:eastAsia="zh-CN" w:bidi="ar"/>
              </w:rPr>
              <w:t>实施</w:t>
            </w:r>
            <w:r>
              <w:rPr>
                <w:rFonts w:hint="default" w:ascii="Times New Roman" w:hAnsi="Times New Roman" w:eastAsia="仿宋_GB2312" w:cs="Times New Roman"/>
                <w:color w:val="auto"/>
                <w:kern w:val="0"/>
                <w:sz w:val="24"/>
                <w:szCs w:val="24"/>
                <w:highlight w:val="none"/>
                <w:u w:val="single" w:color="FFFFFF"/>
                <w:lang w:bidi="ar"/>
              </w:rPr>
              <w:t>国家计划</w:t>
            </w:r>
            <w:r>
              <w:rPr>
                <w:rFonts w:hint="default" w:ascii="Times New Roman" w:hAnsi="Times New Roman" w:eastAsia="仿宋_GB2312" w:cs="Times New Roman"/>
                <w:color w:val="auto"/>
                <w:kern w:val="0"/>
                <w:sz w:val="24"/>
                <w:szCs w:val="24"/>
                <w:highlight w:val="none"/>
                <w:u w:val="single" w:color="FFFFFF"/>
                <w:lang w:eastAsia="zh-CN" w:bidi="ar"/>
              </w:rPr>
              <w:t>的学校</w:t>
            </w:r>
            <w:r>
              <w:rPr>
                <w:rFonts w:hint="default" w:ascii="Times New Roman" w:hAnsi="Times New Roman" w:eastAsia="仿宋_GB2312" w:cs="Times New Roman"/>
                <w:color w:val="auto"/>
                <w:kern w:val="0"/>
                <w:sz w:val="24"/>
                <w:szCs w:val="24"/>
                <w:highlight w:val="none"/>
                <w:u w:val="single" w:color="FFFFFF"/>
                <w:lang w:bidi="ar"/>
              </w:rPr>
              <w:t>，中央财政按</w:t>
            </w:r>
            <w:r>
              <w:rPr>
                <w:rFonts w:hint="default" w:ascii="Times New Roman" w:hAnsi="Times New Roman" w:eastAsia="仿宋_GB2312" w:cs="Times New Roman"/>
                <w:b w:val="0"/>
                <w:bCs w:val="0"/>
                <w:color w:val="auto"/>
                <w:kern w:val="0"/>
                <w:sz w:val="24"/>
                <w:szCs w:val="24"/>
                <w:highlight w:val="none"/>
                <w:lang w:bidi="ar"/>
              </w:rPr>
              <w:t>5元/天•人</w:t>
            </w:r>
            <w:r>
              <w:rPr>
                <w:rFonts w:hint="default" w:ascii="Times New Roman" w:hAnsi="Times New Roman" w:eastAsia="仿宋_GB2312" w:cs="Times New Roman"/>
                <w:color w:val="auto"/>
                <w:kern w:val="0"/>
                <w:sz w:val="24"/>
                <w:szCs w:val="24"/>
                <w:highlight w:val="none"/>
                <w:u w:val="single" w:color="FFFFFF"/>
                <w:lang w:bidi="ar"/>
              </w:rPr>
              <w:t>给予生均定额奖补；对于</w:t>
            </w:r>
            <w:r>
              <w:rPr>
                <w:rFonts w:hint="default" w:ascii="Times New Roman" w:hAnsi="Times New Roman" w:eastAsia="仿宋_GB2312" w:cs="Times New Roman"/>
                <w:color w:val="auto"/>
                <w:kern w:val="0"/>
                <w:sz w:val="24"/>
                <w:szCs w:val="24"/>
                <w:highlight w:val="none"/>
                <w:u w:val="single" w:color="FFFFFF"/>
                <w:lang w:eastAsia="zh-CN" w:bidi="ar"/>
              </w:rPr>
              <w:t>实施</w:t>
            </w:r>
            <w:r>
              <w:rPr>
                <w:rFonts w:hint="default" w:ascii="Times New Roman" w:hAnsi="Times New Roman" w:eastAsia="仿宋_GB2312" w:cs="Times New Roman"/>
                <w:color w:val="auto"/>
                <w:kern w:val="0"/>
                <w:sz w:val="24"/>
                <w:szCs w:val="24"/>
                <w:highlight w:val="none"/>
                <w:u w:val="single" w:color="FFFFFF"/>
                <w:lang w:bidi="ar"/>
              </w:rPr>
              <w:t>省级计划</w:t>
            </w:r>
            <w:r>
              <w:rPr>
                <w:rFonts w:hint="default" w:ascii="Times New Roman" w:hAnsi="Times New Roman" w:eastAsia="仿宋_GB2312" w:cs="Times New Roman"/>
                <w:color w:val="auto"/>
                <w:kern w:val="0"/>
                <w:sz w:val="24"/>
                <w:szCs w:val="24"/>
                <w:highlight w:val="none"/>
                <w:u w:val="single" w:color="FFFFFF"/>
                <w:lang w:eastAsia="zh-CN" w:bidi="ar"/>
              </w:rPr>
              <w:t>的学校</w:t>
            </w:r>
            <w:r>
              <w:rPr>
                <w:rFonts w:hint="default" w:ascii="Times New Roman" w:hAnsi="Times New Roman" w:eastAsia="仿宋_GB2312" w:cs="Times New Roman"/>
                <w:color w:val="auto"/>
                <w:kern w:val="0"/>
                <w:sz w:val="24"/>
                <w:szCs w:val="24"/>
                <w:highlight w:val="none"/>
                <w:u w:val="single" w:color="FFFFFF"/>
                <w:lang w:bidi="ar"/>
              </w:rPr>
              <w:t>，中央财政按</w:t>
            </w:r>
            <w:r>
              <w:rPr>
                <w:rFonts w:hint="default" w:ascii="Times New Roman" w:hAnsi="Times New Roman" w:eastAsia="仿宋_GB2312" w:cs="Times New Roman"/>
                <w:b w:val="0"/>
                <w:bCs w:val="0"/>
                <w:color w:val="auto"/>
                <w:kern w:val="0"/>
                <w:sz w:val="24"/>
                <w:szCs w:val="24"/>
                <w:highlight w:val="none"/>
                <w:lang w:bidi="ar"/>
              </w:rPr>
              <w:t>4元/天•人</w:t>
            </w:r>
            <w:r>
              <w:rPr>
                <w:rFonts w:hint="default" w:ascii="Times New Roman" w:hAnsi="Times New Roman" w:eastAsia="仿宋_GB2312" w:cs="Times New Roman"/>
                <w:color w:val="auto"/>
                <w:kern w:val="0"/>
                <w:sz w:val="24"/>
                <w:szCs w:val="24"/>
                <w:highlight w:val="none"/>
                <w:u w:val="single" w:color="FFFFFF"/>
                <w:lang w:bidi="ar"/>
              </w:rPr>
              <w:t>、省级财政按1元/天•人给予生均定额奖补；</w:t>
            </w:r>
            <w:r>
              <w:rPr>
                <w:rFonts w:hint="default" w:ascii="Times New Roman" w:hAnsi="Times New Roman" w:eastAsia="仿宋_GB2312" w:cs="Times New Roman"/>
                <w:color w:val="auto"/>
                <w:kern w:val="0"/>
                <w:sz w:val="24"/>
                <w:szCs w:val="24"/>
                <w:highlight w:val="none"/>
                <w:u w:val="single" w:color="FFFFFF"/>
                <w:lang w:eastAsia="zh-CN" w:bidi="ar"/>
              </w:rPr>
              <w:t>对于国家计划地区的的县城农村属性学校，</w:t>
            </w:r>
            <w:r>
              <w:rPr>
                <w:rFonts w:hint="default" w:ascii="Times New Roman" w:hAnsi="Times New Roman" w:eastAsia="仿宋_GB2312" w:cs="Times New Roman"/>
                <w:color w:val="auto"/>
                <w:kern w:val="0"/>
                <w:sz w:val="24"/>
                <w:szCs w:val="24"/>
                <w:highlight w:val="none"/>
                <w:u w:val="single" w:color="FFFFFF"/>
                <w:lang w:bidi="ar"/>
              </w:rPr>
              <w:t>中央和省级</w:t>
            </w:r>
            <w:r>
              <w:rPr>
                <w:rFonts w:hint="default" w:ascii="Times New Roman" w:hAnsi="Times New Roman" w:eastAsia="仿宋_GB2312" w:cs="Times New Roman"/>
                <w:color w:val="auto"/>
                <w:kern w:val="0"/>
                <w:sz w:val="24"/>
                <w:szCs w:val="24"/>
                <w:highlight w:val="none"/>
                <w:u w:val="single" w:color="FFFFFF"/>
                <w:lang w:eastAsia="zh-CN" w:bidi="ar"/>
              </w:rPr>
              <w:t>财政</w:t>
            </w:r>
            <w:r>
              <w:rPr>
                <w:rFonts w:hint="default" w:ascii="Times New Roman" w:hAnsi="Times New Roman" w:eastAsia="仿宋_GB2312" w:cs="Times New Roman"/>
                <w:color w:val="auto"/>
                <w:kern w:val="0"/>
                <w:sz w:val="24"/>
                <w:szCs w:val="24"/>
                <w:highlight w:val="none"/>
                <w:u w:val="single" w:color="FFFFFF"/>
                <w:lang w:bidi="ar"/>
              </w:rPr>
              <w:t>按规定比例给予生均定额奖补</w:t>
            </w:r>
            <w:r>
              <w:rPr>
                <w:rFonts w:hint="default" w:ascii="Times New Roman" w:hAnsi="Times New Roman" w:eastAsia="仿宋_GB2312" w:cs="Times New Roman"/>
                <w:color w:val="auto"/>
                <w:kern w:val="0"/>
                <w:sz w:val="24"/>
                <w:szCs w:val="24"/>
                <w:highlight w:val="none"/>
                <w:u w:val="single" w:color="FFFFFF"/>
                <w:lang w:eastAsia="zh-CN" w:bidi="ar"/>
              </w:rPr>
              <w:t>；</w:t>
            </w:r>
            <w:r>
              <w:rPr>
                <w:rFonts w:hint="default" w:ascii="Times New Roman" w:hAnsi="Times New Roman" w:eastAsia="仿宋_GB2312" w:cs="Times New Roman"/>
                <w:color w:val="auto"/>
                <w:kern w:val="0"/>
                <w:sz w:val="24"/>
                <w:szCs w:val="24"/>
                <w:highlight w:val="none"/>
                <w:u w:val="single" w:color="FFFFFF"/>
                <w:lang w:bidi="ar"/>
              </w:rPr>
              <w:t>对于</w:t>
            </w:r>
            <w:r>
              <w:rPr>
                <w:rFonts w:hint="default" w:ascii="Times New Roman" w:hAnsi="Times New Roman" w:eastAsia="仿宋_GB2312" w:cs="Times New Roman"/>
                <w:color w:val="auto"/>
                <w:kern w:val="0"/>
                <w:sz w:val="24"/>
                <w:szCs w:val="24"/>
                <w:highlight w:val="none"/>
                <w:u w:val="single" w:color="FFFFFF"/>
                <w:lang w:eastAsia="zh-CN" w:bidi="ar"/>
              </w:rPr>
              <w:t>实施</w:t>
            </w:r>
            <w:r>
              <w:rPr>
                <w:rFonts w:hint="default" w:ascii="Times New Roman" w:hAnsi="Times New Roman" w:eastAsia="仿宋_GB2312" w:cs="Times New Roman"/>
                <w:color w:val="auto"/>
                <w:kern w:val="0"/>
                <w:sz w:val="24"/>
                <w:szCs w:val="24"/>
                <w:highlight w:val="none"/>
                <w:u w:val="single" w:color="FFFFFF"/>
                <w:lang w:bidi="ar"/>
              </w:rPr>
              <w:t>县级计划</w:t>
            </w:r>
            <w:r>
              <w:rPr>
                <w:rFonts w:hint="default" w:ascii="Times New Roman" w:hAnsi="Times New Roman" w:eastAsia="仿宋_GB2312" w:cs="Times New Roman"/>
                <w:color w:val="auto"/>
                <w:kern w:val="0"/>
                <w:sz w:val="24"/>
                <w:szCs w:val="24"/>
                <w:highlight w:val="none"/>
                <w:u w:val="single" w:color="FFFFFF"/>
                <w:lang w:eastAsia="zh-CN" w:bidi="ar"/>
              </w:rPr>
              <w:t>的学校</w:t>
            </w:r>
            <w:r>
              <w:rPr>
                <w:rFonts w:hint="default" w:ascii="Times New Roman" w:hAnsi="Times New Roman" w:eastAsia="仿宋_GB2312" w:cs="Times New Roman"/>
                <w:color w:val="auto"/>
                <w:kern w:val="0"/>
                <w:sz w:val="24"/>
                <w:szCs w:val="24"/>
                <w:highlight w:val="none"/>
                <w:u w:val="single" w:color="FFFFFF"/>
                <w:lang w:bidi="ar"/>
              </w:rPr>
              <w:t>，中央财政按</w:t>
            </w:r>
            <w:r>
              <w:rPr>
                <w:rFonts w:hint="default" w:ascii="Times New Roman" w:hAnsi="Times New Roman" w:eastAsia="仿宋_GB2312" w:cs="Times New Roman"/>
                <w:b w:val="0"/>
                <w:bCs w:val="0"/>
                <w:color w:val="auto"/>
                <w:kern w:val="0"/>
                <w:sz w:val="24"/>
                <w:szCs w:val="24"/>
                <w:highlight w:val="none"/>
                <w:lang w:bidi="ar"/>
              </w:rPr>
              <w:t>4元/天</w:t>
            </w:r>
            <w:r>
              <w:rPr>
                <w:rFonts w:hint="default" w:ascii="Times New Roman" w:hAnsi="Times New Roman" w:eastAsia="仿宋_GB2312" w:cs="Times New Roman"/>
                <w:color w:val="auto"/>
                <w:kern w:val="0"/>
                <w:sz w:val="24"/>
                <w:szCs w:val="24"/>
                <w:highlight w:val="none"/>
                <w:u w:val="none" w:color="auto"/>
                <w:lang w:bidi="ar"/>
              </w:rPr>
              <w:t>•人</w:t>
            </w:r>
            <w:r>
              <w:rPr>
                <w:rFonts w:hint="default" w:ascii="Times New Roman" w:hAnsi="Times New Roman" w:eastAsia="仿宋_GB2312" w:cs="Times New Roman"/>
                <w:color w:val="auto"/>
                <w:kern w:val="0"/>
                <w:sz w:val="24"/>
                <w:szCs w:val="24"/>
                <w:highlight w:val="none"/>
                <w:u w:val="single" w:color="FFFFFF"/>
                <w:lang w:bidi="ar"/>
              </w:rPr>
              <w:t>给予生均定额奖补。</w:t>
            </w:r>
          </w:p>
          <w:p>
            <w:pPr>
              <w:widowControl/>
              <w:spacing w:line="0" w:lineRule="atLeast"/>
              <w:jc w:val="left"/>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kern w:val="0"/>
                <w:sz w:val="24"/>
                <w:szCs w:val="24"/>
                <w:highlight w:val="none"/>
                <w:u w:val="single" w:color="FFFFFF"/>
                <w:lang w:bidi="ar"/>
              </w:rPr>
              <w:t>计算方法：补助经费=国家计划地区学生数×国家基础标准×实际补助天数+省级计划地区学生数×生均定额奖补标准×实际补助天数+县级计划地区学生数×生均定额奖补标准×实际补助天数。</w:t>
            </w:r>
          </w:p>
        </w:tc>
      </w:tr>
    </w:tbl>
    <w:p>
      <w:pPr>
        <w:spacing w:line="600" w:lineRule="exact"/>
        <w:rPr>
          <w:rFonts w:hint="default" w:ascii="Times New Roman" w:hAnsi="Times New Roman" w:eastAsia="黑体" w:cs="Times New Roman"/>
          <w:color w:val="auto"/>
          <w:highlight w:val="none"/>
        </w:rPr>
      </w:pPr>
    </w:p>
    <w:p>
      <w:pPr>
        <w:spacing w:line="600" w:lineRule="exact"/>
        <w:rPr>
          <w:rFonts w:hint="default" w:ascii="Times New Roman" w:hAnsi="Times New Roman" w:eastAsia="黑体" w:cs="Times New Roman"/>
          <w:color w:val="auto"/>
          <w:highlight w:val="none"/>
        </w:rPr>
      </w:pPr>
    </w:p>
    <w:p>
      <w:pPr>
        <w:spacing w:line="600" w:lineRule="exact"/>
        <w:rPr>
          <w:rFonts w:hint="default" w:ascii="Times New Roman" w:hAnsi="Times New Roman" w:eastAsia="黑体" w:cs="Times New Roman"/>
          <w:color w:val="auto"/>
          <w:highlight w:val="none"/>
        </w:rPr>
      </w:pPr>
    </w:p>
    <w:p>
      <w:pPr>
        <w:spacing w:line="600" w:lineRule="exact"/>
        <w:rPr>
          <w:rFonts w:hint="eastAsia" w:ascii="Times New Roman" w:hAnsi="Times New Roman" w:eastAsia="黑体" w:cs="Times New Roman"/>
          <w:b/>
          <w:color w:val="auto"/>
          <w:highlight w:val="none"/>
          <w:lang w:eastAsia="zh-CN"/>
        </w:rPr>
      </w:pPr>
      <w:r>
        <w:rPr>
          <w:rFonts w:hint="default" w:ascii="Times New Roman" w:hAnsi="Times New Roman" w:eastAsia="黑体" w:cs="Times New Roman"/>
          <w:color w:val="auto"/>
          <w:highlight w:val="none"/>
        </w:rPr>
        <w:t>信息公开选项:</w:t>
      </w:r>
      <w:r>
        <w:rPr>
          <w:rFonts w:hint="eastAsia" w:ascii="Times New Roman" w:hAnsi="Times New Roman" w:eastAsia="黑体" w:cs="Times New Roman"/>
          <w:color w:val="auto"/>
          <w:highlight w:val="none"/>
          <w:lang w:eastAsia="zh-CN"/>
        </w:rPr>
        <w:t>主动公开</w:t>
      </w:r>
    </w:p>
    <w:p>
      <w:pPr>
        <w:spacing w:line="600" w:lineRule="exact"/>
        <w:ind w:firstLine="280" w:firstLineChars="100"/>
        <w:rPr>
          <w:rFonts w:hint="default" w:ascii="Times New Roman" w:hAnsi="Times New Roman"/>
          <w:color w:val="auto"/>
        </w:rPr>
      </w:pPr>
      <w:r>
        <w:rPr>
          <w:rFonts w:hint="default" w:ascii="Times New Roman" w:hAnsi="Times New Roman" w:eastAsia="仿宋_GB2312" w:cs="Times New Roman"/>
          <w:color w:val="auto"/>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0" t="9525" r="0" b="9525"/>
                <wp:wrapNone/>
                <wp:docPr id="10" name="直接连接符 10"/>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0pt;height:0pt;width:432pt;z-index:251661312;mso-width-relative:page;mso-height-relative:page;" filled="f" stroked="t" coordsize="21600,21600" o:gfxdata="UEsDBAoAAAAAAIdO4kAAAAAAAAAAAAAAAAAEAAAAZHJzL1BLAwQUAAAACACHTuJAP25PuM8AAAAC&#10;AQAADwAAAGRycy9kb3ducmV2LnhtbE2PwU7DMAyG70i8Q2QkbiwdGlMpTScxictulAk4eo1pKxKn&#10;arJufXs8LnCx9Ou3Pn8uN2fv1ERj7AMbWC4yUMRNsD23BvZvL3c5qJiQLbrAZGCmCJvq+qrEwoYT&#10;v9JUp1YJhGOBBrqUhkLr2HTkMS7CQCzdVxg9Joljq+2IJ4F7p++zbK099iwXOhxo21HzXR+9UB4+&#10;8ucd5vt5dvXn42r7vpvYG3N7s8yeQCU6p79luOiLOlTidAhHtlE5A/JI+p3S5euVxMMl6qrU/9Wr&#10;H1BLAwQUAAAACACHTuJAJVE4JuEBAACqAwAADgAAAGRycy9lMm9Eb2MueG1srVPNbhMxEL4j8Q6W&#10;72S3VVuVVTY9NJQLgkrAA0z8s2vJfxo72eQleAEkbnDiyJ23oTwGYycNBS4IkYMz9oy/me/zt/Or&#10;rbNsozCZ4Ht+Mms5U14EafzQ87dvbp5ccpYyeAk2eNXznUr8avH40XyKnToNY7BSISMQn7op9nzM&#10;OXZNk8SoHKRZiMpTUgd0kGmLQyMRJkJ3tjlt24tmCigjBqFSotPlPskXFV9rJfIrrZPKzPacZst1&#10;xbquytos5tANCHE04jAG/MMUDoynpkeoJWRgazR/QDkjMKSg80wE1wStjVCVA7E5aX9j83qEqCoX&#10;EifFo0zp/8GKl5tbZEbS25E8Hhy90d37L9/effz+9QOtd58/McqQTFNMHVVf+1s87FK8xcJ5q9GV&#10;f2LDtlXa3VFatc1M0OH52eXFWUstxH2u+XkxYsrPVXCsBD23xhfW0MHmRcrUjErvS8qx9WyieZ+2&#10;5wUPyDXaQqbQReKR/FAvp2CNvDHWlisJh9W1RbaB4oP6K5wI+Jey0mUJadzX1dTeIaMC+cxLlneR&#10;BPJkZV5mcEpyZhU5v0QECF0GY/+mklpbXy6o6tID0SLyXtYSrYLc0eusI5phJGEyrlUduyTJEJXA&#10;wbzFcQ/3FD/8xB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9uT7jPAAAAAgEAAA8AAAAAAAAA&#10;AQAgAAAAIgAAAGRycy9kb3ducmV2LnhtbFBLAQIUABQAAAAIAIdO4kAlUTgm4QEAAKoDAAAOAAAA&#10;AAAAAAEAIAAAAB4BAABkcnMvZTJvRG9jLnhtbFBLBQYAAAAABgAGAFkBAABx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381000</wp:posOffset>
                </wp:positionV>
                <wp:extent cx="54864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0pt;height:0pt;width:432pt;z-index:251662336;mso-width-relative:page;mso-height-relative:page;" filled="f" stroked="t" coordsize="21600,21600" o:gfxdata="UEsDBAoAAAAAAIdO4kAAAAAAAAAAAAAAAAAEAAAAZHJzL1BLAwQUAAAACACHTuJAluXVRNMAAAAG&#10;AQAADwAAAGRycy9kb3ducmV2LnhtbE2PzU7DMBCE70i8g7VI3KhdVKIQ4lSiEpfeCFXh6MbbJKq9&#10;jmI3bd6eRRzgtD+zmvm2XF+9ExOOsQ+kYblQIJCaYHtqNew+3h5yEDEZssYFQg0zRlhXtzelKWy4&#10;0DtOdWoFm1AsjIYupaGQMjYdehMXYUBi7RhGbxKPYyvtaC5s7p18VCqT3vTECZ0ZcNNhc6rPnl2e&#10;PvPXrcl38+zqr+fVZr+dyGt9f7dULyASXtPfMfzgMzpUzHQIZ7JROA38SNKQKa6s5tmKm8PvQlal&#10;/I9ffQNQSwMEFAAAAAgAh07iQOJCjVjiAQAAqgMAAA4AAABkcnMvZTJvRG9jLnhtbK1TS44TMRDd&#10;I3EHy3vSndHMaGilM4sJwwZBJOAAFdvdbck/lZ10cgkugMQOVizZcxuGY1B2MmE+mxEiC6fsqnqu&#10;9/x6drm1hm0URu1dy6eTmjPlhJfa9S3/+OH6xQVnMYGTYLxTLd+pyC/nz5/NxtCoEz94IxUyAnGx&#10;GUPLh5RCU1VRDMpCnPigHCU7jxYSbbGvJMJI6NZUJ3V9Xo0eZUAvVIx0utgn+bzgd50S6V3XRZWY&#10;aTnNlsqKZV3ltZrPoOkRwqDFYQz4hyksaEeXHqEWkICtUT+Cslqgj75LE+Ft5btOC1U4EJtp/YDN&#10;+wGCKlxInBiOMsX/ByvebpbItKS3m3LmwNIb3Xz+8evT198/v9B68/0bowzJNIbYUPWVW+JhF8MS&#10;M+dthzb/Exu2LdLujtKqbWKCDs9OL85Pa3oBcZur/jYGjOm18pbloOVGu8waGti8iYkuo9Lbknxs&#10;HBtp3pf1WcYDck1nIFFoA/GIri/N0Rstr7UxuSViv7oyyDaQfVB+mRMB3yvLtywgDvu6kto7ZFAg&#10;XznJ0i6QQI6szPMMVknOjCLn54gAoUmgzVMq6WrjcoMqLj0QzSLvZc3Ryssdvc46oO4HEibhWpWx&#10;c5IMUQgczJsdd3dP8d1PbP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uXVRNMAAAAGAQAADwAA&#10;AAAAAAABACAAAAAiAAAAZHJzL2Rvd25yZXYueG1sUEsBAhQAFAAAAAgAh07iQOJCjVjiAQAAqgMA&#10;AA4AAAAAAAAAAQAgAAAAIgEAAGRycy9lMm9Eb2MueG1sUEsFBgAAAAAGAAYAWQEAAHY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rPr>
        <w:t>湖</w:t>
      </w:r>
      <w:r>
        <w:rPr>
          <w:rFonts w:hint="default" w:ascii="Times New Roman" w:hAnsi="Times New Roman" w:eastAsia="仿宋_GB2312" w:cs="Times New Roman"/>
          <w:color w:val="auto"/>
          <w:spacing w:val="-6"/>
        </w:rPr>
        <w:t xml:space="preserve">南省财政厅办公室               </w:t>
      </w:r>
      <w:r>
        <w:rPr>
          <w:rFonts w:hint="eastAsia" w:ascii="Times New Roman" w:hAnsi="Times New Roman" w:eastAsia="仿宋_GB2312" w:cs="Times New Roman"/>
          <w:color w:val="auto"/>
          <w:spacing w:val="-6"/>
          <w:lang w:val="en-US" w:eastAsia="zh-CN"/>
        </w:rPr>
        <w:t xml:space="preserve"> </w:t>
      </w:r>
      <w:r>
        <w:rPr>
          <w:rFonts w:hint="default" w:ascii="Times New Roman" w:hAnsi="Times New Roman" w:eastAsia="仿宋_GB2312" w:cs="Times New Roman"/>
          <w:color w:val="auto"/>
          <w:spacing w:val="-6"/>
        </w:rPr>
        <w:t xml:space="preserve"> </w:t>
      </w:r>
      <w:r>
        <w:rPr>
          <w:rFonts w:hint="eastAsia" w:ascii="Times New Roman" w:hAnsi="Times New Roman" w:eastAsia="仿宋_GB2312" w:cs="Times New Roman"/>
          <w:color w:val="auto"/>
          <w:spacing w:val="-6"/>
          <w:lang w:val="en-US" w:eastAsia="zh-CN"/>
        </w:rPr>
        <w:t xml:space="preserve">  </w:t>
      </w:r>
      <w:bookmarkStart w:id="0" w:name="_GoBack"/>
      <w:r>
        <w:rPr>
          <w:rFonts w:hint="eastAsia" w:ascii="Times New Roman" w:hAnsi="Times New Roman" w:eastAsia="仿宋_GB2312" w:cs="Times New Roman"/>
          <w:color w:val="auto"/>
          <w:spacing w:val="-6"/>
          <w:lang w:val="en-US" w:eastAsia="zh-CN"/>
        </w:rPr>
        <w:t xml:space="preserve">  </w:t>
      </w:r>
      <w:r>
        <w:rPr>
          <w:rFonts w:hint="default" w:ascii="Times New Roman" w:hAnsi="Times New Roman" w:eastAsia="仿宋_GB2312" w:cs="Times New Roman"/>
          <w:color w:val="auto"/>
          <w:spacing w:val="-6"/>
        </w:rPr>
        <w:t xml:space="preserve"> 20</w:t>
      </w:r>
      <w:r>
        <w:rPr>
          <w:rFonts w:hint="eastAsia" w:ascii="Times New Roman" w:hAnsi="Times New Roman" w:eastAsia="仿宋_GB2312" w:cs="Times New Roman"/>
          <w:color w:val="auto"/>
          <w:spacing w:val="-6"/>
          <w:lang w:val="en-US" w:eastAsia="zh-CN"/>
        </w:rPr>
        <w:t>26</w:t>
      </w:r>
      <w:r>
        <w:rPr>
          <w:rFonts w:hint="default" w:ascii="Times New Roman" w:hAnsi="Times New Roman" w:eastAsia="仿宋_GB2312" w:cs="Times New Roman"/>
          <w:color w:val="auto"/>
          <w:spacing w:val="-6"/>
        </w:rPr>
        <w:t>年</w:t>
      </w:r>
      <w:r>
        <w:rPr>
          <w:rFonts w:hint="eastAsia" w:ascii="Times New Roman" w:hAnsi="Times New Roman" w:eastAsia="仿宋_GB2312" w:cs="Times New Roman"/>
          <w:color w:val="auto"/>
          <w:spacing w:val="-6"/>
          <w:lang w:val="en-US" w:eastAsia="zh-CN"/>
        </w:rPr>
        <w:t>7</w:t>
      </w:r>
      <w:r>
        <w:rPr>
          <w:rFonts w:hint="default" w:ascii="Times New Roman" w:hAnsi="Times New Roman" w:eastAsia="仿宋_GB2312" w:cs="Times New Roman"/>
          <w:color w:val="auto"/>
          <w:spacing w:val="-6"/>
        </w:rPr>
        <w:t>月</w:t>
      </w:r>
      <w:r>
        <w:rPr>
          <w:rFonts w:hint="eastAsia" w:ascii="Times New Roman" w:hAnsi="Times New Roman" w:eastAsia="仿宋_GB2312" w:cs="Times New Roman"/>
          <w:color w:val="auto"/>
          <w:spacing w:val="-6"/>
          <w:lang w:val="en-US" w:eastAsia="zh-CN"/>
        </w:rPr>
        <w:t>8</w:t>
      </w:r>
      <w:r>
        <w:rPr>
          <w:rFonts w:hint="default" w:ascii="Times New Roman" w:hAnsi="Times New Roman" w:eastAsia="仿宋_GB2312" w:cs="Times New Roman"/>
          <w:color w:val="auto"/>
          <w:spacing w:val="-6"/>
        </w:rPr>
        <w:t>日印发</w:t>
      </w:r>
    </w:p>
    <w:bookmarkEnd w:id="0"/>
    <w:sectPr>
      <w:footerReference r:id="rId3" w:type="default"/>
      <w:pgSz w:w="11906" w:h="16838"/>
      <w:pgMar w:top="1417" w:right="1587" w:bottom="1417" w:left="1587" w:header="851" w:footer="1304" w:gutter="0"/>
      <w:pgBorders>
        <w:top w:val="none" w:sz="0" w:space="0"/>
        <w:left w:val="none" w:sz="0" w:space="0"/>
        <w:bottom w:val="none" w:sz="0" w:space="0"/>
        <w:right w:val="none" w:sz="0" w:space="0"/>
      </w:pgBorders>
      <w:pgNumType w:fmt="numberInDash"/>
      <w:cols w:space="0" w:num="1"/>
      <w:rtlGutter w:val="0"/>
      <w:docGrid w:type="lines" w:linePitch="39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Tahoma">
    <w:altName w:val="Droid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大标宋简体">
    <w:altName w:val="方正书宋_GBK"/>
    <w:panose1 w:val="03000509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a0m4aAgAAKQQAAA4AAABkcnMvZTJvRG9jLnhtbK1Ty47TMBTdI/EP&#10;lvc0bRGjqmo6KjMqQqqYkQbE2nXsJpJfst0m5QPgD1ixYc939Ts4dpMWASvExrnX9/o+zjlZ3HZa&#10;kYPwobGmpJPRmBJhuK0asyvph/frFzNKQmSmYsoaUdKjCPR2+fzZonVzMbW1VZXwBEVMmLeupHWM&#10;bl4UgddCszCyThgEpfWaRbh+V1SetaiuVTEdj2+K1vrKectFCLi9PwfpMteXUvD4IGUQkaiSYraY&#10;T5/PbTqL5YLNd565uuH9GOwfptCsMWh6KXXPIiN73/xRSjfc22BlHHGrCytlw0XeAdtMxr9t81Qz&#10;J/IuACe4C0zh/5Xl7w6PnjQVuKPEMA2KTl+/nL79OH3/TCYJntaFObKeHPJi99p2JY1+L4ZQwH1a&#10;vJNepy9WIkgB1scLvqKLhONyMpvOZmOEOGKDgxbF9bnzIb4RVpNklNSDwIwrO2xCPKcOKambsetG&#10;qUyiMqQt6c3LV+P84BJBcWXQI+1xHjZZsdt2/XJbWx2xm7dncQTH1w2ab1iIj8xDDRgYCo8POKSy&#10;aGJ7i5La+k9/u0/5IAlRSlqoq6QG8qdEvTUgLwlxMPxgbAfD7PWdhVxBCGbJJh74qAZTeqs/Qvar&#10;1EMyFVCYGY5uoGYw7yK8Pojfh4vV6uLvnW929fUxpOhY3Jgnx3tyE7bBrfYR+GbYE2ZnoHooocdM&#10;XP/vJMH/6ues6x++/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JhrSbhoCAAApBAAADgAA&#10;AAAAAAABACAAAAAfAQAAZHJzL2Uyb0RvYy54bWxQSwUGAAAAAAYABgBZAQAAqwU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ZGZmZDE0ZDA0Y2M4NTFhYWJkNTAwNzAyNzBmNzUifQ=="/>
  </w:docVars>
  <w:rsids>
    <w:rsidRoot w:val="0B696ABB"/>
    <w:rsid w:val="07000A27"/>
    <w:rsid w:val="07843232"/>
    <w:rsid w:val="0B696ABB"/>
    <w:rsid w:val="0CB555D6"/>
    <w:rsid w:val="10924590"/>
    <w:rsid w:val="11CC7CFE"/>
    <w:rsid w:val="170208DE"/>
    <w:rsid w:val="172D1940"/>
    <w:rsid w:val="1A822DB9"/>
    <w:rsid w:val="1ACE3C4D"/>
    <w:rsid w:val="1B370953"/>
    <w:rsid w:val="1CD969F4"/>
    <w:rsid w:val="211A3F9D"/>
    <w:rsid w:val="26941C51"/>
    <w:rsid w:val="28003C44"/>
    <w:rsid w:val="3A085E66"/>
    <w:rsid w:val="3B685E4D"/>
    <w:rsid w:val="3EC0188F"/>
    <w:rsid w:val="44BC4204"/>
    <w:rsid w:val="49FE0712"/>
    <w:rsid w:val="4A961194"/>
    <w:rsid w:val="4B2624A4"/>
    <w:rsid w:val="4D8477B2"/>
    <w:rsid w:val="55137843"/>
    <w:rsid w:val="56A03F30"/>
    <w:rsid w:val="570554BF"/>
    <w:rsid w:val="57D23084"/>
    <w:rsid w:val="5894611B"/>
    <w:rsid w:val="58F413EF"/>
    <w:rsid w:val="5C3D04CC"/>
    <w:rsid w:val="5C5F705F"/>
    <w:rsid w:val="5F090D52"/>
    <w:rsid w:val="625260B4"/>
    <w:rsid w:val="6759506F"/>
    <w:rsid w:val="68C55184"/>
    <w:rsid w:val="6DAF561B"/>
    <w:rsid w:val="71E15407"/>
    <w:rsid w:val="77085DB4"/>
    <w:rsid w:val="7886331C"/>
    <w:rsid w:val="7D2E6DB1"/>
    <w:rsid w:val="7DEEB052"/>
    <w:rsid w:val="7F3654A2"/>
    <w:rsid w:val="7F8C7339"/>
    <w:rsid w:val="7F98422E"/>
    <w:rsid w:val="AF552590"/>
    <w:rsid w:val="BECBC52B"/>
    <w:rsid w:val="C3EA680E"/>
    <w:rsid w:val="CFBFCDA2"/>
    <w:rsid w:val="DEF46B3E"/>
    <w:rsid w:val="DFF7E97E"/>
    <w:rsid w:val="FB3E5CA1"/>
    <w:rsid w:val="FFF74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 w:hAnsi="仿宋" w:eastAsia="宋体" w:cs="Times New Roman"/>
      <w:kern w:val="2"/>
      <w:sz w:val="28"/>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afterLines="0"/>
    </w:pPr>
  </w:style>
  <w:style w:type="paragraph" w:styleId="5">
    <w:name w:val="Body Text Indent"/>
    <w:basedOn w:val="1"/>
    <w:qFormat/>
    <w:uiPriority w:val="0"/>
    <w:pPr>
      <w:spacing w:line="540" w:lineRule="exact"/>
      <w:ind w:firstLine="540"/>
    </w:pPr>
    <w:rPr>
      <w:rFonts w:ascii="方正仿宋_GB2312" w:hAnsi="等线" w:eastAsia="Times New Roman" w:cs="方正仿宋_GB2312"/>
      <w:b/>
      <w:bC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ind w:firstLine="640"/>
    </w:pPr>
    <w:rPr>
      <w:rFonts w:ascii="等线" w:eastAsia="等线" w:cs="Times New Roman"/>
    </w:rPr>
  </w:style>
  <w:style w:type="character" w:styleId="11">
    <w:name w:val="page number"/>
    <w:qFormat/>
    <w:uiPriority w:val="0"/>
    <w:rPr>
      <w:rFonts w:hint="default"/>
    </w:rPr>
  </w:style>
  <w:style w:type="paragraph" w:customStyle="1" w:styleId="12">
    <w:name w:val="表格内容"/>
    <w:basedOn w:val="4"/>
    <w:qFormat/>
    <w:uiPriority w:val="0"/>
    <w:pPr>
      <w:suppressLineNumbers/>
      <w:suppressAutoHyphens/>
      <w:jc w:val="left"/>
    </w:pPr>
    <w:rPr>
      <w:rFonts w:cs="Tahoma"/>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6826</Words>
  <Characters>6980</Characters>
  <Lines>0</Lines>
  <Paragraphs>0</Paragraphs>
  <TotalTime>24</TotalTime>
  <ScaleCrop>false</ScaleCrop>
  <LinksUpToDate>false</LinksUpToDate>
  <CharactersWithSpaces>7020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2026-01-29T23:05:00Z</dcterms:created>
  <dc:creator>肖蓉兰</dc:creator>
  <cp:lastModifiedBy>kylin</cp:lastModifiedBy>
  <cp:lastPrinted>2026-06-24T16:28:00Z</cp:lastPrinted>
  <dcterms:modified xsi:type="dcterms:W3CDTF">2026-07-08T18:04:24Z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DEB8057C846E4F2E98FF53C33E3A1B3A_11</vt:lpwstr>
  </property>
  <property fmtid="{D5CDD505-2E9C-101B-9397-08002B2CF9AE}" pid="4" name="KSOTemplateDocerSaveRecord">
    <vt:lpwstr>eyJoZGlkIjoiZWM3ZWFlMWNkMjU2N2Q1ZTIzZDE4ODg3YWUwZGUwMTUiLCJ1c2VySWQiOiIxMTg1MzgxNjQ2In0=</vt:lpwstr>
  </property>
</Properties>
</file>