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9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  <w:lang w:val="en-US" w:eastAsia="zh-CN"/>
        </w:rPr>
        <w:t>中共湖南省委金融委员会办公室</w:t>
      </w:r>
    </w:p>
    <w:p>
      <w:pPr>
        <w:widowControl/>
        <w:shd w:val="clear" w:color="auto" w:fill="FFFFFF"/>
        <w:spacing w:line="579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</w:rPr>
        <w:t>部门预算</w:t>
      </w:r>
    </w:p>
    <w:p>
      <w:pPr>
        <w:widowControl/>
        <w:spacing w:line="600" w:lineRule="exact"/>
        <w:jc w:val="center"/>
        <w:rPr>
          <w:rFonts w:hint="default" w:ascii="Times New Roman" w:hAnsi="Times New Roman" w:eastAsia="黑体" w:cs="Times New Roman"/>
          <w:bCs/>
          <w:color w:val="000000" w:themeColor="text1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default" w:ascii="Times New Roman" w:hAnsi="Times New Roman" w:eastAsia="黑体" w:cs="Times New Roman"/>
          <w:bCs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 w:val="32"/>
          <w:szCs w:val="32"/>
        </w:rPr>
        <w:t>目 录</w:t>
      </w: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bCs/>
          <w:color w:val="000000" w:themeColor="text1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方正小标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第一部分 </w:t>
      </w:r>
      <w:r>
        <w:rPr>
          <w:rFonts w:hint="default" w:ascii="Times New Roman" w:hAnsi="Times New Roman" w:eastAsia="方正小标宋_GBK" w:cs="Times New Roman"/>
          <w:b/>
          <w:bCs/>
          <w:kern w:val="0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年部门预算说明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第二部分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年部门预算表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1、收支总表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2、收入总表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3、支出总表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4、支出预算分类汇总表（按政府预算经济分类）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5、支出预算分类汇总表（按部门预算经济分类）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6、财政拨款收支总表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7、一般公共预算支出表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8、一般公共预算基本支出表-人员经费（工资福利支出）（按政府预算经济分类）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9、一般公共预算基本支出表-人员经费（工资福利支出）（按部门预算经济分类）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10、一般公共预算基本支出表-人员经费（对个人和家庭的补助）（按政府预算经济分类）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11、一般公共预算基本支出表-人员经费（对个人和家庭的补助）（按部门预算经济分类）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12、一般公共预算基本支出表-公用经费（商品和服务支出）（按政府预算经济分类）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13、一般公共预算基本支出表-公用经费（商品和服务支出）（按部门预算经济分类）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14、一般公共预算“三公”经费支出表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15、政府性基金预算支出表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16、政府性基金预算支出分类汇总表（按政府预算经济分类）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17、政府性基金预算支出分类汇总表（按部门预算经济分类）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18、国有资本经营预算支出表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19、财政专户管理资金预算支出表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20、省级专项资金预算汇总表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21、省级专项资金绩效目标表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22、其他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23、部门整体支出绩效目标表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</w:rPr>
        <w:t>注：以上部门预算报表中，空表表示本部门无相关收支情况。</w:t>
      </w:r>
    </w:p>
    <w:p>
      <w:pPr>
        <w:widowControl/>
        <w:shd w:val="clear" w:color="auto" w:fill="FFFFFF"/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</w:rPr>
      </w:pPr>
    </w:p>
    <w:p>
      <w:pPr>
        <w:widowControl/>
        <w:shd w:val="clear" w:color="auto" w:fill="FFFFFF"/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</w:rPr>
      </w:pPr>
    </w:p>
    <w:p>
      <w:pPr>
        <w:widowControl/>
        <w:shd w:val="clear" w:color="auto" w:fill="FFFFFF"/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</w:rPr>
      </w:pPr>
    </w:p>
    <w:p>
      <w:pPr>
        <w:widowControl/>
        <w:shd w:val="clear" w:color="auto" w:fill="FFFFFF"/>
        <w:spacing w:line="579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</w:rPr>
      </w:pPr>
    </w:p>
    <w:p>
      <w:pPr>
        <w:widowControl/>
        <w:shd w:val="clear" w:color="auto" w:fill="FFFFFF"/>
        <w:spacing w:line="579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</w:rPr>
      </w:pPr>
    </w:p>
    <w:p>
      <w:pPr>
        <w:widowControl/>
        <w:shd w:val="clear" w:color="auto" w:fill="FFFFFF"/>
        <w:spacing w:line="579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</w:rPr>
        <w:t xml:space="preserve">第一部分  </w:t>
      </w:r>
      <w:r>
        <w:rPr>
          <w:rFonts w:hint="default" w:ascii="Times New Roman" w:hAnsi="Times New Roman" w:eastAsia="方正小标宋_GBK" w:cs="Times New Roman"/>
          <w:bCs/>
          <w:color w:val="000000" w:themeColor="text1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Cs/>
          <w:color w:val="000000" w:themeColor="text1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Cs/>
          <w:color w:val="000000" w:themeColor="text1"/>
          <w:kern w:val="0"/>
          <w:sz w:val="44"/>
          <w:szCs w:val="44"/>
        </w:rPr>
        <w:t>年部门预算说明</w:t>
      </w:r>
    </w:p>
    <w:p>
      <w:pPr>
        <w:widowControl/>
        <w:shd w:val="clear" w:color="auto" w:fill="FFFFFF"/>
        <w:spacing w:line="579" w:lineRule="exact"/>
        <w:rPr>
          <w:rFonts w:hint="default" w:ascii="Times New Roman" w:hAnsi="Times New Roman" w:eastAsia="微软雅黑" w:cs="Times New Roman"/>
          <w:color w:val="000000" w:themeColor="text1"/>
          <w:kern w:val="0"/>
          <w:szCs w:val="21"/>
        </w:rPr>
      </w:pPr>
      <w:r>
        <w:rPr>
          <w:rFonts w:hint="default" w:ascii="Times New Roman" w:hAnsi="Times New Roman" w:eastAsia="微软雅黑" w:cs="Times New Roman"/>
          <w:color w:val="000000" w:themeColor="text1"/>
          <w:kern w:val="0"/>
          <w:szCs w:val="21"/>
        </w:rPr>
        <w:t>　 </w:t>
      </w:r>
    </w:p>
    <w:p>
      <w:pPr>
        <w:widowControl/>
        <w:shd w:val="clear" w:color="auto" w:fill="FFFFFF"/>
        <w:spacing w:line="579" w:lineRule="exact"/>
        <w:rPr>
          <w:rFonts w:hint="default" w:ascii="Times New Roman" w:hAnsi="Times New Roman" w:eastAsia="微软雅黑" w:cs="Times New Roman"/>
          <w:color w:val="000000" w:themeColor="text1"/>
          <w:kern w:val="0"/>
          <w:szCs w:val="21"/>
        </w:rPr>
      </w:pPr>
      <w:r>
        <w:rPr>
          <w:rFonts w:hint="default" w:ascii="Times New Roman" w:hAnsi="Times New Roman" w:eastAsia="微软雅黑" w:cs="Times New Roman"/>
          <w:color w:val="000000" w:themeColor="text1"/>
          <w:kern w:val="0"/>
          <w:szCs w:val="21"/>
        </w:rPr>
        <w:t> </w:t>
      </w:r>
      <w:r>
        <w:rPr>
          <w:rFonts w:hint="default" w:ascii="Times New Roman" w:hAnsi="Times New Roman" w:eastAsia="微软雅黑" w:cs="Times New Roman"/>
          <w:color w:val="000000" w:themeColor="text1"/>
          <w:kern w:val="0"/>
        </w:rPr>
        <w:t> 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</w:rPr>
        <w:t>一、部门基本概况</w:t>
      </w:r>
    </w:p>
    <w:p>
      <w:pPr>
        <w:widowControl/>
        <w:shd w:val="clear" w:color="auto" w:fill="FFFFFF"/>
        <w:spacing w:line="579" w:lineRule="exact"/>
        <w:ind w:firstLine="420"/>
        <w:rPr>
          <w:rFonts w:hint="default" w:ascii="Times New Roman" w:hAnsi="Times New Roman" w:eastAsia="楷体_GB2312" w:cs="Times New Roman"/>
          <w:bCs/>
          <w:color w:val="000000" w:themeColor="text1"/>
          <w:kern w:val="0"/>
          <w:sz w:val="32"/>
        </w:rPr>
      </w:pPr>
      <w:r>
        <w:rPr>
          <w:rFonts w:hint="default" w:ascii="Times New Roman" w:hAnsi="Times New Roman" w:eastAsia="楷体_GB2312" w:cs="Times New Roman"/>
          <w:bCs/>
          <w:color w:val="000000" w:themeColor="text1"/>
          <w:kern w:val="0"/>
          <w:sz w:val="32"/>
        </w:rPr>
        <w:t>（一）职能职责</w:t>
      </w:r>
    </w:p>
    <w:p>
      <w:pPr>
        <w:widowControl/>
        <w:shd w:val="clear" w:color="auto" w:fill="FFFFFF"/>
        <w:spacing w:line="579" w:lineRule="exact"/>
        <w:ind w:firstLine="420"/>
        <w:rPr>
          <w:rFonts w:hint="default" w:ascii="Times New Roman" w:hAnsi="Times New Roman" w:eastAsia="楷体_GB2312" w:cs="Times New Roman"/>
          <w:color w:val="000000" w:themeColor="text1"/>
          <w:kern w:val="0"/>
          <w:szCs w:val="21"/>
        </w:rPr>
      </w:pPr>
      <w:r>
        <w:rPr>
          <w:rFonts w:hint="default" w:ascii="Times New Roman" w:hAnsi="Times New Roman" w:eastAsia="楷体_GB2312" w:cs="Times New Roman"/>
          <w:bCs/>
          <w:color w:val="000000" w:themeColor="text1"/>
          <w:kern w:val="0"/>
          <w:sz w:val="32"/>
        </w:rPr>
        <w:t>（二）机构设置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根据《省委办公厅关于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印发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"/>
        </w:rPr>
        <w:t>省委金融办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省委金融工委职能配置内设机构等规定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的通知》，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省委金融办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系财政全额拨款的正厅级行政单位，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下设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个内设机构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分别为综合处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政策研究室（法规处）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协调一处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协调二处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风险防控一处、风险防控二处、组织处、督查指导处、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监管一处、监管二处和机关党委（人事处）。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另设正处级公益一类直属事业单位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省委金融办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信息中心。</w:t>
      </w:r>
    </w:p>
    <w:p>
      <w:pPr>
        <w:widowControl/>
        <w:shd w:val="clear" w:color="auto" w:fill="FFFFFF"/>
        <w:spacing w:line="579" w:lineRule="exact"/>
        <w:rPr>
          <w:rFonts w:hint="default" w:ascii="Times New Roman" w:hAnsi="Times New Roman" w:eastAsia="黑体" w:cs="Times New Roman"/>
          <w:color w:val="000000" w:themeColor="text1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　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</w:rPr>
        <w:t>　二、部门预算单位构成</w:t>
      </w:r>
    </w:p>
    <w:p>
      <w:pPr>
        <w:widowControl/>
        <w:shd w:val="clear" w:color="auto" w:fill="FFFFFF"/>
        <w:spacing w:line="579" w:lineRule="exact"/>
        <w:rPr>
          <w:rFonts w:hint="default" w:ascii="Times New Roman" w:hAnsi="Times New Roman" w:eastAsia="仿宋_GB2312" w:cs="Times New Roman"/>
          <w:color w:val="000000" w:themeColor="text1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"/>
        </w:rPr>
        <w:t>省委金融办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只有本级，没有其他预算单位，因此本部门预算仅含本级预算。</w:t>
      </w:r>
    </w:p>
    <w:p>
      <w:pPr>
        <w:pStyle w:val="6"/>
        <w:shd w:val="clear" w:color="auto" w:fill="FFFFFF"/>
        <w:spacing w:before="0" w:beforeAutospacing="0" w:after="0" w:afterAutospacing="0" w:line="579" w:lineRule="exact"/>
        <w:jc w:val="both"/>
        <w:rPr>
          <w:rFonts w:hint="default" w:ascii="Times New Roman" w:hAnsi="Times New Roman" w:eastAsia="微软雅黑" w:cs="Times New Roman"/>
          <w:color w:val="000000" w:themeColor="text1"/>
          <w:sz w:val="21"/>
          <w:szCs w:val="21"/>
        </w:rPr>
      </w:pPr>
      <w:r>
        <w:rPr>
          <w:rFonts w:hint="default" w:ascii="Times New Roman" w:hAnsi="Times New Roman" w:eastAsia="新宋体" w:cs="Times New Roman"/>
          <w:color w:val="000000" w:themeColor="text1"/>
          <w:sz w:val="32"/>
          <w:szCs w:val="32"/>
        </w:rPr>
        <w:t xml:space="preserve">　  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>三、部门收支总体情况</w:t>
      </w:r>
    </w:p>
    <w:p>
      <w:pPr>
        <w:pStyle w:val="6"/>
        <w:shd w:val="clear" w:color="auto" w:fill="FFFFFF"/>
        <w:spacing w:before="0" w:beforeAutospacing="0" w:after="0" w:afterAutospacing="0" w:line="579" w:lineRule="exact"/>
        <w:ind w:firstLine="630"/>
        <w:jc w:val="both"/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</w:rPr>
        <w:t>（一）收入预算。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包括一般公共预算、政府性基金、国有资本经营预算等财政拨款收入，以及经营收入、事业收入和上年结转结余等单位资金。202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年本部门收入预算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4026.69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万元，其中：本年一般公共预算拨款收入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3852.59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万元，政府性基金预算拨款收入0万元，国有资本经营预算拨款收入0万元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纳入专户管理的非税收入0万元，上年结转结余一般公共预算拨款收入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174.10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万元。收入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预算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较去年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1028.5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主要增加了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减少了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内容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</w:rPr>
        <w:t>是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  <w:lang w:eastAsia="zh-CN"/>
        </w:rPr>
        <w:t>增加新录用公务员人员经费预算174.5万元；二是增加全省金融干部培训经费200万元；三是离退休人员减员核减预算3.5万元；四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</w:rPr>
        <w:t>是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  <w:lang w:eastAsia="zh-CN"/>
        </w:rPr>
        <w:t>减少省地方金融风险监测预警平台项目建设工程款预算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  <w:lang w:val="en-US" w:eastAsia="zh-CN"/>
        </w:rPr>
        <w:t>1392万元；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  <w:lang w:val="en-US" w:eastAsia="zh-CN"/>
        </w:rPr>
        <w:t>是上年结转结余一般公共预算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  <w:lang w:val="en-US" w:eastAsia="zh-CN"/>
        </w:rPr>
        <w:t>较202</w:t>
      </w:r>
      <w:r>
        <w:rPr>
          <w:rFonts w:hint="eastAsia" w:ascii="Times New Roman" w:hAnsi="Times New Roman" w:eastAsia="仿宋_GB2312" w:cs="Times New Roman"/>
          <w:color w:val="auto"/>
          <w:w w:val="98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  <w:lang w:val="en-US" w:eastAsia="zh-CN"/>
        </w:rPr>
        <w:t>减少7.5万元。</w:t>
      </w:r>
    </w:p>
    <w:p>
      <w:pPr>
        <w:pStyle w:val="6"/>
        <w:shd w:val="clear" w:color="auto" w:fill="FFFFFF"/>
        <w:spacing w:before="0" w:beforeAutospacing="0" w:after="0" w:afterAutospacing="0" w:line="579" w:lineRule="exact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 </w:t>
      </w:r>
      <w:r>
        <w:rPr>
          <w:rFonts w:hint="default" w:ascii="Times New Roman" w:hAnsi="Times New Roman" w:eastAsia="楷体_GB2312" w:cs="Times New Roman"/>
          <w:b/>
          <w:color w:val="000000" w:themeColor="text1"/>
          <w:sz w:val="32"/>
          <w:szCs w:val="32"/>
        </w:rPr>
        <w:t xml:space="preserve">  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</w:rPr>
        <w:t>（二）支出预算。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年本部门支出预算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4026.69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其中，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教育支出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314万元、文化旅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游体育与传媒支出305万元、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社会保障和就业支出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411.5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万元、金融支出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2836.19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万元、住房保障支出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160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支出较去年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1028.5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万元，主要由以下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项组成：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一是减少一般公共服务支出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1.45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金融支出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196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7.95万元，主要是减少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省地方金融风险监测预警平台项目建设工程款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1392万元；三是增加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教育支出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314万元；四是增加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文化旅游体育与传媒支出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305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；五是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增加社会保障和就业支出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303.5万元；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住房保障支出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18.4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579" w:lineRule="exact"/>
        <w:ind w:firstLine="640" w:firstLineChars="200"/>
        <w:jc w:val="both"/>
        <w:rPr>
          <w:rFonts w:hint="default" w:ascii="Times New Roman" w:hAnsi="Times New Roman" w:eastAsia="微软雅黑" w:cs="Times New Roman"/>
          <w:color w:val="000000" w:themeColor="text1"/>
          <w:sz w:val="21"/>
          <w:szCs w:val="21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>四、一般公共预算拨款支出</w:t>
      </w:r>
    </w:p>
    <w:p>
      <w:pPr>
        <w:pStyle w:val="6"/>
        <w:shd w:val="clear" w:color="auto" w:fill="FFFFFF"/>
        <w:spacing w:before="0" w:beforeAutospacing="0" w:after="0" w:afterAutospacing="0" w:line="579" w:lineRule="exact"/>
        <w:ind w:firstLine="640"/>
        <w:jc w:val="both"/>
        <w:rPr>
          <w:rFonts w:hint="default" w:ascii="Times New Roman" w:hAnsi="Times New Roman" w:eastAsia="仿宋_GB2312" w:cs="Times New Roman"/>
          <w:color w:val="000000" w:themeColor="text1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年本部门一般公共预算拨款支出预算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4026.69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万元，其中，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教育支出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314万元，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7.80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文化旅游体育与传媒支出305万元，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7.57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%；社会保障和就业支出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411.5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10.22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金融支出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2836.19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70.44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%；住房保障支出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160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3.97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具体安排情况如下：</w:t>
      </w:r>
    </w:p>
    <w:p>
      <w:pPr>
        <w:pStyle w:val="6"/>
        <w:shd w:val="clear" w:color="auto" w:fill="FFFFFF"/>
        <w:spacing w:before="0" w:beforeAutospacing="0" w:after="0" w:afterAutospacing="0" w:line="579" w:lineRule="exact"/>
        <w:jc w:val="both"/>
        <w:rPr>
          <w:rFonts w:hint="default" w:ascii="Times New Roman" w:hAnsi="Times New Roman" w:eastAsia="仿宋_GB2312" w:cs="Times New Roman"/>
          <w:color w:val="000000" w:themeColor="text1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　　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</w:rPr>
        <w:t>（一）基本支出。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年本部门基本支出预算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2343.5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58.20%，主要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是保障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机关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正常运转、完成日常工作任务而发生的各项支出，包括用于基本工资、津贴补贴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、对个人和家庭补助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等人员经费以及办公费、印刷费、水电费、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差旅费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等公用经费。</w:t>
      </w:r>
    </w:p>
    <w:p>
      <w:pPr>
        <w:pStyle w:val="6"/>
        <w:shd w:val="clear" w:color="auto" w:fill="FFFFFF"/>
        <w:spacing w:before="0" w:beforeAutospacing="0" w:after="0" w:afterAutospacing="0" w:line="579" w:lineRule="exact"/>
        <w:ind w:firstLine="689"/>
        <w:jc w:val="both"/>
        <w:rPr>
          <w:rFonts w:hint="default" w:ascii="Times New Roman" w:hAnsi="Times New Roman" w:eastAsia="仿宋_GB2312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</w:rPr>
        <w:t>（二）项目支出。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年本部门项目支出预算数为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1683.19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41.80%，主要是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机关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为完成特定工作任务或事业发展目标而发生的支出，包括业务工作经费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运行维护经费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和事业发展经费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。其中：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金融监管事业发展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818.80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万元，主要用于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金融干部培训、湖南金融宣传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和省地方金融监测预警平台数据购置及等级测试等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方面；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金融监管业务工作经费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709.35万元，主要用于地方金融风险防范、地方金融风险监管业务工作支出等方面；金融监管系统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运行维护经费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155.04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万元，主要用于省地方金融征信与监管服务平台运行维护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>五、政府性基金预算支出</w:t>
      </w:r>
    </w:p>
    <w:p>
      <w:pPr>
        <w:pStyle w:val="6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本部门202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年无政府性基金安排的支出。</w:t>
      </w:r>
    </w:p>
    <w:p>
      <w:pPr>
        <w:pStyle w:val="6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hint="default" w:ascii="Times New Roman" w:hAnsi="Times New Roman" w:eastAsia="黑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六、其他重要事项的情况说明</w:t>
      </w:r>
    </w:p>
    <w:p>
      <w:pPr>
        <w:pStyle w:val="6"/>
        <w:shd w:val="clear" w:color="auto" w:fill="FFFFFF"/>
        <w:spacing w:before="0" w:beforeAutospacing="0" w:after="0" w:afterAutospacing="0" w:line="579" w:lineRule="exact"/>
        <w:jc w:val="both"/>
        <w:rPr>
          <w:rFonts w:hint="default" w:ascii="Times New Roman" w:hAnsi="Times New Roman" w:eastAsia="仿宋_GB2312" w:cs="Times New Roman"/>
          <w:color w:val="000000" w:themeColor="text1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　　</w:t>
      </w:r>
      <w:r>
        <w:rPr>
          <w:rStyle w:val="9"/>
          <w:rFonts w:hint="default" w:ascii="Times New Roman" w:hAnsi="Times New Roman" w:eastAsia="楷体_GB2312" w:cs="Times New Roman"/>
          <w:b w:val="0"/>
          <w:color w:val="000000" w:themeColor="text1"/>
          <w:sz w:val="32"/>
          <w:szCs w:val="32"/>
        </w:rPr>
        <w:t>（一）机关运行经费</w:t>
      </w:r>
      <w:r>
        <w:rPr>
          <w:rFonts w:hint="default" w:ascii="Times New Roman" w:hAnsi="Times New Roman" w:eastAsia="楷体_GB2312" w:cs="Times New Roman"/>
          <w:b/>
          <w:color w:val="000000" w:themeColor="text1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年本部门机关运行经费预算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385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万元，比202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此项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预算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5.77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主要是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机构改革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" w:eastAsia="zh-CN"/>
        </w:rPr>
        <w:t>后机构编制人数增加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" w:eastAsia="zh-CN"/>
        </w:rPr>
        <w:t>机关运行经费预算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增加了水电费、其他交通费和其他商品服务支出预算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。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color w:val="FF0000"/>
          <w:w w:val="98"/>
          <w:sz w:val="32"/>
          <w:szCs w:val="32"/>
          <w:lang w:val="en-US" w:eastAsia="zh-CN"/>
        </w:rPr>
      </w:pPr>
      <w:r>
        <w:rPr>
          <w:rStyle w:val="9"/>
          <w:rFonts w:hint="default" w:ascii="Times New Roman" w:hAnsi="Times New Roman" w:eastAsia="楷体_GB2312" w:cs="Times New Roman"/>
          <w:b w:val="0"/>
          <w:color w:val="000000" w:themeColor="text1"/>
          <w:sz w:val="32"/>
          <w:szCs w:val="32"/>
        </w:rPr>
        <w:t>（二）“三公”经费预算</w:t>
      </w:r>
      <w:r>
        <w:rPr>
          <w:rFonts w:hint="default" w:ascii="Times New Roman" w:hAnsi="Times New Roman" w:eastAsia="楷体_GB2312" w:cs="Times New Roman"/>
          <w:b/>
          <w:color w:val="000000" w:themeColor="text1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w w:val="98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本部门</w:t>
      </w:r>
      <w:r>
        <w:rPr>
          <w:rFonts w:hint="default" w:ascii="Times New Roman" w:hAnsi="Times New Roman" w:eastAsia="仿宋_GB2312" w:cs="Times New Roman"/>
          <w:color w:val="000000" w:themeColor="text1"/>
          <w:w w:val="98"/>
          <w:sz w:val="32"/>
          <w:szCs w:val="32"/>
        </w:rPr>
        <w:t>“三公经费”支出预算为</w:t>
      </w:r>
      <w:r>
        <w:rPr>
          <w:rFonts w:hint="default" w:ascii="Times New Roman" w:hAnsi="Times New Roman" w:eastAsia="仿宋_GB2312" w:cs="Times New Roman"/>
          <w:color w:val="000000" w:themeColor="text1"/>
          <w:w w:val="98"/>
          <w:sz w:val="32"/>
          <w:szCs w:val="32"/>
          <w:lang w:val="en-US" w:eastAsia="zh-CN"/>
        </w:rPr>
        <w:t>66</w:t>
      </w:r>
      <w:r>
        <w:rPr>
          <w:rFonts w:hint="default" w:ascii="Times New Roman" w:hAnsi="Times New Roman" w:eastAsia="仿宋_GB2312" w:cs="Times New Roman"/>
          <w:color w:val="000000" w:themeColor="text1"/>
          <w:w w:val="98"/>
          <w:sz w:val="32"/>
          <w:szCs w:val="32"/>
        </w:rPr>
        <w:t>万元，其中公务接待费预算</w:t>
      </w:r>
      <w:r>
        <w:rPr>
          <w:rFonts w:hint="default" w:ascii="Times New Roman" w:hAnsi="Times New Roman" w:eastAsia="仿宋_GB2312" w:cs="Times New Roman"/>
          <w:color w:val="000000" w:themeColor="text1"/>
          <w:w w:val="98"/>
          <w:sz w:val="32"/>
          <w:szCs w:val="32"/>
          <w:lang w:val="en-US" w:eastAsia="zh-CN"/>
        </w:rPr>
        <w:t>2.5</w:t>
      </w:r>
      <w:r>
        <w:rPr>
          <w:rFonts w:hint="default" w:ascii="Times New Roman" w:hAnsi="Times New Roman" w:eastAsia="仿宋_GB2312" w:cs="Times New Roman"/>
          <w:color w:val="000000" w:themeColor="text1"/>
          <w:w w:val="98"/>
          <w:sz w:val="32"/>
          <w:szCs w:val="32"/>
        </w:rPr>
        <w:t>万元，公务用车购置及运行维护费预算</w:t>
      </w:r>
      <w:r>
        <w:rPr>
          <w:rFonts w:hint="default" w:ascii="Times New Roman" w:hAnsi="Times New Roman" w:eastAsia="仿宋_GB2312" w:cs="Times New Roman"/>
          <w:color w:val="000000" w:themeColor="text1"/>
          <w:w w:val="98"/>
          <w:sz w:val="32"/>
          <w:szCs w:val="32"/>
          <w:lang w:val="en-US" w:eastAsia="zh-CN"/>
        </w:rPr>
        <w:t>51.5</w:t>
      </w:r>
      <w:r>
        <w:rPr>
          <w:rFonts w:hint="default" w:ascii="Times New Roman" w:hAnsi="Times New Roman" w:eastAsia="仿宋_GB2312" w:cs="Times New Roman"/>
          <w:color w:val="000000" w:themeColor="text1"/>
          <w:w w:val="98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（其中，公务用车购置费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0万元，公务用车运行维护费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21.5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万元）</w:t>
      </w:r>
      <w:r>
        <w:rPr>
          <w:rFonts w:hint="default" w:ascii="Times New Roman" w:hAnsi="Times New Roman" w:eastAsia="仿宋_GB2312" w:cs="Times New Roman"/>
          <w:color w:val="000000" w:themeColor="text1"/>
          <w:w w:val="98"/>
          <w:sz w:val="32"/>
          <w:szCs w:val="32"/>
        </w:rPr>
        <w:t>，因公出国（境）费预算</w:t>
      </w:r>
      <w:r>
        <w:rPr>
          <w:rFonts w:hint="default" w:ascii="Times New Roman" w:hAnsi="Times New Roman" w:eastAsia="仿宋_GB2312" w:cs="Times New Roman"/>
          <w:color w:val="000000" w:themeColor="text1"/>
          <w:w w:val="98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000000" w:themeColor="text1"/>
          <w:w w:val="98"/>
          <w:sz w:val="32"/>
          <w:szCs w:val="32"/>
        </w:rPr>
        <w:t>万元。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w w:val="98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“三公”经费预算较202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持平，</w:t>
      </w:r>
      <w:r>
        <w:rPr>
          <w:rFonts w:hint="default" w:ascii="Times New Roman" w:hAnsi="Times New Roman" w:eastAsia="仿宋_GB2312" w:cs="Times New Roman"/>
          <w:color w:val="000000" w:themeColor="text1"/>
          <w:w w:val="98"/>
          <w:sz w:val="32"/>
          <w:szCs w:val="32"/>
          <w:lang w:eastAsia="zh-CN"/>
        </w:rPr>
        <w:t>主要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  <w:lang w:eastAsia="zh-CN"/>
        </w:rPr>
        <w:t>为：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</w:rPr>
        <w:t>公务用车购置及运行维护费预算较上年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  <w:lang w:val="en-US" w:eastAsia="zh-CN"/>
        </w:rPr>
        <w:t>17.5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  <w:lang w:val="en-US" w:eastAsia="zh-CN"/>
        </w:rPr>
        <w:t>51.47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</w:rPr>
        <w:t>%，原因是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  <w:lang w:val="en-US" w:eastAsia="zh-CN"/>
        </w:rPr>
        <w:t>2025年办机关新增2辆公务用车预算30万元；二是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</w:rPr>
        <w:t>公务接待费预算较上年减少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  <w:lang w:val="en-US" w:eastAsia="zh-CN"/>
        </w:rPr>
        <w:t>11.5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</w:rPr>
        <w:t>万元，降幅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  <w:lang w:val="en-US" w:eastAsia="zh-CN"/>
        </w:rPr>
        <w:t>82.14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</w:rPr>
        <w:t>因公出国（境）费预算较上年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  <w:lang w:eastAsia="zh-CN"/>
        </w:rPr>
        <w:t>，降幅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  <w:lang w:val="en-US" w:eastAsia="zh-CN"/>
        </w:rPr>
        <w:t>33.33%，两项经费预算大幅下降，原因是根据预算编制中“三公”经费总量“只减不增”的要求，办机关新增2辆公务用车购车预算从公务接待</w:t>
      </w:r>
      <w:r>
        <w:rPr>
          <w:rFonts w:hint="default" w:ascii="Times New Roman" w:hAnsi="Times New Roman" w:eastAsia="仿宋_GB2312" w:cs="Times New Roman"/>
          <w:color w:val="000000" w:themeColor="text1"/>
          <w:w w:val="98"/>
          <w:sz w:val="32"/>
          <w:szCs w:val="32"/>
        </w:rPr>
        <w:t>费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</w:rPr>
        <w:t>因公出国（境）费预算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  <w:lang w:eastAsia="zh-CN"/>
        </w:rPr>
        <w:t>中进行调剂。</w:t>
      </w:r>
    </w:p>
    <w:p>
      <w:pPr>
        <w:pStyle w:val="6"/>
        <w:shd w:val="clear" w:color="auto" w:fill="FFFFFF"/>
        <w:spacing w:before="0" w:beforeAutospacing="0" w:after="0" w:afterAutospacing="0" w:line="579" w:lineRule="exact"/>
        <w:ind w:firstLine="630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</w:rPr>
        <w:t>（三）一般性支出情况。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年本部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门会议费预算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20.50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万元，拟召开地方金融组织接入省信用信息共享平台动员会议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、湖南省防范化解金融风险问责工作座谈会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等，预计参会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主要内容是总结推动地方金融组织接入省信用信息共享平台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"/>
        </w:rPr>
        <w:t>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座谈交流我省防范化解金融风险问责工作机制等。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培训费预算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345.85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拟开展全省金融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干部培训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、中小金融机构风险处置培训班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、上市专题培训、上市公司董监高培训、融资租赁、商业保理公司监管培训、地方金融组织监管培训、非法集资案件风险处置工作培训、全省地方金融系统兼职通讯员培训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等，预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算培训人数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人，主要内容为对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全省金融系统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"/>
        </w:rPr>
        <w:t>领导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干部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"/>
        </w:rPr>
        <w:t>、省属金融企业相关部门负责人和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省内上市企业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高层干部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"/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进行业务知识培训。未计划举办节庆、晚会、论坛、赛事等活动。</w:t>
      </w:r>
    </w:p>
    <w:p>
      <w:pPr>
        <w:pStyle w:val="6"/>
        <w:shd w:val="clear" w:color="auto" w:fill="FFFFFF"/>
        <w:spacing w:before="0" w:beforeAutospacing="0" w:after="0" w:afterAutospacing="0" w:line="579" w:lineRule="exact"/>
        <w:jc w:val="both"/>
        <w:rPr>
          <w:rFonts w:hint="default" w:ascii="Times New Roman" w:hAnsi="Times New Roman" w:eastAsia="仿宋_GB2312" w:cs="Times New Roman"/>
          <w:color w:val="000000" w:themeColor="text1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　　</w:t>
      </w:r>
      <w:r>
        <w:rPr>
          <w:rStyle w:val="9"/>
          <w:rFonts w:hint="default" w:ascii="Times New Roman" w:hAnsi="Times New Roman" w:eastAsia="楷体_GB2312" w:cs="Times New Roman"/>
          <w:b w:val="0"/>
          <w:color w:val="000000" w:themeColor="text1"/>
          <w:sz w:val="32"/>
          <w:szCs w:val="32"/>
        </w:rPr>
        <w:t>（四）政府采购预算。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年本部门政府采购预算总额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1086.5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万元，其中：政府采购货物预算0万元、政府采购工程预算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万元、政府采购服务预算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1086.5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万元。</w:t>
      </w:r>
    </w:p>
    <w:p>
      <w:pPr>
        <w:widowControl/>
        <w:spacing w:line="579" w:lineRule="exact"/>
        <w:ind w:firstLine="660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</w:rPr>
        <w:t>（五）国有资产占用使用及新增资产配置情况。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</w:rPr>
        <w:t>目前，本部门实际共有车辆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</w:rPr>
        <w:t>辆，其中：领导干部用车1辆，一般公务用车5辆（包括信息中心1辆），一般执法执勤用车0辆，特种专业技术用车0辆，其他用车0辆。单位价值50万元以上通用设备0台，单位价值100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</w:rPr>
        <w:t>以上专用设备0台。2025年拟新增配置公务用车2辆，其中：领导干部用车0辆，一般公务用车2辆，一般执法执勤用车0辆，特种专业技术用车0辆，其他用车0辆。单位价值50万元以上通用设备0台，单位价值100万元以上专用设备0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</w:rPr>
        <w:t>（六）预算绩效目标说明。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本部门所有支出实行绩效目标管理。纳入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年部门整体支出绩效目标的金额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3852.59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（不含上年结转经费）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，其中，基本支出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2343.5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项目支出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1509.09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具体绩效目标详见报表。</w:t>
      </w:r>
    </w:p>
    <w:p>
      <w:pPr>
        <w:widowControl/>
        <w:spacing w:line="579" w:lineRule="exact"/>
        <w:ind w:firstLine="66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>七、名词解释</w:t>
      </w:r>
    </w:p>
    <w:p>
      <w:pPr>
        <w:widowControl/>
        <w:spacing w:line="579" w:lineRule="exact"/>
        <w:ind w:firstLine="66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widowControl/>
        <w:spacing w:line="579" w:lineRule="exact"/>
        <w:ind w:firstLine="66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2、“三公”经费：纳入省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pStyle w:val="6"/>
        <w:shd w:val="clear" w:color="auto" w:fill="FFFFFF"/>
        <w:spacing w:before="0" w:beforeAutospacing="0" w:after="0" w:afterAutospacing="0" w:line="600" w:lineRule="exact"/>
        <w:rPr>
          <w:rFonts w:hint="default" w:ascii="Times New Roman" w:hAnsi="Times New Roman" w:eastAsia="仿宋_GB2312" w:cs="Times New Roman"/>
          <w:color w:val="000000" w:themeColor="text1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600" w:lineRule="exact"/>
        <w:rPr>
          <w:rFonts w:hint="default" w:ascii="Times New Roman" w:hAnsi="Times New Roman" w:eastAsia="仿宋_GB2312" w:cs="Times New Roman"/>
          <w:color w:val="000000" w:themeColor="text1"/>
          <w:sz w:val="21"/>
          <w:szCs w:val="21"/>
        </w:rPr>
      </w:pP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color w:val="000000" w:themeColor="text1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</w:rPr>
        <w:t xml:space="preserve">第二部分  </w:t>
      </w:r>
      <w:r>
        <w:rPr>
          <w:rFonts w:hint="default" w:ascii="Times New Roman" w:hAnsi="Times New Roman" w:eastAsia="方正小标宋_GBK" w:cs="Times New Roman"/>
          <w:bCs/>
          <w:color w:val="000000" w:themeColor="text1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bCs/>
          <w:color w:val="000000" w:themeColor="text1"/>
          <w:kern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Cs/>
          <w:color w:val="000000" w:themeColor="text1"/>
          <w:kern w:val="0"/>
          <w:sz w:val="36"/>
          <w:szCs w:val="36"/>
        </w:rPr>
        <w:t>年部门预算表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1、收支总表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2、收入总表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3、支出总表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4、支出预算分类汇总表（按政府预算经济分类）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5、支出预算分类汇总表（按部门预算经济分类）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6、财政拨款收支总表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7、一般公共预算支出表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8、一般公共预算基本支出表-人员经费（工资福利支出）（按政府预算经济分类）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9、一般公共预算基本支出表-人员经费（工资福利支出）（按部门预算经济分类）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10、一般公共预算基本支出表-人员经费（对个人和家庭的补助）（按政府预算经济分类）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11、一般公共预算基本支出表-人员经费（对个人和家庭的补助）（按部门预算经济分类）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12、一般公共预算基本支出表-公用经费（商品和服务支出）（按政府预算经济分类）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13、一般公共预算基本支出表-公用经费（商品和服务支出）（按部门预算经济分类）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14、一般公共预算“三公”经费支出表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15、政府性基金预算支出表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16、政府性基金预算支出分类汇总表（按政府预算经济分类）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17、政府性基金预算支出分类汇总表（按部门预算经济分类）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18、国有资本经营预算支出表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19、财政专户管理资金预算支出表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20、省级专项资金预算汇总表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21、省级专项资金绩效目标表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22、其他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资金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绩效目标表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23、部门整体支出绩效目标表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</w:rPr>
        <w:t>注：以上部门预算报表中，空表表示本部门无相关收支情况。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600" w:lineRule="exact"/>
        <w:ind w:firstLine="630"/>
        <w:rPr>
          <w:rFonts w:hint="default" w:ascii="Times New Roman" w:hAnsi="Times New Roman" w:eastAsia="仿宋_GB2312" w:cs="Times New Roman"/>
          <w:color w:val="000000" w:themeColor="text1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600" w:lineRule="exact"/>
        <w:ind w:firstLine="480" w:firstLineChars="15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1315775"/>
                  <w:docPartObj>
                    <w:docPartGallery w:val="autotext"/>
                  </w:docPartObj>
                </w:sdtPr>
                <w:sdtEndP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sdtEndPr>
                <w:sdtContent>
                  <w:p>
                    <w:pPr>
                      <w:pStyle w:val="5"/>
                      <w:jc w:val="right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sdtContent>
              </w:sdt>
              <w:p>
                <w:pPr>
                  <w:pStyle w:val="2"/>
                </w:pPr>
              </w:p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729C"/>
    <w:rsid w:val="000058D0"/>
    <w:rsid w:val="0001104A"/>
    <w:rsid w:val="00021900"/>
    <w:rsid w:val="00023013"/>
    <w:rsid w:val="00024C53"/>
    <w:rsid w:val="0004622E"/>
    <w:rsid w:val="000502FA"/>
    <w:rsid w:val="00056539"/>
    <w:rsid w:val="0005741D"/>
    <w:rsid w:val="0006619A"/>
    <w:rsid w:val="00067D45"/>
    <w:rsid w:val="00085723"/>
    <w:rsid w:val="000A0F73"/>
    <w:rsid w:val="000A1CE3"/>
    <w:rsid w:val="000A7E75"/>
    <w:rsid w:val="000B73FA"/>
    <w:rsid w:val="000B7DA5"/>
    <w:rsid w:val="000F0540"/>
    <w:rsid w:val="00112615"/>
    <w:rsid w:val="00131193"/>
    <w:rsid w:val="0015688D"/>
    <w:rsid w:val="00174BD8"/>
    <w:rsid w:val="0019160C"/>
    <w:rsid w:val="001B717F"/>
    <w:rsid w:val="001C27DE"/>
    <w:rsid w:val="001E3129"/>
    <w:rsid w:val="001F60EE"/>
    <w:rsid w:val="00200DDA"/>
    <w:rsid w:val="00201E97"/>
    <w:rsid w:val="00202D88"/>
    <w:rsid w:val="0021048D"/>
    <w:rsid w:val="00211646"/>
    <w:rsid w:val="00215D40"/>
    <w:rsid w:val="00222100"/>
    <w:rsid w:val="00243838"/>
    <w:rsid w:val="0026216E"/>
    <w:rsid w:val="002811D6"/>
    <w:rsid w:val="00294640"/>
    <w:rsid w:val="002B798C"/>
    <w:rsid w:val="002C1D2C"/>
    <w:rsid w:val="002C4CBA"/>
    <w:rsid w:val="002D581D"/>
    <w:rsid w:val="002F1A0B"/>
    <w:rsid w:val="003230FA"/>
    <w:rsid w:val="0032403B"/>
    <w:rsid w:val="003244BA"/>
    <w:rsid w:val="00351F04"/>
    <w:rsid w:val="00375448"/>
    <w:rsid w:val="0039729C"/>
    <w:rsid w:val="003A101E"/>
    <w:rsid w:val="003A4A4F"/>
    <w:rsid w:val="003B068E"/>
    <w:rsid w:val="003B2E46"/>
    <w:rsid w:val="003C0FAE"/>
    <w:rsid w:val="003D065D"/>
    <w:rsid w:val="003D1137"/>
    <w:rsid w:val="003E7FB2"/>
    <w:rsid w:val="004047BF"/>
    <w:rsid w:val="004110CD"/>
    <w:rsid w:val="004219C0"/>
    <w:rsid w:val="00432E10"/>
    <w:rsid w:val="00465460"/>
    <w:rsid w:val="00491AE2"/>
    <w:rsid w:val="004A5EC8"/>
    <w:rsid w:val="004B55E1"/>
    <w:rsid w:val="004E02CF"/>
    <w:rsid w:val="004F5596"/>
    <w:rsid w:val="0050266D"/>
    <w:rsid w:val="00502D43"/>
    <w:rsid w:val="0050701A"/>
    <w:rsid w:val="00515199"/>
    <w:rsid w:val="0052508B"/>
    <w:rsid w:val="00544041"/>
    <w:rsid w:val="00547532"/>
    <w:rsid w:val="00596A40"/>
    <w:rsid w:val="005B1F0E"/>
    <w:rsid w:val="005D1250"/>
    <w:rsid w:val="005E70C7"/>
    <w:rsid w:val="005F29A9"/>
    <w:rsid w:val="00620DD0"/>
    <w:rsid w:val="00627A9E"/>
    <w:rsid w:val="00632E4A"/>
    <w:rsid w:val="0063471F"/>
    <w:rsid w:val="00643A74"/>
    <w:rsid w:val="006650DF"/>
    <w:rsid w:val="0067098A"/>
    <w:rsid w:val="00672449"/>
    <w:rsid w:val="00675EB2"/>
    <w:rsid w:val="006844E8"/>
    <w:rsid w:val="006A5266"/>
    <w:rsid w:val="006A5391"/>
    <w:rsid w:val="006A63DA"/>
    <w:rsid w:val="006B4517"/>
    <w:rsid w:val="006C32D6"/>
    <w:rsid w:val="006D407A"/>
    <w:rsid w:val="006E61A4"/>
    <w:rsid w:val="00704EBD"/>
    <w:rsid w:val="0072136A"/>
    <w:rsid w:val="00731917"/>
    <w:rsid w:val="007626C8"/>
    <w:rsid w:val="00777E70"/>
    <w:rsid w:val="00782529"/>
    <w:rsid w:val="007C0AD3"/>
    <w:rsid w:val="007D320B"/>
    <w:rsid w:val="007D6472"/>
    <w:rsid w:val="007E1464"/>
    <w:rsid w:val="007E2439"/>
    <w:rsid w:val="007F0BC8"/>
    <w:rsid w:val="007F767E"/>
    <w:rsid w:val="0084385C"/>
    <w:rsid w:val="00855985"/>
    <w:rsid w:val="00887133"/>
    <w:rsid w:val="008940AC"/>
    <w:rsid w:val="008B2B08"/>
    <w:rsid w:val="008C4152"/>
    <w:rsid w:val="008D2162"/>
    <w:rsid w:val="00916366"/>
    <w:rsid w:val="00917909"/>
    <w:rsid w:val="00925366"/>
    <w:rsid w:val="00941611"/>
    <w:rsid w:val="0097468B"/>
    <w:rsid w:val="009A05F0"/>
    <w:rsid w:val="009D047D"/>
    <w:rsid w:val="009E3C63"/>
    <w:rsid w:val="009F1ED3"/>
    <w:rsid w:val="00A0592B"/>
    <w:rsid w:val="00A4200F"/>
    <w:rsid w:val="00A436B2"/>
    <w:rsid w:val="00A76FB9"/>
    <w:rsid w:val="00A83827"/>
    <w:rsid w:val="00A85C6D"/>
    <w:rsid w:val="00A86760"/>
    <w:rsid w:val="00A86F38"/>
    <w:rsid w:val="00A93189"/>
    <w:rsid w:val="00AB6D1B"/>
    <w:rsid w:val="00AB76DC"/>
    <w:rsid w:val="00AC40FB"/>
    <w:rsid w:val="00AD3748"/>
    <w:rsid w:val="00AD4B78"/>
    <w:rsid w:val="00AD52AE"/>
    <w:rsid w:val="00AD7599"/>
    <w:rsid w:val="00AF57E3"/>
    <w:rsid w:val="00B01A9C"/>
    <w:rsid w:val="00B031EC"/>
    <w:rsid w:val="00B047FA"/>
    <w:rsid w:val="00B11B6F"/>
    <w:rsid w:val="00B1671E"/>
    <w:rsid w:val="00B2494D"/>
    <w:rsid w:val="00B25AB1"/>
    <w:rsid w:val="00B32B25"/>
    <w:rsid w:val="00B337D9"/>
    <w:rsid w:val="00B41C8B"/>
    <w:rsid w:val="00B45614"/>
    <w:rsid w:val="00B50C49"/>
    <w:rsid w:val="00B63653"/>
    <w:rsid w:val="00B76725"/>
    <w:rsid w:val="00B77EC1"/>
    <w:rsid w:val="00B842B6"/>
    <w:rsid w:val="00B913C5"/>
    <w:rsid w:val="00BB1F8B"/>
    <w:rsid w:val="00BB2AEB"/>
    <w:rsid w:val="00BC1A78"/>
    <w:rsid w:val="00BD3212"/>
    <w:rsid w:val="00BE028D"/>
    <w:rsid w:val="00BE46AA"/>
    <w:rsid w:val="00BF147A"/>
    <w:rsid w:val="00C0582C"/>
    <w:rsid w:val="00C10F8C"/>
    <w:rsid w:val="00C11E2F"/>
    <w:rsid w:val="00C16BF1"/>
    <w:rsid w:val="00C213DE"/>
    <w:rsid w:val="00C434CD"/>
    <w:rsid w:val="00C47E3A"/>
    <w:rsid w:val="00C53D05"/>
    <w:rsid w:val="00C6059F"/>
    <w:rsid w:val="00C87FB9"/>
    <w:rsid w:val="00C97AE3"/>
    <w:rsid w:val="00CA06CA"/>
    <w:rsid w:val="00CA4352"/>
    <w:rsid w:val="00CA5779"/>
    <w:rsid w:val="00CA6257"/>
    <w:rsid w:val="00CB77CC"/>
    <w:rsid w:val="00CC0EA4"/>
    <w:rsid w:val="00CC509B"/>
    <w:rsid w:val="00CD0E2D"/>
    <w:rsid w:val="00CD1C8F"/>
    <w:rsid w:val="00CD5BA7"/>
    <w:rsid w:val="00CF1D70"/>
    <w:rsid w:val="00CF596B"/>
    <w:rsid w:val="00D0653E"/>
    <w:rsid w:val="00D16FDE"/>
    <w:rsid w:val="00D17714"/>
    <w:rsid w:val="00D22371"/>
    <w:rsid w:val="00D44CBD"/>
    <w:rsid w:val="00D549EA"/>
    <w:rsid w:val="00D8644F"/>
    <w:rsid w:val="00DC66CB"/>
    <w:rsid w:val="00DD43BD"/>
    <w:rsid w:val="00DE0929"/>
    <w:rsid w:val="00DF351B"/>
    <w:rsid w:val="00E02DCB"/>
    <w:rsid w:val="00E2297A"/>
    <w:rsid w:val="00E3135E"/>
    <w:rsid w:val="00E577E8"/>
    <w:rsid w:val="00E60571"/>
    <w:rsid w:val="00E63993"/>
    <w:rsid w:val="00E66AB3"/>
    <w:rsid w:val="00E94939"/>
    <w:rsid w:val="00EC59C9"/>
    <w:rsid w:val="00EE16CB"/>
    <w:rsid w:val="00EF41EE"/>
    <w:rsid w:val="00EF7E2E"/>
    <w:rsid w:val="00F00C45"/>
    <w:rsid w:val="00F12584"/>
    <w:rsid w:val="00F23937"/>
    <w:rsid w:val="00F2795C"/>
    <w:rsid w:val="00F43536"/>
    <w:rsid w:val="00F526E3"/>
    <w:rsid w:val="00F65459"/>
    <w:rsid w:val="00F77F76"/>
    <w:rsid w:val="00F91EE4"/>
    <w:rsid w:val="00FC0336"/>
    <w:rsid w:val="00FC3654"/>
    <w:rsid w:val="00FC5BC6"/>
    <w:rsid w:val="00FE31F0"/>
    <w:rsid w:val="00FF1152"/>
    <w:rsid w:val="1A7E2297"/>
    <w:rsid w:val="1B25833B"/>
    <w:rsid w:val="1DFF1821"/>
    <w:rsid w:val="1F7FF5DC"/>
    <w:rsid w:val="1FFE9628"/>
    <w:rsid w:val="2EF57C54"/>
    <w:rsid w:val="2F8FD56C"/>
    <w:rsid w:val="2FEFA984"/>
    <w:rsid w:val="354C1FB7"/>
    <w:rsid w:val="36C9B379"/>
    <w:rsid w:val="36FB9BCE"/>
    <w:rsid w:val="3776432B"/>
    <w:rsid w:val="37F7F6DA"/>
    <w:rsid w:val="3BD70645"/>
    <w:rsid w:val="3BFCCB05"/>
    <w:rsid w:val="3DCF8A3F"/>
    <w:rsid w:val="3F67EFB2"/>
    <w:rsid w:val="3F7F48DC"/>
    <w:rsid w:val="3FF737AD"/>
    <w:rsid w:val="478C4CE1"/>
    <w:rsid w:val="4FD7BB30"/>
    <w:rsid w:val="516A068D"/>
    <w:rsid w:val="57FF5BAA"/>
    <w:rsid w:val="5AF77316"/>
    <w:rsid w:val="5B9719F9"/>
    <w:rsid w:val="5BFBC364"/>
    <w:rsid w:val="5BFFBF80"/>
    <w:rsid w:val="5BFFC8FA"/>
    <w:rsid w:val="5DBF499D"/>
    <w:rsid w:val="5EFF12B2"/>
    <w:rsid w:val="5F1BC2E0"/>
    <w:rsid w:val="5F6BEE79"/>
    <w:rsid w:val="5FBED9E6"/>
    <w:rsid w:val="5FEC3540"/>
    <w:rsid w:val="5FFD62BE"/>
    <w:rsid w:val="5FFFA899"/>
    <w:rsid w:val="5FFFAB0F"/>
    <w:rsid w:val="636B99BA"/>
    <w:rsid w:val="67BFAF4C"/>
    <w:rsid w:val="6BFB0931"/>
    <w:rsid w:val="6DAF338C"/>
    <w:rsid w:val="6E5BCC45"/>
    <w:rsid w:val="6EF63A2C"/>
    <w:rsid w:val="6FABA64E"/>
    <w:rsid w:val="6FF78D32"/>
    <w:rsid w:val="6FFF7681"/>
    <w:rsid w:val="6FFFC83A"/>
    <w:rsid w:val="7379AAFB"/>
    <w:rsid w:val="73D7B89B"/>
    <w:rsid w:val="75F80D42"/>
    <w:rsid w:val="77BE7F1C"/>
    <w:rsid w:val="77DD0FEC"/>
    <w:rsid w:val="77FE3E62"/>
    <w:rsid w:val="79BB81BF"/>
    <w:rsid w:val="79FBAB8C"/>
    <w:rsid w:val="79FFBE05"/>
    <w:rsid w:val="7A47ACBF"/>
    <w:rsid w:val="7B3FDC0B"/>
    <w:rsid w:val="7BCF7EA5"/>
    <w:rsid w:val="7CDF2723"/>
    <w:rsid w:val="7D173A49"/>
    <w:rsid w:val="7DBBFFF6"/>
    <w:rsid w:val="7DEF4762"/>
    <w:rsid w:val="7DFB984B"/>
    <w:rsid w:val="7E27F178"/>
    <w:rsid w:val="7E7B68C5"/>
    <w:rsid w:val="7EB5521E"/>
    <w:rsid w:val="7F8F5481"/>
    <w:rsid w:val="7F8FF465"/>
    <w:rsid w:val="7FB5A4C1"/>
    <w:rsid w:val="7FBAE4E4"/>
    <w:rsid w:val="7FC7DCB3"/>
    <w:rsid w:val="7FDCF017"/>
    <w:rsid w:val="7FE6EA72"/>
    <w:rsid w:val="7FEE5119"/>
    <w:rsid w:val="7FF772A3"/>
    <w:rsid w:val="8DEE1662"/>
    <w:rsid w:val="A1F9DC98"/>
    <w:rsid w:val="A3FF6629"/>
    <w:rsid w:val="A99FF0B3"/>
    <w:rsid w:val="A9FFBD35"/>
    <w:rsid w:val="B7D6A0CE"/>
    <w:rsid w:val="B7D71F3D"/>
    <w:rsid w:val="BBFD169B"/>
    <w:rsid w:val="BD566B21"/>
    <w:rsid w:val="BDFEA01E"/>
    <w:rsid w:val="BEBF16D1"/>
    <w:rsid w:val="BEFF5997"/>
    <w:rsid w:val="BF6B43F2"/>
    <w:rsid w:val="BFBF89E5"/>
    <w:rsid w:val="BFD7751C"/>
    <w:rsid w:val="BFE8B955"/>
    <w:rsid w:val="BFFFF8D1"/>
    <w:rsid w:val="D57DC63D"/>
    <w:rsid w:val="D7FF0F9D"/>
    <w:rsid w:val="DBFBEE41"/>
    <w:rsid w:val="DD666918"/>
    <w:rsid w:val="DD7BAB71"/>
    <w:rsid w:val="DEDF0B3A"/>
    <w:rsid w:val="DEEBA274"/>
    <w:rsid w:val="DF7D6D97"/>
    <w:rsid w:val="E3ED3013"/>
    <w:rsid w:val="EBF5C5AF"/>
    <w:rsid w:val="ECF2AE97"/>
    <w:rsid w:val="ED6D624A"/>
    <w:rsid w:val="EDBD1BD0"/>
    <w:rsid w:val="EDDE1D17"/>
    <w:rsid w:val="EE6F25C6"/>
    <w:rsid w:val="EEFF638F"/>
    <w:rsid w:val="EF7BD05D"/>
    <w:rsid w:val="EFF649D2"/>
    <w:rsid w:val="EFFB1B6B"/>
    <w:rsid w:val="EFFE1D1B"/>
    <w:rsid w:val="EFFF2AF6"/>
    <w:rsid w:val="F1FFE285"/>
    <w:rsid w:val="F2FF6F23"/>
    <w:rsid w:val="F3BFF9DE"/>
    <w:rsid w:val="F3FD57FF"/>
    <w:rsid w:val="F4BF11B0"/>
    <w:rsid w:val="F5BF2C4D"/>
    <w:rsid w:val="F5D9752E"/>
    <w:rsid w:val="F5E725B5"/>
    <w:rsid w:val="F661E8ED"/>
    <w:rsid w:val="F74C8532"/>
    <w:rsid w:val="F7BB7652"/>
    <w:rsid w:val="F7D72D57"/>
    <w:rsid w:val="F7F5D891"/>
    <w:rsid w:val="F7FFAB2C"/>
    <w:rsid w:val="F9B5A038"/>
    <w:rsid w:val="F9EF5A2E"/>
    <w:rsid w:val="FAFD523A"/>
    <w:rsid w:val="FB9D34AC"/>
    <w:rsid w:val="FBD43293"/>
    <w:rsid w:val="FD19E49A"/>
    <w:rsid w:val="FD7C8A9B"/>
    <w:rsid w:val="FD7F005B"/>
    <w:rsid w:val="FDAFAD04"/>
    <w:rsid w:val="FDD96292"/>
    <w:rsid w:val="FE8D7886"/>
    <w:rsid w:val="FECDF669"/>
    <w:rsid w:val="FF7BDA17"/>
    <w:rsid w:val="FF8D4A01"/>
    <w:rsid w:val="FFC30863"/>
    <w:rsid w:val="FFEA707F"/>
    <w:rsid w:val="FFF77C15"/>
    <w:rsid w:val="FFFBBA3D"/>
    <w:rsid w:val="FFFDD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header"/>
    <w:basedOn w:val="1"/>
    <w:next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页眉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685</Words>
  <Characters>3911</Characters>
  <Lines>32</Lines>
  <Paragraphs>9</Paragraphs>
  <TotalTime>13</TotalTime>
  <ScaleCrop>false</ScaleCrop>
  <LinksUpToDate>false</LinksUpToDate>
  <CharactersWithSpaces>4587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2018-06-02T03:24:00Z</dcterms:created>
  <dc:creator>admin</dc:creator>
  <cp:lastModifiedBy>阳君仪</cp:lastModifiedBy>
  <cp:lastPrinted>2025-02-20T16:20:00Z</cp:lastPrinted>
  <dcterms:modified xsi:type="dcterms:W3CDTF">2025-02-24T09:27:04Z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