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jc w:val="center"/>
        <w:rPr>
          <w:sz w:val="56"/>
          <w:szCs w:val="56"/>
        </w:rPr>
      </w:pPr>
    </w:p>
    <w:p>
      <w:pPr>
        <w:pStyle w:val="13"/>
        <w:jc w:val="center"/>
        <w:rPr>
          <w:sz w:val="56"/>
          <w:szCs w:val="56"/>
        </w:rPr>
      </w:pPr>
    </w:p>
    <w:p>
      <w:pPr>
        <w:pStyle w:val="13"/>
        <w:jc w:val="center"/>
        <w:rPr>
          <w:sz w:val="84"/>
          <w:szCs w:val="84"/>
        </w:rPr>
      </w:pPr>
    </w:p>
    <w:p>
      <w:pPr>
        <w:pStyle w:val="13"/>
        <w:jc w:val="center"/>
        <w:rPr>
          <w:sz w:val="84"/>
          <w:szCs w:val="84"/>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3"/>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湖南省扶贫开发培训中心</w:t>
      </w: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pPr>
        <w:pStyle w:val="13"/>
        <w:jc w:val="center"/>
        <w:rPr>
          <w:rFonts w:hint="eastAsia" w:ascii="方正小标宋_GBK" w:hAnsi="方正小标宋_GBK" w:eastAsia="方正小标宋_GBK" w:cs="方正小标宋_GBK"/>
          <w:sz w:val="56"/>
          <w:szCs w:val="56"/>
        </w:rPr>
      </w:pPr>
    </w:p>
    <w:p>
      <w:pPr>
        <w:pStyle w:val="13"/>
        <w:jc w:val="center"/>
        <w:rPr>
          <w:sz w:val="56"/>
          <w:szCs w:val="56"/>
        </w:rPr>
      </w:pPr>
    </w:p>
    <w:p>
      <w:pPr>
        <w:pStyle w:val="13"/>
        <w:jc w:val="center"/>
        <w:rPr>
          <w:sz w:val="56"/>
          <w:szCs w:val="56"/>
        </w:rPr>
      </w:pPr>
    </w:p>
    <w:p>
      <w:pPr>
        <w:pStyle w:val="13"/>
        <w:jc w:val="center"/>
        <w:rPr>
          <w:sz w:val="56"/>
          <w:szCs w:val="56"/>
        </w:rPr>
      </w:pPr>
    </w:p>
    <w:p>
      <w:pPr>
        <w:pStyle w:val="13"/>
        <w:jc w:val="center"/>
        <w:rPr>
          <w:sz w:val="32"/>
          <w:szCs w:val="32"/>
        </w:rPr>
      </w:pPr>
    </w:p>
    <w:p>
      <w:pPr>
        <w:pStyle w:val="13"/>
        <w:jc w:val="center"/>
        <w:rPr>
          <w:sz w:val="32"/>
          <w:szCs w:val="32"/>
        </w:rPr>
      </w:pPr>
    </w:p>
    <w:p>
      <w:pPr>
        <w:pStyle w:val="13"/>
        <w:jc w:val="center"/>
        <w:rPr>
          <w:sz w:val="32"/>
          <w:szCs w:val="32"/>
        </w:rPr>
      </w:pPr>
    </w:p>
    <w:p>
      <w:pPr>
        <w:pStyle w:val="13"/>
        <w:spacing w:line="500" w:lineRule="exact"/>
        <w:jc w:val="center"/>
        <w:rPr>
          <w:b/>
          <w:sz w:val="36"/>
          <w:szCs w:val="28"/>
        </w:rPr>
      </w:pPr>
      <w:r>
        <w:rPr>
          <w:rFonts w:hint="eastAsia"/>
          <w:b/>
          <w:sz w:val="36"/>
          <w:szCs w:val="28"/>
        </w:rPr>
        <w:t>目录</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湖南省扶贫开发培训中心</w:t>
      </w:r>
      <w:r>
        <w:rPr>
          <w:rFonts w:hint="eastAsia" w:ascii="黑体" w:hAnsi="黑体" w:eastAsia="黑体" w:cs="黑体"/>
          <w:b w:val="0"/>
          <w:bCs/>
          <w:sz w:val="28"/>
          <w:szCs w:val="28"/>
        </w:rPr>
        <w:t>概况</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3"/>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3"/>
        <w:spacing w:line="500" w:lineRule="exact"/>
        <w:rPr>
          <w:rFonts w:hint="eastAsia" w:ascii="黑体" w:hAnsi="黑体" w:eastAsia="黑体" w:cs="黑体"/>
          <w:b w:val="0"/>
          <w:bCs/>
          <w:sz w:val="28"/>
          <w:szCs w:val="28"/>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湖南省扶贫开发培训中心</w:t>
      </w: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jc w:val="center"/>
        <w:rPr>
          <w:sz w:val="72"/>
          <w:szCs w:val="72"/>
        </w:rPr>
      </w:pPr>
    </w:p>
    <w:p>
      <w:pPr>
        <w:pStyle w:val="14"/>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pStyle w:val="14"/>
        <w:jc w:val="left"/>
        <w:rPr>
          <w:rFonts w:ascii="黑体" w:hAnsi="黑体" w:eastAsia="黑体" w:cs="黑体"/>
          <w:sz w:val="32"/>
          <w:szCs w:val="32"/>
        </w:rPr>
      </w:pPr>
      <w:r>
        <w:rPr>
          <w:rFonts w:hint="eastAsia" w:ascii="仿宋_GB2312" w:eastAsia="仿宋_GB2312" w:cs="仿宋_GB2312"/>
          <w:sz w:val="32"/>
          <w:szCs w:val="32"/>
        </w:rPr>
        <w:t>主要职责是承担全省乡村振兴干部教育培训工作，围绕乡村振兴的要求，聚焦党政领导干部、乡村振兴系统干部、挂职帮扶干部、乡村干部等四类干部开展培训工作。与局机关合署办公，承担了局机关部分工作职能。</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spacing w:line="600" w:lineRule="exact"/>
        <w:ind w:firstLine="640" w:firstLineChars="200"/>
        <w:rPr>
          <w:rFonts w:hint="default"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val="en-US" w:eastAsia="zh-CN"/>
        </w:rPr>
        <w:t>湖南</w:t>
      </w:r>
      <w:r>
        <w:rPr>
          <w:rFonts w:hint="eastAsia" w:ascii="仿宋_GB2312" w:eastAsia="仿宋_GB2312" w:cs="仿宋_GB2312"/>
          <w:sz w:val="32"/>
          <w:szCs w:val="32"/>
        </w:rPr>
        <w:t>省扶贫开发培训中心</w:t>
      </w:r>
      <w:r>
        <w:rPr>
          <w:rFonts w:hint="eastAsia" w:ascii="Times New Roman" w:hAnsi="Times New Roman" w:eastAsia="仿宋_GB2312" w:cs="仿宋_GB2312"/>
          <w:bCs/>
          <w:kern w:val="0"/>
          <w:sz w:val="32"/>
          <w:szCs w:val="32"/>
        </w:rPr>
        <w:t>内设机构包括：</w:t>
      </w:r>
      <w:r>
        <w:rPr>
          <w:rFonts w:hint="eastAsia" w:ascii="Times New Roman" w:hAnsi="Times New Roman" w:eastAsia="仿宋_GB2312" w:cs="仿宋_GB2312"/>
          <w:bCs/>
          <w:kern w:val="0"/>
          <w:sz w:val="32"/>
          <w:szCs w:val="32"/>
          <w:lang w:val="en-US" w:eastAsia="zh-CN"/>
        </w:rPr>
        <w:t>湖南</w:t>
      </w:r>
      <w:r>
        <w:rPr>
          <w:rFonts w:hint="eastAsia" w:ascii="仿宋_GB2312" w:eastAsia="仿宋_GB2312" w:cs="仿宋_GB2312"/>
          <w:sz w:val="32"/>
          <w:szCs w:val="32"/>
        </w:rPr>
        <w:t>省扶贫开发培训中心</w:t>
      </w:r>
      <w:r>
        <w:rPr>
          <w:rFonts w:hint="eastAsia" w:ascii="仿宋_GB2312" w:eastAsia="仿宋_GB2312" w:cs="仿宋_GB2312"/>
          <w:sz w:val="32"/>
          <w:szCs w:val="32"/>
          <w:lang w:val="en-US" w:eastAsia="zh-CN"/>
        </w:rPr>
        <w:t>无内设机构。</w:t>
      </w:r>
    </w:p>
    <w:p>
      <w:pPr>
        <w:widowControl/>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val="en-US" w:eastAsia="zh-CN"/>
        </w:rPr>
        <w:t>湖南</w:t>
      </w:r>
      <w:r>
        <w:rPr>
          <w:rFonts w:hint="eastAsia" w:ascii="仿宋_GB2312" w:eastAsia="仿宋_GB2312" w:cs="仿宋_GB2312"/>
          <w:sz w:val="32"/>
          <w:szCs w:val="32"/>
        </w:rPr>
        <w:t>省扶贫开发培训中心</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w:t>
      </w:r>
      <w:r>
        <w:rPr>
          <w:rFonts w:hint="eastAsia" w:ascii="Times New Roman" w:hAnsi="Times New Roman" w:eastAsia="仿宋_GB2312" w:cs="仿宋_GB2312"/>
          <w:bCs/>
          <w:kern w:val="0"/>
          <w:sz w:val="32"/>
          <w:szCs w:val="32"/>
          <w:lang w:val="en-US" w:eastAsia="zh-CN"/>
        </w:rPr>
        <w:t>湖南</w:t>
      </w:r>
      <w:r>
        <w:rPr>
          <w:rFonts w:hint="eastAsia" w:ascii="仿宋_GB2312" w:eastAsia="仿宋_GB2312" w:cs="仿宋_GB2312"/>
          <w:sz w:val="32"/>
          <w:szCs w:val="32"/>
        </w:rPr>
        <w:t>省扶贫开发培训中心</w:t>
      </w:r>
      <w:r>
        <w:rPr>
          <w:rFonts w:hint="eastAsia" w:ascii="Times New Roman" w:hAnsi="Times New Roman" w:eastAsia="仿宋_GB2312" w:cs="仿宋_GB2312"/>
          <w:bCs/>
          <w:kern w:val="0"/>
          <w:sz w:val="32"/>
          <w:szCs w:val="32"/>
        </w:rPr>
        <w:t>本级</w:t>
      </w:r>
      <w:r>
        <w:rPr>
          <w:rFonts w:hint="eastAsia" w:ascii="Times New Roman" w:hAnsi="Times New Roman" w:eastAsia="仿宋_GB2312" w:cs="仿宋_GB2312"/>
          <w:bCs/>
          <w:kern w:val="0"/>
          <w:sz w:val="32"/>
          <w:szCs w:val="32"/>
          <w:lang w:eastAsia="zh-CN"/>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8"/>
        <w:tblW w:w="1428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203"/>
        <w:gridCol w:w="577"/>
        <w:gridCol w:w="1482"/>
        <w:gridCol w:w="4167"/>
        <w:gridCol w:w="577"/>
        <w:gridCol w:w="22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0" w:hRule="atLeast"/>
        </w:trPr>
        <w:tc>
          <w:tcPr>
            <w:tcW w:w="14287" w:type="dxa"/>
            <w:gridSpan w:val="6"/>
            <w:tcBorders>
              <w:top w:val="nil"/>
              <w:left w:val="nil"/>
              <w:bottom w:val="nil"/>
              <w:right w:val="nil"/>
            </w:tcBorders>
            <w:shd w:val="clear" w:color="auto" w:fill="auto"/>
            <w:noWrap/>
            <w:tcMar>
              <w:top w:w="10" w:type="dxa"/>
              <w:left w:w="10" w:type="dxa"/>
              <w:right w:w="10" w:type="dxa"/>
            </w:tcMar>
            <w:vAlign w:val="center"/>
          </w:tcPr>
          <w:p>
            <w:pPr>
              <w:widowControl/>
              <w:jc w:val="center"/>
              <w:rPr>
                <w:rFonts w:hint="eastAsia" w:ascii="宋体" w:hAnsi="宋体" w:eastAsia="宋体" w:cs="宋体"/>
                <w:b/>
                <w:i w:val="0"/>
                <w:color w:val="000000"/>
                <w:sz w:val="22"/>
                <w:szCs w:val="22"/>
                <w:u w:val="none"/>
              </w:rPr>
            </w:pPr>
            <w:r>
              <w:rPr>
                <w:rFonts w:ascii="Times New Roman" w:hAnsi="Times New Roman" w:eastAsia="黑体" w:cs="Times New Roman"/>
                <w:bCs/>
                <w:kern w:val="0"/>
                <w:sz w:val="32"/>
                <w:szCs w:val="32"/>
              </w:rPr>
              <w:br w:type="page"/>
            </w:r>
            <w:r>
              <w:rPr>
                <w:rFonts w:hint="eastAsia" w:ascii="宋体" w:hAnsi="宋体" w:eastAsia="宋体" w:cs="宋体"/>
                <w:b/>
                <w:i w:val="0"/>
                <w:color w:val="000000"/>
                <w:kern w:val="0"/>
                <w:sz w:val="22"/>
                <w:szCs w:val="22"/>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520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7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48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16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7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281"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5203" w:type="dxa"/>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部门：湖南省扶贫开发培训中心</w:t>
            </w:r>
          </w:p>
        </w:tc>
        <w:tc>
          <w:tcPr>
            <w:tcW w:w="57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48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16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7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281"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726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702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602.40</w:t>
            </w: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690.89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602.40</w:t>
            </w: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733.49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使用非财政拨款结余和专用结余</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172.84</w:t>
            </w: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4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775.24</w:t>
            </w:r>
          </w:p>
        </w:tc>
        <w:tc>
          <w:tcPr>
            <w:tcW w:w="416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228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775.24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287"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注：1.本表反映部门本年度的总收支和年末结转结余情况。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287"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2.本套报表金额单位转换时可能存在尾数误差。</w:t>
            </w:r>
          </w:p>
        </w:tc>
      </w:tr>
    </w:tbl>
    <w:p>
      <w:pPr>
        <w:widowControl/>
        <w:jc w:val="left"/>
        <w:rPr>
          <w:rFonts w:ascii="Times New Roman" w:hAnsi="Times New Roman" w:eastAsia="黑体" w:cs="Times New Roman"/>
          <w:bCs/>
          <w:kern w:val="0"/>
          <w:sz w:val="32"/>
          <w:szCs w:val="32"/>
        </w:rPr>
        <w:sectPr>
          <w:pgSz w:w="16838" w:h="11906" w:orient="landscape"/>
          <w:pgMar w:top="720" w:right="720" w:bottom="720" w:left="720" w:header="851" w:footer="992" w:gutter="0"/>
          <w:cols w:space="425" w:num="1"/>
          <w:docGrid w:type="lines" w:linePitch="312" w:charSpace="0"/>
        </w:sectPr>
      </w:pPr>
    </w:p>
    <w:tbl>
      <w:tblPr>
        <w:tblStyle w:val="8"/>
        <w:tblW w:w="1526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488"/>
        <w:gridCol w:w="4200"/>
        <w:gridCol w:w="1562"/>
        <w:gridCol w:w="1562"/>
        <w:gridCol w:w="1413"/>
        <w:gridCol w:w="1413"/>
        <w:gridCol w:w="1413"/>
        <w:gridCol w:w="1413"/>
        <w:gridCol w:w="12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0" w:hRule="atLeast"/>
        </w:trPr>
        <w:tc>
          <w:tcPr>
            <w:tcW w:w="15266" w:type="dxa"/>
            <w:gridSpan w:val="11"/>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8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20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56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562"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41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1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1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1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274"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5216" w:type="dxa"/>
            <w:gridSpan w:val="4"/>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部门：湖南省扶贫开发培训中心</w:t>
            </w:r>
          </w:p>
        </w:tc>
        <w:tc>
          <w:tcPr>
            <w:tcW w:w="156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562"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41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1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1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1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274"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1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56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56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41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41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41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41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27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1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420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5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1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20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1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20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1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6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21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602.40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602.40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1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29.00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1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27.00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1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2080502</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事业单位离退休</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1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1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20899</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其他社会保障和就业支出</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1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2089999</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其他社会保障和就业支出</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1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1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1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2101102</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事业单位医疗</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1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550.40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550.40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1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21305</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巩固脱贫攻坚成果衔接乡村振兴</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550.40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550.40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1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2130501</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36.97</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36.97</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1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2130550</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118.60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118.60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1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2130599</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其他巩固脱贫攻坚成果衔接乡村振兴支出</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394.83</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394.83</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1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1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1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42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5266" w:type="dxa"/>
            <w:gridSpan w:val="11"/>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注：本表反映部门本年度取得的各项收入情况。</w:t>
            </w:r>
          </w:p>
        </w:tc>
      </w:tr>
    </w:tbl>
    <w:p>
      <w:pPr>
        <w:pStyle w:val="2"/>
        <w:sectPr>
          <w:pgSz w:w="16838" w:h="11906" w:orient="landscape"/>
          <w:pgMar w:top="720" w:right="720" w:bottom="720" w:left="720" w:header="851" w:footer="992" w:gutter="0"/>
          <w:cols w:space="425" w:num="1"/>
          <w:docGrid w:type="lines" w:linePitch="312" w:charSpace="0"/>
        </w:sectPr>
      </w:pPr>
    </w:p>
    <w:tbl>
      <w:tblPr>
        <w:tblStyle w:val="8"/>
        <w:tblW w:w="15091" w:type="dxa"/>
        <w:tblInd w:w="25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58"/>
        <w:gridCol w:w="258"/>
        <w:gridCol w:w="687"/>
        <w:gridCol w:w="5135"/>
        <w:gridCol w:w="1507"/>
        <w:gridCol w:w="1507"/>
        <w:gridCol w:w="1507"/>
        <w:gridCol w:w="1364"/>
        <w:gridCol w:w="1365"/>
        <w:gridCol w:w="15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0" w:hRule="atLeast"/>
        </w:trPr>
        <w:tc>
          <w:tcPr>
            <w:tcW w:w="15091" w:type="dxa"/>
            <w:gridSpan w:val="10"/>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25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5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8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13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50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507"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0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36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365"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03"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6338" w:type="dxa"/>
            <w:gridSpan w:val="4"/>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部门：湖南省扶贫开发培训中心</w:t>
            </w:r>
          </w:p>
        </w:tc>
        <w:tc>
          <w:tcPr>
            <w:tcW w:w="1507"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507"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07"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36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365"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503"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33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50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50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50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36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36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50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0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513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0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13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0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13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33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5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0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33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733.49</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167.77</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565.72</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51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24.51</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24.51</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51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23.38</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23.38</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2080502</w:t>
            </w:r>
          </w:p>
        </w:tc>
        <w:tc>
          <w:tcPr>
            <w:tcW w:w="51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事业单位离退休</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13.89</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13.89</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51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9.49</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9.49</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20899</w:t>
            </w:r>
          </w:p>
        </w:tc>
        <w:tc>
          <w:tcPr>
            <w:tcW w:w="51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其他社会保障和就业支出</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2089999</w:t>
            </w:r>
          </w:p>
        </w:tc>
        <w:tc>
          <w:tcPr>
            <w:tcW w:w="51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其他社会保障和就业支出</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51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7.65</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7.65</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51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7.65</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7.65</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2101102</w:t>
            </w:r>
          </w:p>
        </w:tc>
        <w:tc>
          <w:tcPr>
            <w:tcW w:w="51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事业单位医疗</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7.65</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7.65</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51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690.89</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125.17</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565.72</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21305</w:t>
            </w:r>
          </w:p>
        </w:tc>
        <w:tc>
          <w:tcPr>
            <w:tcW w:w="51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巩固脱贫攻坚成果衔接乡村振兴</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690.89</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125.17</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565.72</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2130501</w:t>
            </w:r>
          </w:p>
        </w:tc>
        <w:tc>
          <w:tcPr>
            <w:tcW w:w="51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34.17</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34.17</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2130550</w:t>
            </w:r>
          </w:p>
        </w:tc>
        <w:tc>
          <w:tcPr>
            <w:tcW w:w="51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123.87</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84.98</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38.89</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2130599</w:t>
            </w:r>
          </w:p>
        </w:tc>
        <w:tc>
          <w:tcPr>
            <w:tcW w:w="51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其他巩固脱贫攻坚成果衔接乡村振兴支出</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532.86</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6.02</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526.83</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51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10.43</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10.43</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51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10.43</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10.43</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51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10.43</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10.43</w:t>
            </w:r>
          </w:p>
        </w:tc>
        <w:tc>
          <w:tcPr>
            <w:tcW w:w="15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5091" w:type="dxa"/>
            <w:gridSpan w:val="10"/>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注：本表反映部门本年度各项支出情况。</w:t>
            </w:r>
          </w:p>
        </w:tc>
      </w:tr>
    </w:tbl>
    <w:p>
      <w:pPr>
        <w:pStyle w:val="3"/>
        <w:sectPr>
          <w:pgSz w:w="16838" w:h="11906" w:orient="landscape"/>
          <w:pgMar w:top="720" w:right="720" w:bottom="720" w:left="720" w:header="851" w:footer="992" w:gutter="0"/>
          <w:cols w:space="425" w:num="1"/>
          <w:docGrid w:type="lines" w:linePitch="312" w:charSpace="0"/>
        </w:sectPr>
      </w:pPr>
    </w:p>
    <w:p>
      <w:pPr>
        <w:pStyle w:val="3"/>
      </w:pPr>
    </w:p>
    <w:p>
      <w:pPr>
        <w:widowControl/>
        <w:rPr>
          <w:rFonts w:ascii="Times New Roman" w:hAnsi="Times New Roman" w:eastAsia="方正小标宋_GBK" w:cs="Times New Roman"/>
          <w:color w:val="000000"/>
          <w:kern w:val="0"/>
          <w:sz w:val="36"/>
          <w:szCs w:val="36"/>
        </w:rPr>
      </w:pPr>
    </w:p>
    <w:tbl>
      <w:tblPr>
        <w:tblStyle w:val="8"/>
        <w:tblW w:w="1551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541"/>
        <w:gridCol w:w="456"/>
        <w:gridCol w:w="1326"/>
        <w:gridCol w:w="3986"/>
        <w:gridCol w:w="456"/>
        <w:gridCol w:w="812"/>
        <w:gridCol w:w="1326"/>
        <w:gridCol w:w="1194"/>
        <w:gridCol w:w="14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0" w:hRule="atLeast"/>
        </w:trPr>
        <w:tc>
          <w:tcPr>
            <w:tcW w:w="15517" w:type="dxa"/>
            <w:gridSpan w:val="9"/>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454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5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32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98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5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812"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32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19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20"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4541" w:type="dxa"/>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部门：湖南省扶贫开发培训中心</w:t>
            </w:r>
          </w:p>
        </w:tc>
        <w:tc>
          <w:tcPr>
            <w:tcW w:w="45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32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98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5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812"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32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19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20"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32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9194"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454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5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32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3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5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81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32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142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45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602.40</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24.51</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24.51</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7.65</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7.65</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690.89</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690.89</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10.43</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10.43</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602.40</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733.49</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733.49</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172.84</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41.74</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41.74</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172.84</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国有资本经营预算财政拨款</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775.24</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775.24</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775.24</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097" w:type="dxa"/>
            <w:gridSpan w:val="8"/>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注：本表反映部门本年度一般公共预算财政拨款、政府性基金预算财政拨款和国有资本经营预算财政拨款的总收支和年末结转结余情况。</w:t>
            </w:r>
          </w:p>
        </w:tc>
        <w:tc>
          <w:tcPr>
            <w:tcW w:w="1420" w:type="dxa"/>
            <w:tcBorders>
              <w:top w:val="nil"/>
              <w:left w:val="nil"/>
              <w:bottom w:val="nil"/>
              <w:right w:val="nil"/>
            </w:tcBorders>
            <w:shd w:val="clear" w:color="auto" w:fill="FFFFFF"/>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r>
    </w:tbl>
    <w:p>
      <w:pPr>
        <w:widowControl/>
        <w:jc w:val="both"/>
        <w:rPr>
          <w:rFonts w:ascii="Times New Roman" w:hAnsi="Times New Roman" w:eastAsia="方正小标宋_GBK" w:cs="Times New Roman"/>
          <w:color w:val="000000"/>
          <w:kern w:val="0"/>
          <w:sz w:val="36"/>
          <w:szCs w:val="21"/>
        </w:rPr>
      </w:pPr>
    </w:p>
    <w:p>
      <w:pPr>
        <w:widowControl/>
        <w:jc w:val="center"/>
        <w:rPr>
          <w:rFonts w:ascii="Times New Roman" w:hAnsi="Times New Roman" w:eastAsia="方正小标宋_GBK" w:cs="Times New Roman"/>
          <w:kern w:val="0"/>
          <w:sz w:val="36"/>
          <w:szCs w:val="36"/>
        </w:rPr>
      </w:pPr>
      <w:bookmarkStart w:id="0" w:name="RANGE!A1:I22"/>
      <w:bookmarkEnd w:id="0"/>
      <w:bookmarkStart w:id="1" w:name="RANGE!A1:F16"/>
    </w:p>
    <w:bookmarkEnd w:id="1"/>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sectPr>
          <w:pgSz w:w="16838" w:h="11906" w:orient="landscape"/>
          <w:pgMar w:top="720" w:right="720" w:bottom="720" w:left="720" w:header="851" w:footer="992" w:gutter="0"/>
          <w:cols w:space="425" w:num="1"/>
          <w:docGrid w:type="lines" w:linePitch="312" w:charSpace="0"/>
        </w:sectPr>
      </w:pPr>
      <w:r>
        <w:rPr>
          <w:rFonts w:ascii="Times New Roman" w:hAnsi="Times New Roman" w:eastAsia="仿宋_GB2312" w:cs="Times New Roman"/>
          <w:bCs/>
          <w:kern w:val="0"/>
          <w:szCs w:val="21"/>
        </w:rPr>
        <w:br w:type="page"/>
      </w:r>
    </w:p>
    <w:tbl>
      <w:tblPr>
        <w:tblStyle w:val="8"/>
        <w:tblW w:w="14004" w:type="dxa"/>
        <w:tblInd w:w="121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366"/>
        <w:gridCol w:w="1734"/>
        <w:gridCol w:w="26"/>
        <w:gridCol w:w="90"/>
        <w:gridCol w:w="2842"/>
        <w:gridCol w:w="1138"/>
        <w:gridCol w:w="1471"/>
        <w:gridCol w:w="1138"/>
        <w:gridCol w:w="1399"/>
        <w:gridCol w:w="1138"/>
        <w:gridCol w:w="16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atLeast"/>
        </w:trPr>
        <w:tc>
          <w:tcPr>
            <w:tcW w:w="14004" w:type="dxa"/>
            <w:gridSpan w:val="11"/>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atLeast"/>
        </w:trPr>
        <w:tc>
          <w:tcPr>
            <w:tcW w:w="3100" w:type="dxa"/>
            <w:gridSpan w:val="2"/>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9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980" w:type="dxa"/>
            <w:gridSpan w:val="2"/>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09" w:type="dxa"/>
            <w:gridSpan w:val="2"/>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537" w:type="dxa"/>
            <w:gridSpan w:val="2"/>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662"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atLeast"/>
        </w:trPr>
        <w:tc>
          <w:tcPr>
            <w:tcW w:w="3100" w:type="dxa"/>
            <w:gridSpan w:val="2"/>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部门：湖南省扶贫开发培训中心</w:t>
            </w:r>
          </w:p>
        </w:tc>
        <w:tc>
          <w:tcPr>
            <w:tcW w:w="2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9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980" w:type="dxa"/>
            <w:gridSpan w:val="2"/>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09" w:type="dxa"/>
            <w:gridSpan w:val="2"/>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537" w:type="dxa"/>
            <w:gridSpan w:val="2"/>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662"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058"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794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6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4692" w:type="dxa"/>
            <w:gridSpan w:val="4"/>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26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253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8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69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6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53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8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69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6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53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8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058"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260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53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8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058"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60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733.49</w:t>
            </w:r>
          </w:p>
        </w:tc>
        <w:tc>
          <w:tcPr>
            <w:tcW w:w="253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167.77</w:t>
            </w:r>
          </w:p>
        </w:tc>
        <w:tc>
          <w:tcPr>
            <w:tcW w:w="28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565.72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69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260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24.51</w:t>
            </w:r>
          </w:p>
        </w:tc>
        <w:tc>
          <w:tcPr>
            <w:tcW w:w="253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24.51</w:t>
            </w:r>
          </w:p>
        </w:tc>
        <w:tc>
          <w:tcPr>
            <w:tcW w:w="28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69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260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23.38</w:t>
            </w:r>
          </w:p>
        </w:tc>
        <w:tc>
          <w:tcPr>
            <w:tcW w:w="253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23.38</w:t>
            </w:r>
          </w:p>
        </w:tc>
        <w:tc>
          <w:tcPr>
            <w:tcW w:w="28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2080502</w:t>
            </w:r>
          </w:p>
        </w:tc>
        <w:tc>
          <w:tcPr>
            <w:tcW w:w="469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事业单位离退休</w:t>
            </w:r>
          </w:p>
        </w:tc>
        <w:tc>
          <w:tcPr>
            <w:tcW w:w="260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13.89</w:t>
            </w:r>
          </w:p>
        </w:tc>
        <w:tc>
          <w:tcPr>
            <w:tcW w:w="253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13.89</w:t>
            </w:r>
          </w:p>
        </w:tc>
        <w:tc>
          <w:tcPr>
            <w:tcW w:w="28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69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260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9.49</w:t>
            </w:r>
          </w:p>
        </w:tc>
        <w:tc>
          <w:tcPr>
            <w:tcW w:w="253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9.49</w:t>
            </w:r>
          </w:p>
        </w:tc>
        <w:tc>
          <w:tcPr>
            <w:tcW w:w="28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20899</w:t>
            </w:r>
          </w:p>
        </w:tc>
        <w:tc>
          <w:tcPr>
            <w:tcW w:w="469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其他社会保障和就业支出</w:t>
            </w:r>
          </w:p>
        </w:tc>
        <w:tc>
          <w:tcPr>
            <w:tcW w:w="260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w:t>
            </w:r>
          </w:p>
        </w:tc>
        <w:tc>
          <w:tcPr>
            <w:tcW w:w="253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w:t>
            </w:r>
          </w:p>
        </w:tc>
        <w:tc>
          <w:tcPr>
            <w:tcW w:w="28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2089999</w:t>
            </w:r>
          </w:p>
        </w:tc>
        <w:tc>
          <w:tcPr>
            <w:tcW w:w="469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其他社会保障和就业支出</w:t>
            </w:r>
          </w:p>
        </w:tc>
        <w:tc>
          <w:tcPr>
            <w:tcW w:w="260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w:t>
            </w:r>
          </w:p>
        </w:tc>
        <w:tc>
          <w:tcPr>
            <w:tcW w:w="253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w:t>
            </w:r>
          </w:p>
        </w:tc>
        <w:tc>
          <w:tcPr>
            <w:tcW w:w="28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469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260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7.65</w:t>
            </w:r>
          </w:p>
        </w:tc>
        <w:tc>
          <w:tcPr>
            <w:tcW w:w="253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7.65</w:t>
            </w:r>
          </w:p>
        </w:tc>
        <w:tc>
          <w:tcPr>
            <w:tcW w:w="28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469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260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7.65</w:t>
            </w:r>
          </w:p>
        </w:tc>
        <w:tc>
          <w:tcPr>
            <w:tcW w:w="253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7.65</w:t>
            </w:r>
          </w:p>
        </w:tc>
        <w:tc>
          <w:tcPr>
            <w:tcW w:w="28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2101102</w:t>
            </w:r>
          </w:p>
        </w:tc>
        <w:tc>
          <w:tcPr>
            <w:tcW w:w="469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事业单位医疗</w:t>
            </w:r>
          </w:p>
        </w:tc>
        <w:tc>
          <w:tcPr>
            <w:tcW w:w="260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7.65</w:t>
            </w:r>
          </w:p>
        </w:tc>
        <w:tc>
          <w:tcPr>
            <w:tcW w:w="253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7.65</w:t>
            </w:r>
          </w:p>
        </w:tc>
        <w:tc>
          <w:tcPr>
            <w:tcW w:w="28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69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260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690.89</w:t>
            </w:r>
          </w:p>
        </w:tc>
        <w:tc>
          <w:tcPr>
            <w:tcW w:w="253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125.17</w:t>
            </w:r>
          </w:p>
        </w:tc>
        <w:tc>
          <w:tcPr>
            <w:tcW w:w="28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565.72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21305</w:t>
            </w:r>
          </w:p>
        </w:tc>
        <w:tc>
          <w:tcPr>
            <w:tcW w:w="469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巩固脱贫攻坚成果衔接乡村振兴</w:t>
            </w:r>
          </w:p>
        </w:tc>
        <w:tc>
          <w:tcPr>
            <w:tcW w:w="260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690.89</w:t>
            </w:r>
          </w:p>
        </w:tc>
        <w:tc>
          <w:tcPr>
            <w:tcW w:w="253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125.17</w:t>
            </w:r>
          </w:p>
        </w:tc>
        <w:tc>
          <w:tcPr>
            <w:tcW w:w="28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565.72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2130501</w:t>
            </w:r>
          </w:p>
        </w:tc>
        <w:tc>
          <w:tcPr>
            <w:tcW w:w="469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260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34.17</w:t>
            </w:r>
          </w:p>
        </w:tc>
        <w:tc>
          <w:tcPr>
            <w:tcW w:w="253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34.17</w:t>
            </w:r>
          </w:p>
        </w:tc>
        <w:tc>
          <w:tcPr>
            <w:tcW w:w="28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2130550</w:t>
            </w:r>
          </w:p>
        </w:tc>
        <w:tc>
          <w:tcPr>
            <w:tcW w:w="469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260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123.87</w:t>
            </w:r>
          </w:p>
        </w:tc>
        <w:tc>
          <w:tcPr>
            <w:tcW w:w="253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84.98</w:t>
            </w:r>
          </w:p>
        </w:tc>
        <w:tc>
          <w:tcPr>
            <w:tcW w:w="28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2130599</w:t>
            </w:r>
          </w:p>
        </w:tc>
        <w:tc>
          <w:tcPr>
            <w:tcW w:w="469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其他巩固脱贫攻坚成果衔接乡村振兴支出</w:t>
            </w:r>
          </w:p>
        </w:tc>
        <w:tc>
          <w:tcPr>
            <w:tcW w:w="260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532.86</w:t>
            </w:r>
          </w:p>
        </w:tc>
        <w:tc>
          <w:tcPr>
            <w:tcW w:w="253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6.02</w:t>
            </w:r>
          </w:p>
        </w:tc>
        <w:tc>
          <w:tcPr>
            <w:tcW w:w="28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526.83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469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260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10.43</w:t>
            </w:r>
          </w:p>
        </w:tc>
        <w:tc>
          <w:tcPr>
            <w:tcW w:w="253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10.43</w:t>
            </w:r>
          </w:p>
        </w:tc>
        <w:tc>
          <w:tcPr>
            <w:tcW w:w="28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469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260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10.43</w:t>
            </w:r>
          </w:p>
        </w:tc>
        <w:tc>
          <w:tcPr>
            <w:tcW w:w="253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10.43</w:t>
            </w:r>
          </w:p>
        </w:tc>
        <w:tc>
          <w:tcPr>
            <w:tcW w:w="28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469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260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10.43</w:t>
            </w:r>
          </w:p>
        </w:tc>
        <w:tc>
          <w:tcPr>
            <w:tcW w:w="253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10.43</w:t>
            </w:r>
          </w:p>
        </w:tc>
        <w:tc>
          <w:tcPr>
            <w:tcW w:w="28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004" w:type="dxa"/>
            <w:gridSpan w:val="11"/>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注：本表反映部门本年度一般公共预算财政拨款支出情况。</w:t>
            </w:r>
          </w:p>
        </w:tc>
      </w:tr>
    </w:tbl>
    <w:p>
      <w:pPr>
        <w:pStyle w:val="2"/>
        <w:sectPr>
          <w:pgSz w:w="16838" w:h="11906" w:orient="landscape"/>
          <w:pgMar w:top="720" w:right="720" w:bottom="720" w:left="720" w:header="851" w:footer="992" w:gutter="0"/>
          <w:cols w:space="425" w:num="1"/>
          <w:docGrid w:type="lines" w:linePitch="312" w:charSpace="0"/>
        </w:sectPr>
      </w:pPr>
    </w:p>
    <w:p>
      <w:pPr>
        <w:pStyle w:val="2"/>
      </w:pPr>
    </w:p>
    <w:tbl>
      <w:tblPr>
        <w:tblStyle w:val="8"/>
        <w:tblW w:w="15901" w:type="dxa"/>
        <w:tblInd w:w="0" w:type="dxa"/>
        <w:tblLayout w:type="fixed"/>
        <w:tblCellMar>
          <w:top w:w="0" w:type="dxa"/>
          <w:left w:w="108" w:type="dxa"/>
          <w:bottom w:w="0" w:type="dxa"/>
          <w:right w:w="108" w:type="dxa"/>
        </w:tblCellMar>
      </w:tblPr>
      <w:tblGrid>
        <w:gridCol w:w="1003"/>
        <w:gridCol w:w="64"/>
        <w:gridCol w:w="176"/>
        <w:gridCol w:w="1131"/>
        <w:gridCol w:w="2059"/>
        <w:gridCol w:w="60"/>
        <w:gridCol w:w="849"/>
        <w:gridCol w:w="1222"/>
        <w:gridCol w:w="310"/>
        <w:gridCol w:w="2006"/>
        <w:gridCol w:w="113"/>
        <w:gridCol w:w="787"/>
        <w:gridCol w:w="1071"/>
        <w:gridCol w:w="361"/>
        <w:gridCol w:w="2119"/>
        <w:gridCol w:w="1726"/>
        <w:gridCol w:w="394"/>
        <w:gridCol w:w="450"/>
      </w:tblGrid>
      <w:tr>
        <w:tblPrEx>
          <w:tblCellMar>
            <w:top w:w="0" w:type="dxa"/>
            <w:left w:w="108" w:type="dxa"/>
            <w:bottom w:w="0" w:type="dxa"/>
            <w:right w:w="108" w:type="dxa"/>
          </w:tblCellMar>
        </w:tblPrEx>
        <w:trPr>
          <w:trHeight w:val="113" w:hRule="atLeast"/>
        </w:trPr>
        <w:tc>
          <w:tcPr>
            <w:tcW w:w="15901" w:type="dxa"/>
            <w:gridSpan w:val="18"/>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Cs w:val="32"/>
              </w:rPr>
            </w:pPr>
            <w:bookmarkStart w:id="2" w:name="RANGE!A1:I34"/>
            <w:r>
              <w:rPr>
                <w:rFonts w:hint="eastAsia" w:ascii="华文中宋" w:hAnsi="华文中宋" w:eastAsia="华文中宋" w:cs="宋体"/>
                <w:color w:val="000000"/>
                <w:kern w:val="0"/>
                <w:szCs w:val="32"/>
              </w:rPr>
              <w:t>一般公共预算财政拨款基本支出决算明细表</w:t>
            </w:r>
            <w:bookmarkEnd w:id="2"/>
          </w:p>
          <w:p>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部门： </w:t>
            </w:r>
            <w:r>
              <w:rPr>
                <w:rFonts w:hint="eastAsia" w:ascii="Times New Roman" w:hAnsi="Times New Roman" w:eastAsia="仿宋_GB2312" w:cs="Times New Roman"/>
                <w:color w:val="000000"/>
                <w:kern w:val="0"/>
                <w:szCs w:val="21"/>
              </w:rPr>
              <w:t xml:space="preserve"> </w:t>
            </w:r>
            <w:r>
              <w:rPr>
                <w:rFonts w:hint="eastAsia" w:ascii="宋体" w:hAnsi="宋体" w:eastAsia="宋体" w:cs="宋体"/>
                <w:i w:val="0"/>
                <w:color w:val="000000"/>
                <w:kern w:val="0"/>
                <w:sz w:val="22"/>
                <w:szCs w:val="22"/>
                <w:u w:val="none"/>
                <w:lang w:val="en-US" w:eastAsia="zh-CN" w:bidi="ar"/>
              </w:rPr>
              <w:t>湖南省扶贫开发培训中心</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CellMar>
            <w:top w:w="0" w:type="dxa"/>
            <w:left w:w="108" w:type="dxa"/>
            <w:bottom w:w="0" w:type="dxa"/>
            <w:right w:w="108" w:type="dxa"/>
          </w:tblCellMar>
        </w:tblPrEx>
        <w:trPr>
          <w:trHeight w:val="113" w:hRule="atLeast"/>
        </w:trPr>
        <w:tc>
          <w:tcPr>
            <w:tcW w:w="10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36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22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3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0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420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8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140.29</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13.44</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34.44</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0.60</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10.55</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66.59</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9.49</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0.53</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7.65</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1.13</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8.22</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10.43</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14.04</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14.04</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39907</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国家赔偿费用支出</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1.10</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39908</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对民间非营利组织和群众性自治组织补贴</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3990</w:t>
            </w:r>
            <w:r>
              <w:rPr>
                <w:rFonts w:hint="eastAsia" w:ascii="宋体" w:hAnsi="宋体" w:eastAsia="宋体" w:cs="宋体"/>
                <w:color w:val="000000"/>
                <w:kern w:val="0"/>
                <w:szCs w:val="20"/>
                <w:lang w:val="en-US" w:eastAsia="zh-CN"/>
              </w:rPr>
              <w:t>9</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Cs w:val="20"/>
              </w:rPr>
            </w:pPr>
            <w:r>
              <w:rPr>
                <w:rFonts w:hint="eastAsia" w:ascii="宋体" w:hAnsi="宋体" w:eastAsia="宋体" w:cs="宋体"/>
                <w:color w:val="000000"/>
                <w:kern w:val="0"/>
                <w:szCs w:val="20"/>
              </w:rPr>
              <w:t xml:space="preserve">  经常性赠与</w:t>
            </w:r>
          </w:p>
          <w:p>
            <w:pPr>
              <w:widowControl/>
              <w:jc w:val="left"/>
              <w:rPr>
                <w:rFonts w:hint="eastAsia" w:ascii="宋体" w:hAnsi="宋体" w:eastAsia="宋体" w:cs="宋体"/>
                <w:color w:val="000000"/>
                <w:kern w:val="0"/>
                <w:szCs w:val="20"/>
              </w:rPr>
            </w:pPr>
            <w:r>
              <w:rPr>
                <w:rFonts w:hint="eastAsia" w:ascii="宋体" w:hAnsi="宋体" w:eastAsia="宋体" w:cs="宋体"/>
                <w:color w:val="000000"/>
                <w:kern w:val="0"/>
                <w:szCs w:val="20"/>
              </w:rPr>
              <w:t xml:space="preserve">  资本性赠与</w:t>
            </w:r>
          </w:p>
          <w:p>
            <w:pPr>
              <w:widowControl/>
              <w:jc w:val="left"/>
              <w:rPr>
                <w:rFonts w:hint="eastAsia" w:ascii="宋体" w:hAnsi="宋体" w:eastAsia="宋体" w:cs="宋体"/>
                <w:color w:val="000000"/>
                <w:kern w:val="0"/>
                <w:szCs w:val="20"/>
              </w:rPr>
            </w:pPr>
          </w:p>
          <w:tbl>
            <w:tblPr>
              <w:tblStyle w:val="8"/>
              <w:tblW w:w="3946"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经常性赠与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资本性赠与</w:t>
                  </w:r>
                </w:p>
              </w:tc>
            </w:tr>
          </w:tbl>
          <w:p>
            <w:pPr>
              <w:widowControl/>
              <w:jc w:val="left"/>
              <w:rPr>
                <w:rFonts w:hint="eastAsia" w:ascii="宋体" w:hAnsi="宋体" w:eastAsia="宋体" w:cs="宋体"/>
                <w:color w:val="000000"/>
                <w:kern w:val="0"/>
                <w:szCs w:val="20"/>
              </w:rPr>
            </w:pPr>
          </w:p>
          <w:tbl>
            <w:tblPr>
              <w:tblStyle w:val="8"/>
              <w:tblW w:w="3946"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经常性赠与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资本性赠与</w:t>
                  </w:r>
                </w:p>
              </w:tc>
            </w:tr>
          </w:tbl>
          <w:p>
            <w:pPr>
              <w:widowControl/>
              <w:jc w:val="left"/>
              <w:rPr>
                <w:rFonts w:ascii="宋体" w:hAnsi="宋体" w:eastAsia="宋体" w:cs="宋体"/>
                <w:color w:val="000000"/>
                <w:kern w:val="0"/>
                <w:szCs w:val="20"/>
              </w:rPr>
            </w:pP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399</w:t>
            </w:r>
            <w:r>
              <w:rPr>
                <w:rFonts w:hint="eastAsia" w:ascii="宋体" w:hAnsi="宋体" w:eastAsia="宋体" w:cs="宋体"/>
                <w:color w:val="000000"/>
                <w:kern w:val="0"/>
                <w:szCs w:val="20"/>
                <w:lang w:val="en-US" w:eastAsia="zh-CN"/>
              </w:rPr>
              <w:t>10</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 xml:space="preserve">  资本性赠与</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0.74</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39999</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其他支出</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0.00</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067" w:type="dxa"/>
            <w:gridSpan w:val="2"/>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336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909" w:type="dxa"/>
            <w:gridSpan w:val="2"/>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 w:val="18"/>
                <w:szCs w:val="18"/>
              </w:rPr>
            </w:pP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90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2.25</w:t>
            </w:r>
          </w:p>
        </w:tc>
        <w:tc>
          <w:tcPr>
            <w:tcW w:w="107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84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4433"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909"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154.33</w:t>
            </w:r>
          </w:p>
        </w:tc>
        <w:tc>
          <w:tcPr>
            <w:tcW w:w="9715" w:type="dxa"/>
            <w:gridSpan w:val="9"/>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84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1"/>
                <w:szCs w:val="21"/>
              </w:rPr>
            </w:pPr>
            <w:r>
              <w:rPr>
                <w:rFonts w:hint="eastAsia" w:ascii="宋体" w:hAnsi="宋体" w:eastAsia="宋体" w:cs="宋体"/>
                <w:i w:val="0"/>
                <w:color w:val="000000"/>
                <w:kern w:val="0"/>
                <w:sz w:val="18"/>
                <w:szCs w:val="18"/>
                <w:u w:val="none"/>
                <w:lang w:val="en-US" w:eastAsia="zh-CN" w:bidi="ar"/>
              </w:rPr>
              <w:t>13.44</w:t>
            </w:r>
          </w:p>
        </w:tc>
      </w:tr>
      <w:tr>
        <w:tblPrEx>
          <w:tblCellMar>
            <w:top w:w="0" w:type="dxa"/>
            <w:left w:w="108" w:type="dxa"/>
            <w:bottom w:w="0" w:type="dxa"/>
            <w:right w:w="108" w:type="dxa"/>
          </w:tblCellMar>
        </w:tblPrEx>
        <w:trPr>
          <w:trHeight w:val="284" w:hRule="exact"/>
        </w:trPr>
        <w:tc>
          <w:tcPr>
            <w:tcW w:w="15901" w:type="dxa"/>
            <w:gridSpan w:val="18"/>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50" w:type="dxa"/>
          <w:trHeight w:val="690" w:hRule="atLeast"/>
        </w:trPr>
        <w:tc>
          <w:tcPr>
            <w:tcW w:w="15451" w:type="dxa"/>
            <w:gridSpan w:val="17"/>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50" w:type="dxa"/>
          <w:trHeight w:val="345" w:hRule="atLeast"/>
        </w:trPr>
        <w:tc>
          <w:tcPr>
            <w:tcW w:w="1003"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40" w:type="dxa"/>
            <w:gridSpan w:val="2"/>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13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381"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219"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50" w:type="dxa"/>
          <w:trHeight w:val="690" w:hRule="atLeast"/>
        </w:trPr>
        <w:tc>
          <w:tcPr>
            <w:tcW w:w="4493" w:type="dxa"/>
            <w:gridSpan w:val="6"/>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r>
              <w:rPr>
                <w:rFonts w:hint="eastAsia" w:ascii="宋体" w:hAnsi="宋体" w:eastAsia="宋体" w:cs="宋体"/>
                <w:i w:val="0"/>
                <w:color w:val="000000"/>
                <w:kern w:val="0"/>
                <w:sz w:val="22"/>
                <w:szCs w:val="22"/>
                <w:u w:val="none"/>
                <w:lang w:val="en-US" w:eastAsia="zh-CN" w:bidi="ar"/>
              </w:rPr>
              <w:t>湖南省扶贫开发培训中心</w:t>
            </w:r>
          </w:p>
        </w:tc>
        <w:tc>
          <w:tcPr>
            <w:tcW w:w="2381"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219"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50" w:type="dxa"/>
          <w:trHeight w:val="459" w:hRule="atLeast"/>
        </w:trPr>
        <w:tc>
          <w:tcPr>
            <w:tcW w:w="23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Style w:val="16"/>
                <w:lang w:val="en-US" w:eastAsia="zh-CN" w:bidi="ar"/>
              </w:rPr>
              <w:t xml:space="preserve">   </w:t>
            </w:r>
            <w:r>
              <w:rPr>
                <w:rStyle w:val="17"/>
                <w:lang w:val="en-US" w:eastAsia="zh-CN" w:bidi="ar"/>
              </w:rPr>
              <w:t>目</w:t>
            </w:r>
          </w:p>
        </w:tc>
        <w:tc>
          <w:tcPr>
            <w:tcW w:w="2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年初结转和结余</w:t>
            </w:r>
          </w:p>
        </w:tc>
        <w:tc>
          <w:tcPr>
            <w:tcW w:w="238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w:t>
            </w:r>
          </w:p>
        </w:tc>
        <w:tc>
          <w:tcPr>
            <w:tcW w:w="64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c>
          <w:tcPr>
            <w:tcW w:w="21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50" w:type="dxa"/>
          <w:trHeight w:val="609" w:hRule="atLeast"/>
        </w:trPr>
        <w:tc>
          <w:tcPr>
            <w:tcW w:w="124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1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38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221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50" w:type="dxa"/>
          <w:trHeight w:val="409" w:hRule="atLeast"/>
        </w:trPr>
        <w:tc>
          <w:tcPr>
            <w:tcW w:w="124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38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50" w:type="dxa"/>
          <w:trHeight w:val="509" w:hRule="atLeast"/>
        </w:trPr>
        <w:tc>
          <w:tcPr>
            <w:tcW w:w="124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1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38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50" w:type="dxa"/>
          <w:trHeight w:val="509" w:hRule="atLeast"/>
        </w:trPr>
        <w:tc>
          <w:tcPr>
            <w:tcW w:w="23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3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22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50" w:type="dxa"/>
          <w:trHeight w:val="509" w:hRule="atLeast"/>
        </w:trPr>
        <w:tc>
          <w:tcPr>
            <w:tcW w:w="237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3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50" w:type="dxa"/>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50" w:type="dxa"/>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50" w:type="dxa"/>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50" w:type="dxa"/>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50" w:type="dxa"/>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50" w:type="dxa"/>
          <w:trHeight w:val="509" w:hRule="atLeast"/>
        </w:trPr>
        <w:tc>
          <w:tcPr>
            <w:tcW w:w="12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3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50" w:type="dxa"/>
          <w:trHeight w:val="725" w:hRule="atLeast"/>
        </w:trPr>
        <w:tc>
          <w:tcPr>
            <w:tcW w:w="15451" w:type="dxa"/>
            <w:gridSpan w:val="17"/>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说明：我单位没有政府性基金收入，也没有使用政府性基金安排的支出，故本表无数据。</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tbl>
      <w:tblPr>
        <w:tblStyle w:val="8"/>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r>
              <w:rPr>
                <w:rFonts w:hint="eastAsia" w:ascii="宋体" w:hAnsi="宋体" w:eastAsia="宋体" w:cs="宋体"/>
                <w:i w:val="0"/>
                <w:color w:val="000000"/>
                <w:kern w:val="0"/>
                <w:sz w:val="22"/>
                <w:szCs w:val="22"/>
                <w:u w:val="none"/>
                <w:lang w:val="en-US" w:eastAsia="zh-CN" w:bidi="ar"/>
              </w:rPr>
              <w:t>湖南省扶贫开发培训中心</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Fonts w:hint="eastAsia" w:ascii="宋体" w:hAnsi="宋体" w:eastAsia="宋体" w:cs="宋体"/>
                <w:i w:val="0"/>
                <w:color w:val="000000"/>
                <w:kern w:val="0"/>
                <w:sz w:val="22"/>
                <w:szCs w:val="22"/>
                <w:u w:val="none"/>
                <w:lang w:val="en-US" w:eastAsia="zh-CN" w:bidi="ar"/>
              </w:rPr>
              <w:t xml:space="preserve">   </w:t>
            </w:r>
            <w:r>
              <w:rPr>
                <w:rStyle w:val="18"/>
                <w:lang w:val="en-US" w:eastAsia="zh-CN" w:bidi="ar"/>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000000"/>
          <w:kern w:val="0"/>
          <w:sz w:val="36"/>
          <w:szCs w:val="36"/>
        </w:rPr>
      </w:pPr>
    </w:p>
    <w:tbl>
      <w:tblPr>
        <w:tblStyle w:val="8"/>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5043" w:type="dxa"/>
            <w:gridSpan w:val="4"/>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r>
              <w:rPr>
                <w:rFonts w:hint="eastAsia" w:ascii="宋体" w:hAnsi="宋体" w:eastAsia="宋体" w:cs="宋体"/>
                <w:i w:val="0"/>
                <w:color w:val="000000"/>
                <w:kern w:val="0"/>
                <w:sz w:val="22"/>
                <w:szCs w:val="22"/>
                <w:u w:val="none"/>
                <w:lang w:val="en-US" w:eastAsia="zh-CN" w:bidi="ar"/>
              </w:rPr>
              <w:t>湖南省扶贫开发培训中心</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rPr>
          <w:rFonts w:ascii="黑体" w:hAnsi="黑体" w:eastAsia="黑体"/>
          <w:szCs w:val="21"/>
        </w:rPr>
        <w:br w:type="page"/>
      </w:r>
    </w:p>
    <w:p>
      <w:pPr>
        <w:pStyle w:val="13"/>
        <w:rPr>
          <w:sz w:val="72"/>
          <w:szCs w:val="72"/>
        </w:rPr>
      </w:pPr>
    </w:p>
    <w:p>
      <w:pPr>
        <w:pStyle w:val="13"/>
        <w:rPr>
          <w:sz w:val="72"/>
          <w:szCs w:val="72"/>
        </w:rPr>
      </w:pPr>
    </w:p>
    <w:p>
      <w:pPr>
        <w:pStyle w:val="13"/>
        <w:rPr>
          <w:sz w:val="72"/>
          <w:szCs w:val="72"/>
        </w:rPr>
      </w:pPr>
    </w:p>
    <w:p>
      <w:pPr>
        <w:pStyle w:val="13"/>
        <w:rPr>
          <w:sz w:val="72"/>
          <w:szCs w:val="72"/>
        </w:rPr>
      </w:pPr>
    </w:p>
    <w:p>
      <w:pPr>
        <w:pStyle w:val="13"/>
        <w:jc w:val="center"/>
        <w:rPr>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3"/>
        <w:jc w:val="center"/>
        <w:rPr>
          <w:rFonts w:hint="eastAsia" w:ascii="方正小标宋_GBK" w:hAnsi="方正小标宋_GBK" w:eastAsia="方正小标宋_GBK" w:cs="方正小标宋_GBK"/>
          <w:sz w:val="70"/>
          <w:szCs w:val="70"/>
        </w:rPr>
      </w:pPr>
    </w:p>
    <w:p>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rPr>
          <w:rFonts w:hint="eastAsia" w:ascii="方正小标宋_GBK" w:hAnsi="方正小标宋_GBK" w:eastAsia="方正小标宋_GBK" w:cs="方正小标宋_GBK"/>
          <w:sz w:val="70"/>
          <w:szCs w:val="70"/>
        </w:rPr>
        <w:br w:type="page"/>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775.24</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84.38</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12.21</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培训费用增加。</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602.40</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602.40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733.49</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167.77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22.87</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565.72</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77.13</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775.24</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84.38</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12.21</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培训费用增加。</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（一）一般公共预算财政拨款支出决算总体情况</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733.49</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%，与上年相比，财政拨款支出增加</w:t>
      </w:r>
      <w:r>
        <w:rPr>
          <w:rFonts w:hint="eastAsia" w:ascii="Times New Roman" w:hAnsi="Times New Roman" w:eastAsia="仿宋_GB2312"/>
          <w:sz w:val="32"/>
          <w:szCs w:val="32"/>
          <w:lang w:val="en-US" w:eastAsia="zh-CN"/>
        </w:rPr>
        <w:t>254.35</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53.08</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培训费用增加。</w:t>
      </w:r>
    </w:p>
    <w:p>
      <w:pPr>
        <w:pStyle w:val="13"/>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（二）一般公共预算财政拨款支出决算结构情况</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733.49</w:t>
      </w:r>
      <w:r>
        <w:rPr>
          <w:rFonts w:hint="eastAsia" w:ascii="Times New Roman" w:hAnsi="Times New Roman" w:eastAsia="仿宋_GB2312"/>
          <w:sz w:val="32"/>
          <w:szCs w:val="32"/>
        </w:rPr>
        <w:t>万元，主要用于以下方面：社会保障和就业</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类）</w:t>
      </w:r>
      <w:r>
        <w:rPr>
          <w:rFonts w:hint="eastAsia" w:ascii="Times New Roman" w:hAnsi="Times New Roman" w:eastAsia="仿宋_GB2312"/>
          <w:sz w:val="32"/>
          <w:szCs w:val="32"/>
        </w:rPr>
        <w:t>支出</w:t>
      </w:r>
      <w:r>
        <w:rPr>
          <w:rFonts w:hint="eastAsia" w:ascii="Times New Roman" w:hAnsi="Times New Roman" w:eastAsia="仿宋_GB2312"/>
          <w:sz w:val="32"/>
          <w:szCs w:val="32"/>
          <w:lang w:val="en-US" w:eastAsia="zh-CN"/>
        </w:rPr>
        <w:t>24.51</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3.34</w:t>
      </w:r>
      <w:r>
        <w:rPr>
          <w:rFonts w:hint="eastAsia" w:ascii="Times New Roman" w:hAnsi="Times New Roman" w:eastAsia="仿宋_GB2312"/>
          <w:sz w:val="32"/>
          <w:szCs w:val="32"/>
        </w:rPr>
        <w:t>%；卫生健康</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类）</w:t>
      </w:r>
      <w:r>
        <w:rPr>
          <w:rFonts w:hint="eastAsia" w:ascii="Times New Roman" w:hAnsi="Times New Roman" w:eastAsia="仿宋_GB2312"/>
          <w:sz w:val="32"/>
          <w:szCs w:val="32"/>
        </w:rPr>
        <w:t>支出</w:t>
      </w:r>
      <w:r>
        <w:rPr>
          <w:rFonts w:hint="eastAsia" w:ascii="Times New Roman" w:hAnsi="Times New Roman" w:eastAsia="仿宋_GB2312"/>
          <w:sz w:val="32"/>
          <w:szCs w:val="32"/>
          <w:lang w:val="en-US" w:eastAsia="zh-CN"/>
        </w:rPr>
        <w:t>7.65</w:t>
      </w:r>
      <w:r>
        <w:rPr>
          <w:rFonts w:hint="eastAsia" w:ascii="Times New Roman" w:hAnsi="Times New Roman" w:eastAsia="仿宋_GB2312"/>
          <w:sz w:val="32"/>
          <w:szCs w:val="32"/>
        </w:rPr>
        <w:t>万元，占1.</w:t>
      </w:r>
      <w:r>
        <w:rPr>
          <w:rFonts w:hint="eastAsia" w:ascii="Times New Roman" w:hAnsi="Times New Roman" w:eastAsia="仿宋_GB2312"/>
          <w:sz w:val="32"/>
          <w:szCs w:val="32"/>
          <w:lang w:val="en-US" w:eastAsia="zh-CN"/>
        </w:rPr>
        <w:t>04</w:t>
      </w:r>
      <w:r>
        <w:rPr>
          <w:rFonts w:hint="eastAsia" w:ascii="Times New Roman" w:hAnsi="Times New Roman" w:eastAsia="仿宋_GB2312"/>
          <w:sz w:val="32"/>
          <w:szCs w:val="32"/>
        </w:rPr>
        <w:t>%;农林水</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类）</w:t>
      </w:r>
      <w:r>
        <w:rPr>
          <w:rFonts w:hint="eastAsia" w:ascii="Times New Roman" w:hAnsi="Times New Roman" w:eastAsia="仿宋_GB2312"/>
          <w:sz w:val="32"/>
          <w:szCs w:val="32"/>
        </w:rPr>
        <w:t>支出</w:t>
      </w:r>
      <w:r>
        <w:rPr>
          <w:rFonts w:hint="eastAsia" w:ascii="Times New Roman" w:hAnsi="Times New Roman" w:eastAsia="仿宋_GB2312"/>
          <w:sz w:val="32"/>
          <w:szCs w:val="32"/>
          <w:lang w:val="en-US" w:eastAsia="zh-CN"/>
        </w:rPr>
        <w:t>690.89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94.19</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w:t>
      </w:r>
      <w:r>
        <w:rPr>
          <w:rFonts w:hint="eastAsia" w:ascii="Times New Roman" w:hAnsi="Times New Roman" w:eastAsia="仿宋_GB2312"/>
          <w:sz w:val="32"/>
          <w:szCs w:val="32"/>
        </w:rPr>
        <w:t>住房保障</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类）</w:t>
      </w:r>
      <w:r>
        <w:rPr>
          <w:rFonts w:hint="eastAsia" w:ascii="Times New Roman" w:hAnsi="Times New Roman" w:eastAsia="仿宋_GB2312"/>
          <w:sz w:val="32"/>
          <w:szCs w:val="32"/>
        </w:rPr>
        <w:t>支出</w:t>
      </w:r>
      <w:r>
        <w:rPr>
          <w:rFonts w:hint="eastAsia" w:ascii="Times New Roman" w:hAnsi="Times New Roman" w:eastAsia="仿宋_GB2312"/>
          <w:sz w:val="32"/>
          <w:szCs w:val="32"/>
          <w:lang w:val="en-US" w:eastAsia="zh-CN"/>
        </w:rPr>
        <w:t>10.43</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1.42</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738.24</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733.49</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99.36</w:t>
      </w:r>
      <w:r>
        <w:rPr>
          <w:rFonts w:hint="eastAsia" w:ascii="Times New Roman" w:hAnsi="Times New Roman" w:eastAsia="仿宋_GB2312"/>
          <w:sz w:val="32"/>
          <w:szCs w:val="32"/>
        </w:rPr>
        <w:t>%，其中：</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1、社会保障和就业（类）行政事业单位养老支出（款）事业单位离退休（项）。</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12.00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13.89</w:t>
      </w:r>
      <w:r>
        <w:rPr>
          <w:rFonts w:hint="eastAsia" w:ascii="Times New Roman" w:hAnsi="Times New Roman" w:eastAsia="仿宋_GB2312"/>
          <w:sz w:val="32"/>
          <w:szCs w:val="32"/>
        </w:rPr>
        <w:t>万元，完成年初预算的1</w:t>
      </w:r>
      <w:r>
        <w:rPr>
          <w:rFonts w:hint="eastAsia" w:ascii="Times New Roman" w:hAnsi="Times New Roman" w:eastAsia="仿宋_GB2312"/>
          <w:sz w:val="32"/>
          <w:szCs w:val="32"/>
          <w:lang w:val="en-US" w:eastAsia="zh-CN"/>
        </w:rPr>
        <w:t>15.75</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大</w:t>
      </w:r>
      <w:r>
        <w:rPr>
          <w:rFonts w:hint="eastAsia" w:ascii="Times New Roman" w:hAnsi="Times New Roman" w:eastAsia="仿宋_GB2312"/>
          <w:sz w:val="32"/>
          <w:szCs w:val="32"/>
        </w:rPr>
        <w:t>于年初预算数的主要原因是</w:t>
      </w:r>
      <w:r>
        <w:rPr>
          <w:rFonts w:hint="eastAsia" w:ascii="Times New Roman" w:hAnsi="Times New Roman" w:eastAsia="仿宋_GB2312"/>
          <w:sz w:val="32"/>
          <w:szCs w:val="32"/>
          <w:lang w:val="en-US" w:eastAsia="zh-CN"/>
        </w:rPr>
        <w:t>年中指标调剂</w:t>
      </w:r>
      <w:r>
        <w:rPr>
          <w:rFonts w:hint="eastAsia" w:ascii="Times New Roman" w:hAnsi="Times New Roman" w:eastAsia="仿宋_GB2312"/>
          <w:sz w:val="32"/>
          <w:szCs w:val="32"/>
        </w:rPr>
        <w:t>。</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2、社会保障和就业（类）行政事业单位养老支出（款）机关事业单位基本养老保险缴费支出（项）。</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15.00</w:t>
      </w:r>
      <w:r>
        <w:rPr>
          <w:rFonts w:hint="eastAsia" w:ascii="Times New Roman" w:hAnsi="Times New Roman" w:eastAsia="仿宋_GB2312"/>
          <w:sz w:val="32"/>
          <w:szCs w:val="32"/>
        </w:rPr>
        <w:t>万元，支出决算为9.</w:t>
      </w:r>
      <w:r>
        <w:rPr>
          <w:rFonts w:hint="eastAsia" w:ascii="Times New Roman" w:hAnsi="Times New Roman" w:eastAsia="仿宋_GB2312"/>
          <w:sz w:val="32"/>
          <w:szCs w:val="32"/>
          <w:lang w:val="en-US" w:eastAsia="zh-CN"/>
        </w:rPr>
        <w:t>49</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63.27</w:t>
      </w:r>
      <w:r>
        <w:rPr>
          <w:rFonts w:hint="eastAsia" w:ascii="Times New Roman" w:hAnsi="Times New Roman" w:eastAsia="仿宋_GB2312"/>
          <w:sz w:val="32"/>
          <w:szCs w:val="32"/>
        </w:rPr>
        <w:t>%，决算数小于年初预算数的主要原因是按照国家统一政策缴纳养老保险，年初预算数比实际支出偏大。</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3、社会保障和就业（类）行政事业单位养老支出（款）其他社会保障和就业支出（项）。</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2.00</w:t>
      </w:r>
      <w:r>
        <w:rPr>
          <w:rFonts w:hint="eastAsia" w:ascii="Times New Roman" w:hAnsi="Times New Roman" w:eastAsia="仿宋_GB2312"/>
          <w:sz w:val="32"/>
          <w:szCs w:val="32"/>
        </w:rPr>
        <w:t>万元，支出决算为1</w:t>
      </w:r>
      <w:r>
        <w:rPr>
          <w:rFonts w:hint="eastAsia" w:ascii="Times New Roman" w:hAnsi="Times New Roman" w:eastAsia="仿宋_GB2312"/>
          <w:sz w:val="32"/>
          <w:szCs w:val="32"/>
          <w:lang w:val="en-US" w:eastAsia="zh-CN"/>
        </w:rPr>
        <w:t>.13</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56.50%</w:t>
      </w:r>
      <w:r>
        <w:rPr>
          <w:rFonts w:hint="eastAsia" w:ascii="Times New Roman" w:hAnsi="Times New Roman" w:eastAsia="仿宋_GB2312"/>
          <w:sz w:val="32"/>
          <w:szCs w:val="32"/>
        </w:rPr>
        <w:t>决算数小于年初预算数的主要原因是他社会保障和就业支出年初预算数比实际支出偏大。</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4、卫生健康支出（类）行政事业单位医疗（款）事业单位医疗（项）。</w:t>
      </w:r>
    </w:p>
    <w:p>
      <w:pPr>
        <w:pStyle w:val="13"/>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10.00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7.65</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76.50</w:t>
      </w:r>
      <w:r>
        <w:rPr>
          <w:rFonts w:hint="eastAsia" w:ascii="Times New Roman" w:hAnsi="Times New Roman" w:eastAsia="仿宋_GB2312"/>
          <w:sz w:val="32"/>
          <w:szCs w:val="32"/>
        </w:rPr>
        <w:t>%，决算数小于年初预算数的主要原因是事业单位年初预算数比实际支出偏大。</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5、农林水支出（类）巩固脱贫衔接乡村振兴（款）</w:t>
      </w:r>
      <w:r>
        <w:rPr>
          <w:rFonts w:hint="eastAsia" w:ascii="Times New Roman" w:hAnsi="Times New Roman" w:eastAsia="仿宋_GB2312"/>
          <w:sz w:val="32"/>
          <w:szCs w:val="32"/>
          <w:lang w:val="en-US" w:eastAsia="zh-CN"/>
        </w:rPr>
        <w:t>行政</w:t>
      </w:r>
      <w:r>
        <w:rPr>
          <w:rFonts w:hint="eastAsia" w:ascii="Times New Roman" w:hAnsi="Times New Roman" w:eastAsia="仿宋_GB2312"/>
          <w:sz w:val="32"/>
          <w:szCs w:val="32"/>
        </w:rPr>
        <w:t>运行（项）。</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34.17</w:t>
      </w:r>
      <w:r>
        <w:rPr>
          <w:rFonts w:hint="eastAsia" w:ascii="Times New Roman" w:hAnsi="Times New Roman" w:eastAsia="仿宋_GB2312"/>
          <w:sz w:val="32"/>
          <w:szCs w:val="32"/>
        </w:rPr>
        <w:t>万元，决算数</w:t>
      </w:r>
      <w:r>
        <w:rPr>
          <w:rFonts w:hint="eastAsia" w:ascii="Times New Roman" w:hAnsi="Times New Roman" w:eastAsia="仿宋_GB2312"/>
          <w:sz w:val="32"/>
          <w:szCs w:val="32"/>
          <w:lang w:val="en-US" w:eastAsia="zh-CN"/>
        </w:rPr>
        <w:t>大</w:t>
      </w:r>
      <w:r>
        <w:rPr>
          <w:rFonts w:hint="eastAsia" w:ascii="Times New Roman" w:hAnsi="Times New Roman" w:eastAsia="仿宋_GB2312"/>
          <w:sz w:val="32"/>
          <w:szCs w:val="32"/>
        </w:rPr>
        <w:t>于年初预算数的主要原因是</w:t>
      </w:r>
      <w:r>
        <w:rPr>
          <w:rFonts w:hint="eastAsia" w:ascii="Times New Roman" w:hAnsi="Times New Roman" w:eastAsia="仿宋_GB2312"/>
          <w:sz w:val="32"/>
          <w:szCs w:val="32"/>
          <w:lang w:val="en-US" w:eastAsia="zh-CN"/>
        </w:rPr>
        <w:t>年中追加人员经费</w:t>
      </w:r>
      <w:r>
        <w:rPr>
          <w:rFonts w:hint="eastAsia" w:ascii="Times New Roman" w:hAnsi="Times New Roman" w:eastAsia="仿宋_GB2312"/>
          <w:sz w:val="32"/>
          <w:szCs w:val="32"/>
        </w:rPr>
        <w:t>。</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、农林水支出（类）巩固脱贫衔接乡村振兴（款）事业运行（项）。</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118.60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123.87</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104.44</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大</w:t>
      </w:r>
      <w:r>
        <w:rPr>
          <w:rFonts w:hint="eastAsia" w:ascii="Times New Roman" w:hAnsi="Times New Roman" w:eastAsia="仿宋_GB2312"/>
          <w:sz w:val="32"/>
          <w:szCs w:val="32"/>
        </w:rPr>
        <w:t>于年初预算数的主要原因是</w:t>
      </w:r>
      <w:r>
        <w:rPr>
          <w:rFonts w:hint="eastAsia" w:ascii="Times New Roman" w:hAnsi="Times New Roman" w:eastAsia="仿宋_GB2312"/>
          <w:sz w:val="32"/>
          <w:szCs w:val="32"/>
          <w:lang w:val="en-US" w:eastAsia="zh-CN"/>
        </w:rPr>
        <w:t>年中指标调剂</w:t>
      </w:r>
      <w:r>
        <w:rPr>
          <w:rFonts w:hint="eastAsia" w:ascii="Times New Roman" w:hAnsi="Times New Roman" w:eastAsia="仿宋_GB2312"/>
          <w:sz w:val="32"/>
          <w:szCs w:val="32"/>
        </w:rPr>
        <w:t>。</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7</w:t>
      </w:r>
      <w:r>
        <w:rPr>
          <w:rFonts w:hint="eastAsia" w:ascii="Times New Roman" w:hAnsi="Times New Roman" w:eastAsia="仿宋_GB2312"/>
          <w:sz w:val="32"/>
          <w:szCs w:val="32"/>
        </w:rPr>
        <w:t>、农林水支出（类）巩固脱贫衔接乡村振兴（款）其他巩固脱贫衔接乡村振兴支出（项）。</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年初预算为5</w:t>
      </w:r>
      <w:r>
        <w:rPr>
          <w:rFonts w:hint="eastAsia" w:ascii="Times New Roman" w:hAnsi="Times New Roman" w:eastAsia="仿宋_GB2312"/>
          <w:sz w:val="32"/>
          <w:szCs w:val="32"/>
          <w:lang w:val="en-US" w:eastAsia="zh-CN"/>
        </w:rPr>
        <w:t>67.64</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532.86</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93.87</w:t>
      </w:r>
      <w:r>
        <w:rPr>
          <w:rFonts w:hint="eastAsia" w:ascii="Times New Roman" w:hAnsi="Times New Roman" w:eastAsia="仿宋_GB2312"/>
          <w:sz w:val="32"/>
          <w:szCs w:val="32"/>
        </w:rPr>
        <w:t>%，决算数小于年初预算数的主要原因是事业单位年初预算数比实际支出偏大。</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lang w:val="en-US" w:eastAsia="zh-CN"/>
        </w:rPr>
        <w:t>8</w:t>
      </w:r>
      <w:r>
        <w:rPr>
          <w:rFonts w:hint="eastAsia" w:ascii="Times New Roman" w:hAnsi="Times New Roman" w:eastAsia="仿宋_GB2312"/>
          <w:sz w:val="32"/>
          <w:szCs w:val="32"/>
        </w:rPr>
        <w:t>、住房保障支出（类）住房改革支出（款）住房公积金（项）。</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年初预算为1</w:t>
      </w:r>
      <w:r>
        <w:rPr>
          <w:rFonts w:hint="eastAsia" w:ascii="Times New Roman" w:hAnsi="Times New Roman" w:eastAsia="仿宋_GB2312"/>
          <w:sz w:val="32"/>
          <w:szCs w:val="32"/>
          <w:lang w:val="en-US" w:eastAsia="zh-CN"/>
        </w:rPr>
        <w:t>3.00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10.43</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80.23</w:t>
      </w:r>
      <w:r>
        <w:rPr>
          <w:rFonts w:hint="eastAsia" w:ascii="Times New Roman" w:hAnsi="Times New Roman" w:eastAsia="仿宋_GB2312"/>
          <w:sz w:val="32"/>
          <w:szCs w:val="32"/>
        </w:rPr>
        <w:t>%，决算数小于年初预算数的主要原因是事业单位年初预算数比实际支出偏大。</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年度财政拨款基本支出167.77万元，其中：</w:t>
      </w:r>
    </w:p>
    <w:p>
      <w:pPr>
        <w:pStyle w:val="13"/>
        <w:spacing w:line="600" w:lineRule="exact"/>
        <w:ind w:firstLine="640" w:firstLineChars="200"/>
        <w:rPr>
          <w:rFonts w:ascii="楷体" w:hAnsi="楷体" w:eastAsia="楷体" w:cs="楷体"/>
          <w:b/>
          <w:bCs/>
          <w:i/>
          <w:color w:val="auto"/>
          <w:sz w:val="32"/>
          <w:szCs w:val="32"/>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154.33</w:t>
      </w:r>
      <w:r>
        <w:rPr>
          <w:rFonts w:hint="eastAsia" w:ascii="Times New Roman" w:hAnsi="Times New Roman" w:eastAsia="仿宋_GB2312"/>
          <w:sz w:val="32"/>
          <w:szCs w:val="32"/>
        </w:rPr>
        <w:t>万元，占基本支出的9</w:t>
      </w:r>
      <w:r>
        <w:rPr>
          <w:rFonts w:hint="eastAsia" w:ascii="Times New Roman" w:hAnsi="Times New Roman" w:eastAsia="仿宋_GB2312"/>
          <w:sz w:val="32"/>
          <w:szCs w:val="32"/>
          <w:lang w:val="en-US" w:eastAsia="zh-CN"/>
        </w:rPr>
        <w:t>1.99</w:t>
      </w:r>
      <w:r>
        <w:rPr>
          <w:rFonts w:hint="eastAsia" w:ascii="Times New Roman" w:hAnsi="Times New Roman" w:eastAsia="仿宋_GB2312"/>
          <w:sz w:val="32"/>
          <w:szCs w:val="32"/>
        </w:rPr>
        <w:t>%,主要包括基本工资、津贴补贴、伙食补助费、绩效工资、机关事业单位基本养老保险缴费、职工基本医疗保险缴费、其他社会保障缴费</w:t>
      </w:r>
      <w:r>
        <w:rPr>
          <w:rFonts w:hint="eastAsia" w:ascii="Times New Roman" w:hAnsi="Times New Roman" w:eastAsia="仿宋_GB2312"/>
          <w:sz w:val="32"/>
          <w:szCs w:val="32"/>
          <w:lang w:val="en-US" w:eastAsia="zh-CN"/>
        </w:rPr>
        <w:t>选装</w:t>
      </w:r>
      <w:r>
        <w:rPr>
          <w:rFonts w:hint="eastAsia" w:ascii="Times New Roman" w:hAnsi="Times New Roman" w:eastAsia="仿宋_GB2312"/>
          <w:sz w:val="32"/>
          <w:szCs w:val="32"/>
        </w:rPr>
        <w:t>。</w:t>
      </w:r>
    </w:p>
    <w:p>
      <w:pPr>
        <w:pStyle w:val="13"/>
        <w:spacing w:line="600" w:lineRule="exact"/>
        <w:ind w:firstLine="640" w:firstLineChars="200"/>
        <w:rPr>
          <w:rFonts w:ascii="Times New Roman" w:hAnsi="Times New Roman" w:eastAsia="仿宋_GB2312"/>
          <w:b/>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13.44</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8.01</w:t>
      </w:r>
      <w:r>
        <w:rPr>
          <w:rFonts w:hint="eastAsia" w:ascii="Times New Roman" w:hAnsi="Times New Roman" w:eastAsia="仿宋_GB2312"/>
          <w:sz w:val="32"/>
          <w:szCs w:val="32"/>
        </w:rPr>
        <w:t>%，主要包括办公费、差旅费、  其他交通费用</w:t>
      </w:r>
      <w:r>
        <w:rPr>
          <w:rFonts w:hint="eastAsia" w:ascii="Times New Roman" w:hAnsi="Times New Roman" w:eastAsia="仿宋_GB2312"/>
          <w:sz w:val="32"/>
          <w:szCs w:val="32"/>
          <w:lang w:val="en-US" w:eastAsia="zh-CN"/>
        </w:rPr>
        <w:t>等</w:t>
      </w:r>
      <w:r>
        <w:rPr>
          <w:rFonts w:hint="eastAsia" w:ascii="Times New Roman" w:hAnsi="Times New Roman" w:eastAsia="仿宋_GB2312"/>
          <w:sz w:val="32"/>
          <w:szCs w:val="32"/>
        </w:rPr>
        <w:t>。</w:t>
      </w:r>
    </w:p>
    <w:p>
      <w:pPr>
        <w:pStyle w:val="13"/>
        <w:keepNext w:val="0"/>
        <w:keepLines w:val="0"/>
        <w:pageBreakBefore w:val="0"/>
        <w:widowControl w:val="0"/>
        <w:numPr>
          <w:ilvl w:val="0"/>
          <w:numId w:val="2"/>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财政拨款三公经费支出决算情况说明</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val="en-US" w:eastAsia="zh-CN"/>
        </w:rPr>
        <w:t>单位厉行节约，未发生</w:t>
      </w:r>
      <w:r>
        <w:rPr>
          <w:rFonts w:hint="eastAsia" w:ascii="Times New Roman" w:hAnsi="Times New Roman" w:eastAsia="仿宋_GB2312"/>
          <w:sz w:val="32"/>
          <w:szCs w:val="32"/>
        </w:rPr>
        <w:t>“三公”经费</w:t>
      </w:r>
      <w:r>
        <w:rPr>
          <w:rFonts w:hint="eastAsia" w:ascii="Times New Roman" w:hAnsi="Times New Roman" w:eastAsia="仿宋_GB2312"/>
          <w:sz w:val="32"/>
          <w:szCs w:val="32"/>
          <w:lang w:val="en-US" w:eastAsia="zh-CN"/>
        </w:rPr>
        <w:t>支出</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w:t>
      </w:r>
      <w:r>
        <w:rPr>
          <w:rFonts w:hint="eastAsia" w:ascii="Times New Roman" w:hAnsi="Times New Roman" w:eastAsia="仿宋_GB2312"/>
          <w:sz w:val="32"/>
          <w:szCs w:val="32"/>
          <w:lang w:val="en-US" w:eastAsia="zh-CN"/>
        </w:rPr>
        <w:t>持平</w:t>
      </w:r>
      <w:r>
        <w:rPr>
          <w:rFonts w:hint="eastAsia" w:ascii="Times New Roman" w:hAnsi="Times New Roman" w:eastAsia="仿宋_GB2312"/>
          <w:sz w:val="32"/>
          <w:szCs w:val="32"/>
        </w:rPr>
        <w:t>。其中：</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万元，与上年</w:t>
      </w:r>
      <w:r>
        <w:rPr>
          <w:rFonts w:hint="eastAsia" w:ascii="Times New Roman" w:hAnsi="Times New Roman" w:eastAsia="仿宋_GB2312"/>
          <w:sz w:val="32"/>
          <w:szCs w:val="32"/>
          <w:lang w:val="en-US" w:eastAsia="zh-CN"/>
        </w:rPr>
        <w:t>持平</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val="en-US" w:eastAsia="zh-CN"/>
        </w:rPr>
        <w:t>单位厉行节约，未发生</w:t>
      </w:r>
      <w:r>
        <w:rPr>
          <w:rFonts w:hint="eastAsia" w:ascii="Times New Roman" w:hAnsi="Times New Roman" w:eastAsia="仿宋_GB2312"/>
          <w:sz w:val="32"/>
          <w:szCs w:val="32"/>
        </w:rPr>
        <w:t>“三公”经费</w:t>
      </w:r>
      <w:r>
        <w:rPr>
          <w:rFonts w:hint="eastAsia" w:ascii="Times New Roman" w:hAnsi="Times New Roman" w:eastAsia="仿宋_GB2312"/>
          <w:sz w:val="32"/>
          <w:szCs w:val="32"/>
          <w:lang w:val="en-US" w:eastAsia="zh-CN"/>
        </w:rPr>
        <w:t>支出</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w:t>
      </w:r>
      <w:r>
        <w:rPr>
          <w:rFonts w:hint="eastAsia" w:ascii="Times New Roman" w:hAnsi="Times New Roman" w:eastAsia="仿宋_GB2312"/>
          <w:sz w:val="32"/>
          <w:szCs w:val="32"/>
          <w:lang w:val="en-US" w:eastAsia="zh-CN"/>
        </w:rPr>
        <w:t>持平</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万元，与上年</w:t>
      </w:r>
      <w:r>
        <w:rPr>
          <w:rFonts w:hint="eastAsia" w:ascii="Times New Roman" w:hAnsi="Times New Roman" w:eastAsia="仿宋_GB2312"/>
          <w:sz w:val="32"/>
          <w:szCs w:val="32"/>
          <w:lang w:val="en-US" w:eastAsia="zh-CN"/>
        </w:rPr>
        <w:t>持平</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万元，与上年</w:t>
      </w:r>
      <w:r>
        <w:rPr>
          <w:rFonts w:hint="eastAsia" w:ascii="Times New Roman" w:hAnsi="Times New Roman" w:eastAsia="仿宋_GB2312"/>
          <w:sz w:val="32"/>
          <w:szCs w:val="32"/>
          <w:lang w:val="en-US" w:eastAsia="zh-CN"/>
        </w:rPr>
        <w:t>持平</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因</w:t>
      </w:r>
      <w:r>
        <w:rPr>
          <w:rFonts w:hint="eastAsia" w:ascii="Times New Roman" w:hAnsi="Times New Roman" w:eastAsia="仿宋_GB2312"/>
          <w:sz w:val="32"/>
          <w:szCs w:val="32"/>
        </w:rPr>
        <w:t>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万元，公务用车购置费及运行维护费支出决算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1、因公出国（境）费支出决算为0万元，全年安排因公出国（境）团组0个，累计0人次。</w:t>
      </w:r>
    </w:p>
    <w:p>
      <w:pPr>
        <w:pStyle w:val="13"/>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2、公务接待费支出决算为0万元，全年共接待来访团组0个、来宾0人次。</w:t>
      </w:r>
    </w:p>
    <w:p>
      <w:pPr>
        <w:spacing w:line="600" w:lineRule="exact"/>
        <w:ind w:firstLine="800" w:firstLineChars="250"/>
        <w:rPr>
          <w:rFonts w:ascii="楷体" w:hAnsi="楷体" w:eastAsia="楷体" w:cs="楷体"/>
          <w:b/>
          <w:bCs/>
          <w:i/>
          <w:kern w:val="0"/>
          <w:sz w:val="32"/>
          <w:szCs w:val="32"/>
        </w:rPr>
      </w:pPr>
      <w:r>
        <w:rPr>
          <w:rFonts w:hint="eastAsia" w:ascii="Times New Roman" w:hAnsi="Times New Roman" w:eastAsia="仿宋_GB2312"/>
          <w:sz w:val="32"/>
          <w:szCs w:val="32"/>
        </w:rPr>
        <w:t>3、公务用车购置费及运行维护费支出决算为0万元，其中：公务用车购置费0万元，单位本级更新公务用车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sz w:val="32"/>
          <w:szCs w:val="32"/>
        </w:rPr>
        <w:t>公务用车运行维护费0万元，截止202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年12月31日，我单位开支财政拨款的公务用车保有量为0辆。</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3"/>
        <w:keepNext w:val="0"/>
        <w:keepLines w:val="0"/>
        <w:pageBreakBefore w:val="0"/>
        <w:widowControl w:val="0"/>
        <w:kinsoku/>
        <w:wordWrap/>
        <w:overflowPunct/>
        <w:topLinePunct w:val="0"/>
        <w:bidi w:val="0"/>
        <w:snapToGrid/>
        <w:spacing w:line="600" w:lineRule="exact"/>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w:t>
      </w:r>
      <w:r>
        <w:rPr>
          <w:rFonts w:hint="eastAsia" w:ascii="Times New Roman" w:hAnsi="Times New Roman" w:eastAsia="仿宋_GB2312"/>
          <w:sz w:val="32"/>
          <w:szCs w:val="32"/>
          <w:lang w:val="en-US" w:eastAsia="zh-CN"/>
        </w:rPr>
        <w:t>无政府性基金收支</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w:t>
      </w:r>
      <w:r>
        <w:rPr>
          <w:rFonts w:hint="eastAsia" w:ascii="Times New Roman" w:hAnsi="Times New Roman" w:eastAsia="仿宋_GB2312"/>
          <w:sz w:val="32"/>
          <w:szCs w:val="32"/>
          <w:lang w:val="en-US" w:eastAsia="zh-CN"/>
        </w:rPr>
        <w:t>无</w:t>
      </w:r>
      <w:r>
        <w:rPr>
          <w:rFonts w:hint="eastAsia" w:ascii="Times New Roman" w:hAnsi="Times New Roman" w:eastAsia="仿宋_GB2312"/>
          <w:sz w:val="32"/>
          <w:szCs w:val="32"/>
        </w:rPr>
        <w:t>机关运行经费支出。</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年本部门开支会议费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仿宋_GB2312" w:hAnsi="仿宋_GB2312" w:eastAsia="仿宋_GB2312" w:cs="仿宋_GB2312"/>
          <w:sz w:val="32"/>
          <w:szCs w:val="32"/>
        </w:rPr>
        <w:t>开支培训费</w:t>
      </w:r>
      <w:r>
        <w:rPr>
          <w:rFonts w:hint="eastAsia" w:ascii="仿宋_GB2312" w:hAnsi="仿宋_GB2312" w:eastAsia="仿宋_GB2312" w:cs="仿宋_GB2312"/>
          <w:sz w:val="32"/>
          <w:szCs w:val="32"/>
          <w:lang w:val="en-US" w:eastAsia="zh-CN"/>
        </w:rPr>
        <w:t>410.46</w:t>
      </w:r>
      <w:r>
        <w:rPr>
          <w:rFonts w:hint="eastAsia" w:ascii="仿宋_GB2312" w:hAnsi="仿宋_GB2312" w:eastAsia="仿宋_GB2312" w:cs="仿宋_GB2312"/>
          <w:sz w:val="32"/>
          <w:szCs w:val="32"/>
        </w:rPr>
        <w:t>万元，用于开展</w:t>
      </w:r>
      <w:r>
        <w:rPr>
          <w:rFonts w:hint="eastAsia" w:ascii="仿宋_GB2312" w:hAnsi="仿宋_GB2312" w:eastAsia="仿宋_GB2312" w:cs="仿宋_GB2312"/>
          <w:sz w:val="32"/>
          <w:szCs w:val="32"/>
          <w:lang w:eastAsia="zh-CN"/>
        </w:rPr>
        <w:t>扶贫系统干部业务</w:t>
      </w:r>
      <w:r>
        <w:rPr>
          <w:rFonts w:hint="eastAsia" w:ascii="仿宋_GB2312" w:hAnsi="仿宋_GB2312" w:eastAsia="仿宋_GB2312" w:cs="仿宋_GB2312"/>
          <w:sz w:val="32"/>
          <w:szCs w:val="32"/>
        </w:rPr>
        <w:t>培训</w:t>
      </w:r>
      <w:r>
        <w:rPr>
          <w:rFonts w:hint="eastAsia" w:ascii="仿宋_GB2312" w:hAnsi="仿宋_GB2312" w:eastAsia="仿宋_GB2312" w:cs="仿宋_GB2312"/>
          <w:sz w:val="32"/>
          <w:szCs w:val="32"/>
          <w:lang w:val="en-US" w:eastAsia="zh-CN"/>
        </w:rPr>
        <w:t>15期</w:t>
      </w:r>
      <w:r>
        <w:rPr>
          <w:rFonts w:hint="eastAsia" w:ascii="仿宋_GB2312" w:hAnsi="仿宋_GB2312" w:eastAsia="仿宋_GB2312" w:cs="仿宋_GB2312"/>
          <w:sz w:val="32"/>
          <w:szCs w:val="32"/>
        </w:rPr>
        <w:t>，人数</w:t>
      </w:r>
      <w:r>
        <w:rPr>
          <w:rFonts w:hint="eastAsia" w:ascii="仿宋_GB2312" w:hAnsi="仿宋_GB2312" w:eastAsia="仿宋_GB2312" w:cs="仿宋_GB2312"/>
          <w:color w:val="auto"/>
          <w:sz w:val="32"/>
          <w:szCs w:val="32"/>
          <w:lang w:val="en-US" w:eastAsia="zh-CN"/>
        </w:rPr>
        <w:t>3211</w:t>
      </w:r>
      <w:r>
        <w:rPr>
          <w:rFonts w:hint="eastAsia" w:ascii="仿宋_GB2312" w:hAnsi="仿宋_GB2312" w:eastAsia="仿宋_GB2312" w:cs="仿宋_GB2312"/>
          <w:color w:val="auto"/>
          <w:sz w:val="32"/>
          <w:szCs w:val="32"/>
        </w:rPr>
        <w:t>人</w:t>
      </w:r>
      <w:r>
        <w:rPr>
          <w:rFonts w:hint="eastAsia" w:ascii="仿宋_GB2312" w:hAnsi="仿宋_GB2312" w:eastAsia="仿宋_GB2312" w:cs="仿宋_GB2312"/>
          <w:sz w:val="32"/>
          <w:szCs w:val="32"/>
        </w:rPr>
        <w:t>，内容</w:t>
      </w:r>
      <w:r>
        <w:rPr>
          <w:rFonts w:hint="eastAsia" w:ascii="仿宋_GB2312" w:hAnsi="仿宋_GB2312" w:eastAsia="仿宋_GB2312" w:cs="仿宋_GB2312"/>
          <w:sz w:val="32"/>
          <w:szCs w:val="32"/>
          <w:lang w:eastAsia="zh-CN"/>
        </w:rPr>
        <w:t>主要为</w:t>
      </w:r>
      <w:r>
        <w:rPr>
          <w:rFonts w:hint="eastAsia" w:ascii="仿宋_GB2312" w:hAnsi="仿宋_GB2312" w:eastAsia="仿宋_GB2312" w:cs="仿宋_GB2312"/>
          <w:color w:val="000000"/>
          <w:kern w:val="0"/>
          <w:sz w:val="32"/>
          <w:szCs w:val="32"/>
          <w:lang w:val="en-US" w:eastAsia="zh-CN" w:bidi="ar-SA"/>
        </w:rPr>
        <w:t>学习贯彻党的二十大精神暨湖南省乡村系统业务能力提升班(共2期)、乡村治理及产业振兴培训、产业振兴培训、全省衔接资金项目资产及金融帮扶业务、2023年资金项目资产及改厕资金专项核查业务培训、湖南省实施乡村振兴战略专题培训、全省“雨露计划”就业促进行动现场培训、</w:t>
      </w:r>
      <w:r>
        <w:rPr>
          <w:rFonts w:hint="eastAsia" w:ascii="仿宋_GB2312" w:hAnsi="仿宋_GB2312" w:eastAsia="仿宋_GB2312" w:cs="仿宋_GB2312"/>
          <w:sz w:val="32"/>
          <w:szCs w:val="32"/>
          <w:lang w:val="en-US" w:eastAsia="zh-CN"/>
        </w:rPr>
        <w:t>全省农村“厕所革命”工作培训、衔接资金管理工作专班业务培训、全省乡村振兴村级实践交流基地培训、全省提升防返贫监测与帮扶工作质量培训；未举办节庆、晚会、论坛、赛事等活动。</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280.49</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144.97</w:t>
      </w:r>
      <w:r>
        <w:rPr>
          <w:rFonts w:hint="eastAsia" w:ascii="Times New Roman" w:hAnsi="Times New Roman" w:eastAsia="仿宋_GB2312"/>
          <w:sz w:val="32"/>
          <w:szCs w:val="32"/>
        </w:rPr>
        <w:t>万元、政府采购工程支出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135.52</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280.49</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%，其中：授予小微企业合同金额</w:t>
      </w:r>
      <w:r>
        <w:rPr>
          <w:rFonts w:hint="eastAsia" w:ascii="Times New Roman" w:hAnsi="Times New Roman" w:eastAsia="仿宋_GB2312"/>
          <w:sz w:val="32"/>
          <w:szCs w:val="32"/>
          <w:lang w:val="en-US" w:eastAsia="zh-CN"/>
        </w:rPr>
        <w:t>280.49</w:t>
      </w:r>
      <w:r>
        <w:rPr>
          <w:rFonts w:hint="eastAsia" w:ascii="Times New Roman" w:hAnsi="Times New Roman" w:eastAsia="仿宋_GB2312"/>
          <w:sz w:val="32"/>
          <w:szCs w:val="32"/>
        </w:rPr>
        <w:t>万元，</w:t>
      </w:r>
      <w:r>
        <w:rPr>
          <w:rFonts w:hint="eastAsia" w:ascii="Times New Roman" w:hAnsi="Times New Roman" w:eastAsia="仿宋_GB2312"/>
          <w:color w:val="auto"/>
          <w:sz w:val="32"/>
          <w:szCs w:val="32"/>
        </w:rPr>
        <w:t>占</w:t>
      </w:r>
      <w:r>
        <w:rPr>
          <w:rFonts w:hint="eastAsia" w:ascii="Times New Roman" w:hAnsi="Times New Roman" w:eastAsia="仿宋_GB2312"/>
          <w:color w:val="auto"/>
          <w:sz w:val="32"/>
          <w:szCs w:val="32"/>
          <w:lang w:eastAsia="zh-CN"/>
        </w:rPr>
        <w:t>授予中小企业合同金额</w:t>
      </w:r>
      <w:r>
        <w:rPr>
          <w:rFonts w:hint="eastAsia" w:ascii="Times New Roman" w:hAnsi="Times New Roman" w:eastAsia="仿宋_GB2312"/>
          <w:color w:val="auto"/>
          <w:sz w:val="32"/>
          <w:szCs w:val="32"/>
        </w:rPr>
        <w:t>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%。货物采购授予中小企业合同金额占货物支出金额的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%，服务采购授予中小企业合同金额占服务支出金额的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截至202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年12月31日，</w:t>
      </w:r>
      <w:r>
        <w:rPr>
          <w:rFonts w:hint="eastAsia" w:ascii="Times New Roman" w:hAnsi="Times New Roman" w:eastAsia="仿宋_GB2312"/>
          <w:color w:val="auto"/>
          <w:sz w:val="32"/>
          <w:szCs w:val="32"/>
          <w:lang w:eastAsia="zh-CN"/>
        </w:rPr>
        <w:t>单位</w:t>
      </w:r>
      <w:r>
        <w:rPr>
          <w:rFonts w:hint="eastAsia" w:ascii="Times New Roman" w:hAnsi="Times New Roman" w:eastAsia="仿宋_GB2312"/>
          <w:sz w:val="32"/>
          <w:szCs w:val="32"/>
        </w:rPr>
        <w:t>共有车辆0辆</w:t>
      </w:r>
      <w:r>
        <w:rPr>
          <w:rFonts w:hint="eastAsia" w:ascii="Times New Roman" w:hAnsi="Times New Roman" w:eastAsia="仿宋_GB2312"/>
          <w:color w:val="auto"/>
          <w:sz w:val="32"/>
          <w:szCs w:val="32"/>
        </w:rPr>
        <w:t>，其中</w:t>
      </w:r>
      <w:r>
        <w:rPr>
          <w:rFonts w:hint="eastAsia" w:ascii="Times New Roman" w:hAnsi="Times New Roman" w:eastAsia="仿宋_GB2312"/>
          <w:color w:val="auto"/>
          <w:sz w:val="32"/>
          <w:szCs w:val="32"/>
          <w:lang w:eastAsia="zh-CN"/>
        </w:rPr>
        <w:t>，副部（省）级及以上领导用车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主要</w:t>
      </w:r>
      <w:r>
        <w:rPr>
          <w:rFonts w:hint="eastAsia" w:ascii="Times New Roman" w:hAnsi="Times New Roman" w:eastAsia="仿宋_GB2312"/>
          <w:color w:val="auto"/>
          <w:sz w:val="32"/>
          <w:szCs w:val="32"/>
          <w:lang w:eastAsia="zh-CN"/>
        </w:rPr>
        <w:t>负责人</w:t>
      </w:r>
      <w:r>
        <w:rPr>
          <w:rFonts w:hint="eastAsia" w:ascii="Times New Roman" w:hAnsi="Times New Roman" w:eastAsia="仿宋_GB2312"/>
          <w:color w:val="auto"/>
          <w:sz w:val="32"/>
          <w:szCs w:val="32"/>
        </w:rPr>
        <w:t>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机要通信用车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辆、应急保障用车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辆、执法执勤用车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辆、特种专业技术用车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离退休干部服务用车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辆、其他用车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val="en-US" w:eastAsia="zh-CN"/>
        </w:rPr>
        <w:t>；</w:t>
      </w:r>
      <w:r>
        <w:rPr>
          <w:rFonts w:hint="eastAsia" w:ascii="Times New Roman" w:hAnsi="Times New Roman" w:eastAsia="仿宋_GB2312"/>
          <w:color w:val="auto"/>
          <w:sz w:val="32"/>
          <w:szCs w:val="32"/>
        </w:rPr>
        <w:t>单位价值100万元以上设备</w:t>
      </w:r>
      <w:r>
        <w:rPr>
          <w:rFonts w:hint="eastAsia" w:ascii="Times New Roman" w:hAnsi="Times New Roman" w:eastAsia="仿宋_GB2312"/>
          <w:color w:val="auto"/>
          <w:sz w:val="32"/>
          <w:szCs w:val="32"/>
          <w:lang w:eastAsia="zh-CN"/>
        </w:rPr>
        <w:t>（不含车辆）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台（套）。</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lang w:eastAsia="zh-CN"/>
        </w:rPr>
        <w:t>一是加强预算绩效编制管理，进一步提高预算编制的科学性、合理性、严谨性和可控性，将预算执行率及绩效评价结果作为下一年度预算分配重点考虑因素。二是加强预算执行跟踪及绩效监控，每季度对预算执行情况进行统计分析，统筹科学合理安排预算支出。加强对预算执行过程控制和结果反馈，根据年中绩效监控结果对预算执行差异分析成因和影响，并及时向领导和相关</w:t>
      </w:r>
      <w:r>
        <w:rPr>
          <w:rFonts w:hint="eastAsia" w:ascii="Times New Roman" w:hAnsi="Times New Roman" w:eastAsia="仿宋_GB2312"/>
          <w:color w:val="auto"/>
          <w:sz w:val="32"/>
          <w:szCs w:val="32"/>
          <w:lang w:val="en-US" w:eastAsia="zh-CN"/>
        </w:rPr>
        <w:t>科室</w:t>
      </w:r>
      <w:r>
        <w:rPr>
          <w:rFonts w:hint="eastAsia" w:ascii="Times New Roman" w:hAnsi="Times New Roman" w:eastAsia="仿宋_GB2312"/>
          <w:color w:val="auto"/>
          <w:sz w:val="32"/>
          <w:szCs w:val="32"/>
          <w:lang w:eastAsia="zh-CN"/>
        </w:rPr>
        <w:t>反馈，采取措施纠正执行偏差，促进预算目标的全面完成。</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r>
        <w:rPr>
          <w:rFonts w:hint="eastAsia" w:ascii="楷体" w:hAnsi="楷体" w:eastAsia="楷体" w:cs="楷体"/>
          <w:b/>
          <w:bCs/>
          <w:sz w:val="32"/>
          <w:szCs w:val="32"/>
        </w:rPr>
        <w:t>整体支出绩效情况</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运行成本</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基本支出全年预算数207.60万元，实际支出167.77万元，预算执行率80.81%，其中人员经费全年预算数154.32万元，实际支出154.33万元，预算执行率100%，公用经费全年预算数53.27元，实际支出13.44万元，预算执行率25.23%。</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、管理效率</w:t>
      </w:r>
    </w:p>
    <w:p>
      <w:pPr>
        <w:spacing w:line="600" w:lineRule="exact"/>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制定出台《2023年省本级乡村振兴干部培训计划》》，坚持省级示范培训、市州重点培训、县市区全面培训、乡镇兜底培训，区分不同层级，不同类别，针对性设计课程、规划内容，真正做到按需培训、按岗培训、因人而异。市、县、乡镇三级党政领导干部，重点学习掌握中央、省有关政策文件精神，提高把关定向、科学决策的能力；乡村振兴系统干部，重点学习掌握实施产业提档升级、脱贫人口增收、乡村建设、乡村治理等重大行动的路径举措，提高精于业务、善于执行的能力；驻村帮扶干部，重点围绕防返贫监测帮扶、乡村产业发展、精神文明建设、生态文明建设、乡村建设、城乡融合、乡村治理、农村党建等重点内容开展培训，提高帮带指导、服务基层的能力。党员骨干和致富带头人，主要以转移就业为目标，深入开展创业就业和职业技能等培训，提高自主创业、创新致富的能力。优先培训新进村“两委”班子成员，不断提升基层干部文化素质和履职能力。</w:t>
      </w:r>
    </w:p>
    <w:p>
      <w:pPr>
        <w:pStyle w:val="13"/>
        <w:keepNext w:val="0"/>
        <w:keepLines w:val="0"/>
        <w:pageBreakBefore w:val="0"/>
        <w:widowControl w:val="0"/>
        <w:numPr>
          <w:ilvl w:val="0"/>
          <w:numId w:val="3"/>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履职效能</w:t>
      </w:r>
    </w:p>
    <w:p>
      <w:pPr>
        <w:pStyle w:val="13"/>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坚持把培训贯穿年度重点任务全过程，坚持学以致用、用促进学，深刻把握巩固拓展脱贫攻坚成果、推进乡村振兴目标任务要求，围绕乡村振兴衔接资金管理使用和项目建设、财政衔接资金绩效管理暨项目库建设操作、考核评估、防返贫动态监测和帮扶机制业务及操作、社会帮扶等重点工作，举办9期业务知识专题培训班。学习借鉴浙江省“千万工程”先进典型经验，在浙江大学举办了2期全省乡村振兴系统学习贯彻党的二十大精神暨业务能力提升培训班。后续带动湘潭、衡阳、岳阳、湘西州等地组织系统内干部、县乡村部分书记400多人到浙江学习取经。根据《2023年省委组织部与省直单位联合调训计划》通知要求，举办1期全省实施乡村振兴战略专题培训班。同时，利用专题调研、主题推进会等时机，安排专家领导为基层授课辅导，开展案例培训、实践培训，增强了培训的针对性、时效性，促进了巩固拓展脱贫攻坚成果、全面推进乡村振兴各项工作稳步开局。</w:t>
      </w:r>
    </w:p>
    <w:p>
      <w:pPr>
        <w:pStyle w:val="13"/>
        <w:keepNext w:val="0"/>
        <w:keepLines w:val="0"/>
        <w:pageBreakBefore w:val="0"/>
        <w:widowControl w:val="0"/>
        <w:numPr>
          <w:ilvl w:val="0"/>
          <w:numId w:val="3"/>
        </w:numPr>
        <w:kinsoku/>
        <w:wordWrap/>
        <w:overflowPunct/>
        <w:topLinePunct w:val="0"/>
        <w:autoSpaceDE w:val="0"/>
        <w:autoSpaceDN w:val="0"/>
        <w:bidi w:val="0"/>
        <w:adjustRightInd w:val="0"/>
        <w:snapToGrid/>
        <w:spacing w:line="580" w:lineRule="exact"/>
        <w:ind w:left="0" w:leftChars="0"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社会效应</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积极协调各级财政部门将培训纳入财政衔接推进乡村振兴补助资金年度预算、确保经费保障到位。坚持问题导向、目标导向，研究制定年度培训计划，明确培训对象、具体内容和节点要求，按期落实各项培训计划任务。坚持把乡村振兴主题培训同党委（党组）理论学习中心组学习、“三会一课”、主题党日等结合起来，充分利用乡村振兴干部下基层和下乡调研契机，拓宽渠道，为基层宣讲政策、答疑解惑。</w:t>
      </w:r>
    </w:p>
    <w:p>
      <w:pPr>
        <w:pStyle w:val="13"/>
        <w:keepNext w:val="0"/>
        <w:keepLines w:val="0"/>
        <w:pageBreakBefore w:val="0"/>
        <w:widowControl w:val="0"/>
        <w:numPr>
          <w:ilvl w:val="0"/>
          <w:numId w:val="3"/>
        </w:numPr>
        <w:kinsoku/>
        <w:wordWrap/>
        <w:overflowPunct/>
        <w:topLinePunct w:val="0"/>
        <w:autoSpaceDE w:val="0"/>
        <w:autoSpaceDN w:val="0"/>
        <w:bidi w:val="0"/>
        <w:adjustRightInd w:val="0"/>
        <w:snapToGrid/>
        <w:spacing w:line="580" w:lineRule="exact"/>
        <w:ind w:left="0" w:leftChars="0"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可持续发展能力</w:t>
      </w:r>
    </w:p>
    <w:p>
      <w:pPr>
        <w:pStyle w:val="13"/>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坚持把脱贫群众作为乡村振兴的主体，按照政府主导、市场引导、产业驱动、创业激励原则，组织有劳动能力、有培训意愿和需求的脱贫群众，参加种养业、创业就业和职业技能等培训，学习掌握生产加工、手工品制作和经营管理服务、乡村社会工作、公益性岗位等领域的专业技术技能，建设有文化、懂技术、会经营的新型农民队伍，促进农民持续增收。</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服务对象满意度</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服务对象满意度</w:t>
      </w:r>
      <w:r>
        <w:rPr>
          <w:rFonts w:hint="eastAsia" w:ascii="Times New Roman" w:hAnsi="Times New Roman" w:eastAsia="仿宋_GB2312"/>
          <w:sz w:val="32"/>
          <w:szCs w:val="32"/>
          <w:lang w:val="en-US" w:eastAsia="zh-CN"/>
        </w:rPr>
        <w:t>95%。</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pStyle w:val="13"/>
        <w:ind w:firstLine="640" w:firstLineChars="200"/>
        <w:jc w:val="both"/>
        <w:rPr>
          <w:rFonts w:hint="eastAsia" w:ascii="Times New Roman" w:hAnsi="Times New Roman" w:eastAsia="仿宋_GB2312"/>
          <w:sz w:val="32"/>
          <w:szCs w:val="32"/>
        </w:rPr>
      </w:pPr>
      <w:r>
        <w:rPr>
          <w:rFonts w:hint="eastAsia" w:ascii="Times New Roman" w:hAnsi="Times New Roman" w:eastAsia="仿宋_GB2312"/>
          <w:sz w:val="32"/>
          <w:szCs w:val="32"/>
        </w:rPr>
        <w:t>我省乡村振兴干部教育培训工作取得了一定的成绩，但对照巩固拓展脱贫攻坚成果同乡村振兴有效衔接的新形势、新任务、新要求，还存在一些问题和短板。一是培训内容前瞻性和针对性不够，对如何开展好新形势下乡村振兴工作等方面的培训内容还不够全面和深入。二是系统内培训师资力量不足、资源紧缺、渠道较窄，在一定程度上影响了培训效果与质量。三是培训中心机构面临撤销，人心不稳，影响工作积极性。</w:t>
      </w: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widowControl/>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一、基本支出：指为保障机构正常运转、完成日常工作任务而发生的各项支出，包括人员支出和公用支出。</w:t>
      </w:r>
    </w:p>
    <w:p>
      <w:pPr>
        <w:numPr>
          <w:ilvl w:val="0"/>
          <w:numId w:val="0"/>
        </w:numPr>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 xml:space="preserve">二、项目支出：指在基本支出以外为完成相关行政任务和事业发展目标所发生的各项支出。 </w:t>
      </w:r>
    </w:p>
    <w:p>
      <w:pPr>
        <w:pStyle w:val="13"/>
        <w:ind w:firstLine="640" w:firstLineChars="200"/>
        <w:rPr>
          <w:rFonts w:ascii="仿宋" w:hAnsi="仿宋" w:eastAsia="仿宋"/>
          <w:bCs/>
          <w:sz w:val="32"/>
          <w:szCs w:val="32"/>
        </w:rPr>
      </w:pPr>
      <w:r>
        <w:rPr>
          <w:rFonts w:hint="eastAsia" w:ascii="仿宋" w:hAnsi="仿宋" w:eastAsia="仿宋" w:cs="黑体"/>
          <w:bCs/>
          <w:color w:val="000000"/>
          <w:kern w:val="0"/>
          <w:sz w:val="32"/>
          <w:szCs w:val="32"/>
          <w:lang w:val="en-US" w:eastAsia="zh-CN" w:bidi="ar-SA"/>
        </w:rPr>
        <w:t>三、“三公”经费:纳入省财政预算管理的“三</w:t>
      </w:r>
      <w:r>
        <w:rPr>
          <w:rFonts w:hint="eastAsia" w:ascii="仿宋" w:hAnsi="仿宋" w:eastAsia="仿宋"/>
          <w:bCs/>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rPr>
          <w:sz w:val="72"/>
          <w:szCs w:val="72"/>
        </w:rPr>
      </w:pPr>
      <w:r>
        <w:rPr>
          <w:sz w:val="72"/>
          <w:szCs w:val="72"/>
        </w:rPr>
        <w:br w:type="page"/>
      </w: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3"/>
        <w:jc w:val="center"/>
        <w:rPr>
          <w:rFonts w:hint="eastAsia" w:ascii="方正小标宋_GBK" w:hAnsi="方正小标宋_GBK" w:eastAsia="方正小标宋_GBK" w:cs="方正小标宋_GBK"/>
          <w:sz w:val="70"/>
          <w:szCs w:val="70"/>
        </w:rPr>
      </w:pPr>
    </w:p>
    <w:p>
      <w:pPr>
        <w:pStyle w:val="13"/>
        <w:jc w:val="center"/>
        <w:rPr>
          <w:rFonts w:hint="eastAsia" w:eastAsia="黑体"/>
          <w:sz w:val="72"/>
          <w:szCs w:val="72"/>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rPr>
          <w:sz w:val="72"/>
          <w:szCs w:val="72"/>
        </w:rPr>
      </w:pPr>
      <w:r>
        <w:rPr>
          <w:sz w:val="72"/>
          <w:szCs w:val="72"/>
        </w:rPr>
        <w:br w:type="page"/>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2023年度单位整体支出绩效自评报告。</w:t>
      </w:r>
    </w:p>
    <w:p>
      <w:pPr>
        <w:pStyle w:val="13"/>
        <w:keepNext w:val="0"/>
        <w:keepLines w:val="0"/>
        <w:pageBreakBefore w:val="0"/>
        <w:widowControl w:val="0"/>
        <w:kinsoku/>
        <w:wordWrap/>
        <w:overflowPunct/>
        <w:topLinePunct w:val="0"/>
        <w:bidi w:val="0"/>
        <w:snapToGrid/>
        <w:spacing w:line="600" w:lineRule="exact"/>
        <w:jc w:val="center"/>
        <w:textAlignment w:val="auto"/>
        <w:rPr>
          <w:rFonts w:hint="eastAsia" w:ascii="Times New Roman" w:hAnsi="Times New Roman" w:eastAsia="仿宋_GB2312"/>
          <w:b/>
          <w:bCs/>
          <w:sz w:val="44"/>
          <w:szCs w:val="44"/>
          <w:lang w:val="en-US" w:eastAsia="zh-CN"/>
        </w:rPr>
      </w:pPr>
      <w:r>
        <w:rPr>
          <w:rFonts w:hint="eastAsia" w:ascii="Times New Roman" w:hAnsi="Times New Roman" w:eastAsia="仿宋_GB2312"/>
          <w:b/>
          <w:bCs/>
          <w:sz w:val="44"/>
          <w:szCs w:val="44"/>
          <w:lang w:val="en-US" w:eastAsia="zh-CN"/>
        </w:rPr>
        <w:t>湖南省扶贫开发培训中心整体绩效自评报告</w:t>
      </w:r>
    </w:p>
    <w:p>
      <w:pPr>
        <w:pStyle w:val="13"/>
        <w:keepNext w:val="0"/>
        <w:keepLines w:val="0"/>
        <w:pageBreakBefore w:val="0"/>
        <w:widowControl w:val="0"/>
        <w:numPr>
          <w:ilvl w:val="0"/>
          <w:numId w:val="4"/>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单位基本情况</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w:t>
      </w:r>
    </w:p>
    <w:p>
      <w:pPr>
        <w:pStyle w:val="14"/>
        <w:jc w:val="left"/>
        <w:rPr>
          <w:rFonts w:ascii="黑体" w:hAnsi="黑体" w:eastAsia="黑体" w:cs="黑体"/>
          <w:sz w:val="32"/>
          <w:szCs w:val="32"/>
        </w:rPr>
      </w:pPr>
      <w:r>
        <w:rPr>
          <w:rFonts w:hint="eastAsia" w:ascii="仿宋_GB2312" w:eastAsia="仿宋_GB2312" w:cs="仿宋_GB2312"/>
          <w:sz w:val="32"/>
          <w:szCs w:val="32"/>
        </w:rPr>
        <w:t>主要职责是承担全省乡村振兴干部教育培训工作，围绕乡村振兴的要求，聚焦党政领导干部、乡村振兴系统干部、挂职帮扶干部、乡村干部等四类干部开展培训工作。与局机关合署办公，承担了局机关部分工作职能。</w:t>
      </w:r>
    </w:p>
    <w:p>
      <w:pPr>
        <w:snapToGrid w:val="0"/>
        <w:spacing w:line="520" w:lineRule="exact"/>
        <w:ind w:firstLine="640" w:firstLineChars="200"/>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机构情况</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我单位无内设机构。</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rPr>
        <w:t>3</w:t>
      </w:r>
      <w:r>
        <w:rPr>
          <w:rFonts w:hint="eastAsia" w:ascii="仿宋_GB2312" w:hAnsi="仿宋" w:eastAsia="仿宋_GB2312"/>
          <w:sz w:val="32"/>
          <w:szCs w:val="32"/>
          <w:lang w:eastAsia="zh-CN"/>
        </w:rPr>
        <w:t>.人员情况：</w:t>
      </w:r>
      <w:r>
        <w:rPr>
          <w:rFonts w:hint="eastAsia" w:ascii="仿宋_GB2312" w:eastAsia="仿宋_GB2312" w:cs="仿宋_GB2312"/>
          <w:sz w:val="32"/>
          <w:szCs w:val="32"/>
        </w:rPr>
        <w:t>编制数</w:t>
      </w:r>
      <w:r>
        <w:rPr>
          <w:rFonts w:ascii="仿宋_GB2312" w:eastAsia="仿宋_GB2312" w:cs="仿宋_GB2312"/>
          <w:sz w:val="32"/>
          <w:szCs w:val="32"/>
        </w:rPr>
        <w:t>9</w:t>
      </w:r>
      <w:r>
        <w:rPr>
          <w:rFonts w:hint="eastAsia" w:ascii="仿宋_GB2312" w:eastAsia="仿宋_GB2312" w:cs="仿宋_GB2312"/>
          <w:sz w:val="32"/>
          <w:szCs w:val="32"/>
        </w:rPr>
        <w:t>人，实有数</w:t>
      </w:r>
      <w:r>
        <w:rPr>
          <w:rFonts w:ascii="仿宋_GB2312" w:eastAsia="仿宋_GB2312" w:cs="仿宋_GB2312"/>
          <w:sz w:val="32"/>
          <w:szCs w:val="32"/>
        </w:rPr>
        <w:t>10</w:t>
      </w:r>
      <w:r>
        <w:rPr>
          <w:rFonts w:hint="eastAsia" w:ascii="仿宋_GB2312" w:eastAsia="仿宋_GB2312" w:cs="仿宋_GB2312"/>
          <w:sz w:val="32"/>
          <w:szCs w:val="32"/>
        </w:rPr>
        <w:t>人，在职</w:t>
      </w:r>
      <w:r>
        <w:rPr>
          <w:rFonts w:ascii="仿宋_GB2312" w:eastAsia="仿宋_GB2312" w:cs="仿宋_GB2312"/>
          <w:sz w:val="32"/>
          <w:szCs w:val="32"/>
        </w:rPr>
        <w:t>7</w:t>
      </w:r>
      <w:r>
        <w:rPr>
          <w:rFonts w:hint="eastAsia" w:ascii="仿宋_GB2312" w:eastAsia="仿宋_GB2312" w:cs="仿宋_GB2312"/>
          <w:sz w:val="32"/>
          <w:szCs w:val="32"/>
        </w:rPr>
        <w:t>人，退休</w:t>
      </w:r>
      <w:r>
        <w:rPr>
          <w:rFonts w:ascii="仿宋_GB2312" w:eastAsia="仿宋_GB2312" w:cs="仿宋_GB2312"/>
          <w:sz w:val="32"/>
          <w:szCs w:val="32"/>
        </w:rPr>
        <w:t>3</w:t>
      </w:r>
      <w:r>
        <w:rPr>
          <w:rFonts w:hint="eastAsia" w:ascii="仿宋_GB2312" w:eastAsia="仿宋_GB2312" w:cs="仿宋_GB2312"/>
          <w:sz w:val="32"/>
          <w:szCs w:val="32"/>
        </w:rPr>
        <w:t>人</w:t>
      </w:r>
      <w:r>
        <w:rPr>
          <w:rFonts w:hint="eastAsia" w:ascii="仿宋_GB2312" w:eastAsia="仿宋_GB2312" w:cs="仿宋_GB2312"/>
          <w:sz w:val="32"/>
          <w:szCs w:val="32"/>
          <w:lang w:eastAsia="zh-CN"/>
        </w:rPr>
        <w:t>。</w:t>
      </w:r>
    </w:p>
    <w:p>
      <w:pPr>
        <w:pStyle w:val="13"/>
        <w:keepNext w:val="0"/>
        <w:keepLines w:val="0"/>
        <w:pageBreakBefore w:val="0"/>
        <w:widowControl w:val="0"/>
        <w:numPr>
          <w:ilvl w:val="0"/>
          <w:numId w:val="4"/>
        </w:numPr>
        <w:kinsoku/>
        <w:wordWrap/>
        <w:overflowPunct/>
        <w:topLinePunct w:val="0"/>
        <w:bidi w:val="0"/>
        <w:snapToGrid/>
        <w:spacing w:line="600" w:lineRule="exact"/>
        <w:ind w:left="0" w:leftChars="0"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一般公共预算支出情况</w:t>
      </w:r>
    </w:p>
    <w:p>
      <w:pPr>
        <w:pStyle w:val="13"/>
        <w:keepNext w:val="0"/>
        <w:keepLines w:val="0"/>
        <w:pageBreakBefore w:val="0"/>
        <w:widowControl w:val="0"/>
        <w:numPr>
          <w:ilvl w:val="0"/>
          <w:numId w:val="5"/>
        </w:numPr>
        <w:kinsoku/>
        <w:wordWrap/>
        <w:overflowPunct/>
        <w:topLinePunct w:val="0"/>
        <w:bidi w:val="0"/>
        <w:snapToGrid/>
        <w:spacing w:line="600" w:lineRule="exact"/>
        <w:ind w:left="580" w:leftChars="0" w:firstLine="0" w:firstLineChars="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基本支出情况</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基本支出全年预算数207.60万元，实际支出167.77万元，预算执行率80.81%，其中人员经费全年预算数154.32万元，实际支出154.33万元，预算执行率100%，公用经费全年预算数53.27元，实际支出13.44万元，预算执行率25.23%。</w:t>
      </w:r>
    </w:p>
    <w:p>
      <w:pPr>
        <w:pStyle w:val="13"/>
        <w:keepNext w:val="0"/>
        <w:keepLines w:val="0"/>
        <w:pageBreakBefore w:val="0"/>
        <w:widowControl w:val="0"/>
        <w:numPr>
          <w:ilvl w:val="0"/>
          <w:numId w:val="5"/>
        </w:numPr>
        <w:kinsoku/>
        <w:wordWrap/>
        <w:overflowPunct/>
        <w:topLinePunct w:val="0"/>
        <w:bidi w:val="0"/>
        <w:snapToGrid/>
        <w:spacing w:line="600" w:lineRule="exact"/>
        <w:ind w:left="580" w:leftChars="0" w:firstLine="0" w:firstLineChars="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项目支出情况</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项目支出全年预算数567.64万元，实际支出565.72万元，预算执行率99.66%。</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三、部门整体支出绩效情况</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运行成本</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基本支出全年预算数207.60万元，实际支出167.77万元，预算执行率80.81%，其中人员经费全年预算数154.32万元，实际支出154.33万元，预算执行率100%，公用经费全年预算数53.27元，实际支出13.44万元，预算执行率25.23%。</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、管理效率</w:t>
      </w:r>
    </w:p>
    <w:p>
      <w:pPr>
        <w:spacing w:line="600" w:lineRule="exact"/>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制定出台《2023年省本级乡村振兴干部培训计划》》，坚持省级示范培训、市州重点培训、县市区全面培训、乡镇兜底培训，区分不同层级，不同类别，针对性设计课程、规划内容，真正做到按需培训、按岗培训、因人而异。市、县、乡镇三级党政领导干部，重点学习掌握中央、省有关政策文件精神，提高把关定向、科学决策的能力；乡村振兴系统干部，重点学习掌握实施产业提档升级、脱贫人口增收、乡村建设、乡村治理等重大行动的路径举措，提高精于业务、善于执行的能力；驻村帮扶干部，重点围绕防返贫监测帮扶、乡村产业发展、精神文明建设、生态文明建设、乡村建设、城乡融合、乡村治理、农村党建等重点内容开展培训，提高帮带指导、服务基层的能力。党员骨干和致富带头人，主要以转移就业为目标，深入开展创业就业和职业技能等培训，提高自主创业、创新致富的能力。优先培训新进村“两委”班子成员，不断提升基层干部文化素质和履职能力。</w:t>
      </w:r>
    </w:p>
    <w:p>
      <w:pPr>
        <w:pStyle w:val="13"/>
        <w:keepNext w:val="0"/>
        <w:keepLines w:val="0"/>
        <w:pageBreakBefore w:val="0"/>
        <w:widowControl w:val="0"/>
        <w:numPr>
          <w:ilvl w:val="0"/>
          <w:numId w:val="3"/>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履职效能</w:t>
      </w:r>
    </w:p>
    <w:p>
      <w:pPr>
        <w:pStyle w:val="13"/>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坚持把培训贯穿年度重点任务全过程，坚持学以致用、用促进学，深刻把握巩固拓展脱贫攻坚成果、推进乡村振兴目标任务要求，围绕乡村振兴衔接资金管理使用和项目建设、财政衔接资金绩效管理暨项目库建设操作、考核评估、防返贫动态监测和帮扶机制业务及操作、社会帮扶等重点工作，举办9期业务知识专题培训班。学习借鉴浙江省“千万工程”先进典型经验，在浙江大学举办了2期全省乡村振兴系统学习贯彻党的二十大精神暨业务能力提升培训班。后续带动湘潭、衡阳、岳阳、湘西州等地组织系统内干部、县乡村部分书记400多人到浙江学习取经。根据《2023年省委组织部与省直单位联合调训计划》通知要求，举办1期全省实施乡村振兴战略专题培训班。同时，利用专题调研、主题推进会等时机，安排专家领导为基层授课辅导，开展案例培训、实践培训，增强了培训的针对性、时效性，促进了巩固拓展脱贫攻坚成果、全面推进乡村振兴各项工作稳步开局。</w:t>
      </w:r>
    </w:p>
    <w:p>
      <w:pPr>
        <w:pStyle w:val="13"/>
        <w:keepNext w:val="0"/>
        <w:keepLines w:val="0"/>
        <w:pageBreakBefore w:val="0"/>
        <w:widowControl w:val="0"/>
        <w:numPr>
          <w:ilvl w:val="0"/>
          <w:numId w:val="3"/>
        </w:numPr>
        <w:kinsoku/>
        <w:wordWrap/>
        <w:overflowPunct/>
        <w:topLinePunct w:val="0"/>
        <w:autoSpaceDE w:val="0"/>
        <w:autoSpaceDN w:val="0"/>
        <w:bidi w:val="0"/>
        <w:adjustRightInd w:val="0"/>
        <w:snapToGrid/>
        <w:spacing w:line="580" w:lineRule="exact"/>
        <w:ind w:left="0" w:leftChars="0"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社会效应</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积极协调各级财政部门将培训纳入财政衔接推进乡村振兴补助资金年度预算、确保经费保障到位。坚持问题导向、目标导向，研究制定年度培训计划，明确培训对象、具体内容和节点要求，按期落实各项培训计划任务。坚持把乡村振兴主题培训同党委（党组）理论学习中心组学习、“三会一课”、主题党日等结合起来，充分利用乡村振兴干部下基层和下乡调研契机，拓宽渠道，为基层宣讲政策、答疑解惑。</w:t>
      </w:r>
    </w:p>
    <w:p>
      <w:pPr>
        <w:pStyle w:val="13"/>
        <w:keepNext w:val="0"/>
        <w:keepLines w:val="0"/>
        <w:pageBreakBefore w:val="0"/>
        <w:widowControl w:val="0"/>
        <w:numPr>
          <w:ilvl w:val="0"/>
          <w:numId w:val="3"/>
        </w:numPr>
        <w:kinsoku/>
        <w:wordWrap/>
        <w:overflowPunct/>
        <w:topLinePunct w:val="0"/>
        <w:autoSpaceDE w:val="0"/>
        <w:autoSpaceDN w:val="0"/>
        <w:bidi w:val="0"/>
        <w:adjustRightInd w:val="0"/>
        <w:snapToGrid/>
        <w:spacing w:line="580" w:lineRule="exact"/>
        <w:ind w:left="0" w:leftChars="0"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可持续发展能力</w:t>
      </w:r>
    </w:p>
    <w:p>
      <w:pPr>
        <w:pStyle w:val="13"/>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坚持把脱贫群众作为乡村振兴的主体，按照政府主导、市场引导、产业驱动、创业激励原则，组织有劳动能力、有培训意愿和需求的脱贫群众，参加种养业、创业就业和职业技能等培训，学习掌握生产加工、手工品制作和经营管理服务、乡村社会工作、公益性岗位等领域的专业技术技能，建设有文化、懂技术、会经营的新型农民队伍，促进农民持续增收。</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服务对象满意度</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服务对象满意度</w:t>
      </w:r>
      <w:r>
        <w:rPr>
          <w:rFonts w:hint="eastAsia" w:ascii="Times New Roman" w:hAnsi="Times New Roman" w:eastAsia="仿宋_GB2312"/>
          <w:sz w:val="32"/>
          <w:szCs w:val="32"/>
          <w:lang w:val="en-US" w:eastAsia="zh-CN"/>
        </w:rPr>
        <w:t>95%。</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四、存在的问题及原因分析</w:t>
      </w:r>
    </w:p>
    <w:p>
      <w:pPr>
        <w:pStyle w:val="13"/>
        <w:ind w:firstLine="640" w:firstLineChars="200"/>
        <w:jc w:val="both"/>
        <w:rPr>
          <w:rFonts w:hint="eastAsia" w:ascii="Times New Roman" w:hAnsi="Times New Roman" w:eastAsia="仿宋_GB2312"/>
          <w:sz w:val="32"/>
          <w:szCs w:val="32"/>
        </w:rPr>
      </w:pPr>
      <w:r>
        <w:rPr>
          <w:rFonts w:hint="eastAsia" w:ascii="Times New Roman" w:hAnsi="Times New Roman" w:eastAsia="仿宋_GB2312"/>
          <w:sz w:val="32"/>
          <w:szCs w:val="32"/>
        </w:rPr>
        <w:t>我省乡村振兴干部教育培训工作取得了一定的成绩，但对照巩固拓展脱贫攻坚成果同乡村振兴有效衔接的新形势、新任务、新要求，还存在一些问题和短板。一是培训内容前瞻性和针对性不够，对如何开展好新形势下乡村振兴工作等方面的培训内容还不够全面和深入。二是系统内培训师资力量不足、资源紧缺、渠道较窄，在一定程度上影响了培训效果与质量。三是培训中心机构面临撤销，人心不稳，影响工作积极性。</w:t>
      </w:r>
    </w:p>
    <w:p>
      <w:pPr>
        <w:pStyle w:val="13"/>
        <w:jc w:val="both"/>
        <w:rPr>
          <w:sz w:val="72"/>
          <w:szCs w:val="72"/>
        </w:rPr>
      </w:pPr>
    </w:p>
    <w:p>
      <w:pPr>
        <w:pStyle w:val="13"/>
        <w:jc w:val="both"/>
        <w:rPr>
          <w:sz w:val="72"/>
          <w:szCs w:val="72"/>
        </w:rPr>
      </w:pPr>
      <w:bookmarkStart w:id="3" w:name="_GoBack"/>
      <w:bookmarkEnd w:id="3"/>
    </w:p>
    <w:p/>
    <w:p>
      <w:pPr>
        <w:spacing w:after="120" w:afterLines="50" w:line="600" w:lineRule="exact"/>
        <w:jc w:val="center"/>
        <w:rPr>
          <w:rFonts w:hint="default" w:ascii="Times New Roman" w:hAnsi="Times New Roman" w:eastAsia="仿宋_GB2312" w:cs="Times New Roman"/>
          <w:sz w:val="24"/>
        </w:rPr>
      </w:pPr>
      <w:r>
        <w:rPr>
          <w:rFonts w:hint="default" w:ascii="Times New Roman" w:hAnsi="Times New Roman" w:eastAsia="方正小标宋_GBK" w:cs="Times New Roman"/>
          <w:sz w:val="36"/>
          <w:szCs w:val="36"/>
        </w:rPr>
        <w:t>202</w:t>
      </w:r>
      <w:r>
        <w:rPr>
          <w:rFonts w:hint="eastAsia" w:ascii="Times New Roman" w:hAnsi="Times New Roman" w:eastAsia="方正小标宋_GBK" w:cs="Times New Roman"/>
          <w:sz w:val="36"/>
          <w:szCs w:val="36"/>
          <w:lang w:val="en-US" w:eastAsia="zh-CN"/>
        </w:rPr>
        <w:t>3</w:t>
      </w:r>
      <w:r>
        <w:rPr>
          <w:rFonts w:hint="default" w:ascii="Times New Roman" w:hAnsi="Times New Roman" w:eastAsia="方正小标宋_GBK" w:cs="Times New Roman"/>
          <w:sz w:val="36"/>
          <w:szCs w:val="36"/>
        </w:rPr>
        <w:t>年</w:t>
      </w:r>
      <w:r>
        <w:rPr>
          <w:rFonts w:hint="eastAsia" w:ascii="Times New Roman" w:hAnsi="Times New Roman" w:eastAsia="方正小标宋_GBK" w:cs="Times New Roman"/>
          <w:sz w:val="36"/>
          <w:szCs w:val="36"/>
          <w:lang w:eastAsia="zh-CN"/>
        </w:rPr>
        <w:t>度</w:t>
      </w:r>
      <w:r>
        <w:rPr>
          <w:rFonts w:hint="default" w:ascii="Times New Roman" w:hAnsi="Times New Roman" w:eastAsia="方正小标宋_GBK" w:cs="Times New Roman"/>
          <w:sz w:val="36"/>
          <w:szCs w:val="36"/>
        </w:rPr>
        <w:t>部门整体支出绩效评价基础数据表</w:t>
      </w:r>
    </w:p>
    <w:tbl>
      <w:tblPr>
        <w:tblStyle w:val="8"/>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控制率</w:t>
            </w:r>
          </w:p>
        </w:tc>
      </w:tr>
      <w:tr>
        <w:tblPrEx>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9</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7</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77.78%</w:t>
            </w:r>
            <w:r>
              <w:rPr>
                <w:rFonts w:hint="default" w:ascii="Times New Roman" w:hAnsi="Times New Roman" w:eastAsia="仿宋_GB2312" w:cs="Times New Roman"/>
                <w:sz w:val="20"/>
                <w:szCs w:val="20"/>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2</w:t>
            </w:r>
            <w:r>
              <w:rPr>
                <w:rFonts w:hint="default" w:ascii="Times New Roman" w:hAnsi="Times New Roman" w:eastAsia="仿宋_GB2312" w:cs="Times New Roman"/>
                <w:b/>
                <w:bCs/>
                <w:sz w:val="20"/>
                <w:szCs w:val="20"/>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年决算数</w:t>
            </w:r>
          </w:p>
        </w:tc>
      </w:tr>
      <w:tr>
        <w:tblPrEx>
          <w:tblCellMar>
            <w:top w:w="0" w:type="dxa"/>
            <w:left w:w="108" w:type="dxa"/>
            <w:bottom w:w="0" w:type="dxa"/>
            <w:right w:w="108" w:type="dxa"/>
          </w:tblCellMar>
        </w:tblPrEx>
        <w:trPr>
          <w:trHeight w:val="348"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三公经费</w:t>
            </w:r>
            <w:r>
              <w:rPr>
                <w:rFonts w:hint="eastAsia" w:ascii="Times New Roman" w:hAnsi="Times New Roman" w:eastAsia="仿宋_GB2312" w:cs="Times New Roman"/>
                <w:sz w:val="20"/>
                <w:szCs w:val="20"/>
                <w:lang w:val="en-US" w:eastAsia="zh-CN"/>
              </w:rPr>
              <w:t>:</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2.00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w:t>
            </w:r>
          </w:p>
        </w:tc>
      </w:tr>
      <w:tr>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rPr>
            </w:pP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2.00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348.83</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566.83</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565.72</w:t>
            </w:r>
          </w:p>
        </w:tc>
      </w:tr>
      <w:tr>
        <w:tblPrEx>
          <w:tblCellMar>
            <w:top w:w="0" w:type="dxa"/>
            <w:left w:w="108" w:type="dxa"/>
            <w:bottom w:w="0" w:type="dxa"/>
            <w:right w:w="108" w:type="dxa"/>
          </w:tblCellMar>
        </w:tblPrEx>
        <w:trPr>
          <w:trHeight w:val="346"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highlight w:val="none"/>
                <w:lang w:val="en-US" w:eastAsia="zh-CN"/>
              </w:rPr>
            </w:pP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ind w:firstLine="400" w:firstLineChars="200"/>
              <w:jc w:val="left"/>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3、</w:t>
            </w:r>
            <w:r>
              <w:rPr>
                <w:rFonts w:hint="default" w:ascii="Times New Roman" w:hAnsi="Times New Roman" w:eastAsia="仿宋_GB2312" w:cs="Times New Roman"/>
                <w:sz w:val="20"/>
                <w:szCs w:val="20"/>
              </w:rPr>
              <w:t>其他事业发展资金</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348.83</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566.83</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565.72</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4</w:t>
            </w:r>
            <w:r>
              <w:rPr>
                <w:rFonts w:hint="default" w:ascii="Times New Roman" w:hAnsi="Times New Roman" w:eastAsia="仿宋_GB2312" w:cs="Times New Roman"/>
                <w:sz w:val="20"/>
                <w:szCs w:val="20"/>
              </w:rPr>
              <w:t>、省级专项资金（</w:t>
            </w:r>
            <w:r>
              <w:rPr>
                <w:rFonts w:hint="eastAsia" w:ascii="Times New Roman" w:hAnsi="Times New Roman" w:eastAsia="仿宋_GB2312" w:cs="Times New Roman"/>
                <w:sz w:val="20"/>
                <w:szCs w:val="20"/>
                <w:lang w:eastAsia="zh-CN"/>
              </w:rPr>
              <w:t>每</w:t>
            </w:r>
            <w:r>
              <w:rPr>
                <w:rFonts w:hint="default" w:ascii="Times New Roman" w:hAnsi="Times New Roman" w:eastAsia="仿宋_GB2312" w:cs="Times New Roman"/>
                <w:sz w:val="20"/>
                <w:szCs w:val="20"/>
              </w:rPr>
              <w:t>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9.59</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53.27</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13.44</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1.42</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1.60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0.60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5.43</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8.22</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8.22</w:t>
            </w:r>
          </w:p>
        </w:tc>
      </w:tr>
      <w:tr>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楼堂馆所控制情况</w:t>
            </w:r>
            <w:r>
              <w:rPr>
                <w:rFonts w:hint="default" w:ascii="Times New Roman" w:hAnsi="Times New Roman" w:eastAsia="仿宋_GB2312" w:cs="Times New Roman"/>
                <w:sz w:val="20"/>
                <w:szCs w:val="20"/>
              </w:rPr>
              <w:br w:type="textWrapping"/>
            </w:r>
            <w:r>
              <w:rPr>
                <w:rFonts w:hint="default" w:ascii="Times New Roman" w:hAnsi="Times New Roman" w:eastAsia="仿宋_GB2312" w:cs="Times New Roman"/>
                <w:sz w:val="20"/>
                <w:szCs w:val="20"/>
              </w:rPr>
              <w:t>（202</w:t>
            </w:r>
            <w:r>
              <w:rPr>
                <w:rFonts w:hint="eastAsia" w:ascii="Times New Roman" w:hAnsi="Times New Roman" w:eastAsia="仿宋_GB2312" w:cs="Times New Roman"/>
                <w:sz w:val="20"/>
                <w:szCs w:val="20"/>
                <w:lang w:val="en-US" w:eastAsia="zh-CN"/>
              </w:rPr>
              <w:t>3</w:t>
            </w:r>
            <w:r>
              <w:rPr>
                <w:rFonts w:hint="default" w:ascii="Times New Roman" w:hAnsi="Times New Roman" w:eastAsia="仿宋_GB2312" w:cs="Times New Roman"/>
                <w:sz w:val="20"/>
                <w:szCs w:val="20"/>
              </w:rPr>
              <w:t>年完工项目）</w:t>
            </w: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批复规模</w:t>
            </w:r>
            <w:r>
              <w:rPr>
                <w:rFonts w:hint="default" w:ascii="Times New Roman" w:hAnsi="Times New Roman" w:eastAsia="仿宋_GB2312" w:cs="Times New Roman"/>
                <w:bCs/>
                <w:sz w:val="20"/>
                <w:szCs w:val="20"/>
              </w:rPr>
              <w:br w:type="textWrapping"/>
            </w:r>
            <w:r>
              <w:rPr>
                <w:rFonts w:hint="default" w:ascii="Times New Roman" w:hAnsi="Times New Roman" w:eastAsia="仿宋_GB2312" w:cs="Times New Roman"/>
                <w:bCs/>
                <w:sz w:val="20"/>
                <w:szCs w:val="20"/>
              </w:rPr>
              <w:t>（</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84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实际规模（</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规模控制率</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预算投资（万元）</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实际投资（万元）</w:t>
            </w:r>
          </w:p>
        </w:tc>
        <w:tc>
          <w:tcPr>
            <w:tcW w:w="960"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18"/>
                <w:szCs w:val="18"/>
              </w:rPr>
              <w:t>投资概算控制率</w:t>
            </w:r>
          </w:p>
        </w:tc>
      </w:tr>
      <w:tr>
        <w:tblPrEx>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849"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960"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bl>
    <w:p>
      <w:pPr>
        <w:widowControl/>
        <w:spacing w:afterLines="0" w:line="400" w:lineRule="exact"/>
        <w:jc w:val="left"/>
        <w:rPr>
          <w:rFonts w:hint="default" w:ascii="Times New Roman" w:hAnsi="Times New Roman" w:eastAsia="仿宋_GB2312" w:cs="Times New Roman"/>
          <w:sz w:val="22"/>
        </w:rPr>
      </w:pPr>
      <w:r>
        <w:rPr>
          <w:rFonts w:hint="default" w:ascii="Times New Roman" w:hAnsi="Times New Roman" w:eastAsia="仿宋_GB2312" w:cs="Times New Roman"/>
          <w:sz w:val="22"/>
        </w:rPr>
        <w:t>说明：“项目支出”需要填报基本支出以外的所有项目支出情况，“公用经费”填报基本支出中的一般商品和服务支出。</w:t>
      </w:r>
    </w:p>
    <w:p>
      <w:pPr>
        <w:widowControl/>
        <w:spacing w:afterLines="0" w:line="400" w:lineRule="exact"/>
        <w:jc w:val="left"/>
        <w:rPr>
          <w:rFonts w:hint="default" w:ascii="Times New Roman" w:hAnsi="Times New Roman" w:eastAsia="仿宋_GB2312" w:cs="Times New Roman"/>
          <w:sz w:val="22"/>
        </w:rPr>
      </w:pPr>
    </w:p>
    <w:p>
      <w:pPr>
        <w:jc w:val="both"/>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填表人：</w:t>
      </w:r>
      <w:r>
        <w:rPr>
          <w:rFonts w:hint="eastAsia" w:ascii="Times New Roman" w:hAnsi="Times New Roman" w:eastAsia="仿宋_GB2312" w:cs="Times New Roman"/>
          <w:sz w:val="22"/>
          <w:szCs w:val="22"/>
          <w:lang w:val="en-US" w:eastAsia="zh-CN"/>
        </w:rPr>
        <w:t xml:space="preserve">    </w:t>
      </w:r>
      <w:r>
        <w:rPr>
          <w:rFonts w:hint="default" w:ascii="Times New Roman" w:hAnsi="Times New Roman" w:eastAsia="仿宋_GB2312" w:cs="Times New Roman"/>
          <w:sz w:val="22"/>
          <w:szCs w:val="22"/>
        </w:rPr>
        <w:t xml:space="preserve"> </w:t>
      </w:r>
      <w:r>
        <w:rPr>
          <w:rFonts w:hint="eastAsia" w:ascii="Times New Roman" w:hAnsi="Times New Roman" w:eastAsia="仿宋_GB2312" w:cs="Times New Roman"/>
          <w:sz w:val="22"/>
          <w:szCs w:val="22"/>
          <w:lang w:val="en-US" w:eastAsia="zh-CN"/>
        </w:rPr>
        <w:t xml:space="preserve">  </w:t>
      </w:r>
      <w:r>
        <w:rPr>
          <w:rFonts w:hint="default" w:ascii="Times New Roman" w:hAnsi="Times New Roman" w:eastAsia="仿宋_GB2312" w:cs="Times New Roman"/>
          <w:sz w:val="22"/>
          <w:szCs w:val="22"/>
        </w:rPr>
        <w:t xml:space="preserve">填报日期：        </w:t>
      </w:r>
      <w:r>
        <w:rPr>
          <w:rFonts w:hint="eastAsia" w:ascii="Times New Roman" w:hAnsi="Times New Roman" w:eastAsia="仿宋_GB2312" w:cs="Times New Roman"/>
          <w:sz w:val="22"/>
          <w:szCs w:val="22"/>
          <w:lang w:val="en-US" w:eastAsia="zh-CN"/>
        </w:rPr>
        <w:t xml:space="preserve">  </w:t>
      </w:r>
      <w:r>
        <w:rPr>
          <w:rFonts w:hint="default" w:ascii="Times New Roman" w:hAnsi="Times New Roman" w:eastAsia="仿宋_GB2312" w:cs="Times New Roman"/>
          <w:sz w:val="22"/>
          <w:szCs w:val="22"/>
        </w:rPr>
        <w:t xml:space="preserve"> 联系电话：</w:t>
      </w:r>
      <w:r>
        <w:rPr>
          <w:rFonts w:hint="eastAsia" w:ascii="Times New Roman" w:hAnsi="Times New Roman" w:eastAsia="仿宋_GB2312" w:cs="Times New Roman"/>
          <w:sz w:val="22"/>
          <w:szCs w:val="22"/>
          <w:lang w:val="en-US" w:eastAsia="zh-CN"/>
        </w:rPr>
        <w:t xml:space="preserve">       </w:t>
      </w:r>
      <w:r>
        <w:rPr>
          <w:rFonts w:hint="default" w:ascii="Times New Roman" w:hAnsi="Times New Roman" w:eastAsia="仿宋_GB2312" w:cs="Times New Roman"/>
          <w:sz w:val="22"/>
          <w:szCs w:val="22"/>
        </w:rPr>
        <w:t>单位负责人签字：</w:t>
      </w:r>
    </w:p>
    <w:p>
      <w:pPr>
        <w:jc w:val="both"/>
        <w:rPr>
          <w:rFonts w:hint="default" w:ascii="Times New Roman" w:hAnsi="Times New Roman" w:eastAsia="仿宋_GB2312" w:cs="Times New Roman"/>
          <w:sz w:val="22"/>
          <w:szCs w:val="22"/>
        </w:rPr>
      </w:pPr>
    </w:p>
    <w:p>
      <w:pPr>
        <w:jc w:val="both"/>
        <w:rPr>
          <w:rFonts w:hint="default" w:ascii="Times New Roman" w:hAnsi="Times New Roman" w:eastAsia="仿宋_GB2312" w:cs="Times New Roman"/>
          <w:sz w:val="22"/>
          <w:szCs w:val="22"/>
        </w:rPr>
      </w:pPr>
    </w:p>
    <w:p>
      <w:pPr>
        <w:jc w:val="both"/>
        <w:rPr>
          <w:rFonts w:hint="default" w:ascii="Times New Roman" w:hAnsi="Times New Roman" w:eastAsia="仿宋_GB2312" w:cs="Times New Roman"/>
          <w:sz w:val="22"/>
          <w:szCs w:val="22"/>
        </w:rPr>
      </w:pPr>
    </w:p>
    <w:p>
      <w:pPr>
        <w:jc w:val="both"/>
        <w:rPr>
          <w:rFonts w:hint="default" w:ascii="Times New Roman" w:hAnsi="Times New Roman" w:eastAsia="仿宋_GB2312" w:cs="Times New Roman"/>
          <w:sz w:val="22"/>
          <w:szCs w:val="22"/>
        </w:rPr>
      </w:pPr>
    </w:p>
    <w:p>
      <w:pPr>
        <w:pStyle w:val="2"/>
        <w:rPr>
          <w:rFonts w:hint="default" w:ascii="Times New Roman" w:hAnsi="Times New Roman" w:eastAsia="仿宋_GB2312" w:cs="Times New Roman"/>
          <w:sz w:val="22"/>
          <w:szCs w:val="22"/>
        </w:rPr>
      </w:pPr>
    </w:p>
    <w:p>
      <w:pPr>
        <w:pStyle w:val="3"/>
        <w:rPr>
          <w:rFonts w:hint="default" w:ascii="Times New Roman" w:hAnsi="Times New Roman" w:eastAsia="仿宋_GB2312" w:cs="Times New Roman"/>
          <w:sz w:val="22"/>
          <w:szCs w:val="22"/>
        </w:rPr>
      </w:pPr>
    </w:p>
    <w:p>
      <w:pPr>
        <w:rPr>
          <w:rFonts w:hint="default" w:ascii="Times New Roman" w:hAnsi="Times New Roman" w:eastAsia="仿宋_GB2312" w:cs="Times New Roman"/>
          <w:sz w:val="22"/>
          <w:szCs w:val="22"/>
        </w:rPr>
      </w:pPr>
    </w:p>
    <w:p>
      <w:pPr>
        <w:pStyle w:val="2"/>
        <w:rPr>
          <w:rFonts w:hint="default" w:ascii="Times New Roman" w:hAnsi="Times New Roman" w:eastAsia="仿宋_GB2312" w:cs="Times New Roman"/>
          <w:sz w:val="22"/>
          <w:szCs w:val="22"/>
        </w:rPr>
      </w:pPr>
    </w:p>
    <w:p>
      <w:pPr>
        <w:pStyle w:val="3"/>
        <w:rPr>
          <w:rFonts w:hint="default" w:ascii="Times New Roman" w:hAnsi="Times New Roman" w:eastAsia="仿宋_GB2312" w:cs="Times New Roman"/>
          <w:sz w:val="22"/>
          <w:szCs w:val="22"/>
        </w:rPr>
      </w:pPr>
    </w:p>
    <w:p>
      <w:pPr>
        <w:rPr>
          <w:rFonts w:hint="default" w:ascii="Times New Roman" w:hAnsi="Times New Roman" w:eastAsia="仿宋_GB2312" w:cs="Times New Roman"/>
          <w:sz w:val="22"/>
          <w:szCs w:val="22"/>
        </w:rPr>
      </w:pPr>
    </w:p>
    <w:p>
      <w:pPr>
        <w:pStyle w:val="2"/>
        <w:rPr>
          <w:rFonts w:hint="default" w:ascii="Times New Roman" w:hAnsi="Times New Roman" w:eastAsia="仿宋_GB2312" w:cs="Times New Roman"/>
          <w:sz w:val="22"/>
          <w:szCs w:val="22"/>
        </w:rPr>
      </w:pPr>
    </w:p>
    <w:p>
      <w:pPr>
        <w:pStyle w:val="3"/>
        <w:rPr>
          <w:rFonts w:hint="default"/>
        </w:rPr>
      </w:pPr>
    </w:p>
    <w:p>
      <w:pPr>
        <w:pStyle w:val="3"/>
        <w:rPr>
          <w:rFonts w:hint="default"/>
        </w:rPr>
      </w:pPr>
    </w:p>
    <w:p>
      <w:pPr>
        <w:jc w:val="both"/>
        <w:rPr>
          <w:rFonts w:hint="default" w:ascii="Times New Roman" w:hAnsi="Times New Roman" w:eastAsia="仿宋_GB2312" w:cs="Times New Roman"/>
          <w:sz w:val="22"/>
          <w:szCs w:val="22"/>
        </w:rPr>
      </w:pPr>
    </w:p>
    <w:p>
      <w:pPr>
        <w:jc w:val="both"/>
        <w:rPr>
          <w:rFonts w:hint="default" w:ascii="Times New Roman" w:hAnsi="Times New Roman" w:eastAsia="仿宋_GB2312" w:cs="Times New Roman"/>
          <w:sz w:val="22"/>
          <w:szCs w:val="22"/>
          <w:lang w:val="en-US" w:eastAsia="zh-CN"/>
        </w:rPr>
      </w:pPr>
    </w:p>
    <w:p>
      <w:pPr>
        <w:widowControl/>
        <w:spacing w:after="120" w:afterLines="50"/>
        <w:jc w:val="center"/>
        <w:rPr>
          <w:rFonts w:hint="default" w:ascii="Times New Roman" w:hAnsi="Times New Roman" w:eastAsia="方正小标宋_GBK" w:cs="Times New Roman"/>
          <w:color w:val="000000"/>
          <w:sz w:val="36"/>
          <w:szCs w:val="36"/>
        </w:rPr>
      </w:pPr>
      <w:r>
        <w:rPr>
          <w:rFonts w:hint="default" w:ascii="Times New Roman" w:hAnsi="Times New Roman" w:eastAsia="方正小标宋_GBK" w:cs="Times New Roman"/>
          <w:color w:val="000000"/>
          <w:sz w:val="36"/>
          <w:szCs w:val="36"/>
        </w:rPr>
        <w:t>202</w:t>
      </w:r>
      <w:r>
        <w:rPr>
          <w:rFonts w:hint="eastAsia" w:ascii="Times New Roman" w:hAnsi="Times New Roman" w:eastAsia="方正小标宋_GBK" w:cs="Times New Roman"/>
          <w:color w:val="000000"/>
          <w:sz w:val="36"/>
          <w:szCs w:val="36"/>
          <w:lang w:val="en-US" w:eastAsia="zh-CN"/>
        </w:rPr>
        <w:t>3</w:t>
      </w:r>
      <w:r>
        <w:rPr>
          <w:rFonts w:hint="default" w:ascii="Times New Roman" w:hAnsi="Times New Roman" w:eastAsia="方正小标宋_GBK" w:cs="Times New Roman"/>
          <w:color w:val="000000"/>
          <w:sz w:val="36"/>
          <w:szCs w:val="36"/>
        </w:rPr>
        <w:t>年</w:t>
      </w:r>
      <w:r>
        <w:rPr>
          <w:rFonts w:hint="eastAsia" w:ascii="Times New Roman" w:hAnsi="Times New Roman" w:eastAsia="方正小标宋_GBK" w:cs="Times New Roman"/>
          <w:color w:val="000000"/>
          <w:sz w:val="36"/>
          <w:szCs w:val="36"/>
          <w:lang w:eastAsia="zh-CN"/>
        </w:rPr>
        <w:t>度</w:t>
      </w:r>
      <w:r>
        <w:rPr>
          <w:rFonts w:hint="default" w:ascii="Times New Roman" w:hAnsi="Times New Roman" w:eastAsia="方正小标宋_GBK" w:cs="Times New Roman"/>
          <w:color w:val="000000"/>
          <w:sz w:val="36"/>
          <w:szCs w:val="36"/>
        </w:rPr>
        <w:t>部门整体支出绩效自评表</w:t>
      </w:r>
    </w:p>
    <w:tbl>
      <w:tblPr>
        <w:tblStyle w:val="8"/>
        <w:tblW w:w="10516" w:type="dxa"/>
        <w:jc w:val="center"/>
        <w:tblLayout w:type="fixed"/>
        <w:tblCellMar>
          <w:top w:w="0" w:type="dxa"/>
          <w:left w:w="108" w:type="dxa"/>
          <w:bottom w:w="0" w:type="dxa"/>
          <w:right w:w="108" w:type="dxa"/>
        </w:tblCellMar>
      </w:tblPr>
      <w:tblGrid>
        <w:gridCol w:w="616"/>
        <w:gridCol w:w="1029"/>
        <w:gridCol w:w="1140"/>
        <w:gridCol w:w="1813"/>
        <w:gridCol w:w="1187"/>
        <w:gridCol w:w="2175"/>
        <w:gridCol w:w="624"/>
        <w:gridCol w:w="888"/>
        <w:gridCol w:w="1044"/>
      </w:tblGrid>
      <w:tr>
        <w:tblPrEx>
          <w:tblCellMar>
            <w:top w:w="0" w:type="dxa"/>
            <w:left w:w="108" w:type="dxa"/>
            <w:bottom w:w="0" w:type="dxa"/>
            <w:right w:w="108" w:type="dxa"/>
          </w:tblCellMar>
        </w:tblPrEx>
        <w:trPr>
          <w:jc w:val="center"/>
        </w:trPr>
        <w:tc>
          <w:tcPr>
            <w:tcW w:w="278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省级预算部门</w:t>
            </w:r>
            <w:r>
              <w:rPr>
                <w:rFonts w:hint="eastAsia" w:ascii="Times New Roman" w:hAnsi="Times New Roman" w:eastAsia="仿宋_GB2312" w:cs="Times New Roman"/>
                <w:color w:val="000000"/>
                <w:sz w:val="20"/>
                <w:szCs w:val="20"/>
                <w:lang w:eastAsia="zh-CN"/>
              </w:rPr>
              <w:t>、单位</w:t>
            </w:r>
            <w:r>
              <w:rPr>
                <w:rFonts w:hint="default" w:ascii="Times New Roman" w:hAnsi="Times New Roman" w:eastAsia="仿宋_GB2312" w:cs="Times New Roman"/>
                <w:color w:val="000000"/>
                <w:sz w:val="20"/>
                <w:szCs w:val="20"/>
              </w:rPr>
              <w:t>名称</w:t>
            </w:r>
          </w:p>
        </w:tc>
        <w:tc>
          <w:tcPr>
            <w:tcW w:w="7731"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湖南省扶贫开发培训中心</w:t>
            </w:r>
          </w:p>
        </w:tc>
      </w:tr>
      <w:tr>
        <w:tblPrEx>
          <w:tblCellMar>
            <w:top w:w="0" w:type="dxa"/>
            <w:left w:w="108" w:type="dxa"/>
            <w:bottom w:w="0" w:type="dxa"/>
            <w:right w:w="108" w:type="dxa"/>
          </w:tblCellMar>
        </w:tblPrEx>
        <w:trPr>
          <w:jc w:val="center"/>
        </w:trPr>
        <w:tc>
          <w:tcPr>
            <w:tcW w:w="616"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年度预</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算申请</w:t>
            </w:r>
            <w:r>
              <w:rPr>
                <w:rFonts w:hint="default" w:ascii="Times New Roman" w:hAnsi="Times New Roman" w:eastAsia="仿宋_GB2312" w:cs="Times New Roman"/>
                <w:color w:val="000000"/>
                <w:sz w:val="20"/>
                <w:szCs w:val="20"/>
              </w:rPr>
              <w:br w:type="textWrapping"/>
            </w:r>
            <w:r>
              <w:rPr>
                <w:rFonts w:hint="default" w:ascii="Times New Roman" w:hAnsi="Times New Roman" w:eastAsia="仿宋_GB2312" w:cs="Times New Roman"/>
                <w:color w:val="000000"/>
                <w:sz w:val="20"/>
                <w:szCs w:val="20"/>
              </w:rPr>
              <w:t>（万元）</w:t>
            </w:r>
          </w:p>
        </w:tc>
        <w:tc>
          <w:tcPr>
            <w:tcW w:w="2169"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p>
        </w:tc>
        <w:tc>
          <w:tcPr>
            <w:tcW w:w="181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年初预算数</w:t>
            </w:r>
          </w:p>
        </w:tc>
        <w:tc>
          <w:tcPr>
            <w:tcW w:w="1187"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全年预算数</w:t>
            </w:r>
          </w:p>
        </w:tc>
        <w:tc>
          <w:tcPr>
            <w:tcW w:w="2175"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全年执行数</w:t>
            </w:r>
          </w:p>
        </w:tc>
        <w:tc>
          <w:tcPr>
            <w:tcW w:w="62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分值</w:t>
            </w:r>
          </w:p>
        </w:tc>
        <w:tc>
          <w:tcPr>
            <w:tcW w:w="888"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执行率</w:t>
            </w:r>
          </w:p>
        </w:tc>
        <w:tc>
          <w:tcPr>
            <w:tcW w:w="104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自评</w:t>
            </w:r>
            <w:r>
              <w:rPr>
                <w:rFonts w:hint="default" w:ascii="Times New Roman" w:hAnsi="Times New Roman" w:eastAsia="仿宋_GB2312" w:cs="Times New Roman"/>
                <w:sz w:val="20"/>
                <w:szCs w:val="20"/>
              </w:rPr>
              <w:t>得分</w:t>
            </w:r>
          </w:p>
        </w:tc>
      </w:tr>
      <w:tr>
        <w:tblPrEx>
          <w:tblCellMar>
            <w:top w:w="0" w:type="dxa"/>
            <w:left w:w="108" w:type="dxa"/>
            <w:bottom w:w="0" w:type="dxa"/>
            <w:right w:w="108" w:type="dxa"/>
          </w:tblCellMar>
        </w:tblPrEx>
        <w:trPr>
          <w:trHeight w:val="237" w:hRule="atLeast"/>
          <w:jc w:val="center"/>
        </w:trPr>
        <w:tc>
          <w:tcPr>
            <w:tcW w:w="616" w:type="dxa"/>
            <w:vMerge w:val="continue"/>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2169"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color w:val="000000"/>
                <w:sz w:val="20"/>
                <w:szCs w:val="20"/>
              </w:rPr>
              <w:t>年度资金总额</w:t>
            </w:r>
          </w:p>
        </w:tc>
        <w:tc>
          <w:tcPr>
            <w:tcW w:w="1813"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738.24</w:t>
            </w:r>
          </w:p>
        </w:tc>
        <w:tc>
          <w:tcPr>
            <w:tcW w:w="1187"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775.24</w:t>
            </w:r>
          </w:p>
        </w:tc>
        <w:tc>
          <w:tcPr>
            <w:tcW w:w="2175"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733.48</w:t>
            </w:r>
          </w:p>
        </w:tc>
        <w:tc>
          <w:tcPr>
            <w:tcW w:w="62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b/>
                <w:bCs/>
                <w:sz w:val="20"/>
                <w:szCs w:val="20"/>
              </w:rPr>
              <w:t>10</w:t>
            </w:r>
          </w:p>
        </w:tc>
        <w:tc>
          <w:tcPr>
            <w:tcW w:w="888"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94.62%</w:t>
            </w:r>
          </w:p>
        </w:tc>
        <w:tc>
          <w:tcPr>
            <w:tcW w:w="104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9.46</w:t>
            </w:r>
          </w:p>
        </w:tc>
      </w:tr>
      <w:tr>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按收入性质分：</w:t>
            </w:r>
          </w:p>
        </w:tc>
        <w:tc>
          <w:tcPr>
            <w:tcW w:w="4731"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按支出性质分：</w:t>
            </w:r>
          </w:p>
        </w:tc>
      </w:tr>
      <w:tr>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xml:space="preserve">  其中：  一般公共预算：</w:t>
            </w:r>
            <w:r>
              <w:rPr>
                <w:rFonts w:hint="eastAsia" w:ascii="Times New Roman" w:hAnsi="Times New Roman" w:eastAsia="仿宋_GB2312" w:cs="Times New Roman"/>
                <w:sz w:val="20"/>
                <w:szCs w:val="20"/>
                <w:lang w:val="en-US" w:eastAsia="zh-CN"/>
              </w:rPr>
              <w:t>775.24</w:t>
            </w:r>
          </w:p>
        </w:tc>
        <w:tc>
          <w:tcPr>
            <w:tcW w:w="4731"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其中：基本支出：</w:t>
            </w:r>
            <w:r>
              <w:rPr>
                <w:rFonts w:hint="eastAsia" w:ascii="Times New Roman" w:hAnsi="Times New Roman" w:eastAsia="仿宋_GB2312" w:cs="Times New Roman"/>
                <w:color w:val="000000"/>
                <w:sz w:val="20"/>
                <w:szCs w:val="20"/>
                <w:lang w:val="en-US" w:eastAsia="zh-CN"/>
              </w:rPr>
              <w:t>167.77</w:t>
            </w:r>
          </w:p>
        </w:tc>
      </w:tr>
      <w:tr>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政府性基金拨款：</w:t>
            </w:r>
          </w:p>
        </w:tc>
        <w:tc>
          <w:tcPr>
            <w:tcW w:w="4731"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项目支出</w:t>
            </w:r>
            <w:r>
              <w:rPr>
                <w:rFonts w:hint="eastAsia" w:ascii="Times New Roman" w:hAnsi="Times New Roman" w:eastAsia="仿宋_GB2312" w:cs="Times New Roman"/>
                <w:color w:val="000000"/>
                <w:sz w:val="20"/>
                <w:szCs w:val="20"/>
                <w:lang w:eastAsia="zh-CN"/>
              </w:rPr>
              <w:t>：</w:t>
            </w:r>
            <w:r>
              <w:rPr>
                <w:rFonts w:hint="eastAsia" w:ascii="Times New Roman" w:hAnsi="Times New Roman" w:eastAsia="仿宋_GB2312" w:cs="Times New Roman"/>
                <w:color w:val="000000"/>
                <w:sz w:val="20"/>
                <w:szCs w:val="20"/>
                <w:lang w:val="en-US" w:eastAsia="zh-CN"/>
              </w:rPr>
              <w:t>565.72</w:t>
            </w:r>
          </w:p>
        </w:tc>
      </w:tr>
      <w:tr>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纳入专户管理的非税收入拨款：</w:t>
            </w:r>
          </w:p>
        </w:tc>
        <w:tc>
          <w:tcPr>
            <w:tcW w:w="4731"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trHeight w:val="276" w:hRule="atLeast"/>
          <w:jc w:val="center"/>
        </w:trPr>
        <w:tc>
          <w:tcPr>
            <w:tcW w:w="6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pPr>
              <w:widowControl/>
              <w:spacing w:line="240" w:lineRule="exact"/>
              <w:ind w:left="5596" w:leftChars="665" w:hanging="4200" w:hangingChars="2100"/>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其他资金：</w:t>
            </w:r>
          </w:p>
        </w:tc>
        <w:tc>
          <w:tcPr>
            <w:tcW w:w="4731"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jc w:val="center"/>
        </w:trPr>
        <w:tc>
          <w:tcPr>
            <w:tcW w:w="6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年度总体目标</w:t>
            </w:r>
          </w:p>
        </w:tc>
        <w:tc>
          <w:tcPr>
            <w:tcW w:w="5169"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预期目标</w:t>
            </w:r>
          </w:p>
        </w:tc>
        <w:tc>
          <w:tcPr>
            <w:tcW w:w="4731"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实际完成情况　</w:t>
            </w:r>
          </w:p>
        </w:tc>
      </w:tr>
      <w:tr>
        <w:tblPrEx>
          <w:tblCellMar>
            <w:top w:w="0" w:type="dxa"/>
            <w:left w:w="108" w:type="dxa"/>
            <w:bottom w:w="0" w:type="dxa"/>
            <w:right w:w="108" w:type="dxa"/>
          </w:tblCellMar>
        </w:tblPrEx>
        <w:trPr>
          <w:trHeight w:val="570" w:hRule="atLeast"/>
          <w:jc w:val="center"/>
        </w:trPr>
        <w:tc>
          <w:tcPr>
            <w:tcW w:w="6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坚持将干部培训作为乡村振兴先导性工程，把深入学习贯彻习近平总书记关于“三农”工作的重要论述作为一项重大政治任务，坚定落实中央和省委省政府关于巩固拓展脱贫攻坚成果、实施乡村振兴战略的决策部署，按照国家乡村振兴局关于培训工作的部署安排，围绕牢牢守住不发生规模性返贫底线和扎实有序做好乡村发展、乡村建设、乡村治理等重点工作，同时结合二十大精神的学习以及主题教育活动，有计划、有部署、有重点、有创新的深入开展各级各类干部教育培训，取得了一定成效。全省共15</w:t>
            </w:r>
            <w:r>
              <w:rPr>
                <w:rFonts w:hint="eastAsia" w:ascii="Times New Roman" w:hAnsi="Times New Roman" w:eastAsia="仿宋_GB2312" w:cs="Times New Roman"/>
                <w:color w:val="000000"/>
                <w:sz w:val="20"/>
                <w:szCs w:val="20"/>
                <w:lang w:val="en-US" w:eastAsia="zh-CN"/>
              </w:rPr>
              <w:t>00</w:t>
            </w:r>
            <w:r>
              <w:rPr>
                <w:rFonts w:hint="default" w:ascii="Times New Roman" w:hAnsi="Times New Roman" w:eastAsia="仿宋_GB2312" w:cs="Times New Roman"/>
                <w:color w:val="000000"/>
                <w:sz w:val="20"/>
                <w:szCs w:val="20"/>
              </w:rPr>
              <w:t>期，培训乡村振兴干部4</w:t>
            </w:r>
            <w:r>
              <w:rPr>
                <w:rFonts w:hint="eastAsia" w:ascii="Times New Roman" w:hAnsi="Times New Roman" w:eastAsia="仿宋_GB2312" w:cs="Times New Roman"/>
                <w:color w:val="000000"/>
                <w:sz w:val="20"/>
                <w:szCs w:val="20"/>
                <w:lang w:val="en-US" w:eastAsia="zh-CN"/>
              </w:rPr>
              <w:t>00000</w:t>
            </w:r>
            <w:r>
              <w:rPr>
                <w:rFonts w:hint="default" w:ascii="Times New Roman" w:hAnsi="Times New Roman" w:eastAsia="仿宋_GB2312" w:cs="Times New Roman"/>
                <w:color w:val="000000"/>
                <w:sz w:val="20"/>
                <w:szCs w:val="20"/>
              </w:rPr>
              <w:t>人次，其中省级层面组织培训10</w:t>
            </w:r>
            <w:r>
              <w:rPr>
                <w:rFonts w:hint="eastAsia" w:ascii="Times New Roman" w:hAnsi="Times New Roman" w:eastAsia="仿宋_GB2312" w:cs="Times New Roman"/>
                <w:color w:val="000000"/>
                <w:sz w:val="20"/>
                <w:szCs w:val="20"/>
                <w:lang w:val="en-US" w:eastAsia="zh-CN"/>
              </w:rPr>
              <w:t>0</w:t>
            </w:r>
            <w:r>
              <w:rPr>
                <w:rFonts w:hint="default" w:ascii="Times New Roman" w:hAnsi="Times New Roman" w:eastAsia="仿宋_GB2312" w:cs="Times New Roman"/>
                <w:color w:val="000000"/>
                <w:sz w:val="20"/>
                <w:szCs w:val="20"/>
              </w:rPr>
              <w:t>期，参训人员2</w:t>
            </w:r>
            <w:r>
              <w:rPr>
                <w:rFonts w:hint="eastAsia" w:ascii="Times New Roman" w:hAnsi="Times New Roman" w:eastAsia="仿宋_GB2312" w:cs="Times New Roman"/>
                <w:color w:val="000000"/>
                <w:sz w:val="20"/>
                <w:szCs w:val="20"/>
                <w:lang w:val="en-US" w:eastAsia="zh-CN"/>
              </w:rPr>
              <w:t>0000</w:t>
            </w:r>
            <w:r>
              <w:rPr>
                <w:rFonts w:hint="default" w:ascii="Times New Roman" w:hAnsi="Times New Roman" w:eastAsia="仿宋_GB2312" w:cs="Times New Roman"/>
                <w:color w:val="000000"/>
                <w:sz w:val="20"/>
                <w:szCs w:val="20"/>
              </w:rPr>
              <w:t>人次，市县层面组织14</w:t>
            </w:r>
            <w:r>
              <w:rPr>
                <w:rFonts w:hint="eastAsia" w:ascii="Times New Roman" w:hAnsi="Times New Roman" w:eastAsia="仿宋_GB2312" w:cs="Times New Roman"/>
                <w:color w:val="000000"/>
                <w:sz w:val="20"/>
                <w:szCs w:val="20"/>
                <w:lang w:val="en-US" w:eastAsia="zh-CN"/>
              </w:rPr>
              <w:t>00</w:t>
            </w:r>
            <w:r>
              <w:rPr>
                <w:rFonts w:hint="default" w:ascii="Times New Roman" w:hAnsi="Times New Roman" w:eastAsia="仿宋_GB2312" w:cs="Times New Roman"/>
                <w:color w:val="000000"/>
                <w:sz w:val="20"/>
                <w:szCs w:val="20"/>
              </w:rPr>
              <w:t>期，培训人员38</w:t>
            </w:r>
            <w:r>
              <w:rPr>
                <w:rFonts w:hint="eastAsia" w:ascii="Times New Roman" w:hAnsi="Times New Roman" w:eastAsia="仿宋_GB2312" w:cs="Times New Roman"/>
                <w:color w:val="000000"/>
                <w:sz w:val="20"/>
                <w:szCs w:val="20"/>
                <w:lang w:val="en-US" w:eastAsia="zh-CN"/>
              </w:rPr>
              <w:t>0000</w:t>
            </w:r>
            <w:r>
              <w:rPr>
                <w:rFonts w:hint="default" w:ascii="Times New Roman" w:hAnsi="Times New Roman" w:eastAsia="仿宋_GB2312" w:cs="Times New Roman"/>
                <w:color w:val="000000"/>
                <w:sz w:val="20"/>
                <w:szCs w:val="20"/>
              </w:rPr>
              <w:t>人次。为巩固拓展脱贫攻坚成果、全面推进乡村振兴提供了有力的人才保障。</w:t>
            </w:r>
          </w:p>
          <w:p>
            <w:pPr>
              <w:widowControl/>
              <w:spacing w:line="240" w:lineRule="exact"/>
              <w:jc w:val="both"/>
              <w:rPr>
                <w:rFonts w:hint="default" w:ascii="Times New Roman" w:hAnsi="Times New Roman" w:eastAsia="仿宋_GB2312" w:cs="Times New Roman"/>
                <w:color w:val="000000"/>
                <w:sz w:val="20"/>
                <w:szCs w:val="20"/>
              </w:rPr>
            </w:pPr>
          </w:p>
        </w:tc>
        <w:tc>
          <w:tcPr>
            <w:tcW w:w="4731"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 w:cs="Times New Roman"/>
                <w:color w:val="000000"/>
                <w:sz w:val="20"/>
                <w:szCs w:val="20"/>
                <w:lang w:val="en-US" w:eastAsia="zh-CN"/>
              </w:rPr>
            </w:pPr>
            <w:r>
              <w:rPr>
                <w:rFonts w:hint="eastAsia" w:ascii="Times New Roman" w:hAnsi="Times New Roman" w:eastAsia="仿宋" w:cs="Times New Roman"/>
                <w:color w:val="000000"/>
                <w:sz w:val="20"/>
                <w:szCs w:val="20"/>
                <w:lang w:val="en-US" w:eastAsia="zh-CN"/>
              </w:rPr>
              <w:t>坚持将干部培训作为乡村振兴先导性工程，把深入学习贯彻习近平总书记关于“三农”工作的重要论述作为一项重大政治任务，坚定落实中央和省委省政府关于巩固拓展脱贫攻坚成果、实施乡村振兴战略的决策部署，按照国家乡村振兴局关于培训工作的部署安排，围绕牢牢守住不发生规模性返贫底线和扎实有序做好乡村发展、乡村建设、乡村治理等重点工作，同时结合二十大精神的学习以及主题教育活动，有计划、有部署、有重点、有创新的深入开展各级各类干部教育培训，取得了一定成效。全省共举办各类培训班1522期，培训乡村振兴干部412839人次，其中省级层</w:t>
            </w:r>
          </w:p>
          <w:p>
            <w:pPr>
              <w:widowControl/>
              <w:spacing w:line="240" w:lineRule="exact"/>
              <w:jc w:val="left"/>
              <w:rPr>
                <w:rFonts w:hint="eastAsia" w:ascii="Times New Roman" w:hAnsi="Times New Roman" w:eastAsia="仿宋" w:cs="Times New Roman"/>
                <w:color w:val="000000"/>
                <w:sz w:val="20"/>
                <w:szCs w:val="20"/>
                <w:lang w:val="en-US" w:eastAsia="zh-CN"/>
              </w:rPr>
            </w:pPr>
            <w:r>
              <w:rPr>
                <w:rFonts w:hint="eastAsia" w:ascii="Times New Roman" w:hAnsi="Times New Roman" w:eastAsia="仿宋" w:cs="Times New Roman"/>
                <w:color w:val="000000"/>
                <w:sz w:val="20"/>
                <w:szCs w:val="20"/>
                <w:lang w:val="en-US" w:eastAsia="zh-CN"/>
              </w:rPr>
              <w:t>面组织培训104期，参训人员24301人次，市县层面组织1419期，培训人员388537人次。为巩固拓展脱贫攻坚成果、全面推进乡村振兴提供了有力的人才保障。</w:t>
            </w:r>
          </w:p>
          <w:p>
            <w:pPr>
              <w:widowControl/>
              <w:spacing w:line="240" w:lineRule="exact"/>
              <w:jc w:val="left"/>
              <w:rPr>
                <w:rFonts w:hint="eastAsia" w:ascii="Times New Roman" w:hAnsi="Times New Roman" w:eastAsia="仿宋" w:cs="Times New Roman"/>
                <w:color w:val="000000"/>
                <w:sz w:val="20"/>
                <w:szCs w:val="20"/>
                <w:lang w:val="en-US" w:eastAsia="zh-CN"/>
              </w:rPr>
            </w:pPr>
          </w:p>
        </w:tc>
      </w:tr>
      <w:tr>
        <w:tblPrEx>
          <w:tblCellMar>
            <w:top w:w="0" w:type="dxa"/>
            <w:left w:w="108" w:type="dxa"/>
            <w:bottom w:w="0" w:type="dxa"/>
            <w:right w:w="108" w:type="dxa"/>
          </w:tblCellMar>
        </w:tblPrEx>
        <w:trPr>
          <w:jc w:val="center"/>
        </w:trPr>
        <w:tc>
          <w:tcPr>
            <w:tcW w:w="616"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绩</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标</w:t>
            </w:r>
          </w:p>
          <w:p>
            <w:pPr>
              <w:widowControl/>
              <w:spacing w:line="240" w:lineRule="exact"/>
              <w:jc w:val="center"/>
              <w:rPr>
                <w:rFonts w:hint="default" w:ascii="Times New Roman" w:hAnsi="Times New Roman" w:eastAsia="仿宋_GB2312" w:cs="Times New Roman"/>
                <w:color w:val="000000"/>
                <w:sz w:val="20"/>
                <w:szCs w:val="20"/>
              </w:rPr>
            </w:pPr>
          </w:p>
        </w:tc>
        <w:tc>
          <w:tcPr>
            <w:tcW w:w="102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一级指标</w:t>
            </w:r>
          </w:p>
        </w:tc>
        <w:tc>
          <w:tcPr>
            <w:tcW w:w="114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二级指标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三级指标</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年度指标值</w:t>
            </w:r>
          </w:p>
        </w:tc>
        <w:tc>
          <w:tcPr>
            <w:tcW w:w="2175" w:type="dxa"/>
            <w:tcBorders>
              <w:top w:val="nil"/>
              <w:left w:val="nil"/>
              <w:bottom w:val="single" w:color="auto" w:sz="4" w:space="0"/>
              <w:right w:val="single" w:color="auto" w:sz="4" w:space="0"/>
            </w:tcBorders>
            <w:noWrap w:val="0"/>
            <w:vAlign w:val="center"/>
          </w:tcPr>
          <w:p>
            <w:pPr>
              <w:widowControl/>
              <w:spacing w:line="240" w:lineRule="exac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实际完成值</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分值</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16"/>
                <w:szCs w:val="16"/>
                <w:lang w:eastAsia="zh-CN"/>
              </w:rPr>
              <w:t>自评</w:t>
            </w:r>
            <w:r>
              <w:rPr>
                <w:rFonts w:hint="default" w:ascii="Times New Roman" w:hAnsi="Times New Roman" w:eastAsia="仿宋_GB2312" w:cs="Times New Roman"/>
                <w:color w:val="000000"/>
                <w:sz w:val="16"/>
                <w:szCs w:val="16"/>
              </w:rPr>
              <w:t>得分</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偏差原因分析及改进措施</w:t>
            </w:r>
          </w:p>
        </w:tc>
      </w:tr>
      <w:tr>
        <w:tblPrEx>
          <w:tblCellMar>
            <w:top w:w="0" w:type="dxa"/>
            <w:left w:w="108" w:type="dxa"/>
            <w:bottom w:w="0" w:type="dxa"/>
            <w:right w:w="108" w:type="dxa"/>
          </w:tblCellMar>
        </w:tblPrEx>
        <w:trPr>
          <w:trHeight w:val="442" w:hRule="atLeast"/>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产出指标</w:t>
            </w:r>
          </w:p>
          <w:p>
            <w:pPr>
              <w:widowControl/>
              <w:spacing w:line="240" w:lineRule="exact"/>
              <w:jc w:val="center"/>
              <w:rPr>
                <w:rFonts w:hint="default" w:ascii="Times New Roman" w:hAnsi="Times New Roman" w:eastAsia="仿宋_GB2312" w:cs="Times New Roman"/>
                <w:color w:val="000000"/>
                <w:sz w:val="20"/>
                <w:szCs w:val="20"/>
              </w:rPr>
            </w:pP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(50分)</w:t>
            </w:r>
          </w:p>
        </w:tc>
        <w:tc>
          <w:tcPr>
            <w:tcW w:w="1140" w:type="dxa"/>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数量指标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举办各类培训班</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Arial" w:hAnsi="Arial" w:eastAsia="仿宋_GB2312" w:cs="Arial"/>
                <w:color w:val="000000"/>
                <w:sz w:val="20"/>
                <w:szCs w:val="20"/>
                <w:lang w:val="en-US" w:eastAsia="zh-CN"/>
              </w:rPr>
              <w:t>≥</w:t>
            </w:r>
            <w:r>
              <w:rPr>
                <w:rFonts w:hint="eastAsia" w:ascii="Times New Roman" w:hAnsi="Times New Roman" w:eastAsia="仿宋_GB2312" w:cs="Times New Roman"/>
                <w:color w:val="000000"/>
                <w:sz w:val="20"/>
                <w:szCs w:val="20"/>
                <w:lang w:val="en-US" w:eastAsia="zh-CN"/>
              </w:rPr>
              <w:t>1500期</w:t>
            </w:r>
          </w:p>
        </w:tc>
        <w:tc>
          <w:tcPr>
            <w:tcW w:w="217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1522期</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8</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trHeight w:val="442" w:hRule="atLeast"/>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140"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举办业务知识专题培训班</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Arial" w:hAnsi="Arial" w:eastAsia="仿宋_GB2312" w:cs="Arial"/>
                <w:color w:val="000000"/>
                <w:sz w:val="20"/>
                <w:szCs w:val="20"/>
                <w:lang w:val="en-US" w:eastAsia="zh-CN"/>
              </w:rPr>
            </w:pPr>
            <w:r>
              <w:rPr>
                <w:rFonts w:hint="default" w:ascii="Arial" w:hAnsi="Arial" w:eastAsia="仿宋_GB2312" w:cs="Arial"/>
                <w:color w:val="000000"/>
                <w:sz w:val="20"/>
                <w:szCs w:val="20"/>
                <w:lang w:val="en-US" w:eastAsia="zh-CN"/>
              </w:rPr>
              <w:t>≥</w:t>
            </w:r>
            <w:r>
              <w:rPr>
                <w:rFonts w:hint="eastAsia" w:ascii="Times New Roman" w:hAnsi="Times New Roman" w:eastAsia="仿宋_GB2312" w:cs="Times New Roman"/>
                <w:color w:val="000000"/>
                <w:sz w:val="20"/>
                <w:szCs w:val="20"/>
                <w:lang w:val="en-US" w:eastAsia="zh-CN"/>
              </w:rPr>
              <w:t>5期</w:t>
            </w:r>
          </w:p>
        </w:tc>
        <w:tc>
          <w:tcPr>
            <w:tcW w:w="2175"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Arial" w:hAnsi="Arial" w:eastAsia="仿宋_GB2312" w:cs="Arial"/>
                <w:color w:val="000000"/>
                <w:sz w:val="20"/>
                <w:szCs w:val="20"/>
                <w:lang w:val="en-US" w:eastAsia="zh-CN"/>
              </w:rPr>
            </w:pPr>
            <w:r>
              <w:rPr>
                <w:rFonts w:hint="eastAsia" w:ascii="Times New Roman" w:hAnsi="Times New Roman" w:eastAsia="仿宋_GB2312" w:cs="Times New Roman"/>
                <w:color w:val="000000"/>
                <w:sz w:val="20"/>
                <w:szCs w:val="20"/>
                <w:lang w:val="en-US" w:eastAsia="zh-CN"/>
              </w:rPr>
              <w:t>9期</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trHeight w:val="442" w:hRule="atLeast"/>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140"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lang w:val="en-US" w:eastAsia="zh-CN"/>
              </w:rPr>
              <w:t>举办全省实施乡村振兴战略专题培训班</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Arial" w:hAnsi="Arial" w:eastAsia="仿宋_GB2312" w:cs="Arial"/>
                <w:color w:val="000000"/>
                <w:sz w:val="20"/>
                <w:szCs w:val="20"/>
                <w:lang w:val="en-US" w:eastAsia="zh-CN"/>
              </w:rPr>
            </w:pPr>
            <w:r>
              <w:rPr>
                <w:rFonts w:hint="default" w:ascii="Arial" w:hAnsi="Arial" w:eastAsia="仿宋_GB2312" w:cs="Arial"/>
                <w:color w:val="000000"/>
                <w:sz w:val="20"/>
                <w:szCs w:val="20"/>
                <w:lang w:val="en-US" w:eastAsia="zh-CN"/>
              </w:rPr>
              <w:t>≥</w:t>
            </w:r>
            <w:r>
              <w:rPr>
                <w:rFonts w:hint="default" w:ascii="Times New Roman" w:hAnsi="Times New Roman" w:eastAsia="仿宋_GB2312" w:cs="Times New Roman"/>
                <w:color w:val="000000"/>
                <w:sz w:val="20"/>
                <w:szCs w:val="20"/>
                <w:lang w:val="en-US" w:eastAsia="zh-CN"/>
              </w:rPr>
              <w:t>1期</w:t>
            </w:r>
          </w:p>
        </w:tc>
        <w:tc>
          <w:tcPr>
            <w:tcW w:w="217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Arial" w:hAnsi="Arial" w:eastAsia="仿宋_GB2312" w:cs="Arial"/>
                <w:color w:val="000000"/>
                <w:sz w:val="20"/>
                <w:szCs w:val="20"/>
                <w:lang w:val="en-US" w:eastAsia="zh-CN"/>
              </w:rPr>
            </w:pPr>
            <w:r>
              <w:rPr>
                <w:rFonts w:hint="default" w:ascii="Times New Roman" w:hAnsi="Times New Roman" w:eastAsia="仿宋_GB2312" w:cs="Times New Roman"/>
                <w:color w:val="000000"/>
                <w:sz w:val="20"/>
                <w:szCs w:val="20"/>
                <w:lang w:val="en-US" w:eastAsia="zh-CN"/>
              </w:rPr>
              <w:t>1期</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trHeight w:val="442" w:hRule="atLeast"/>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140"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举办全省乡村振兴系统学习贯彻党的二十大精神暨业务能力提升培训班</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Arial" w:hAnsi="Arial" w:eastAsia="仿宋_GB2312" w:cs="Arial"/>
                <w:color w:val="000000"/>
                <w:sz w:val="20"/>
                <w:szCs w:val="20"/>
                <w:lang w:val="en-US" w:eastAsia="zh-CN"/>
              </w:rPr>
            </w:pPr>
            <w:r>
              <w:rPr>
                <w:rFonts w:hint="default" w:ascii="Arial" w:hAnsi="Arial" w:eastAsia="仿宋_GB2312" w:cs="Arial"/>
                <w:color w:val="000000"/>
                <w:sz w:val="20"/>
                <w:szCs w:val="20"/>
                <w:lang w:val="en-US" w:eastAsia="zh-CN"/>
              </w:rPr>
              <w:t>≥</w:t>
            </w:r>
            <w:r>
              <w:rPr>
                <w:rFonts w:hint="default" w:ascii="Times New Roman" w:hAnsi="Times New Roman" w:eastAsia="仿宋_GB2312" w:cs="Times New Roman"/>
                <w:color w:val="000000"/>
                <w:sz w:val="20"/>
                <w:szCs w:val="20"/>
                <w:lang w:val="en-US" w:eastAsia="zh-CN"/>
              </w:rPr>
              <w:t>1期</w:t>
            </w:r>
          </w:p>
        </w:tc>
        <w:tc>
          <w:tcPr>
            <w:tcW w:w="217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Arial" w:hAnsi="Arial" w:eastAsia="仿宋_GB2312" w:cs="Arial"/>
                <w:color w:val="000000"/>
                <w:sz w:val="20"/>
                <w:szCs w:val="20"/>
                <w:lang w:val="en-US" w:eastAsia="zh-CN"/>
              </w:rPr>
            </w:pPr>
            <w:r>
              <w:rPr>
                <w:rFonts w:hint="eastAsia" w:ascii="Times New Roman" w:hAnsi="Times New Roman" w:eastAsia="仿宋_GB2312" w:cs="Times New Roman"/>
                <w:color w:val="000000"/>
                <w:sz w:val="20"/>
                <w:szCs w:val="20"/>
                <w:lang w:val="en-US" w:eastAsia="zh-CN"/>
              </w:rPr>
              <w:t>2期</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4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质量指标</w:t>
            </w:r>
          </w:p>
        </w:tc>
        <w:tc>
          <w:tcPr>
            <w:tcW w:w="1813" w:type="dxa"/>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提升培训质量</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提升</w:t>
            </w:r>
          </w:p>
        </w:tc>
        <w:tc>
          <w:tcPr>
            <w:tcW w:w="217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eastAsia="zh-CN"/>
              </w:rPr>
              <w:t>持省级示范培训、市州重点培训、县市区全面培训、乡镇兜底培训，区分不同层级，不同类别，针对性设计课程、规划内容，真正做到按需培训、按岗培训、因人而异。</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trHeight w:val="543" w:hRule="atLeast"/>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40" w:type="dxa"/>
            <w:tcBorders>
              <w:top w:val="single" w:color="auto" w:sz="4" w:space="0"/>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时效指标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各项工作按计划时间完成</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按计划时间完成</w:t>
            </w:r>
          </w:p>
        </w:tc>
        <w:tc>
          <w:tcPr>
            <w:tcW w:w="217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按时完成</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8</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restart"/>
            <w:tcBorders>
              <w:top w:val="single" w:color="auto" w:sz="4" w:space="0"/>
              <w:left w:val="nil"/>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效益指标</w:t>
            </w:r>
          </w:p>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（30分）</w:t>
            </w: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14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经济效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default" w:ascii="Times New Roman" w:hAnsi="Times New Roman" w:eastAsia="仿宋_GB2312" w:cs="Times New Roman"/>
                <w:color w:val="000000"/>
                <w:kern w:val="2"/>
                <w:sz w:val="20"/>
                <w:szCs w:val="20"/>
                <w:lang w:val="en-US" w:eastAsia="zh-CN" w:bidi="ar-SA"/>
              </w:rPr>
              <w:t>促进农民持续增收</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kern w:val="2"/>
                <w:sz w:val="20"/>
                <w:szCs w:val="20"/>
                <w:lang w:val="en-US" w:eastAsia="zh-CN" w:bidi="ar-SA"/>
              </w:rPr>
              <w:t>持续促进</w:t>
            </w:r>
          </w:p>
        </w:tc>
        <w:tc>
          <w:tcPr>
            <w:tcW w:w="217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default" w:ascii="Times New Roman" w:hAnsi="Times New Roman" w:eastAsia="仿宋_GB2312" w:cs="Times New Roman"/>
                <w:color w:val="000000"/>
                <w:kern w:val="2"/>
                <w:sz w:val="20"/>
                <w:szCs w:val="20"/>
                <w:lang w:val="en-US" w:eastAsia="zh-CN" w:bidi="ar-SA"/>
              </w:rPr>
              <w:t>坚持把脱贫群众作为乡村振兴的主体，按照政府主导、市场引导、产业驱动、创业激励原则，组织有劳动能力、有培训意愿和需求的脱贫群众，参加种养业、创业就业和职业技能等培训，学习掌握生产加工、手工品制作和经营管理服务、乡村社会工作、公益性岗位等领域的专业技术技能，建设有文化、懂技术、会经营的新型农民队伍，促进农民持续增收。</w:t>
            </w:r>
          </w:p>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15</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15</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140" w:type="dxa"/>
            <w:tcBorders>
              <w:top w:val="single" w:color="auto" w:sz="4" w:space="0"/>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社会效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lang w:val="en-US" w:eastAsia="zh-CN"/>
              </w:rPr>
              <w:t>不断提升基层干部文化素质和履职能力</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lang w:val="en-US" w:eastAsia="zh-CN"/>
              </w:rPr>
              <w:t>不断提升</w:t>
            </w:r>
          </w:p>
        </w:tc>
        <w:tc>
          <w:tcPr>
            <w:tcW w:w="217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lang w:val="en-US" w:eastAsia="zh-CN"/>
              </w:rPr>
              <w:t>优先培训新进村“两委”班子成员，不断提升基层干部文化素质和履职能力。</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15</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15</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trHeight w:val="754" w:hRule="atLeast"/>
          <w:jc w:val="center"/>
        </w:trPr>
        <w:tc>
          <w:tcPr>
            <w:tcW w:w="616"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29" w:type="dxa"/>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满意度</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（10分）</w:t>
            </w:r>
          </w:p>
        </w:tc>
        <w:tc>
          <w:tcPr>
            <w:tcW w:w="1140" w:type="dxa"/>
            <w:tcBorders>
              <w:top w:val="single" w:color="auto" w:sz="4" w:space="0"/>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服务对象满意度指标</w:t>
            </w:r>
          </w:p>
        </w:tc>
        <w:tc>
          <w:tcPr>
            <w:tcW w:w="181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default" w:ascii="Times New Roman" w:hAnsi="Times New Roman" w:eastAsia="仿宋_GB2312" w:cs="Times New Roman"/>
                <w:color w:val="000000"/>
                <w:sz w:val="20"/>
                <w:szCs w:val="20"/>
              </w:rPr>
              <w:t>服务对象的满意程度</w:t>
            </w:r>
          </w:p>
        </w:tc>
        <w:tc>
          <w:tcPr>
            <w:tcW w:w="1187"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90%以上</w:t>
            </w:r>
          </w:p>
        </w:tc>
        <w:tc>
          <w:tcPr>
            <w:tcW w:w="2175"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95%</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CellMar>
            <w:top w:w="0" w:type="dxa"/>
            <w:left w:w="108" w:type="dxa"/>
            <w:bottom w:w="0" w:type="dxa"/>
            <w:right w:w="108" w:type="dxa"/>
          </w:tblCellMar>
        </w:tblPrEx>
        <w:trPr>
          <w:trHeight w:val="458" w:hRule="atLeast"/>
          <w:jc w:val="center"/>
        </w:trPr>
        <w:tc>
          <w:tcPr>
            <w:tcW w:w="7960"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总分</w:t>
            </w:r>
          </w:p>
        </w:tc>
        <w:tc>
          <w:tcPr>
            <w:tcW w:w="62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100</w:t>
            </w:r>
          </w:p>
        </w:tc>
        <w:tc>
          <w:tcPr>
            <w:tcW w:w="88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99.46</w:t>
            </w:r>
          </w:p>
        </w:tc>
        <w:tc>
          <w:tcPr>
            <w:tcW w:w="104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bl>
    <w:p>
      <w:pPr>
        <w:jc w:val="both"/>
        <w:rPr>
          <w:rFonts w:hint="default" w:ascii="Times New Roman" w:hAnsi="Times New Roman" w:eastAsia="仿宋_GB2312" w:cs="Times New Roman"/>
          <w:sz w:val="22"/>
          <w:szCs w:val="22"/>
        </w:rPr>
      </w:pPr>
    </w:p>
    <w:p>
      <w:pPr>
        <w:jc w:val="both"/>
        <w:rPr>
          <w:rFonts w:hint="default" w:eastAsia="仿宋_GB2312"/>
          <w:lang w:val="en-US" w:eastAsia="zh-CN"/>
        </w:rPr>
      </w:pPr>
      <w:r>
        <w:rPr>
          <w:rFonts w:hint="default" w:ascii="Times New Roman" w:hAnsi="Times New Roman" w:eastAsia="仿宋_GB2312" w:cs="Times New Roman"/>
          <w:sz w:val="22"/>
          <w:szCs w:val="22"/>
        </w:rPr>
        <w:t xml:space="preserve">填表人： </w:t>
      </w:r>
      <w:r>
        <w:rPr>
          <w:rFonts w:hint="eastAsia" w:ascii="Times New Roman" w:hAnsi="Times New Roman" w:eastAsia="仿宋_GB2312" w:cs="Times New Roman"/>
          <w:sz w:val="22"/>
          <w:szCs w:val="22"/>
          <w:lang w:val="en-US" w:eastAsia="zh-CN"/>
        </w:rPr>
        <w:t xml:space="preserve">    </w:t>
      </w:r>
      <w:r>
        <w:rPr>
          <w:rFonts w:hint="default" w:ascii="Times New Roman" w:hAnsi="Times New Roman" w:eastAsia="仿宋_GB2312" w:cs="Times New Roman"/>
          <w:sz w:val="22"/>
          <w:szCs w:val="22"/>
        </w:rPr>
        <w:t>填报日期：         联系电话：</w:t>
      </w:r>
      <w:r>
        <w:rPr>
          <w:rFonts w:hint="eastAsia" w:ascii="Times New Roman" w:hAnsi="Times New Roman" w:eastAsia="仿宋_GB2312" w:cs="Times New Roman"/>
          <w:sz w:val="22"/>
          <w:szCs w:val="22"/>
          <w:lang w:val="en-US" w:eastAsia="zh-CN"/>
        </w:rPr>
        <w:t xml:space="preserve">    </w:t>
      </w:r>
      <w:r>
        <w:rPr>
          <w:rFonts w:hint="default" w:ascii="Times New Roman" w:hAnsi="Times New Roman" w:eastAsia="仿宋_GB2312" w:cs="Times New Roman"/>
          <w:sz w:val="22"/>
          <w:szCs w:val="22"/>
        </w:rPr>
        <w:t>单位负责人签字：</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p>
    <w:p>
      <w:pPr>
        <w:pStyle w:val="13"/>
        <w:jc w:val="center"/>
        <w:rPr>
          <w:sz w:val="72"/>
          <w:szCs w:val="72"/>
        </w:rPr>
      </w:pPr>
    </w:p>
    <w:p>
      <w:pPr>
        <w:pStyle w:val="13"/>
        <w:jc w:val="center"/>
        <w:rPr>
          <w:sz w:val="72"/>
          <w:szCs w:val="7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汉仪中宋简">
    <w:panose1 w:val="02010600000101010101"/>
    <w:charset w:val="86"/>
    <w:family w:val="auto"/>
    <w:pitch w:val="default"/>
    <w:sig w:usb0="00000001" w:usb1="080E0800" w:usb2="00000002"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E03FB7"/>
    <w:multiLevelType w:val="singleLevel"/>
    <w:tmpl w:val="A0E03FB7"/>
    <w:lvl w:ilvl="0" w:tentative="0">
      <w:start w:val="3"/>
      <w:numFmt w:val="decimal"/>
      <w:suff w:val="nothing"/>
      <w:lvlText w:val="%1、"/>
      <w:lvlJc w:val="left"/>
    </w:lvl>
  </w:abstractNum>
  <w:abstractNum w:abstractNumId="1">
    <w:nsid w:val="FADBF1D8"/>
    <w:multiLevelType w:val="singleLevel"/>
    <w:tmpl w:val="FADBF1D8"/>
    <w:lvl w:ilvl="0" w:tentative="0">
      <w:start w:val="7"/>
      <w:numFmt w:val="chineseCounting"/>
      <w:suff w:val="nothing"/>
      <w:lvlText w:val="%1、"/>
      <w:lvlJc w:val="left"/>
      <w:rPr>
        <w:rFonts w:hint="eastAsia"/>
      </w:rPr>
    </w:lvl>
  </w:abstractNum>
  <w:abstractNum w:abstractNumId="2">
    <w:nsid w:val="36F409D1"/>
    <w:multiLevelType w:val="singleLevel"/>
    <w:tmpl w:val="36F409D1"/>
    <w:lvl w:ilvl="0" w:tentative="0">
      <w:start w:val="1"/>
      <w:numFmt w:val="chineseCounting"/>
      <w:suff w:val="nothing"/>
      <w:lvlText w:val="%1、"/>
      <w:lvlJc w:val="left"/>
      <w:rPr>
        <w:rFonts w:hint="eastAsia"/>
      </w:rPr>
    </w:lvl>
  </w:abstractNum>
  <w:abstractNum w:abstractNumId="3">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8CE42CB"/>
    <w:multiLevelType w:val="singleLevel"/>
    <w:tmpl w:val="48CE42CB"/>
    <w:lvl w:ilvl="0" w:tentative="0">
      <w:start w:val="1"/>
      <w:numFmt w:val="chineseCounting"/>
      <w:suff w:val="nothing"/>
      <w:lvlText w:val="（%1）"/>
      <w:lvlJc w:val="left"/>
      <w:pPr>
        <w:ind w:left="580" w:leftChars="0" w:firstLine="0" w:firstLineChars="0"/>
      </w:pPr>
      <w:rPr>
        <w:rFonts w:hint="eastAsia"/>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3082107"/>
    <w:rsid w:val="044D1CFC"/>
    <w:rsid w:val="0B0A28C7"/>
    <w:rsid w:val="0E8821E0"/>
    <w:rsid w:val="16BF1D93"/>
    <w:rsid w:val="18306C72"/>
    <w:rsid w:val="18351E55"/>
    <w:rsid w:val="185D6CB7"/>
    <w:rsid w:val="1D97DEFF"/>
    <w:rsid w:val="1DFF72E5"/>
    <w:rsid w:val="1EFC6F07"/>
    <w:rsid w:val="25CB682C"/>
    <w:rsid w:val="278976E2"/>
    <w:rsid w:val="2BD21307"/>
    <w:rsid w:val="2D4355B0"/>
    <w:rsid w:val="2FDF85B8"/>
    <w:rsid w:val="2FFFEE04"/>
    <w:rsid w:val="302A4D73"/>
    <w:rsid w:val="30480508"/>
    <w:rsid w:val="31990EA4"/>
    <w:rsid w:val="34DF85B0"/>
    <w:rsid w:val="356C66BF"/>
    <w:rsid w:val="36C47A50"/>
    <w:rsid w:val="3B8F36BC"/>
    <w:rsid w:val="40965E53"/>
    <w:rsid w:val="438C2CFF"/>
    <w:rsid w:val="491FF225"/>
    <w:rsid w:val="49EE1D09"/>
    <w:rsid w:val="4FFD214C"/>
    <w:rsid w:val="55BA0996"/>
    <w:rsid w:val="55C4521D"/>
    <w:rsid w:val="5777D4F5"/>
    <w:rsid w:val="59DD8326"/>
    <w:rsid w:val="5CB33329"/>
    <w:rsid w:val="5DEF592A"/>
    <w:rsid w:val="5FC6BB1E"/>
    <w:rsid w:val="5FF720F1"/>
    <w:rsid w:val="67FF5C0B"/>
    <w:rsid w:val="6BCE2F71"/>
    <w:rsid w:val="6D4923F0"/>
    <w:rsid w:val="6E373F34"/>
    <w:rsid w:val="6EFC0924"/>
    <w:rsid w:val="6FB74722"/>
    <w:rsid w:val="6FEF8B7E"/>
    <w:rsid w:val="709F2EFD"/>
    <w:rsid w:val="71A6591B"/>
    <w:rsid w:val="737D59BA"/>
    <w:rsid w:val="77C37683"/>
    <w:rsid w:val="79FF515B"/>
    <w:rsid w:val="7E9E1962"/>
    <w:rsid w:val="7E9F11B4"/>
    <w:rsid w:val="7F37EC1E"/>
    <w:rsid w:val="7F7BC1B3"/>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5"/>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character" w:customStyle="1" w:styleId="11">
    <w:name w:val="页眉 Char"/>
    <w:basedOn w:val="9"/>
    <w:link w:val="7"/>
    <w:qFormat/>
    <w:uiPriority w:val="99"/>
    <w:rPr>
      <w:sz w:val="18"/>
      <w:szCs w:val="18"/>
    </w:rPr>
  </w:style>
  <w:style w:type="character" w:customStyle="1" w:styleId="12">
    <w:name w:val="页脚 Char"/>
    <w:basedOn w:val="9"/>
    <w:link w:val="6"/>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9"/>
    <w:link w:val="5"/>
    <w:semiHidden/>
    <w:qFormat/>
    <w:uiPriority w:val="99"/>
    <w:rPr>
      <w:sz w:val="18"/>
      <w:szCs w:val="18"/>
    </w:rPr>
  </w:style>
  <w:style w:type="character" w:customStyle="1" w:styleId="16">
    <w:name w:val="font01"/>
    <w:basedOn w:val="9"/>
    <w:qFormat/>
    <w:uiPriority w:val="0"/>
    <w:rPr>
      <w:rFonts w:hint="eastAsia" w:ascii="宋体" w:hAnsi="宋体" w:eastAsia="宋体" w:cs="宋体"/>
      <w:color w:val="000000"/>
      <w:sz w:val="22"/>
      <w:szCs w:val="22"/>
      <w:u w:val="none"/>
    </w:rPr>
  </w:style>
  <w:style w:type="character" w:customStyle="1" w:styleId="17">
    <w:name w:val="font21"/>
    <w:basedOn w:val="9"/>
    <w:qFormat/>
    <w:uiPriority w:val="0"/>
    <w:rPr>
      <w:rFonts w:hint="eastAsia" w:ascii="宋体" w:hAnsi="宋体" w:eastAsia="宋体" w:cs="宋体"/>
      <w:color w:val="000000"/>
      <w:sz w:val="24"/>
      <w:szCs w:val="24"/>
      <w:u w:val="none"/>
    </w:rPr>
  </w:style>
  <w:style w:type="character" w:customStyle="1" w:styleId="18">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5</TotalTime>
  <ScaleCrop>false</ScaleCrop>
  <LinksUpToDate>false</LinksUpToDate>
  <CharactersWithSpaces>9008</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2020-07-08T10:32:00Z</dcterms:created>
  <dc:creator>李航 null</dc:creator>
  <cp:lastModifiedBy>greatwall</cp:lastModifiedBy>
  <cp:lastPrinted>2024-08-08T18:20:00Z</cp:lastPrinted>
  <dcterms:modified xsi:type="dcterms:W3CDTF">2024-09-09T18:01:51Z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ies>
</file>