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湖南省广播电视局机关后勤服务中心2021年预算公开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2021年湖南省广播电视局机关后勤服务中心单位预算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目录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第一部分2021年单位预算说明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第二部分2021年单位预算表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1、收支总表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2、收入总表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3、支出总表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4、支出预算分类汇总表(按政府预算经济分类)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5、支出预算分类汇总表(按部门预算经济分类)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6、财政拨款收支总表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7、一般公共预算支出表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8、一般公共预算基本支出表-人员经费(工资福利支出)(按政府预算经济分类)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9、一般公共预算基本支出表-人员经费(工资福利支出)(按部门预算经济分类)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10、一般公共预算基本支出表-人员经费(对个人和家庭的补助)(按政府预算经济分类)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11、一般公共预算基本支出表-人员经费(对个人和家庭的补助)(按部门预算经济分类)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12、一般公共预算基本支出表-公用经费(商品和服务支出)(按政府预算经济分类)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lastRenderedPageBreak/>
        <w:t>13、一般公共预算基本支出表-公用经费(商品和服务支出)(按部门预算经济分类)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14、一般公共预算“三公”经费支出表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15、政府性基金预算支出表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16、政府性基金预算支出分类汇总表(按政府预算经济分类)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17、政府性基金预算支出分类汇总表(按部门预算经济分类)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18、国有资本经营预算支出表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19、财政专户管理资金预算支出表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20、省级专项资金预算汇总表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21、省级专项资金绩效目标表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22、其他项目支出绩效目标表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23、部门整体支出绩效目标表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注:以上部门预算报表中,空表表示本单位无相关收支情况。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第一部分2021年单位预算说明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一、单位基本概况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(一)职能职责。</w:t>
      </w:r>
      <w:r>
        <w:rPr>
          <w:rFonts w:hint="eastAsia"/>
          <w:color w:val="333333"/>
          <w:sz w:val="28"/>
          <w:szCs w:val="28"/>
        </w:rPr>
        <w:t>后勤中心的主要职责职能是为省广电局机关提供后勤服务。负责局机关及中心财产实物登记、管理工作,负责局机关主楼及北院的物业管理工作,负责局机关食堂和小卖部的管理和服务工作,负责局机关通讯、网络管理和服务工作负责局机关节能管理工作,联系局直属二级单位的节能工作,负责局机关公务用车和驾驶员的管理工作,负责社区事务工作,承办省广电局交办的其他工作。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lastRenderedPageBreak/>
        <w:t>(二)机构设置。</w:t>
      </w:r>
      <w:r>
        <w:rPr>
          <w:rFonts w:hint="eastAsia"/>
          <w:color w:val="333333"/>
          <w:sz w:val="28"/>
          <w:szCs w:val="28"/>
        </w:rPr>
        <w:t>后勤中心现定编16人,实有正式职工15人,临聘人员24人。内设综合部、膳食部、物业部、车队4个科室。</w:t>
      </w:r>
    </w:p>
    <w:p w:rsidR="00FB430C" w:rsidRDefault="00FB430C" w:rsidP="00FB430C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 w:rsidRPr="00B739E3">
        <w:rPr>
          <w:rFonts w:hint="eastAsia"/>
          <w:color w:val="333333"/>
          <w:sz w:val="28"/>
          <w:szCs w:val="28"/>
        </w:rPr>
        <w:t>二、部门预算单位构成</w:t>
      </w:r>
    </w:p>
    <w:p w:rsidR="00FB430C" w:rsidRPr="00FB430C" w:rsidRDefault="00FB430C" w:rsidP="00FB430C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hint="eastAsia"/>
          <w:color w:val="333333"/>
          <w:sz w:val="28"/>
          <w:szCs w:val="28"/>
        </w:rPr>
      </w:pPr>
      <w:r w:rsidRPr="00E76006">
        <w:rPr>
          <w:rFonts w:hint="eastAsia"/>
          <w:color w:val="333333"/>
          <w:sz w:val="28"/>
          <w:szCs w:val="28"/>
        </w:rPr>
        <w:t>仅包含本级预算</w:t>
      </w:r>
      <w:r>
        <w:rPr>
          <w:rFonts w:hint="eastAsia"/>
          <w:color w:val="333333"/>
          <w:sz w:val="28"/>
          <w:szCs w:val="28"/>
        </w:rPr>
        <w:t>。</w:t>
      </w:r>
    </w:p>
    <w:p w:rsidR="00CE292B" w:rsidRDefault="00FB430C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三</w:t>
      </w:r>
      <w:r w:rsidR="00CE292B">
        <w:rPr>
          <w:rFonts w:hint="eastAsia"/>
          <w:color w:val="333333"/>
          <w:sz w:val="28"/>
          <w:szCs w:val="28"/>
        </w:rPr>
        <w:t>、单位收支总体情况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(一)收入预算:</w:t>
      </w:r>
      <w:r>
        <w:rPr>
          <w:rFonts w:hint="eastAsia"/>
          <w:color w:val="333333"/>
          <w:sz w:val="28"/>
          <w:szCs w:val="28"/>
        </w:rPr>
        <w:t>包括一般公共预算拨款等单位资金。2021年本单位收入预算</w:t>
      </w:r>
      <w:r>
        <w:rPr>
          <w:rFonts w:cs="Times New Roman" w:hint="eastAsia"/>
          <w:color w:val="333333"/>
          <w:sz w:val="28"/>
          <w:szCs w:val="28"/>
        </w:rPr>
        <w:t>276.73</w:t>
      </w:r>
      <w:r>
        <w:rPr>
          <w:rFonts w:hint="eastAsia"/>
          <w:color w:val="333333"/>
          <w:sz w:val="28"/>
          <w:szCs w:val="28"/>
        </w:rPr>
        <w:t>万元,其中,一般公共预算拨款</w:t>
      </w:r>
      <w:r>
        <w:rPr>
          <w:rFonts w:cs="Times New Roman" w:hint="eastAsia"/>
          <w:color w:val="333333"/>
          <w:sz w:val="28"/>
          <w:szCs w:val="28"/>
        </w:rPr>
        <w:t>276.73</w:t>
      </w:r>
      <w:r>
        <w:rPr>
          <w:rFonts w:hint="eastAsia"/>
          <w:color w:val="333333"/>
          <w:sz w:val="28"/>
          <w:szCs w:val="28"/>
        </w:rPr>
        <w:t>万元。</w:t>
      </w:r>
      <w:r>
        <w:rPr>
          <w:rFonts w:hint="eastAsia"/>
          <w:b/>
          <w:bCs/>
          <w:color w:val="333333"/>
          <w:sz w:val="28"/>
          <w:szCs w:val="28"/>
        </w:rPr>
        <w:t>收入较去年减少0.72万元,主要原因是一般行政性支出的压缩所致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(二)支出预算:</w:t>
      </w:r>
      <w:r>
        <w:rPr>
          <w:rFonts w:hint="eastAsia"/>
          <w:color w:val="333333"/>
          <w:sz w:val="28"/>
          <w:szCs w:val="28"/>
        </w:rPr>
        <w:t>2021年本单位支出预算</w:t>
      </w:r>
      <w:r>
        <w:rPr>
          <w:rFonts w:cs="Times New Roman" w:hint="eastAsia"/>
          <w:color w:val="333333"/>
          <w:sz w:val="28"/>
          <w:szCs w:val="28"/>
        </w:rPr>
        <w:t>276.73</w:t>
      </w:r>
      <w:r>
        <w:rPr>
          <w:rFonts w:hint="eastAsia"/>
          <w:color w:val="333333"/>
          <w:sz w:val="28"/>
          <w:szCs w:val="28"/>
        </w:rPr>
        <w:t>万元,其中,文化旅游体育与传媒支出276.73。</w:t>
      </w:r>
      <w:r>
        <w:rPr>
          <w:rFonts w:hint="eastAsia"/>
          <w:b/>
          <w:bCs/>
          <w:color w:val="333333"/>
          <w:sz w:val="28"/>
          <w:szCs w:val="28"/>
        </w:rPr>
        <w:t>支出较去年减少0.72万元,主要原因是一般性行政支出压缩所致。</w:t>
      </w:r>
    </w:p>
    <w:p w:rsidR="00CE292B" w:rsidRDefault="00FB430C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四</w:t>
      </w:r>
      <w:r w:rsidR="00CE292B">
        <w:rPr>
          <w:rFonts w:hint="eastAsia"/>
          <w:color w:val="333333"/>
          <w:sz w:val="28"/>
          <w:szCs w:val="28"/>
        </w:rPr>
        <w:t>、一般公共预算拨款支出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2021年本单位一般公共预算拨款支出预算</w:t>
      </w:r>
      <w:r>
        <w:rPr>
          <w:rFonts w:cs="Times New Roman" w:hint="eastAsia"/>
          <w:color w:val="333333"/>
          <w:sz w:val="28"/>
          <w:szCs w:val="28"/>
        </w:rPr>
        <w:t>276.73</w:t>
      </w:r>
      <w:r>
        <w:rPr>
          <w:rFonts w:hint="eastAsia"/>
          <w:color w:val="333333"/>
          <w:sz w:val="28"/>
          <w:szCs w:val="28"/>
        </w:rPr>
        <w:t>万元,其中,一般公共服务支出</w:t>
      </w:r>
      <w:r>
        <w:rPr>
          <w:rFonts w:cs="Times New Roman" w:hint="eastAsia"/>
          <w:color w:val="333333"/>
          <w:sz w:val="28"/>
          <w:szCs w:val="28"/>
        </w:rPr>
        <w:t>276.73</w:t>
      </w:r>
      <w:r>
        <w:rPr>
          <w:rFonts w:hint="eastAsia"/>
          <w:color w:val="333333"/>
          <w:sz w:val="28"/>
          <w:szCs w:val="28"/>
        </w:rPr>
        <w:t>万元,占</w:t>
      </w:r>
      <w:r>
        <w:rPr>
          <w:rFonts w:cs="Times New Roman" w:hint="eastAsia"/>
          <w:color w:val="333333"/>
          <w:sz w:val="28"/>
          <w:szCs w:val="28"/>
        </w:rPr>
        <w:t>100%</w:t>
      </w:r>
      <w:r>
        <w:rPr>
          <w:rFonts w:hint="eastAsia"/>
          <w:color w:val="333333"/>
          <w:sz w:val="28"/>
          <w:szCs w:val="28"/>
        </w:rPr>
        <w:t>。具体安排情况如下: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(一)基本支出:</w:t>
      </w:r>
      <w:r>
        <w:rPr>
          <w:rFonts w:hint="eastAsia"/>
          <w:color w:val="333333"/>
          <w:sz w:val="28"/>
          <w:szCs w:val="28"/>
        </w:rPr>
        <w:t>2021年本单位基本支出预算数273.13万元,主要是为保障单位机构正常运转、完成日常工作任务而发生的各项支出,包括用于基本工资、津贴补贴等人员经费以及办公费、印刷费、水电费、办公设备购置等公用经费。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(二)项目支出:</w:t>
      </w:r>
      <w:r>
        <w:rPr>
          <w:rFonts w:hint="eastAsia"/>
          <w:color w:val="333333"/>
          <w:sz w:val="28"/>
          <w:szCs w:val="28"/>
        </w:rPr>
        <w:t>2021年本单位项目支出预算</w:t>
      </w:r>
      <w:r>
        <w:rPr>
          <w:rFonts w:cs="Times New Roman" w:hint="eastAsia"/>
          <w:color w:val="333333"/>
          <w:sz w:val="28"/>
          <w:szCs w:val="28"/>
        </w:rPr>
        <w:t>3.6</w:t>
      </w:r>
      <w:r>
        <w:rPr>
          <w:rFonts w:hint="eastAsia"/>
          <w:color w:val="333333"/>
          <w:sz w:val="28"/>
          <w:szCs w:val="28"/>
        </w:rPr>
        <w:t>万元,主要是部门为完成特定行政工作任务或事业发展目标而发生的支出,包括有关事业发展专项、专项业务费、基本建设支出等,其中:一般办公设备购置支出3.6万元,全部用于办公设备购置等方面。</w:t>
      </w:r>
    </w:p>
    <w:p w:rsidR="00CE292B" w:rsidRDefault="00FB430C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lastRenderedPageBreak/>
        <w:t>五</w:t>
      </w:r>
      <w:r w:rsidR="00CE292B">
        <w:rPr>
          <w:rFonts w:hint="eastAsia"/>
          <w:color w:val="333333"/>
          <w:sz w:val="28"/>
          <w:szCs w:val="28"/>
        </w:rPr>
        <w:t>、政府性基金预算支出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2021年本单位无政府性基金安排的支出。</w:t>
      </w:r>
    </w:p>
    <w:p w:rsidR="00CE292B" w:rsidRDefault="00FB430C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六</w:t>
      </w:r>
      <w:r w:rsidR="00CE292B">
        <w:rPr>
          <w:rFonts w:hint="eastAsia"/>
          <w:color w:val="333333"/>
          <w:sz w:val="28"/>
          <w:szCs w:val="28"/>
        </w:rPr>
        <w:t>、其他重要事项的情况说明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(一)机关运行经费:</w:t>
      </w:r>
      <w:r>
        <w:rPr>
          <w:rFonts w:hint="eastAsia"/>
          <w:color w:val="333333"/>
          <w:sz w:val="28"/>
          <w:szCs w:val="28"/>
        </w:rPr>
        <w:t>2021年本单位机关运行经费</w:t>
      </w:r>
      <w:r>
        <w:rPr>
          <w:rFonts w:cs="Times New Roman" w:hint="eastAsia"/>
          <w:color w:val="333333"/>
          <w:sz w:val="28"/>
          <w:szCs w:val="28"/>
        </w:rPr>
        <w:t>53.13</w:t>
      </w:r>
      <w:r>
        <w:rPr>
          <w:rFonts w:hint="eastAsia"/>
          <w:color w:val="333333"/>
          <w:sz w:val="28"/>
          <w:szCs w:val="28"/>
        </w:rPr>
        <w:t>万元,比上年预算增加</w:t>
      </w:r>
      <w:r>
        <w:rPr>
          <w:rFonts w:cs="Times New Roman" w:hint="eastAsia"/>
          <w:color w:val="333333"/>
          <w:sz w:val="28"/>
          <w:szCs w:val="28"/>
        </w:rPr>
        <w:t>4.28</w:t>
      </w:r>
      <w:r>
        <w:rPr>
          <w:rFonts w:hint="eastAsia"/>
          <w:color w:val="333333"/>
          <w:sz w:val="28"/>
          <w:szCs w:val="28"/>
        </w:rPr>
        <w:t>万元,上升</w:t>
      </w:r>
      <w:r>
        <w:rPr>
          <w:rFonts w:cs="Times New Roman" w:hint="eastAsia"/>
          <w:color w:val="333333"/>
          <w:sz w:val="28"/>
          <w:szCs w:val="28"/>
        </w:rPr>
        <w:t>8.76%</w:t>
      </w:r>
      <w:r>
        <w:rPr>
          <w:rFonts w:hint="eastAsia"/>
          <w:color w:val="333333"/>
          <w:sz w:val="28"/>
          <w:szCs w:val="28"/>
        </w:rPr>
        <w:t>,主要是增加了局机关新建成的职工之家、图书室的管理费用。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(二)“三公</w:t>
      </w:r>
      <w:r>
        <w:rPr>
          <w:rFonts w:cs="Times New Roman" w:hint="eastAsia"/>
          <w:b/>
          <w:bCs/>
          <w:color w:val="333333"/>
          <w:sz w:val="28"/>
          <w:szCs w:val="28"/>
        </w:rPr>
        <w:t>”</w:t>
      </w:r>
      <w:r>
        <w:rPr>
          <w:rFonts w:hint="eastAsia"/>
          <w:b/>
          <w:bCs/>
          <w:color w:val="333333"/>
          <w:sz w:val="28"/>
          <w:szCs w:val="28"/>
        </w:rPr>
        <w:t>经费预算:</w:t>
      </w:r>
      <w:r>
        <w:rPr>
          <w:rFonts w:hint="eastAsia"/>
          <w:color w:val="333333"/>
          <w:sz w:val="28"/>
          <w:szCs w:val="28"/>
        </w:rPr>
        <w:t>2021年本单位无“三公</w:t>
      </w:r>
      <w:r>
        <w:rPr>
          <w:rFonts w:cs="Times New Roman" w:hint="eastAsia"/>
          <w:color w:val="333333"/>
          <w:sz w:val="28"/>
          <w:szCs w:val="28"/>
        </w:rPr>
        <w:t>”</w:t>
      </w:r>
      <w:r>
        <w:rPr>
          <w:rFonts w:hint="eastAsia"/>
          <w:color w:val="333333"/>
          <w:sz w:val="28"/>
          <w:szCs w:val="28"/>
        </w:rPr>
        <w:t>经费预算安排的支出。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(三)一般性支出情况:</w:t>
      </w:r>
      <w:r>
        <w:rPr>
          <w:rFonts w:hint="eastAsia"/>
          <w:color w:val="333333"/>
          <w:sz w:val="28"/>
          <w:szCs w:val="28"/>
        </w:rPr>
        <w:t>2021年本单位会议费预算0.33万元,拟召开3次会议,人数30人,主要内容为安全生产、食品卫生安全等;培训费预算0.96万元,拟开展2次培训,人数30人,内容为消防、驾驶员安全培训等。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(四)政府采购情况:</w:t>
      </w:r>
      <w:r>
        <w:rPr>
          <w:rFonts w:hint="eastAsia"/>
          <w:color w:val="333333"/>
          <w:sz w:val="28"/>
          <w:szCs w:val="28"/>
        </w:rPr>
        <w:t>2021年本部门政府采购预算总额</w:t>
      </w:r>
      <w:r>
        <w:rPr>
          <w:rFonts w:cs="Times New Roman" w:hint="eastAsia"/>
          <w:color w:val="333333"/>
          <w:sz w:val="28"/>
          <w:szCs w:val="28"/>
        </w:rPr>
        <w:t>3.6</w:t>
      </w:r>
      <w:r>
        <w:rPr>
          <w:rFonts w:hint="eastAsia"/>
          <w:color w:val="333333"/>
          <w:sz w:val="28"/>
          <w:szCs w:val="28"/>
        </w:rPr>
        <w:t>万元,其中,货物类采购预算</w:t>
      </w:r>
      <w:r>
        <w:rPr>
          <w:rFonts w:cs="Times New Roman" w:hint="eastAsia"/>
          <w:color w:val="333333"/>
          <w:sz w:val="28"/>
          <w:szCs w:val="28"/>
        </w:rPr>
        <w:t>3.6</w:t>
      </w:r>
      <w:r>
        <w:rPr>
          <w:rFonts w:hint="eastAsia"/>
          <w:color w:val="333333"/>
          <w:sz w:val="28"/>
          <w:szCs w:val="28"/>
        </w:rPr>
        <w:t>万元;工程类采购预算</w:t>
      </w:r>
      <w:r>
        <w:rPr>
          <w:rFonts w:cs="Times New Roman" w:hint="eastAsia"/>
          <w:color w:val="333333"/>
          <w:sz w:val="28"/>
          <w:szCs w:val="28"/>
        </w:rPr>
        <w:t>0</w:t>
      </w:r>
      <w:r>
        <w:rPr>
          <w:rFonts w:hint="eastAsia"/>
          <w:color w:val="333333"/>
          <w:sz w:val="28"/>
          <w:szCs w:val="28"/>
        </w:rPr>
        <w:t>万元;服务类采购预算</w:t>
      </w:r>
      <w:r>
        <w:rPr>
          <w:rFonts w:cs="Times New Roman" w:hint="eastAsia"/>
          <w:color w:val="333333"/>
          <w:sz w:val="28"/>
          <w:szCs w:val="28"/>
        </w:rPr>
        <w:t>0</w:t>
      </w:r>
      <w:r>
        <w:rPr>
          <w:rFonts w:hint="eastAsia"/>
          <w:color w:val="333333"/>
          <w:sz w:val="28"/>
          <w:szCs w:val="28"/>
        </w:rPr>
        <w:t>万元。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(五)国有资产占用使用及新增资产配置情况:</w:t>
      </w:r>
      <w:r>
        <w:rPr>
          <w:rFonts w:hint="eastAsia"/>
          <w:color w:val="333333"/>
          <w:sz w:val="28"/>
          <w:szCs w:val="28"/>
        </w:rPr>
        <w:t>截至2020年</w:t>
      </w:r>
      <w:r>
        <w:rPr>
          <w:rFonts w:cs="Times New Roman" w:hint="eastAsia"/>
          <w:color w:val="333333"/>
          <w:sz w:val="28"/>
          <w:szCs w:val="28"/>
        </w:rPr>
        <w:t>12</w:t>
      </w:r>
      <w:r>
        <w:rPr>
          <w:rFonts w:hint="eastAsia"/>
          <w:color w:val="333333"/>
          <w:sz w:val="28"/>
          <w:szCs w:val="28"/>
        </w:rPr>
        <w:t>月底,本单位共有公务用车0辆;单位价值</w:t>
      </w:r>
      <w:r>
        <w:rPr>
          <w:rFonts w:cs="Times New Roman" w:hint="eastAsia"/>
          <w:color w:val="333333"/>
          <w:sz w:val="28"/>
          <w:szCs w:val="28"/>
        </w:rPr>
        <w:t>50</w:t>
      </w:r>
      <w:r>
        <w:rPr>
          <w:rFonts w:hint="eastAsia"/>
          <w:color w:val="333333"/>
          <w:sz w:val="28"/>
          <w:szCs w:val="28"/>
        </w:rPr>
        <w:t>万元以上通用设备</w:t>
      </w:r>
      <w:r>
        <w:rPr>
          <w:rFonts w:cs="Times New Roman" w:hint="eastAsia"/>
          <w:color w:val="333333"/>
          <w:sz w:val="28"/>
          <w:szCs w:val="28"/>
        </w:rPr>
        <w:t>0</w:t>
      </w:r>
      <w:r>
        <w:rPr>
          <w:rFonts w:hint="eastAsia"/>
          <w:color w:val="333333"/>
          <w:sz w:val="28"/>
          <w:szCs w:val="28"/>
        </w:rPr>
        <w:t>台,单位价值</w:t>
      </w:r>
      <w:r>
        <w:rPr>
          <w:rFonts w:cs="Times New Roman" w:hint="eastAsia"/>
          <w:color w:val="333333"/>
          <w:sz w:val="28"/>
          <w:szCs w:val="28"/>
        </w:rPr>
        <w:t>100</w:t>
      </w:r>
      <w:r>
        <w:rPr>
          <w:rFonts w:hint="eastAsia"/>
          <w:color w:val="333333"/>
          <w:sz w:val="28"/>
          <w:szCs w:val="28"/>
        </w:rPr>
        <w:t>万元以上专用设备</w:t>
      </w:r>
      <w:r>
        <w:rPr>
          <w:rFonts w:cs="Times New Roman" w:hint="eastAsia"/>
          <w:color w:val="333333"/>
          <w:sz w:val="28"/>
          <w:szCs w:val="28"/>
        </w:rPr>
        <w:t>0</w:t>
      </w:r>
      <w:r>
        <w:rPr>
          <w:rFonts w:hint="eastAsia"/>
          <w:color w:val="333333"/>
          <w:sz w:val="28"/>
          <w:szCs w:val="28"/>
        </w:rPr>
        <w:t>台。</w:t>
      </w:r>
      <w:r>
        <w:rPr>
          <w:rFonts w:cs="Times New Roman" w:hint="eastAsia"/>
          <w:color w:val="333333"/>
          <w:sz w:val="28"/>
          <w:szCs w:val="28"/>
        </w:rPr>
        <w:t>2021</w:t>
      </w:r>
      <w:r>
        <w:rPr>
          <w:rFonts w:hint="eastAsia"/>
          <w:color w:val="333333"/>
          <w:sz w:val="28"/>
          <w:szCs w:val="28"/>
        </w:rPr>
        <w:t>年拟新增配置公务用车</w:t>
      </w:r>
      <w:r>
        <w:rPr>
          <w:rFonts w:cs="Times New Roman" w:hint="eastAsia"/>
          <w:color w:val="333333"/>
          <w:sz w:val="28"/>
          <w:szCs w:val="28"/>
        </w:rPr>
        <w:t>0</w:t>
      </w:r>
      <w:r>
        <w:rPr>
          <w:rFonts w:hint="eastAsia"/>
          <w:color w:val="333333"/>
          <w:sz w:val="28"/>
          <w:szCs w:val="28"/>
        </w:rPr>
        <w:t>辆;新增配备单位价值</w:t>
      </w:r>
      <w:r>
        <w:rPr>
          <w:rFonts w:cs="Times New Roman" w:hint="eastAsia"/>
          <w:color w:val="333333"/>
          <w:sz w:val="28"/>
          <w:szCs w:val="28"/>
        </w:rPr>
        <w:t>50</w:t>
      </w:r>
      <w:r>
        <w:rPr>
          <w:rFonts w:hint="eastAsia"/>
          <w:color w:val="333333"/>
          <w:sz w:val="28"/>
          <w:szCs w:val="28"/>
        </w:rPr>
        <w:t>万元以上通用设备</w:t>
      </w:r>
      <w:r>
        <w:rPr>
          <w:rFonts w:cs="Times New Roman" w:hint="eastAsia"/>
          <w:color w:val="333333"/>
          <w:sz w:val="28"/>
          <w:szCs w:val="28"/>
        </w:rPr>
        <w:t>0</w:t>
      </w:r>
      <w:r>
        <w:rPr>
          <w:rFonts w:hint="eastAsia"/>
          <w:color w:val="333333"/>
          <w:sz w:val="28"/>
          <w:szCs w:val="28"/>
        </w:rPr>
        <w:t>台,单位价值</w:t>
      </w:r>
      <w:r>
        <w:rPr>
          <w:rFonts w:cs="Times New Roman" w:hint="eastAsia"/>
          <w:color w:val="333333"/>
          <w:sz w:val="28"/>
          <w:szCs w:val="28"/>
        </w:rPr>
        <w:t>100</w:t>
      </w:r>
      <w:r>
        <w:rPr>
          <w:rFonts w:hint="eastAsia"/>
          <w:color w:val="333333"/>
          <w:sz w:val="28"/>
          <w:szCs w:val="28"/>
        </w:rPr>
        <w:t>万元以上专用设备</w:t>
      </w:r>
      <w:r>
        <w:rPr>
          <w:rFonts w:cs="Times New Roman" w:hint="eastAsia"/>
          <w:color w:val="333333"/>
          <w:sz w:val="28"/>
          <w:szCs w:val="28"/>
        </w:rPr>
        <w:t>0</w:t>
      </w:r>
      <w:r>
        <w:rPr>
          <w:rFonts w:hint="eastAsia"/>
          <w:color w:val="333333"/>
          <w:sz w:val="28"/>
          <w:szCs w:val="28"/>
        </w:rPr>
        <w:t>台。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lastRenderedPageBreak/>
        <w:t>(六)预算绩效目标说明:</w:t>
      </w:r>
      <w:r>
        <w:rPr>
          <w:rFonts w:hint="eastAsia"/>
          <w:color w:val="333333"/>
          <w:sz w:val="28"/>
          <w:szCs w:val="28"/>
        </w:rPr>
        <w:t>本单位所有支出实行绩效目标管理。纳入2021年单位整体支出绩效目标的金额为276.73万元,其中,基本支出273.13万元,项目支出3.6万元,具体绩效目标详见报表。</w:t>
      </w:r>
    </w:p>
    <w:p w:rsidR="00CE292B" w:rsidRDefault="00FB430C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七</w:t>
      </w:r>
      <w:bookmarkStart w:id="0" w:name="_GoBack"/>
      <w:bookmarkEnd w:id="0"/>
      <w:r w:rsidR="00CE292B">
        <w:rPr>
          <w:rFonts w:hint="eastAsia"/>
          <w:color w:val="333333"/>
          <w:sz w:val="28"/>
          <w:szCs w:val="28"/>
        </w:rPr>
        <w:t>、名词解释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、机关运行经费:是指各部门的公用经费,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CE292B" w:rsidRDefault="00CE292B" w:rsidP="00CE292B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2、</w:t>
      </w:r>
      <w:r>
        <w:rPr>
          <w:rFonts w:cs="Times New Roman" w:hint="eastAsia"/>
          <w:color w:val="333333"/>
          <w:sz w:val="28"/>
          <w:szCs w:val="28"/>
        </w:rPr>
        <w:t>“</w:t>
      </w:r>
      <w:r>
        <w:rPr>
          <w:rFonts w:hint="eastAsia"/>
          <w:color w:val="333333"/>
          <w:sz w:val="28"/>
          <w:szCs w:val="28"/>
        </w:rPr>
        <w:t>三公</w:t>
      </w:r>
      <w:r>
        <w:rPr>
          <w:rFonts w:cs="Times New Roman" w:hint="eastAsia"/>
          <w:color w:val="333333"/>
          <w:sz w:val="28"/>
          <w:szCs w:val="28"/>
        </w:rPr>
        <w:t>”</w:t>
      </w:r>
      <w:r>
        <w:rPr>
          <w:rFonts w:hint="eastAsia"/>
          <w:color w:val="333333"/>
          <w:sz w:val="28"/>
          <w:szCs w:val="28"/>
        </w:rPr>
        <w:t>经费:纳入省(市</w:t>
      </w:r>
      <w:r>
        <w:rPr>
          <w:rFonts w:cs="Times New Roman" w:hint="eastAsia"/>
          <w:color w:val="333333"/>
          <w:sz w:val="28"/>
          <w:szCs w:val="28"/>
        </w:rPr>
        <w:t>/</w:t>
      </w:r>
      <w:r>
        <w:rPr>
          <w:rFonts w:hint="eastAsia"/>
          <w:color w:val="333333"/>
          <w:sz w:val="28"/>
          <w:szCs w:val="28"/>
        </w:rPr>
        <w:t>县)财政预算管理的</w:t>
      </w:r>
      <w:r>
        <w:rPr>
          <w:rFonts w:cs="Times New Roman" w:hint="eastAsia"/>
          <w:color w:val="333333"/>
          <w:sz w:val="28"/>
          <w:szCs w:val="28"/>
        </w:rPr>
        <w:t>“</w:t>
      </w:r>
      <w:r>
        <w:rPr>
          <w:rFonts w:hint="eastAsia"/>
          <w:color w:val="333333"/>
          <w:sz w:val="28"/>
          <w:szCs w:val="28"/>
        </w:rPr>
        <w:t>三公</w:t>
      </w:r>
      <w:r>
        <w:rPr>
          <w:rFonts w:cs="Times New Roman" w:hint="eastAsia"/>
          <w:color w:val="333333"/>
          <w:sz w:val="28"/>
          <w:szCs w:val="28"/>
        </w:rPr>
        <w:t>“</w:t>
      </w:r>
      <w:r>
        <w:rPr>
          <w:rFonts w:hint="eastAsia"/>
          <w:color w:val="333333"/>
          <w:sz w:val="28"/>
          <w:szCs w:val="28"/>
        </w:rPr>
        <w:t>经费,是指用一般公共预算拨款安排的公务接待费、公务用车购置及运行维护费和因公出国(境)费。其中,公务接待费反映单位按规定开支的各类公务接待支出;公务用车购置及运行费反映单位公务用车车辆购置支出(含车辆购置税),以及燃料费、维修费、保险费等支出;因公出国(境)费反映单位公务出国(境)的国际旅费、国外城市间交通费、住宿费、伙食费、培训费、公杂费等等支出。</w:t>
      </w:r>
    </w:p>
    <w:p w:rsidR="004023D0" w:rsidRDefault="004023D0"/>
    <w:sectPr w:rsidR="00402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C4" w:rsidRDefault="000F2CC4" w:rsidP="00FB430C">
      <w:r>
        <w:separator/>
      </w:r>
    </w:p>
  </w:endnote>
  <w:endnote w:type="continuationSeparator" w:id="0">
    <w:p w:rsidR="000F2CC4" w:rsidRDefault="000F2CC4" w:rsidP="00FB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C4" w:rsidRDefault="000F2CC4" w:rsidP="00FB430C">
      <w:r>
        <w:separator/>
      </w:r>
    </w:p>
  </w:footnote>
  <w:footnote w:type="continuationSeparator" w:id="0">
    <w:p w:rsidR="000F2CC4" w:rsidRDefault="000F2CC4" w:rsidP="00FB4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2B"/>
    <w:rsid w:val="000F2CC4"/>
    <w:rsid w:val="004023D0"/>
    <w:rsid w:val="00CE292B"/>
    <w:rsid w:val="00FB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54B8A"/>
  <w15:chartTrackingRefBased/>
  <w15:docId w15:val="{C87740BE-4CB6-42DB-A62E-195B6B8F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9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B4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B430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4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B43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342</Words>
  <Characters>1956</Characters>
  <Application>Microsoft Office Word</Application>
  <DocSecurity>0</DocSecurity>
  <Lines>16</Lines>
  <Paragraphs>4</Paragraphs>
  <ScaleCrop>false</ScaleCrop>
  <Company>Lenovo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周紫盈</dc:creator>
  <cp:keywords/>
  <dc:description/>
  <cp:lastModifiedBy>周紫盈</cp:lastModifiedBy>
  <cp:revision>2</cp:revision>
  <dcterms:created xsi:type="dcterms:W3CDTF">2022-08-26T03:39:00Z</dcterms:created>
  <dcterms:modified xsi:type="dcterms:W3CDTF">2022-09-01T09:19:00Z</dcterms:modified>
</cp:coreProperties>
</file>