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1E9" w:rsidRDefault="000401E9">
      <w:pPr>
        <w:pStyle w:val="Default"/>
        <w:jc w:val="center"/>
        <w:rPr>
          <w:sz w:val="56"/>
          <w:szCs w:val="56"/>
        </w:rPr>
      </w:pPr>
    </w:p>
    <w:p w:rsidR="000401E9" w:rsidRDefault="000401E9">
      <w:pPr>
        <w:pStyle w:val="Default"/>
        <w:jc w:val="center"/>
        <w:rPr>
          <w:sz w:val="56"/>
          <w:szCs w:val="56"/>
        </w:rPr>
      </w:pPr>
    </w:p>
    <w:p w:rsidR="000401E9" w:rsidRDefault="000401E9">
      <w:pPr>
        <w:pStyle w:val="Default"/>
        <w:jc w:val="center"/>
        <w:rPr>
          <w:sz w:val="84"/>
          <w:szCs w:val="84"/>
        </w:rPr>
      </w:pPr>
    </w:p>
    <w:p w:rsidR="000401E9" w:rsidRDefault="000401E9">
      <w:pPr>
        <w:pStyle w:val="Default"/>
        <w:jc w:val="center"/>
        <w:rPr>
          <w:sz w:val="84"/>
          <w:szCs w:val="84"/>
        </w:rPr>
      </w:pPr>
    </w:p>
    <w:p w:rsidR="000401E9" w:rsidRDefault="000401E9">
      <w:pPr>
        <w:pStyle w:val="Default"/>
        <w:jc w:val="center"/>
        <w:rPr>
          <w:sz w:val="84"/>
          <w:szCs w:val="84"/>
        </w:rPr>
      </w:pPr>
    </w:p>
    <w:p w:rsidR="000401E9" w:rsidRDefault="00DC7D87">
      <w:pPr>
        <w:pStyle w:val="Default"/>
        <w:jc w:val="center"/>
        <w:rPr>
          <w:sz w:val="84"/>
          <w:szCs w:val="84"/>
        </w:rPr>
      </w:pPr>
      <w:r>
        <w:rPr>
          <w:rFonts w:hint="eastAsia"/>
          <w:sz w:val="84"/>
          <w:szCs w:val="84"/>
        </w:rPr>
        <w:t>2021年度</w:t>
      </w:r>
    </w:p>
    <w:p w:rsidR="000401E9" w:rsidRDefault="00DC7D87">
      <w:pPr>
        <w:pStyle w:val="Default"/>
        <w:jc w:val="center"/>
        <w:rPr>
          <w:sz w:val="84"/>
          <w:szCs w:val="84"/>
        </w:rPr>
      </w:pPr>
      <w:r>
        <w:rPr>
          <w:rFonts w:hint="eastAsia"/>
          <w:sz w:val="84"/>
          <w:szCs w:val="84"/>
        </w:rPr>
        <w:t>湖南省娄底监狱部门决算</w:t>
      </w:r>
    </w:p>
    <w:p w:rsidR="000401E9" w:rsidRDefault="000401E9">
      <w:pPr>
        <w:pStyle w:val="Default"/>
        <w:spacing w:line="500" w:lineRule="exact"/>
        <w:jc w:val="center"/>
        <w:rPr>
          <w:b/>
          <w:sz w:val="84"/>
          <w:szCs w:val="84"/>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500" w:lineRule="exact"/>
        <w:jc w:val="center"/>
        <w:rPr>
          <w:b/>
          <w:sz w:val="36"/>
          <w:szCs w:val="28"/>
        </w:rPr>
      </w:pPr>
    </w:p>
    <w:p w:rsidR="000401E9" w:rsidRDefault="000401E9">
      <w:pPr>
        <w:pStyle w:val="Default"/>
        <w:spacing w:line="460" w:lineRule="exact"/>
        <w:rPr>
          <w:b/>
          <w:sz w:val="36"/>
          <w:szCs w:val="28"/>
        </w:rPr>
      </w:pPr>
    </w:p>
    <w:p w:rsidR="000401E9" w:rsidRDefault="000401E9">
      <w:pPr>
        <w:pStyle w:val="Default"/>
        <w:spacing w:line="460" w:lineRule="exact"/>
        <w:jc w:val="center"/>
        <w:rPr>
          <w:b/>
          <w:sz w:val="36"/>
          <w:szCs w:val="28"/>
        </w:rPr>
      </w:pPr>
    </w:p>
    <w:p w:rsidR="000401E9" w:rsidRDefault="00DC7D87">
      <w:pPr>
        <w:pStyle w:val="Default"/>
        <w:spacing w:line="460" w:lineRule="exact"/>
        <w:jc w:val="center"/>
        <w:rPr>
          <w:b/>
          <w:sz w:val="36"/>
          <w:szCs w:val="28"/>
        </w:rPr>
      </w:pPr>
      <w:r>
        <w:rPr>
          <w:rFonts w:hint="eastAsia"/>
          <w:b/>
          <w:sz w:val="36"/>
          <w:szCs w:val="28"/>
        </w:rPr>
        <w:lastRenderedPageBreak/>
        <w:t>目录</w:t>
      </w:r>
    </w:p>
    <w:p w:rsidR="000401E9" w:rsidRDefault="00DC7D87">
      <w:pPr>
        <w:pStyle w:val="Default"/>
        <w:spacing w:line="460" w:lineRule="exact"/>
        <w:rPr>
          <w:rFonts w:ascii="仿宋_GB2312" w:hAnsi="仿宋_GB2312" w:cs="仿宋_GB2312"/>
          <w:b/>
          <w:sz w:val="28"/>
          <w:szCs w:val="28"/>
        </w:rPr>
      </w:pPr>
      <w:r>
        <w:rPr>
          <w:rFonts w:hint="eastAsia"/>
          <w:b/>
          <w:sz w:val="28"/>
          <w:szCs w:val="28"/>
        </w:rPr>
        <w:t>第一部分湖南省娄底监狱概况</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0401E9" w:rsidRDefault="00DC7D87">
      <w:pPr>
        <w:pStyle w:val="Default"/>
        <w:spacing w:line="46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0401E9" w:rsidRDefault="00DC7D87">
      <w:pPr>
        <w:pStyle w:val="Default"/>
        <w:spacing w:line="46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0401E9" w:rsidRDefault="00DC7D87">
      <w:pPr>
        <w:pStyle w:val="Default"/>
        <w:spacing w:line="46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0401E9" w:rsidRDefault="00DC7D87">
      <w:pPr>
        <w:spacing w:line="46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关于机关运行经费支出说明</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0401E9" w:rsidRDefault="00DC7D87">
      <w:pPr>
        <w:autoSpaceDE w:val="0"/>
        <w:autoSpaceDN w:val="0"/>
        <w:adjustRightInd w:val="0"/>
        <w:spacing w:line="46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0401E9" w:rsidRDefault="00DC7D87">
      <w:pPr>
        <w:pStyle w:val="Default"/>
        <w:spacing w:line="46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十二、关于国有资产占用情况说明</w:t>
      </w:r>
    </w:p>
    <w:p w:rsidR="000401E9" w:rsidRDefault="00DC7D87">
      <w:pPr>
        <w:pStyle w:val="Default"/>
        <w:spacing w:line="46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十三、关</w:t>
      </w:r>
      <w:r>
        <w:rPr>
          <w:rFonts w:asciiTheme="minorEastAsia" w:eastAsiaTheme="minorEastAsia" w:hAnsiTheme="minorEastAsia" w:cs="仿宋_GB2312" w:hint="eastAsia"/>
          <w:sz w:val="28"/>
          <w:szCs w:val="28"/>
        </w:rPr>
        <w:t>于2021年</w:t>
      </w:r>
      <w:r>
        <w:rPr>
          <w:rFonts w:ascii="仿宋_GB2312" w:eastAsiaTheme="minorEastAsia" w:hAnsi="仿宋_GB2312" w:cs="仿宋_GB2312" w:hint="eastAsia"/>
          <w:sz w:val="28"/>
          <w:szCs w:val="28"/>
        </w:rPr>
        <w:t>度预算绩效情况的说明</w:t>
      </w:r>
    </w:p>
    <w:p w:rsidR="000401E9" w:rsidRDefault="00DC7D87">
      <w:pPr>
        <w:autoSpaceDE w:val="0"/>
        <w:autoSpaceDN w:val="0"/>
        <w:adjustRightInd w:val="0"/>
        <w:spacing w:line="46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0401E9" w:rsidRDefault="00DC7D87">
      <w:pPr>
        <w:autoSpaceDE w:val="0"/>
        <w:autoSpaceDN w:val="0"/>
        <w:adjustRightInd w:val="0"/>
        <w:spacing w:line="46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0401E9" w:rsidRDefault="000401E9">
      <w:pPr>
        <w:jc w:val="center"/>
        <w:rPr>
          <w:sz w:val="72"/>
          <w:szCs w:val="72"/>
        </w:rPr>
      </w:pPr>
    </w:p>
    <w:p w:rsidR="000401E9" w:rsidRDefault="000401E9">
      <w:pPr>
        <w:jc w:val="center"/>
        <w:rPr>
          <w:sz w:val="72"/>
          <w:szCs w:val="72"/>
        </w:rPr>
      </w:pPr>
    </w:p>
    <w:p w:rsidR="000401E9" w:rsidRDefault="000401E9">
      <w:pPr>
        <w:jc w:val="center"/>
        <w:rPr>
          <w:sz w:val="72"/>
          <w:szCs w:val="72"/>
        </w:rPr>
      </w:pPr>
    </w:p>
    <w:p w:rsidR="000401E9" w:rsidRDefault="000401E9">
      <w:pPr>
        <w:rPr>
          <w:sz w:val="72"/>
          <w:szCs w:val="72"/>
        </w:rPr>
      </w:pPr>
    </w:p>
    <w:p w:rsidR="000401E9" w:rsidRDefault="000401E9">
      <w:pPr>
        <w:rPr>
          <w:sz w:val="72"/>
          <w:szCs w:val="72"/>
        </w:rPr>
      </w:pPr>
    </w:p>
    <w:p w:rsidR="000401E9" w:rsidRDefault="000401E9">
      <w:pPr>
        <w:rPr>
          <w:sz w:val="72"/>
          <w:szCs w:val="72"/>
        </w:rPr>
      </w:pPr>
    </w:p>
    <w:p w:rsidR="000401E9" w:rsidRDefault="000401E9">
      <w:pPr>
        <w:rPr>
          <w:sz w:val="72"/>
          <w:szCs w:val="72"/>
        </w:rPr>
      </w:pPr>
    </w:p>
    <w:p w:rsidR="000401E9" w:rsidRDefault="00DC7D87">
      <w:pPr>
        <w:pStyle w:val="Default"/>
        <w:jc w:val="center"/>
        <w:rPr>
          <w:sz w:val="72"/>
          <w:szCs w:val="72"/>
        </w:rPr>
      </w:pPr>
      <w:r>
        <w:rPr>
          <w:rFonts w:hint="eastAsia"/>
          <w:sz w:val="72"/>
          <w:szCs w:val="72"/>
        </w:rPr>
        <w:t>第一部分</w:t>
      </w: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湖南省娄底监狱概况</w:t>
      </w:r>
    </w:p>
    <w:p w:rsidR="000401E9" w:rsidRDefault="000401E9">
      <w:pPr>
        <w:pStyle w:val="Default"/>
        <w:jc w:val="center"/>
        <w:rPr>
          <w:sz w:val="72"/>
          <w:szCs w:val="7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0401E9">
      <w:pPr>
        <w:jc w:val="left"/>
        <w:rPr>
          <w:rFonts w:ascii="黑体" w:eastAsia="黑体" w:hAnsi="黑体"/>
          <w:sz w:val="32"/>
          <w:szCs w:val="32"/>
        </w:rPr>
      </w:pPr>
    </w:p>
    <w:p w:rsidR="000401E9" w:rsidRDefault="00DC7D87">
      <w:pPr>
        <w:pStyle w:val="a7"/>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0401E9" w:rsidRDefault="00DC7D87">
      <w:pPr>
        <w:pStyle w:val="a6"/>
        <w:widowControl/>
        <w:spacing w:before="0" w:beforeAutospacing="0" w:after="0" w:afterAutospacing="0" w:line="480" w:lineRule="atLeast"/>
        <w:ind w:firstLineChars="200" w:firstLine="560"/>
        <w:rPr>
          <w:rFonts w:ascii="仿宋_GB2312" w:eastAsiaTheme="minorEastAsia" w:hAnsi="仿宋_GB2312" w:cs="仿宋_GB2312"/>
          <w:color w:val="000000"/>
          <w:sz w:val="28"/>
          <w:szCs w:val="28"/>
        </w:rPr>
      </w:pPr>
      <w:r>
        <w:rPr>
          <w:rFonts w:ascii="仿宋_GB2312" w:eastAsiaTheme="minorEastAsia" w:hAnsi="仿宋_GB2312" w:cs="仿宋_GB2312" w:hint="eastAsia"/>
          <w:color w:val="000000"/>
          <w:sz w:val="28"/>
          <w:szCs w:val="28"/>
        </w:rPr>
        <w:t>监狱的主要职能是负责依照《中华人民共和国监狱法》，贯彻执行监狱工作方针及国家有关法律法规，研究制定监狱发展规划和年度工作计划并组织实施；负责刑罚执行、狱政管理、教育改造；负责监狱计划、财务、审计、基本建设和国有资产管理工作；负责与武警、公安、检察院、法院等部门做好通联工作；承办上级机关交办的其他工作。</w:t>
      </w:r>
    </w:p>
    <w:p w:rsidR="000401E9" w:rsidRDefault="00DC7D87">
      <w:pPr>
        <w:pStyle w:val="a6"/>
        <w:widowControl/>
        <w:spacing w:before="0" w:beforeAutospacing="0" w:after="0" w:afterAutospacing="0" w:line="480" w:lineRule="atLeast"/>
        <w:rPr>
          <w:rFonts w:ascii="仿宋_GB2312" w:eastAsiaTheme="minorEastAsia" w:hAnsi="仿宋_GB2312" w:cs="仿宋_GB2312"/>
          <w:color w:val="000000"/>
          <w:sz w:val="28"/>
          <w:szCs w:val="28"/>
        </w:rPr>
      </w:pPr>
      <w:r>
        <w:rPr>
          <w:rFonts w:ascii="黑体" w:eastAsia="黑体" w:hAnsi="黑体" w:hint="eastAsia"/>
          <w:bCs/>
          <w:sz w:val="32"/>
          <w:szCs w:val="32"/>
        </w:rPr>
        <w:t>二、机构设置及决算单位构成</w:t>
      </w:r>
    </w:p>
    <w:p w:rsidR="000401E9" w:rsidRDefault="00DC7D87">
      <w:pPr>
        <w:widowControl/>
        <w:spacing w:line="600" w:lineRule="exact"/>
        <w:ind w:firstLine="630"/>
        <w:rPr>
          <w:rFonts w:ascii="黑体" w:eastAsia="黑体" w:hAnsi="黑体"/>
          <w:sz w:val="28"/>
          <w:szCs w:val="28"/>
        </w:rPr>
      </w:pPr>
      <w:r>
        <w:rPr>
          <w:rFonts w:asciiTheme="minorEastAsia" w:hAnsiTheme="minorEastAsia" w:hint="eastAsia"/>
          <w:bCs/>
          <w:kern w:val="0"/>
          <w:sz w:val="32"/>
          <w:szCs w:val="32"/>
        </w:rPr>
        <w:t>（一）内设机构设置。</w:t>
      </w:r>
      <w:r>
        <w:rPr>
          <w:rFonts w:ascii="仿宋_GB2312" w:hAnsi="仿宋_GB2312" w:cs="仿宋_GB2312" w:hint="eastAsia"/>
          <w:color w:val="000000"/>
          <w:kern w:val="0"/>
          <w:sz w:val="28"/>
          <w:szCs w:val="28"/>
        </w:rPr>
        <w:t>湖南省娄底监狱为财政全额拨款正处级行政单位，财务核算适用政府会计准则制度，为独立核算的二级单位。监狱内设、下设机构</w:t>
      </w:r>
      <w:r>
        <w:rPr>
          <w:rFonts w:ascii="仿宋_GB2312" w:hAnsi="仿宋_GB2312" w:cs="仿宋_GB2312" w:hint="eastAsia"/>
          <w:color w:val="000000"/>
          <w:kern w:val="0"/>
          <w:sz w:val="28"/>
          <w:szCs w:val="28"/>
        </w:rPr>
        <w:t>31</w:t>
      </w:r>
      <w:r>
        <w:rPr>
          <w:rFonts w:ascii="仿宋_GB2312" w:hAnsi="仿宋_GB2312" w:cs="仿宋_GB2312" w:hint="eastAsia"/>
          <w:color w:val="000000"/>
          <w:kern w:val="0"/>
          <w:sz w:val="28"/>
          <w:szCs w:val="28"/>
        </w:rPr>
        <w:t>个，另湖南万安达集团星龙实业有限责任公司下设</w:t>
      </w:r>
      <w:r>
        <w:rPr>
          <w:rFonts w:ascii="仿宋_GB2312" w:hAnsi="仿宋_GB2312" w:cs="仿宋_GB2312" w:hint="eastAsia"/>
          <w:color w:val="000000"/>
          <w:kern w:val="0"/>
          <w:sz w:val="28"/>
          <w:szCs w:val="28"/>
        </w:rPr>
        <w:t>4</w:t>
      </w:r>
      <w:r>
        <w:rPr>
          <w:rFonts w:ascii="仿宋_GB2312" w:hAnsi="仿宋_GB2312" w:cs="仿宋_GB2312" w:hint="eastAsia"/>
          <w:color w:val="000000"/>
          <w:kern w:val="0"/>
          <w:sz w:val="28"/>
          <w:szCs w:val="28"/>
        </w:rPr>
        <w:t>个部室。</w:t>
      </w:r>
    </w:p>
    <w:p w:rsidR="000401E9" w:rsidRDefault="00DC7D87">
      <w:pPr>
        <w:widowControl/>
        <w:spacing w:line="600" w:lineRule="exact"/>
        <w:ind w:firstLineChars="200" w:firstLine="640"/>
        <w:rPr>
          <w:rFonts w:asciiTheme="minorEastAsia" w:hAnsiTheme="minorEastAsia" w:cstheme="minorEastAsia"/>
          <w:bCs/>
          <w:kern w:val="0"/>
          <w:sz w:val="32"/>
          <w:szCs w:val="32"/>
        </w:rPr>
      </w:pPr>
      <w:r>
        <w:rPr>
          <w:rFonts w:asciiTheme="minorEastAsia" w:hAnsiTheme="minorEastAsia" w:hint="eastAsia"/>
          <w:bCs/>
          <w:kern w:val="0"/>
          <w:sz w:val="32"/>
          <w:szCs w:val="32"/>
        </w:rPr>
        <w:t>（二）决算单位构成</w:t>
      </w:r>
      <w:bookmarkStart w:id="0" w:name="_GoBack"/>
      <w:bookmarkEnd w:id="0"/>
      <w:r>
        <w:rPr>
          <w:rFonts w:asciiTheme="minorEastAsia" w:hAnsiTheme="minorEastAsia" w:hint="eastAsia"/>
          <w:bCs/>
          <w:kern w:val="0"/>
          <w:sz w:val="32"/>
          <w:szCs w:val="32"/>
        </w:rPr>
        <w:t>。</w:t>
      </w:r>
      <w:r>
        <w:rPr>
          <w:rFonts w:asciiTheme="minorEastAsia" w:hAnsiTheme="minorEastAsia" w:cstheme="minorEastAsia" w:hint="eastAsia"/>
          <w:color w:val="333333"/>
          <w:sz w:val="32"/>
          <w:szCs w:val="32"/>
          <w:shd w:val="clear" w:color="auto" w:fill="FFFFFF" w:themeFill="background1"/>
        </w:rPr>
        <w:t>湖南省娄底监狱</w:t>
      </w:r>
      <w:r>
        <w:rPr>
          <w:rFonts w:asciiTheme="minorEastAsia" w:hAnsiTheme="minorEastAsia" w:cstheme="minorEastAsia" w:hint="eastAsia"/>
          <w:bCs/>
          <w:kern w:val="0"/>
          <w:sz w:val="32"/>
          <w:szCs w:val="32"/>
        </w:rPr>
        <w:t>2021年部门决算汇总公开单位构成包括：</w:t>
      </w:r>
      <w:r>
        <w:rPr>
          <w:rFonts w:asciiTheme="minorEastAsia" w:hAnsiTheme="minorEastAsia" w:cstheme="minorEastAsia" w:hint="eastAsia"/>
          <w:color w:val="333333"/>
          <w:sz w:val="32"/>
          <w:szCs w:val="32"/>
          <w:shd w:val="clear" w:color="auto" w:fill="FFFFFF" w:themeFill="background1"/>
        </w:rPr>
        <w:t>湖南省娄底监狱</w:t>
      </w:r>
      <w:r>
        <w:rPr>
          <w:rFonts w:asciiTheme="minorEastAsia" w:hAnsiTheme="minorEastAsia" w:cstheme="minorEastAsia" w:hint="eastAsia"/>
          <w:bCs/>
          <w:kern w:val="0"/>
          <w:sz w:val="32"/>
          <w:szCs w:val="32"/>
        </w:rPr>
        <w:t>单位本级。</w:t>
      </w:r>
    </w:p>
    <w:p w:rsidR="000401E9" w:rsidRDefault="000401E9">
      <w:pPr>
        <w:jc w:val="center"/>
        <w:rPr>
          <w:rFonts w:ascii="黑体" w:eastAsia="黑体" w:hAnsi="黑体"/>
          <w:sz w:val="28"/>
          <w:szCs w:val="28"/>
        </w:rPr>
      </w:pPr>
    </w:p>
    <w:p w:rsidR="000401E9" w:rsidRDefault="000401E9">
      <w:pPr>
        <w:jc w:val="center"/>
        <w:rPr>
          <w:sz w:val="72"/>
          <w:szCs w:val="72"/>
        </w:rPr>
      </w:pPr>
    </w:p>
    <w:p w:rsidR="000401E9" w:rsidRDefault="000401E9">
      <w:pPr>
        <w:jc w:val="center"/>
        <w:rPr>
          <w:sz w:val="72"/>
          <w:szCs w:val="72"/>
        </w:rPr>
      </w:pPr>
    </w:p>
    <w:p w:rsidR="000401E9" w:rsidRDefault="000401E9">
      <w:pPr>
        <w:jc w:val="center"/>
        <w:rPr>
          <w:sz w:val="72"/>
          <w:szCs w:val="72"/>
        </w:rPr>
      </w:pPr>
    </w:p>
    <w:p w:rsidR="000401E9" w:rsidRDefault="000401E9">
      <w:pPr>
        <w:jc w:val="center"/>
        <w:rPr>
          <w:sz w:val="72"/>
          <w:szCs w:val="72"/>
        </w:rPr>
      </w:pPr>
    </w:p>
    <w:p w:rsidR="000401E9" w:rsidRDefault="000401E9">
      <w:pPr>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第二部分</w:t>
      </w:r>
    </w:p>
    <w:p w:rsidR="000401E9" w:rsidRDefault="000401E9">
      <w:pPr>
        <w:pStyle w:val="Default"/>
        <w:jc w:val="center"/>
        <w:rPr>
          <w:sz w:val="72"/>
          <w:szCs w:val="72"/>
        </w:rPr>
      </w:pPr>
    </w:p>
    <w:p w:rsidR="000401E9" w:rsidRDefault="00DC7D87">
      <w:pPr>
        <w:pStyle w:val="Default"/>
        <w:jc w:val="center"/>
        <w:rPr>
          <w:sz w:val="72"/>
          <w:szCs w:val="72"/>
        </w:rPr>
        <w:sectPr w:rsidR="000401E9">
          <w:pgSz w:w="11906" w:h="16838"/>
          <w:pgMar w:top="720" w:right="720" w:bottom="720" w:left="720" w:header="851" w:footer="992" w:gutter="0"/>
          <w:cols w:space="425"/>
          <w:docGrid w:type="linesAndChars" w:linePitch="312"/>
        </w:sectPr>
      </w:pPr>
      <w:r>
        <w:rPr>
          <w:rFonts w:hint="eastAsia"/>
          <w:sz w:val="72"/>
          <w:szCs w:val="72"/>
        </w:rPr>
        <w:t>部门决算</w:t>
      </w:r>
    </w:p>
    <w:p w:rsidR="000401E9" w:rsidRDefault="000401E9">
      <w:pPr>
        <w:pStyle w:val="Default"/>
        <w:jc w:val="center"/>
        <w:rPr>
          <w:sz w:val="72"/>
          <w:szCs w:val="72"/>
        </w:rPr>
      </w:pPr>
      <w:bookmarkStart w:id="1" w:name="RANGE!A1:I22"/>
      <w:bookmarkEnd w:id="1"/>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第三部分</w:t>
      </w:r>
    </w:p>
    <w:p w:rsidR="000401E9" w:rsidRDefault="000401E9">
      <w:pPr>
        <w:pStyle w:val="Default"/>
        <w:jc w:val="center"/>
        <w:rPr>
          <w:sz w:val="70"/>
          <w:szCs w:val="70"/>
        </w:rPr>
      </w:pPr>
    </w:p>
    <w:p w:rsidR="000401E9" w:rsidRDefault="00DC7D87">
      <w:pPr>
        <w:pStyle w:val="Default"/>
        <w:jc w:val="center"/>
        <w:rPr>
          <w:sz w:val="70"/>
          <w:szCs w:val="70"/>
        </w:rPr>
      </w:pPr>
      <w:r>
        <w:rPr>
          <w:sz w:val="70"/>
          <w:szCs w:val="70"/>
        </w:rPr>
        <w:t>20</w:t>
      </w:r>
      <w:r>
        <w:rPr>
          <w:rFonts w:hint="eastAsia"/>
          <w:sz w:val="70"/>
          <w:szCs w:val="70"/>
        </w:rPr>
        <w:t>21年度部门决算情况说明</w:t>
      </w:r>
    </w:p>
    <w:p w:rsidR="000401E9" w:rsidRDefault="00DC7D87">
      <w:pPr>
        <w:widowControl/>
        <w:jc w:val="center"/>
        <w:rPr>
          <w:rFonts w:ascii="黑体" w:eastAsia="黑体" w:cs="黑体"/>
          <w:color w:val="000000"/>
          <w:kern w:val="0"/>
          <w:sz w:val="70"/>
          <w:szCs w:val="70"/>
        </w:rPr>
      </w:pPr>
      <w:r>
        <w:rPr>
          <w:sz w:val="70"/>
          <w:szCs w:val="70"/>
        </w:rPr>
        <w:br w:type="page"/>
      </w:r>
    </w:p>
    <w:p w:rsidR="000401E9" w:rsidRDefault="000401E9">
      <w:pPr>
        <w:pStyle w:val="Default"/>
        <w:rPr>
          <w:rFonts w:asciiTheme="minorEastAsia" w:eastAsiaTheme="minorEastAsia" w:hAnsiTheme="minorEastAsia"/>
          <w:sz w:val="32"/>
          <w:szCs w:val="32"/>
        </w:rPr>
      </w:pPr>
    </w:p>
    <w:p w:rsidR="000401E9" w:rsidRDefault="00DC7D87" w:rsidP="00BC1374">
      <w:pPr>
        <w:pStyle w:val="Default"/>
        <w:ind w:firstLineChars="200" w:firstLine="643"/>
        <w:rPr>
          <w:rFonts w:hAnsi="黑体"/>
          <w:b/>
          <w:sz w:val="32"/>
          <w:szCs w:val="32"/>
        </w:rPr>
      </w:pPr>
      <w:r>
        <w:rPr>
          <w:rFonts w:hAnsi="黑体" w:hint="eastAsia"/>
          <w:b/>
          <w:sz w:val="32"/>
          <w:szCs w:val="32"/>
        </w:rPr>
        <w:t>一、收入支出决算总体情况说明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2021年度收、支总计15730.18万元。与上年相比，减少731.66万元，减少4.44%，主要是因为本年度其他收入有所减少以及上年度财政追加了套改工资所致。</w:t>
      </w:r>
    </w:p>
    <w:p w:rsidR="000401E9" w:rsidRDefault="00DC7D87" w:rsidP="00BC1374">
      <w:pPr>
        <w:pStyle w:val="Default"/>
        <w:ind w:firstLineChars="200" w:firstLine="643"/>
        <w:rPr>
          <w:rFonts w:hAnsi="黑体"/>
          <w:b/>
          <w:sz w:val="32"/>
          <w:szCs w:val="32"/>
        </w:rPr>
      </w:pPr>
      <w:r>
        <w:rPr>
          <w:rFonts w:hAnsi="黑体" w:hint="eastAsia"/>
          <w:b/>
          <w:sz w:val="32"/>
          <w:szCs w:val="32"/>
        </w:rPr>
        <w:t>二、收入决算情况说明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本年收入合计14702.27万元，其中：财政拨款收入14114.78万元，占总收入的96%；其他收入587.49万元，占总收入的4%。</w:t>
      </w:r>
    </w:p>
    <w:p w:rsidR="000401E9" w:rsidRDefault="00DC7D87" w:rsidP="00BC1374">
      <w:pPr>
        <w:pStyle w:val="Default"/>
        <w:ind w:firstLineChars="200" w:firstLine="643"/>
        <w:rPr>
          <w:rFonts w:hAnsi="黑体"/>
          <w:b/>
          <w:sz w:val="32"/>
          <w:szCs w:val="32"/>
        </w:rPr>
      </w:pPr>
      <w:r>
        <w:rPr>
          <w:rFonts w:hAnsi="黑体" w:hint="eastAsia"/>
          <w:b/>
          <w:sz w:val="32"/>
          <w:szCs w:val="32"/>
        </w:rPr>
        <w:t>三、支出决算情况说明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本年支出合计14988.66万元，其中：基本支出10830.19万元，占总支出的72%；项目支出4158.47万元，占总支出的28%。</w:t>
      </w:r>
    </w:p>
    <w:p w:rsidR="000401E9" w:rsidRDefault="00DC7D87" w:rsidP="00BC1374">
      <w:pPr>
        <w:pStyle w:val="Default"/>
        <w:ind w:firstLineChars="200" w:firstLine="643"/>
        <w:rPr>
          <w:rFonts w:hAnsi="黑体"/>
          <w:b/>
          <w:sz w:val="32"/>
          <w:szCs w:val="32"/>
        </w:rPr>
      </w:pPr>
      <w:r>
        <w:rPr>
          <w:rFonts w:hAnsi="黑体" w:hint="eastAsia"/>
          <w:b/>
          <w:sz w:val="32"/>
          <w:szCs w:val="32"/>
        </w:rPr>
        <w:t>四、财政拨款收入支出决算总体情况说明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2021年度财政拨款收、支总计14114.78万元，与上年相比，减少286.84万元,减少1.99%，主要是因为上年度省财政追加套改工资所致。</w:t>
      </w:r>
    </w:p>
    <w:p w:rsidR="000401E9" w:rsidRDefault="00DC7D87">
      <w:pPr>
        <w:pStyle w:val="Default"/>
        <w:ind w:firstLine="640"/>
        <w:rPr>
          <w:rFonts w:hAnsi="黑体"/>
          <w:b/>
          <w:sz w:val="32"/>
          <w:szCs w:val="32"/>
        </w:rPr>
      </w:pPr>
      <w:r>
        <w:rPr>
          <w:rFonts w:hAnsi="黑体" w:hint="eastAsia"/>
          <w:b/>
          <w:sz w:val="32"/>
          <w:szCs w:val="32"/>
        </w:rPr>
        <w:t>五、一般公共预算财政拨款支出决算情况说明</w:t>
      </w:r>
    </w:p>
    <w:p w:rsidR="000401E9" w:rsidRDefault="00DC7D87" w:rsidP="00BC1374">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2021年度财政拨款支出14069.62万元，占本年支出合计的93.86%，与上年相比，财政拨款支出减少332万元，减少2.3%，主要是因为上年度省财政追加套改工资所致。</w:t>
      </w:r>
    </w:p>
    <w:p w:rsidR="000401E9" w:rsidRDefault="00DC7D87" w:rsidP="00BC1374">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14069.62万元，主要用于以下方面：一般公共服务支出87.56万元，占总支出的0.6%；公共安全支出11600.72万元，占总支出的82.5%；教育支出52.13万元，占总支出的0.4%；社会保障和就业支出941.16万元，占总支出的6.7%；卫生健康支出561.8万元，占支出的4%；住</w:t>
      </w:r>
      <w:r>
        <w:rPr>
          <w:rFonts w:asciiTheme="minorEastAsia" w:eastAsiaTheme="minorEastAsia" w:hAnsiTheme="minorEastAsia" w:hint="eastAsia"/>
          <w:sz w:val="32"/>
          <w:szCs w:val="32"/>
        </w:rPr>
        <w:lastRenderedPageBreak/>
        <w:t>房保障支出826.25万元，占总支出的5.8%。</w:t>
      </w:r>
    </w:p>
    <w:p w:rsidR="000401E9" w:rsidRDefault="00DC7D87" w:rsidP="00BC1374">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2021年度财政拨款支出年初预算数为11410.79万元，支出决算数为14069.62万元，完成年初预算的123.3%，其中：</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1、一般公共服务支出（类）其他一般公共服务支出（款）其他一般公共服务支出（项）</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年初无预算，支出决算为87.56万元，决算数大于年初预算数的原因是本年度财政追加了省直单位特殊信息化建设项目资金。</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2、公共安全支出（类）监狱（款）行政运行（项）。</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年初预算为6867.67万元，支出决算为7509.46万元，完成年初预算的109.34%，决算数大于年初预算数的主要原因是：年中追加2021年绩效考核奖金。</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3、公共安全支出（类）监狱（款）一般行政管理事务（项）。</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年初预算为40.2万元，支出决算为40.2万元，完成年初预算的100%。</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4、公共安全支出（类）监狱（款）狱政设施建设（项）。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年初预算为88万元，支出决算为1118.5万元，完成年初预算的1271%，决算数大于年初预算数的主要原因是：省财政年中追加项目建设资金。</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5、公共安全支出（类）监狱（款）信息化建设（项）。</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年初无预算，支出决算56.78万元，决算数大于年初预算数的原因是财政追加了监控全覆盖项目拨款。</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6、教育支出（类）进修及培训（款）培训支出（项）。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年初预算为52.13万元，支出决算为52.13万元，完成年初预算的100%，预决算相符。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7、社会保障和就业支出（类）行政事业单位养老支出（款）机关事业</w:t>
      </w:r>
      <w:r>
        <w:rPr>
          <w:rFonts w:asciiTheme="minorEastAsia" w:eastAsiaTheme="minorEastAsia" w:hAnsiTheme="minorEastAsia" w:hint="eastAsia"/>
          <w:sz w:val="32"/>
          <w:szCs w:val="32"/>
        </w:rPr>
        <w:lastRenderedPageBreak/>
        <w:t>单位基本养老保险缴费支出（项）。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年初预算为717.9万元，支出决算为717.9万元，完成年初预算的100%，预决算相符。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8、社会保障和就业支出（类）行政事业单位养老支出（款）其他行政事业单位养老支出（项）。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年初预算为10.06万元，支出决算为10.06万元，完成年初预算的100%，预决算相符。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9、社会保障和就业支出（类）抚恤（款）死亡抚恤（项）。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年初预算为213.2万元，支出决算为213.2万元，完成年初预算的100%，预决算相符。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10、卫生健康支出（类）行政事业单位医疗（款）行政单位医疗（项）。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年初预算为378.8万元，支出决算为378.8万元，完成年初预算的100%，预决算相符。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11、卫生健康支出（类）行政事业单位医疗（款）公务员医疗补助（项）。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年初预算为183万元，支出决算为183万元，完成年初预算的100%，预决算相符。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12、住房保障支出（类）住房改革支出（款）住房公积金（项）。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年初预算为772万元，支出决算为772万元，完成年初预算的100%，预决算相符。</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13、住房保障支出（类）住房改革支出（款）购房补贴（项）。</w:t>
      </w:r>
    </w:p>
    <w:p w:rsidR="000401E9" w:rsidRDefault="00DC7D87">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年初预算为54.25万元，支出决算为54.25万元，完成年初预算的100%，预决算相符。</w:t>
      </w:r>
    </w:p>
    <w:p w:rsidR="000401E9" w:rsidRDefault="00DC7D87" w:rsidP="00BC1374">
      <w:pPr>
        <w:pStyle w:val="Default"/>
        <w:ind w:firstLineChars="150" w:firstLine="482"/>
        <w:rPr>
          <w:rFonts w:hAnsi="黑体"/>
          <w:b/>
          <w:sz w:val="32"/>
          <w:szCs w:val="32"/>
        </w:rPr>
      </w:pPr>
      <w:r>
        <w:rPr>
          <w:rFonts w:hAnsi="黑体" w:hint="eastAsia"/>
          <w:b/>
          <w:sz w:val="32"/>
          <w:szCs w:val="32"/>
        </w:rPr>
        <w:t>六、一般公共预算财政拨款基本支出决算情况说明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2021年度财政拨款基本支出10361.97万元，其中：人员经费9056.5万元，</w:t>
      </w:r>
      <w:r>
        <w:rPr>
          <w:rFonts w:asciiTheme="minorEastAsia" w:eastAsiaTheme="minorEastAsia" w:hAnsiTheme="minorEastAsia" w:hint="eastAsia"/>
          <w:sz w:val="32"/>
          <w:szCs w:val="32"/>
        </w:rPr>
        <w:lastRenderedPageBreak/>
        <w:t>占基本支出的87.4%,主要包括基本工资、津贴补贴、奖金、伙食补助费、绩效工资、机关事业单位基本养老保险缴费等；公用经费1305.47万元，占基本支出的12.6%，主要包括办公费、印刷费、咨询费、手续费、水电费、邮电费等。</w:t>
      </w:r>
    </w:p>
    <w:p w:rsidR="000401E9" w:rsidRDefault="00DC7D87" w:rsidP="00BC1374">
      <w:pPr>
        <w:pStyle w:val="Default"/>
        <w:ind w:firstLineChars="150" w:firstLine="482"/>
        <w:rPr>
          <w:rFonts w:hAnsi="黑体"/>
          <w:b/>
          <w:sz w:val="32"/>
          <w:szCs w:val="32"/>
        </w:rPr>
      </w:pPr>
      <w:r>
        <w:rPr>
          <w:rFonts w:hAnsi="黑体" w:hint="eastAsia"/>
          <w:b/>
          <w:sz w:val="32"/>
          <w:szCs w:val="32"/>
        </w:rPr>
        <w:t>七、一般公共预算财政拨款三公经费支出决算情况说明</w:t>
      </w:r>
    </w:p>
    <w:p w:rsidR="000401E9" w:rsidRDefault="00DC7D87" w:rsidP="00BC1374">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“三公”经费财政拨款支出预算为99.7万元，支出决算为99.15万元，完成预算的99.44%，其中：</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公务接待费支出预算为17.5万元，支出决算为16.94万元，完成预算的96.8%。与上年支出12万元相比，增加4.94万元，增加41.16%，增加的主要原因是：今年疫情有所缓和，导致接待费有所增加。</w:t>
      </w:r>
    </w:p>
    <w:p w:rsidR="000401E9" w:rsidRDefault="00DC7D8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公务用车购置费及运行维护费支出预算为82.2万元，支出决算为82.2万元，完成预算的100%。与上年支出80万元相比，增加2.2万元，增加2.7%,增加的主要原因是：由于公务用车日趋老化，维修费用增加所致。</w:t>
      </w:r>
    </w:p>
    <w:p w:rsidR="000401E9" w:rsidRDefault="00D107B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本年</w:t>
      </w:r>
      <w:r w:rsidR="00DC7D87">
        <w:rPr>
          <w:rFonts w:asciiTheme="minorEastAsia" w:eastAsiaTheme="minorEastAsia" w:hAnsiTheme="minorEastAsia" w:hint="eastAsia"/>
          <w:sz w:val="32"/>
          <w:szCs w:val="32"/>
        </w:rPr>
        <w:t>因公出国（境）费</w:t>
      </w:r>
      <w:r>
        <w:rPr>
          <w:rFonts w:asciiTheme="minorEastAsia" w:eastAsiaTheme="minorEastAsia" w:hAnsiTheme="minorEastAsia" w:hint="eastAsia"/>
          <w:sz w:val="32"/>
          <w:szCs w:val="32"/>
        </w:rPr>
        <w:t>预算</w:t>
      </w:r>
      <w:r w:rsidR="00DC7D87">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0万元，决算与预算一致</w:t>
      </w:r>
      <w:r w:rsidR="00DC7D87">
        <w:rPr>
          <w:rFonts w:asciiTheme="minorEastAsia" w:eastAsiaTheme="minorEastAsia" w:hAnsiTheme="minorEastAsia" w:hint="eastAsia"/>
          <w:sz w:val="32"/>
          <w:szCs w:val="32"/>
        </w:rPr>
        <w:t>。</w:t>
      </w:r>
    </w:p>
    <w:p w:rsidR="000401E9" w:rsidRDefault="00DC7D87" w:rsidP="00BC1374">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2021年度“三公”经费财政拨款支出决算中，公务接待费支出决算16.94万元，占17.09%,因公出国（境）费支出决算0万元，占0%,公务用车购置费及运行维护费支出决算82.2万元，占82.91%。其中：</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BC1374">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w:t>
      </w:r>
      <w:r w:rsidR="00BC1374">
        <w:rPr>
          <w:rFonts w:asciiTheme="minorEastAsia" w:eastAsiaTheme="minorEastAsia" w:hAnsiTheme="minorEastAsia" w:hint="eastAsia"/>
          <w:sz w:val="32"/>
          <w:szCs w:val="32"/>
        </w:rPr>
        <w:t>0万元，批次0次，人数0人</w:t>
      </w:r>
      <w:r>
        <w:rPr>
          <w:rFonts w:asciiTheme="minorEastAsia" w:eastAsiaTheme="minorEastAsia" w:hAnsiTheme="minorEastAsia" w:hint="eastAsia"/>
          <w:sz w:val="32"/>
          <w:szCs w:val="32"/>
        </w:rPr>
        <w:t>。</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2、公务接待费支出决算为16.94万元，全年共接待来访团组173个、来宾2841人次，主要是公安交付执行发生的接待支出。</w:t>
      </w:r>
    </w:p>
    <w:p w:rsidR="000401E9" w:rsidRDefault="00DC7D87">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3、公务用车购置费及运行维护费支出决算为82.2万元，其中：公务用车购置费28.7万元，更新公务用车1辆。公务用车运行维护费53.5万</w:t>
      </w:r>
      <w:r>
        <w:rPr>
          <w:rFonts w:asciiTheme="minorEastAsia" w:hAnsiTheme="minorEastAsia" w:hint="eastAsia"/>
          <w:sz w:val="32"/>
          <w:szCs w:val="32"/>
        </w:rPr>
        <w:lastRenderedPageBreak/>
        <w:t>元，主要是公务车辆维修、加油支出，截止2021年12月31日，我单位开支财政拨款的公务用车保有量为13辆。</w:t>
      </w:r>
    </w:p>
    <w:p w:rsidR="000401E9" w:rsidRDefault="00DC7D87" w:rsidP="00BC1374">
      <w:pPr>
        <w:pStyle w:val="Default"/>
        <w:ind w:firstLineChars="150" w:firstLine="482"/>
        <w:rPr>
          <w:rFonts w:hAnsi="黑体"/>
          <w:b/>
          <w:sz w:val="32"/>
          <w:szCs w:val="32"/>
        </w:rPr>
      </w:pPr>
      <w:r>
        <w:rPr>
          <w:rFonts w:hAnsi="黑体" w:hint="eastAsia"/>
          <w:b/>
          <w:sz w:val="32"/>
          <w:szCs w:val="32"/>
        </w:rPr>
        <w:t>八、政府性基金预算收入支出决算情况</w:t>
      </w:r>
    </w:p>
    <w:p w:rsidR="000401E9" w:rsidRDefault="00DC7D87">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本单位无政府性基金收支。</w:t>
      </w:r>
    </w:p>
    <w:p w:rsidR="000401E9" w:rsidRDefault="00DC7D87" w:rsidP="00BC1374">
      <w:pPr>
        <w:pStyle w:val="Default"/>
        <w:ind w:firstLineChars="150" w:firstLine="482"/>
        <w:rPr>
          <w:rFonts w:hAnsi="黑体"/>
          <w:b/>
          <w:sz w:val="32"/>
          <w:szCs w:val="32"/>
        </w:rPr>
      </w:pPr>
      <w:r>
        <w:rPr>
          <w:rFonts w:hAnsi="黑体" w:hint="eastAsia"/>
          <w:b/>
          <w:sz w:val="32"/>
          <w:szCs w:val="32"/>
        </w:rPr>
        <w:t>九、关于机关运行经费支出说明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本部门2021年度机关运行经费支出1305.47万元，比上年决算数增加294.81万元，增加29.17%。主要原因是：由于今年疫情有所缓和，差旅费、培训费、办公费等机关运行经费均有所增加。</w:t>
      </w:r>
    </w:p>
    <w:p w:rsidR="000401E9" w:rsidRDefault="00DC7D87" w:rsidP="00BC1374">
      <w:pPr>
        <w:pStyle w:val="Default"/>
        <w:ind w:firstLineChars="150" w:firstLine="482"/>
        <w:rPr>
          <w:rFonts w:hAnsi="黑体"/>
          <w:b/>
          <w:sz w:val="32"/>
          <w:szCs w:val="32"/>
        </w:rPr>
      </w:pPr>
      <w:r>
        <w:rPr>
          <w:rFonts w:hAnsi="黑体" w:hint="eastAsia"/>
          <w:b/>
          <w:sz w:val="32"/>
          <w:szCs w:val="32"/>
        </w:rPr>
        <w:t>十、一般性支出情况</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2021年本部门开支会议费0万元；</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培训费52.13万元，用于开展警衔晋升、能力素质及业务培训，人数671人，内容为：1、监狱警察警衔晋升及新警首授培训年初预算支出34.47万元，实际支出34.47万元；2、业务能力培训（包括政治培训、改造线业务培训、执法业务培训、会计继续教育培训等）年初预算5.73万元，实际支出5.73万元；3、能力素质培训（包括警察轮训轮值、岗位练兵、技能比武、监狱特警培训等）年初预算11.93万元，实际支出11.93万元。</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2021年本部门无节庆、晚会、论坛、赛事活动经费预算及支出。</w:t>
      </w:r>
    </w:p>
    <w:p w:rsidR="000401E9" w:rsidRDefault="00DC7D87" w:rsidP="00BC1374">
      <w:pPr>
        <w:pStyle w:val="Default"/>
        <w:ind w:firstLineChars="150" w:firstLine="482"/>
        <w:rPr>
          <w:rFonts w:hAnsi="黑体"/>
          <w:b/>
          <w:sz w:val="32"/>
          <w:szCs w:val="32"/>
        </w:rPr>
      </w:pPr>
      <w:r>
        <w:rPr>
          <w:rFonts w:hAnsi="黑体" w:hint="eastAsia"/>
          <w:b/>
          <w:sz w:val="32"/>
          <w:szCs w:val="32"/>
        </w:rPr>
        <w:t>十一、关于政府采购支出说明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本部门2021年度政府采购支出总额557.65万元，其中：政府采购货物支出214.24万元、政府采购工程支出343.41万元、政府采购服务支出</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授予中小企业合同金额557.65万元，占政府采购支出总额的100%，其中：授予小微企业合同金额无0万元；货物采购授予中小企业合同金额占货物支出金额的100%，工程采购授予中小企业合同金额占工程支出金额的100%，服务采购授予中小企业合同金额占工程支出金额的0%，。</w:t>
      </w:r>
    </w:p>
    <w:p w:rsidR="000401E9" w:rsidRDefault="00DC7D87" w:rsidP="00BC1374">
      <w:pPr>
        <w:pStyle w:val="Default"/>
        <w:ind w:firstLineChars="150" w:firstLine="482"/>
        <w:rPr>
          <w:rFonts w:hAnsi="黑体"/>
          <w:b/>
          <w:sz w:val="32"/>
          <w:szCs w:val="32"/>
        </w:rPr>
      </w:pPr>
      <w:r>
        <w:rPr>
          <w:rFonts w:hAnsi="黑体" w:hint="eastAsia"/>
          <w:b/>
          <w:sz w:val="32"/>
          <w:szCs w:val="32"/>
        </w:rPr>
        <w:lastRenderedPageBreak/>
        <w:t>十二、关于国有资产占用情况说明</w:t>
      </w:r>
    </w:p>
    <w:p w:rsidR="000401E9" w:rsidRDefault="00DC7D8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截至2021年12月31日，本单位共有车辆13辆，均为执法执勤用车；单位价值50万元以上通用设备1台（套）。</w:t>
      </w:r>
    </w:p>
    <w:p w:rsidR="000401E9" w:rsidRDefault="00DC7D87" w:rsidP="00BC1374">
      <w:pPr>
        <w:pStyle w:val="Default"/>
        <w:ind w:firstLineChars="150" w:firstLine="482"/>
        <w:rPr>
          <w:rFonts w:hAnsi="黑体"/>
          <w:b/>
          <w:sz w:val="32"/>
          <w:szCs w:val="32"/>
        </w:rPr>
      </w:pPr>
      <w:r>
        <w:rPr>
          <w:rFonts w:hAnsi="黑体" w:hint="eastAsia"/>
          <w:b/>
          <w:sz w:val="32"/>
          <w:szCs w:val="32"/>
        </w:rPr>
        <w:t>十三、关于2021年度预算绩效情况的说明</w:t>
      </w:r>
    </w:p>
    <w:p w:rsidR="000401E9" w:rsidRDefault="00DC7D87">
      <w:pPr>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（一）预算绩效管理工作开展情况</w:t>
      </w:r>
    </w:p>
    <w:p w:rsidR="000401E9" w:rsidRDefault="00DC7D87">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为加强财政支出管理，提高财政资金使用效益，根据《湖南省预算支出绩效评价管理办法》（湘财绩〔</w:t>
      </w:r>
      <w:r>
        <w:rPr>
          <w:rFonts w:asciiTheme="minorEastAsia" w:hAnsiTheme="minorEastAsia" w:cs="黑体"/>
          <w:color w:val="000000"/>
          <w:kern w:val="0"/>
          <w:sz w:val="32"/>
          <w:szCs w:val="32"/>
        </w:rPr>
        <w:t>2020</w:t>
      </w:r>
      <w:r>
        <w:rPr>
          <w:rFonts w:asciiTheme="minorEastAsia" w:hAnsiTheme="minorEastAsia" w:cs="黑体" w:hint="eastAsia"/>
          <w:color w:val="000000"/>
          <w:kern w:val="0"/>
          <w:sz w:val="32"/>
          <w:szCs w:val="32"/>
        </w:rPr>
        <w:t>〕7号）的精神,我狱迅速成立考评组，对单位 2021年部门整体支出进行了全方位绩效评价。评价采用定量分析和定性分析相结合的方法，围绕产出指标和效益指标两个方面进行了全面分析。从评价情况来看，完成情况较好，主要表现为以下几个方面；一是项目设置了明确的绩效目标，在推进绩效目标得以实现的同时，为以后年度项目安排及资金管理提供重要依据；二是进一步规范政府采购和财政投资评审工作，极大地降低了项目预算成本；三是以提升绩效评价质量为动力，推进财务内控标准化建设。</w:t>
      </w:r>
    </w:p>
    <w:p w:rsidR="000401E9" w:rsidRDefault="00DC7D87">
      <w:pPr>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（二）预算绩效管理目标</w:t>
      </w:r>
    </w:p>
    <w:p w:rsidR="000401E9" w:rsidRDefault="00DC7D87">
      <w:pPr>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深入贯彻落实中央、省委省政府、省局精神，坚持稳中求进工作总基调，实施“12345”发展战略，努力三个争创，高标准高质量做好全国政法队伍教育整顿工作，切实实现“四五”和“七个不发生”，坚持完善基础设施，努力改善警察职工工作、生活环境。</w:t>
      </w:r>
    </w:p>
    <w:p w:rsidR="000401E9" w:rsidRDefault="00DC7D87">
      <w:pPr>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（三）部门整体</w:t>
      </w:r>
      <w:r>
        <w:rPr>
          <w:rFonts w:asciiTheme="minorEastAsia" w:hAnsiTheme="minorEastAsia" w:cs="黑体"/>
          <w:color w:val="000000"/>
          <w:kern w:val="0"/>
          <w:sz w:val="32"/>
          <w:szCs w:val="32"/>
        </w:rPr>
        <w:t>支出绩效评价自评</w:t>
      </w:r>
    </w:p>
    <w:p w:rsidR="000401E9" w:rsidRDefault="00DC7D87">
      <w:pPr>
        <w:pStyle w:val="a6"/>
        <w:autoSpaceDE w:val="0"/>
        <w:autoSpaceDN w:val="0"/>
        <w:snapToGrid w:val="0"/>
        <w:spacing w:before="0" w:beforeAutospacing="0" w:after="0" w:afterAutospacing="0" w:line="360" w:lineRule="auto"/>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2021 年，我狱在省厅、局的正确领导下，以习近平新时代中国特色社会主义思想为指导，坚持稳中求进工作总基调，坚守安全底线,践行改造宗旨,聚焦风险抓安全,狠抓监狱安全治理,大力排查整治隐患。面对新冠肺炎疫情，迅速响应,坚决把疫情封堵在围墙之外。同时，我狱坚持过紧日子，严控一般性经费支出，“三公经费”变动率、财政资金支付进度率良好。</w:t>
      </w:r>
      <w:r>
        <w:rPr>
          <w:rFonts w:asciiTheme="minorEastAsia" w:hAnsiTheme="minorEastAsia" w:cs="黑体" w:hint="eastAsia"/>
          <w:color w:val="000000"/>
          <w:sz w:val="32"/>
          <w:szCs w:val="32"/>
        </w:rPr>
        <w:lastRenderedPageBreak/>
        <w:t>对照湘财绩〔</w:t>
      </w:r>
      <w:r>
        <w:rPr>
          <w:rFonts w:asciiTheme="minorEastAsia" w:hAnsiTheme="minorEastAsia" w:cs="黑体"/>
          <w:color w:val="000000"/>
          <w:sz w:val="32"/>
          <w:szCs w:val="32"/>
        </w:rPr>
        <w:t>2020</w:t>
      </w:r>
      <w:r>
        <w:rPr>
          <w:rFonts w:asciiTheme="minorEastAsia" w:hAnsiTheme="minorEastAsia" w:cs="黑体" w:hint="eastAsia"/>
          <w:color w:val="000000"/>
          <w:sz w:val="32"/>
          <w:szCs w:val="32"/>
        </w:rPr>
        <w:t>〕7号文件规定的考核指标，我狱从预算配置、预算执行、预算管理、履职效益、职责履行情况等方面对2021年部门整体支出绩效开展了评价，自评得分 98分。</w:t>
      </w:r>
    </w:p>
    <w:p w:rsidR="000401E9" w:rsidRDefault="00DC7D87">
      <w:pPr>
        <w:pStyle w:val="a6"/>
        <w:autoSpaceDE w:val="0"/>
        <w:autoSpaceDN w:val="0"/>
        <w:snapToGrid w:val="0"/>
        <w:spacing w:before="0" w:beforeAutospacing="0" w:after="0" w:afterAutospacing="0" w:line="360" w:lineRule="auto"/>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存在的主要问题有:（1）2021年预算执行率为101.9%，预算编制工作准确率有待提高。执行偏离原因：一是经费使用部门的预算意识不强，很少根据工作难易程度，全面谋划工作运行上预算经费；二是预算编制前期工作布置不细，形成漏项现象。(2)“三公经费”变动率略有增涨。(3)财政资金支付进度率为97%。执行偏离原因：项目经费44.6万元结转下年，计划在2022年支付；十三个月工资402万元结转下年支付；公务接待0.56万元结余。</w:t>
      </w:r>
    </w:p>
    <w:p w:rsidR="000401E9" w:rsidRDefault="00DC7D87">
      <w:pPr>
        <w:spacing w:line="360" w:lineRule="auto"/>
        <w:ind w:firstLineChars="200" w:firstLine="640"/>
        <w:jc w:val="left"/>
        <w:rPr>
          <w:rFonts w:asciiTheme="minorEastAsia" w:eastAsia="宋体" w:hAnsiTheme="minorEastAsia" w:cs="黑体"/>
          <w:color w:val="000000"/>
          <w:kern w:val="0"/>
          <w:sz w:val="32"/>
          <w:szCs w:val="32"/>
        </w:rPr>
      </w:pPr>
      <w:r>
        <w:rPr>
          <w:rFonts w:asciiTheme="minorEastAsia" w:eastAsia="宋体" w:hAnsiTheme="minorEastAsia" w:cs="黑体" w:hint="eastAsia"/>
          <w:color w:val="000000"/>
          <w:kern w:val="0"/>
          <w:sz w:val="32"/>
          <w:szCs w:val="32"/>
        </w:rPr>
        <w:t>下一步改进措施：（一）强力推动财务报账内控平台，加强财务管理；（二）建立监狱经费保障标准体系，增强预算约束力；（三）健全政府采购制度，促进采购工作再跃台阶；（四）进一步完成资产管理工作，发挥资产使用效益</w:t>
      </w:r>
    </w:p>
    <w:p w:rsidR="000401E9" w:rsidRDefault="000401E9">
      <w:pPr>
        <w:ind w:firstLineChars="200" w:firstLine="640"/>
        <w:rPr>
          <w:rFonts w:asciiTheme="minorEastAsia" w:hAnsiTheme="minorEastAsia" w:cs="黑体"/>
          <w:color w:val="000000"/>
          <w:kern w:val="0"/>
          <w:sz w:val="32"/>
          <w:szCs w:val="3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 xml:space="preserve">第四部分  </w:t>
      </w: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名词解释</w:t>
      </w: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rPr>
          <w:rFonts w:asciiTheme="minorEastAsia" w:hAnsiTheme="minorEastAsia" w:cs="黑体"/>
          <w:b/>
          <w:color w:val="000000"/>
          <w:kern w:val="0"/>
          <w:sz w:val="32"/>
          <w:szCs w:val="32"/>
        </w:rPr>
      </w:pPr>
    </w:p>
    <w:p w:rsidR="000401E9" w:rsidRDefault="000401E9" w:rsidP="00D107B9">
      <w:pPr>
        <w:spacing w:beforeLines="50"/>
        <w:ind w:firstLineChars="250" w:firstLine="803"/>
        <w:rPr>
          <w:rFonts w:asciiTheme="minorEastAsia" w:hAnsiTheme="minorEastAsia" w:cs="黑体"/>
          <w:b/>
          <w:color w:val="000000"/>
          <w:kern w:val="0"/>
          <w:sz w:val="32"/>
          <w:szCs w:val="32"/>
        </w:rPr>
      </w:pPr>
    </w:p>
    <w:p w:rsidR="000401E9" w:rsidRDefault="000401E9" w:rsidP="00D107B9">
      <w:pPr>
        <w:spacing w:beforeLines="50"/>
        <w:rPr>
          <w:rFonts w:asciiTheme="minorEastAsia" w:hAnsiTheme="minorEastAsia" w:cs="黑体"/>
          <w:b/>
          <w:color w:val="000000"/>
          <w:kern w:val="0"/>
          <w:sz w:val="32"/>
          <w:szCs w:val="32"/>
        </w:rPr>
      </w:pPr>
    </w:p>
    <w:p w:rsidR="000401E9" w:rsidRDefault="00DC7D87" w:rsidP="00D107B9">
      <w:pPr>
        <w:spacing w:beforeLines="50"/>
        <w:ind w:firstLineChars="250" w:firstLine="803"/>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一、机关运行经费：</w:t>
      </w:r>
      <w:r>
        <w:rPr>
          <w:rFonts w:asciiTheme="minorEastAsia" w:hAnsiTheme="minorEastAsia" w:cs="黑体" w:hint="eastAsia"/>
          <w:color w:val="000000"/>
          <w:kern w:val="0"/>
          <w:sz w:val="32"/>
          <w:szCs w:val="32"/>
        </w:rPr>
        <w:t>是指各部门的公用经费，包括办公及印刷费、邮电费，差旅费、会议费、福利费、日常维修费、专用材料及一般设备购置费、办公用房水电费、办公用房物业管理费、公务用车运行维护费以及其他费用。</w:t>
      </w:r>
    </w:p>
    <w:p w:rsidR="000401E9" w:rsidRDefault="00DC7D87" w:rsidP="00BC1374">
      <w:pPr>
        <w:ind w:firstLineChars="200" w:firstLine="643"/>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二、“三公”经费：</w:t>
      </w:r>
      <w:r>
        <w:rPr>
          <w:rFonts w:asciiTheme="minorEastAsia" w:hAnsiTheme="minorEastAsia" w:cs="黑体" w:hint="eastAsia"/>
          <w:color w:val="000000"/>
          <w:kern w:val="0"/>
          <w:sz w:val="32"/>
          <w:szCs w:val="32"/>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rsidR="000401E9" w:rsidRDefault="000401E9">
      <w:pPr>
        <w:rPr>
          <w:rFonts w:asciiTheme="minorEastAsia" w:hAnsiTheme="minorEastAsia" w:cs="黑体"/>
          <w:color w:val="000000"/>
          <w:kern w:val="0"/>
          <w:sz w:val="32"/>
          <w:szCs w:val="32"/>
        </w:rPr>
      </w:pPr>
    </w:p>
    <w:p w:rsidR="000401E9" w:rsidRDefault="000401E9">
      <w:pPr>
        <w:ind w:firstLineChars="200" w:firstLine="640"/>
        <w:rPr>
          <w:rFonts w:asciiTheme="minorEastAsia" w:hAnsiTheme="minorEastAsia" w:cs="黑体"/>
          <w:color w:val="000000"/>
          <w:kern w:val="0"/>
          <w:sz w:val="32"/>
          <w:szCs w:val="32"/>
        </w:rPr>
      </w:pPr>
    </w:p>
    <w:p w:rsidR="000401E9" w:rsidRDefault="000401E9">
      <w:pPr>
        <w:rPr>
          <w:rFonts w:asciiTheme="minorEastAsia" w:hAnsiTheme="minorEastAsia" w:cs="黑体"/>
          <w:color w:val="000000"/>
          <w:kern w:val="0"/>
          <w:sz w:val="32"/>
          <w:szCs w:val="32"/>
        </w:rPr>
      </w:pPr>
    </w:p>
    <w:p w:rsidR="000401E9" w:rsidRDefault="000401E9">
      <w:pPr>
        <w:pStyle w:val="Default"/>
        <w:rPr>
          <w:rFonts w:asciiTheme="minorEastAsia" w:eastAsiaTheme="minorEastAsia" w:hAnsiTheme="minorEastAsia"/>
          <w:sz w:val="32"/>
          <w:szCs w:val="32"/>
        </w:rPr>
      </w:pPr>
    </w:p>
    <w:p w:rsidR="000401E9" w:rsidRDefault="000401E9">
      <w:pPr>
        <w:ind w:firstLineChars="200" w:firstLine="640"/>
        <w:jc w:val="left"/>
        <w:rPr>
          <w:rFonts w:asciiTheme="minorEastAsia" w:hAnsiTheme="minorEastAsia" w:cs="黑体"/>
          <w:color w:val="000000"/>
          <w:kern w:val="0"/>
          <w:sz w:val="32"/>
          <w:szCs w:val="32"/>
        </w:rPr>
      </w:pPr>
    </w:p>
    <w:p w:rsidR="000401E9" w:rsidRDefault="000401E9">
      <w:pPr>
        <w:pStyle w:val="Default"/>
        <w:jc w:val="center"/>
        <w:rPr>
          <w:sz w:val="72"/>
          <w:szCs w:val="72"/>
        </w:rPr>
      </w:pPr>
    </w:p>
    <w:p w:rsidR="000401E9" w:rsidRDefault="000401E9">
      <w:pPr>
        <w:pStyle w:val="Default"/>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0401E9">
      <w:pPr>
        <w:pStyle w:val="Default"/>
        <w:jc w:val="center"/>
        <w:rPr>
          <w:sz w:val="72"/>
          <w:szCs w:val="72"/>
        </w:rPr>
      </w:pPr>
    </w:p>
    <w:p w:rsidR="000401E9" w:rsidRDefault="00DC7D87">
      <w:pPr>
        <w:pStyle w:val="Default"/>
        <w:jc w:val="center"/>
        <w:rPr>
          <w:sz w:val="72"/>
          <w:szCs w:val="72"/>
        </w:rPr>
      </w:pPr>
      <w:r>
        <w:rPr>
          <w:rFonts w:hint="eastAsia"/>
          <w:sz w:val="72"/>
          <w:szCs w:val="72"/>
        </w:rPr>
        <w:t>第五部分</w:t>
      </w:r>
    </w:p>
    <w:p w:rsidR="000401E9" w:rsidRDefault="000401E9">
      <w:pPr>
        <w:jc w:val="center"/>
        <w:rPr>
          <w:rFonts w:ascii="黑体" w:eastAsia="黑体" w:cs="黑体"/>
          <w:color w:val="000000"/>
          <w:kern w:val="0"/>
          <w:sz w:val="70"/>
          <w:szCs w:val="70"/>
        </w:rPr>
      </w:pPr>
    </w:p>
    <w:p w:rsidR="000401E9" w:rsidRDefault="00DC7D87">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0401E9" w:rsidRDefault="00DC7D8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401E9" w:rsidRDefault="000401E9">
      <w:pPr>
        <w:jc w:val="center"/>
        <w:rPr>
          <w:rFonts w:ascii="黑体" w:eastAsia="黑体" w:cs="黑体"/>
          <w:color w:val="000000"/>
          <w:kern w:val="0"/>
          <w:sz w:val="70"/>
          <w:szCs w:val="70"/>
        </w:rPr>
      </w:pPr>
    </w:p>
    <w:p w:rsidR="000401E9" w:rsidRDefault="00DC7D87">
      <w:pPr>
        <w:ind w:firstLineChars="300" w:firstLine="96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根据涉密信息管理要求，湖南省娄底监狱2021年度部门整体支出绩效评价报告依法不予公开。</w:t>
      </w:r>
    </w:p>
    <w:p w:rsidR="000401E9" w:rsidRDefault="000401E9">
      <w:pPr>
        <w:ind w:firstLineChars="200" w:firstLine="640"/>
        <w:jc w:val="left"/>
        <w:rPr>
          <w:rFonts w:asciiTheme="minorEastAsia" w:hAnsiTheme="minorEastAsia" w:cs="黑体"/>
          <w:color w:val="000000"/>
          <w:kern w:val="0"/>
          <w:sz w:val="32"/>
          <w:szCs w:val="32"/>
        </w:rPr>
      </w:pPr>
    </w:p>
    <w:sectPr w:rsidR="000401E9" w:rsidSect="000401E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586" w:rsidRDefault="00BC6586" w:rsidP="00BC1374">
      <w:r>
        <w:separator/>
      </w:r>
    </w:p>
  </w:endnote>
  <w:endnote w:type="continuationSeparator" w:id="1">
    <w:p w:rsidR="00BC6586" w:rsidRDefault="00BC6586" w:rsidP="00BC1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586" w:rsidRDefault="00BC6586" w:rsidP="00BC1374">
      <w:r>
        <w:separator/>
      </w:r>
    </w:p>
  </w:footnote>
  <w:footnote w:type="continuationSeparator" w:id="1">
    <w:p w:rsidR="00BC6586" w:rsidRDefault="00BC6586" w:rsidP="00BC13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02F1A"/>
    <w:rsid w:val="0002229B"/>
    <w:rsid w:val="000273BD"/>
    <w:rsid w:val="000401E9"/>
    <w:rsid w:val="00040862"/>
    <w:rsid w:val="000415B7"/>
    <w:rsid w:val="00041E3F"/>
    <w:rsid w:val="00055DAA"/>
    <w:rsid w:val="00061F7B"/>
    <w:rsid w:val="000631E9"/>
    <w:rsid w:val="000658A3"/>
    <w:rsid w:val="00074155"/>
    <w:rsid w:val="000A3F69"/>
    <w:rsid w:val="000B34B1"/>
    <w:rsid w:val="000D44A9"/>
    <w:rsid w:val="000E5077"/>
    <w:rsid w:val="00100AB0"/>
    <w:rsid w:val="00103957"/>
    <w:rsid w:val="00133106"/>
    <w:rsid w:val="001460BD"/>
    <w:rsid w:val="00152C6D"/>
    <w:rsid w:val="0016289F"/>
    <w:rsid w:val="00162D39"/>
    <w:rsid w:val="001678BD"/>
    <w:rsid w:val="00167F71"/>
    <w:rsid w:val="00177C84"/>
    <w:rsid w:val="00180558"/>
    <w:rsid w:val="001A67DB"/>
    <w:rsid w:val="001B7BD2"/>
    <w:rsid w:val="001C3C29"/>
    <w:rsid w:val="001D51E5"/>
    <w:rsid w:val="001E080D"/>
    <w:rsid w:val="001E1639"/>
    <w:rsid w:val="001E53D0"/>
    <w:rsid w:val="001F0C3B"/>
    <w:rsid w:val="001F3F49"/>
    <w:rsid w:val="00201211"/>
    <w:rsid w:val="00202C82"/>
    <w:rsid w:val="00212359"/>
    <w:rsid w:val="00214427"/>
    <w:rsid w:val="00225E01"/>
    <w:rsid w:val="00226946"/>
    <w:rsid w:val="00226CB7"/>
    <w:rsid w:val="00230D81"/>
    <w:rsid w:val="00243A9C"/>
    <w:rsid w:val="002520BA"/>
    <w:rsid w:val="00264552"/>
    <w:rsid w:val="00264EF9"/>
    <w:rsid w:val="00265724"/>
    <w:rsid w:val="0027426B"/>
    <w:rsid w:val="002811A3"/>
    <w:rsid w:val="00283574"/>
    <w:rsid w:val="002906D3"/>
    <w:rsid w:val="002A2708"/>
    <w:rsid w:val="002A2EC9"/>
    <w:rsid w:val="002A5D7E"/>
    <w:rsid w:val="002E0A30"/>
    <w:rsid w:val="002E4741"/>
    <w:rsid w:val="003130C4"/>
    <w:rsid w:val="00316C4B"/>
    <w:rsid w:val="0032192B"/>
    <w:rsid w:val="0034524B"/>
    <w:rsid w:val="003479BD"/>
    <w:rsid w:val="0037197D"/>
    <w:rsid w:val="003768D5"/>
    <w:rsid w:val="003C3EB1"/>
    <w:rsid w:val="003C47E6"/>
    <w:rsid w:val="003C4FC2"/>
    <w:rsid w:val="003E3F1B"/>
    <w:rsid w:val="0040309E"/>
    <w:rsid w:val="00416E61"/>
    <w:rsid w:val="00417334"/>
    <w:rsid w:val="0042790C"/>
    <w:rsid w:val="00435F0D"/>
    <w:rsid w:val="004506F9"/>
    <w:rsid w:val="004639E5"/>
    <w:rsid w:val="004717A2"/>
    <w:rsid w:val="00472162"/>
    <w:rsid w:val="00473DF3"/>
    <w:rsid w:val="0047475A"/>
    <w:rsid w:val="00475666"/>
    <w:rsid w:val="004851CE"/>
    <w:rsid w:val="00487911"/>
    <w:rsid w:val="00491741"/>
    <w:rsid w:val="004A560E"/>
    <w:rsid w:val="004B4829"/>
    <w:rsid w:val="004C0D40"/>
    <w:rsid w:val="004C4206"/>
    <w:rsid w:val="004C7766"/>
    <w:rsid w:val="004E01A8"/>
    <w:rsid w:val="004E149D"/>
    <w:rsid w:val="004E773F"/>
    <w:rsid w:val="004F017D"/>
    <w:rsid w:val="00500E5F"/>
    <w:rsid w:val="005122EF"/>
    <w:rsid w:val="0051441A"/>
    <w:rsid w:val="00517C33"/>
    <w:rsid w:val="00523644"/>
    <w:rsid w:val="0053651B"/>
    <w:rsid w:val="0054069E"/>
    <w:rsid w:val="00541366"/>
    <w:rsid w:val="00544866"/>
    <w:rsid w:val="005767CC"/>
    <w:rsid w:val="00590A85"/>
    <w:rsid w:val="00590D9F"/>
    <w:rsid w:val="00595D26"/>
    <w:rsid w:val="005A64D3"/>
    <w:rsid w:val="005A74E6"/>
    <w:rsid w:val="005B3A6E"/>
    <w:rsid w:val="005B404E"/>
    <w:rsid w:val="005C00C0"/>
    <w:rsid w:val="005D4D55"/>
    <w:rsid w:val="005E2CFB"/>
    <w:rsid w:val="005F1040"/>
    <w:rsid w:val="005F3086"/>
    <w:rsid w:val="005F3D1C"/>
    <w:rsid w:val="00613D90"/>
    <w:rsid w:val="0062378F"/>
    <w:rsid w:val="006307C8"/>
    <w:rsid w:val="00641842"/>
    <w:rsid w:val="00651EEC"/>
    <w:rsid w:val="00656B9F"/>
    <w:rsid w:val="00681516"/>
    <w:rsid w:val="00685723"/>
    <w:rsid w:val="00686673"/>
    <w:rsid w:val="00691E8C"/>
    <w:rsid w:val="006A040D"/>
    <w:rsid w:val="006A22C4"/>
    <w:rsid w:val="006A299E"/>
    <w:rsid w:val="006A351B"/>
    <w:rsid w:val="006A5F81"/>
    <w:rsid w:val="006B0422"/>
    <w:rsid w:val="006C1B53"/>
    <w:rsid w:val="006D7730"/>
    <w:rsid w:val="006E5284"/>
    <w:rsid w:val="006F3EB5"/>
    <w:rsid w:val="006F45EB"/>
    <w:rsid w:val="006F5BF5"/>
    <w:rsid w:val="00702E34"/>
    <w:rsid w:val="00704395"/>
    <w:rsid w:val="00717621"/>
    <w:rsid w:val="00720FF1"/>
    <w:rsid w:val="00722F00"/>
    <w:rsid w:val="00727A53"/>
    <w:rsid w:val="00755F2B"/>
    <w:rsid w:val="00763071"/>
    <w:rsid w:val="00787B42"/>
    <w:rsid w:val="007C4539"/>
    <w:rsid w:val="007D451E"/>
    <w:rsid w:val="007D584C"/>
    <w:rsid w:val="007F3657"/>
    <w:rsid w:val="00805934"/>
    <w:rsid w:val="00812ED5"/>
    <w:rsid w:val="008173D1"/>
    <w:rsid w:val="00821B1B"/>
    <w:rsid w:val="00821B81"/>
    <w:rsid w:val="008274B6"/>
    <w:rsid w:val="008277D9"/>
    <w:rsid w:val="00830E0C"/>
    <w:rsid w:val="0084478C"/>
    <w:rsid w:val="0085542B"/>
    <w:rsid w:val="00856B25"/>
    <w:rsid w:val="0085704C"/>
    <w:rsid w:val="00862959"/>
    <w:rsid w:val="0086638C"/>
    <w:rsid w:val="008674C6"/>
    <w:rsid w:val="0087430F"/>
    <w:rsid w:val="00876795"/>
    <w:rsid w:val="00881A60"/>
    <w:rsid w:val="008915C8"/>
    <w:rsid w:val="00891ABD"/>
    <w:rsid w:val="008A3864"/>
    <w:rsid w:val="008A3E8D"/>
    <w:rsid w:val="008B23AA"/>
    <w:rsid w:val="008B24C3"/>
    <w:rsid w:val="008C317D"/>
    <w:rsid w:val="008C5D47"/>
    <w:rsid w:val="0091008D"/>
    <w:rsid w:val="0091502D"/>
    <w:rsid w:val="00917BA5"/>
    <w:rsid w:val="009237C4"/>
    <w:rsid w:val="00931727"/>
    <w:rsid w:val="00944C48"/>
    <w:rsid w:val="00950252"/>
    <w:rsid w:val="00967F5D"/>
    <w:rsid w:val="00970FD4"/>
    <w:rsid w:val="009765CE"/>
    <w:rsid w:val="0098688B"/>
    <w:rsid w:val="00986ED9"/>
    <w:rsid w:val="00997028"/>
    <w:rsid w:val="009A0F95"/>
    <w:rsid w:val="009B3ADF"/>
    <w:rsid w:val="009C1E8F"/>
    <w:rsid w:val="009C3B52"/>
    <w:rsid w:val="009D1FCA"/>
    <w:rsid w:val="009E6817"/>
    <w:rsid w:val="009E6E9A"/>
    <w:rsid w:val="00A01D2B"/>
    <w:rsid w:val="00A06F5E"/>
    <w:rsid w:val="00A30B29"/>
    <w:rsid w:val="00A31D8B"/>
    <w:rsid w:val="00A42218"/>
    <w:rsid w:val="00A43D6E"/>
    <w:rsid w:val="00A47870"/>
    <w:rsid w:val="00A60A4E"/>
    <w:rsid w:val="00A66019"/>
    <w:rsid w:val="00A7000C"/>
    <w:rsid w:val="00A70249"/>
    <w:rsid w:val="00A70B02"/>
    <w:rsid w:val="00A71D9F"/>
    <w:rsid w:val="00A92E9F"/>
    <w:rsid w:val="00A95AB0"/>
    <w:rsid w:val="00A975D8"/>
    <w:rsid w:val="00AB39E8"/>
    <w:rsid w:val="00AB5787"/>
    <w:rsid w:val="00AD3F26"/>
    <w:rsid w:val="00AD5A8A"/>
    <w:rsid w:val="00B037E0"/>
    <w:rsid w:val="00B12497"/>
    <w:rsid w:val="00B33BEA"/>
    <w:rsid w:val="00B47A43"/>
    <w:rsid w:val="00B57C9F"/>
    <w:rsid w:val="00B63572"/>
    <w:rsid w:val="00B845B3"/>
    <w:rsid w:val="00B8480B"/>
    <w:rsid w:val="00B84F7E"/>
    <w:rsid w:val="00B85D8B"/>
    <w:rsid w:val="00BA0A38"/>
    <w:rsid w:val="00BB451F"/>
    <w:rsid w:val="00BB4A40"/>
    <w:rsid w:val="00BC1374"/>
    <w:rsid w:val="00BC6586"/>
    <w:rsid w:val="00BD6C3E"/>
    <w:rsid w:val="00BE3674"/>
    <w:rsid w:val="00BF4D5B"/>
    <w:rsid w:val="00BF738C"/>
    <w:rsid w:val="00C10681"/>
    <w:rsid w:val="00C258A0"/>
    <w:rsid w:val="00C3049A"/>
    <w:rsid w:val="00C31B1E"/>
    <w:rsid w:val="00C47AAA"/>
    <w:rsid w:val="00C7366F"/>
    <w:rsid w:val="00C77645"/>
    <w:rsid w:val="00C9427D"/>
    <w:rsid w:val="00CC4360"/>
    <w:rsid w:val="00CD3CF3"/>
    <w:rsid w:val="00CE04C3"/>
    <w:rsid w:val="00CE0DFF"/>
    <w:rsid w:val="00CE7679"/>
    <w:rsid w:val="00CE76A0"/>
    <w:rsid w:val="00D107B9"/>
    <w:rsid w:val="00D148C6"/>
    <w:rsid w:val="00D17A8A"/>
    <w:rsid w:val="00D27CAD"/>
    <w:rsid w:val="00D3143A"/>
    <w:rsid w:val="00D415BA"/>
    <w:rsid w:val="00D644EE"/>
    <w:rsid w:val="00D81B7B"/>
    <w:rsid w:val="00D87247"/>
    <w:rsid w:val="00DA185D"/>
    <w:rsid w:val="00DC7D87"/>
    <w:rsid w:val="00DD06FF"/>
    <w:rsid w:val="00DD5FE9"/>
    <w:rsid w:val="00DE621F"/>
    <w:rsid w:val="00DF796F"/>
    <w:rsid w:val="00E00C7A"/>
    <w:rsid w:val="00E121A9"/>
    <w:rsid w:val="00E26238"/>
    <w:rsid w:val="00E37D6C"/>
    <w:rsid w:val="00E5387C"/>
    <w:rsid w:val="00E55B68"/>
    <w:rsid w:val="00E626BD"/>
    <w:rsid w:val="00E67BE6"/>
    <w:rsid w:val="00E86480"/>
    <w:rsid w:val="00E8683C"/>
    <w:rsid w:val="00EA2B72"/>
    <w:rsid w:val="00EB4ACE"/>
    <w:rsid w:val="00EE7B75"/>
    <w:rsid w:val="00F03711"/>
    <w:rsid w:val="00F04982"/>
    <w:rsid w:val="00F24F92"/>
    <w:rsid w:val="00F4529E"/>
    <w:rsid w:val="00F45743"/>
    <w:rsid w:val="00F60654"/>
    <w:rsid w:val="00F74360"/>
    <w:rsid w:val="00F91D77"/>
    <w:rsid w:val="00F96EDC"/>
    <w:rsid w:val="00FB462F"/>
    <w:rsid w:val="00FE16FA"/>
    <w:rsid w:val="00FE328A"/>
    <w:rsid w:val="00FE6269"/>
    <w:rsid w:val="00FF4154"/>
    <w:rsid w:val="00FF5CD6"/>
    <w:rsid w:val="00FF6C4E"/>
    <w:rsid w:val="08957ABC"/>
    <w:rsid w:val="0AC47608"/>
    <w:rsid w:val="1E990549"/>
    <w:rsid w:val="1FD71D24"/>
    <w:rsid w:val="6FC72817"/>
    <w:rsid w:val="727E72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1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401E9"/>
    <w:rPr>
      <w:sz w:val="18"/>
      <w:szCs w:val="18"/>
    </w:rPr>
  </w:style>
  <w:style w:type="paragraph" w:styleId="a4">
    <w:name w:val="footer"/>
    <w:basedOn w:val="a"/>
    <w:link w:val="Char0"/>
    <w:uiPriority w:val="99"/>
    <w:unhideWhenUsed/>
    <w:qFormat/>
    <w:rsid w:val="000401E9"/>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401E9"/>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0401E9"/>
    <w:pPr>
      <w:spacing w:before="100" w:beforeAutospacing="1" w:after="100" w:afterAutospacing="1"/>
      <w:jc w:val="left"/>
    </w:pPr>
    <w:rPr>
      <w:rFonts w:ascii="Calibri" w:eastAsia="宋体" w:hAnsi="Calibri" w:cs="Times New Roman"/>
      <w:kern w:val="0"/>
      <w:sz w:val="24"/>
      <w:szCs w:val="24"/>
    </w:rPr>
  </w:style>
  <w:style w:type="character" w:customStyle="1" w:styleId="Char1">
    <w:name w:val="页眉 Char"/>
    <w:basedOn w:val="a0"/>
    <w:link w:val="a5"/>
    <w:uiPriority w:val="99"/>
    <w:qFormat/>
    <w:rsid w:val="000401E9"/>
    <w:rPr>
      <w:sz w:val="18"/>
      <w:szCs w:val="18"/>
    </w:rPr>
  </w:style>
  <w:style w:type="character" w:customStyle="1" w:styleId="Char0">
    <w:name w:val="页脚 Char"/>
    <w:basedOn w:val="a0"/>
    <w:link w:val="a4"/>
    <w:uiPriority w:val="99"/>
    <w:qFormat/>
    <w:rsid w:val="000401E9"/>
    <w:rPr>
      <w:sz w:val="18"/>
      <w:szCs w:val="18"/>
    </w:rPr>
  </w:style>
  <w:style w:type="paragraph" w:customStyle="1" w:styleId="Default">
    <w:name w:val="Default"/>
    <w:qFormat/>
    <w:rsid w:val="000401E9"/>
    <w:pPr>
      <w:widowControl w:val="0"/>
      <w:autoSpaceDE w:val="0"/>
      <w:autoSpaceDN w:val="0"/>
      <w:adjustRightInd w:val="0"/>
    </w:pPr>
    <w:rPr>
      <w:rFonts w:ascii="黑体" w:eastAsia="黑体" w:cs="黑体"/>
      <w:color w:val="000000"/>
      <w:sz w:val="24"/>
      <w:szCs w:val="24"/>
    </w:rPr>
  </w:style>
  <w:style w:type="paragraph" w:styleId="a7">
    <w:name w:val="List Paragraph"/>
    <w:basedOn w:val="a"/>
    <w:uiPriority w:val="34"/>
    <w:qFormat/>
    <w:rsid w:val="000401E9"/>
    <w:pPr>
      <w:ind w:firstLineChars="200" w:firstLine="420"/>
    </w:pPr>
  </w:style>
  <w:style w:type="character" w:customStyle="1" w:styleId="Char">
    <w:name w:val="批注框文本 Char"/>
    <w:basedOn w:val="a0"/>
    <w:link w:val="a3"/>
    <w:uiPriority w:val="99"/>
    <w:semiHidden/>
    <w:qFormat/>
    <w:rsid w:val="000401E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FFFD75-E737-4882-B5CC-18249406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849</Words>
  <Characters>4843</Characters>
  <Application>Microsoft Office Word</Application>
  <DocSecurity>0</DocSecurity>
  <Lines>40</Lines>
  <Paragraphs>11</Paragraphs>
  <ScaleCrop>false</ScaleCrop>
  <Company>Microsoft</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3</cp:revision>
  <cp:lastPrinted>2022-09-02T03:15:00Z</cp:lastPrinted>
  <dcterms:created xsi:type="dcterms:W3CDTF">2023-09-26T00:30:00Z</dcterms:created>
  <dcterms:modified xsi:type="dcterms:W3CDTF">2023-09-26T00:37:00Z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