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湖南省长沙监狱部门决算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第一部分湖南省长沙监狱概况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第二部分2021年度部门决算表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第三部分2021年度部门决算情况说明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于2021年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湖南省长沙监狱概况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adjustRightInd w:val="0"/>
        <w:spacing w:line="640" w:lineRule="exact"/>
        <w:ind w:firstLine="840" w:firstLineChars="300"/>
        <w:rPr>
          <w:rFonts w:asciiTheme="minorEastAsia" w:hAnsiTheme="minorEastAsia" w:cstheme="minorEastAsia"/>
          <w:color w:val="333333"/>
          <w:sz w:val="28"/>
          <w:szCs w:val="28"/>
        </w:rPr>
      </w:pPr>
      <w:r>
        <w:rPr>
          <w:rFonts w:hint="eastAsia" w:asciiTheme="minorEastAsia" w:hAnsiTheme="minorEastAsia" w:cstheme="minorEastAsia"/>
          <w:kern w:val="0"/>
          <w:sz w:val="28"/>
          <w:szCs w:val="28"/>
        </w:rPr>
        <w:t>湖南省长沙监狱是一所关押原判刑期在15年以下普通刑事犯的中度戒备监狱，担负着全省职务犯的集中关押改造和长沙等地区新收罪犯的收押调遣任务，同时还是湖南省</w:t>
      </w:r>
      <w:r>
        <w:rPr>
          <w:rFonts w:hint="eastAsia" w:asciiTheme="minorEastAsia" w:hAnsiTheme="minorEastAsia" w:cstheme="minorEastAsia"/>
          <w:color w:val="000000"/>
          <w:kern w:val="0"/>
          <w:sz w:val="28"/>
          <w:szCs w:val="28"/>
        </w:rPr>
        <w:t>反腐倡廉警示教育基地</w:t>
      </w:r>
      <w:r>
        <w:rPr>
          <w:rFonts w:hint="eastAsia" w:asciiTheme="minorEastAsia" w:hAnsiTheme="minorEastAsia" w:cstheme="minorEastAsia"/>
          <w:kern w:val="0"/>
          <w:sz w:val="28"/>
          <w:szCs w:val="28"/>
        </w:rPr>
        <w:t>。</w:t>
      </w:r>
      <w:r>
        <w:rPr>
          <w:rFonts w:hint="eastAsia" w:asciiTheme="minorEastAsia" w:hAnsiTheme="minorEastAsia" w:cstheme="minorEastAsia"/>
          <w:color w:val="333333"/>
          <w:sz w:val="28"/>
          <w:szCs w:val="28"/>
        </w:rPr>
        <w:t>其主要职能是负责依照《中华人民共和国监狱法》，贯彻执行监狱工作方针及国家有关法律法规；负责罪犯监管改造，依法对罪犯收监、调配、考核奖惩、释放，提出罪犯减刑、假释、暂予监外执行的建议，做好监狱的安全检查防范工作；负责罪犯生活卫生管理，做好罪犯物资生活供应、疾病防治和公共卫生安全工作；负责罪犯教育改造，做好罪犯的思想、文化、职业技术教育和其他教育工作；负责罪犯劳动改造，组织罪犯开展劳动，落实安全生产管理工作；负责监狱国有资产和监狱设施的管理，防止国有资产流失，做好监管、审计工作；按照干部管理权限，协助主管部门做好公务员、职工队伍的管理工作；与武警、公安、检察院、法院等部门做好通联工作，保障监狱的安全和依法执行刑罚；承办上级机关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800" w:firstLineChars="250"/>
        <w:rPr>
          <w:rFonts w:asciiTheme="minorEastAsia" w:hAnsiTheme="minorEastAsia" w:cstheme="minorEastAsia"/>
          <w:color w:val="333333"/>
          <w:sz w:val="28"/>
          <w:szCs w:val="28"/>
        </w:rPr>
      </w:pPr>
      <w:r>
        <w:rPr>
          <w:rFonts w:hint="eastAsia" w:asciiTheme="minorEastAsia" w:hAnsiTheme="minorEastAsia"/>
          <w:bCs/>
          <w:kern w:val="0"/>
          <w:sz w:val="32"/>
          <w:szCs w:val="32"/>
        </w:rPr>
        <w:t>（一）内设机构设置。</w:t>
      </w:r>
      <w:r>
        <w:rPr>
          <w:rFonts w:hint="eastAsia" w:asciiTheme="minorEastAsia" w:hAnsiTheme="minorEastAsia" w:cstheme="minorEastAsia"/>
          <w:color w:val="333333"/>
          <w:sz w:val="28"/>
          <w:szCs w:val="28"/>
        </w:rPr>
        <w:t>湖南省长沙监狱为财政全额拨款正处级行政单位，财务核算适用</w:t>
      </w:r>
      <w:r>
        <w:rPr>
          <w:rFonts w:hint="eastAsia" w:asciiTheme="minorEastAsia" w:hAnsiTheme="minorEastAsia" w:cstheme="minorEastAsia"/>
          <w:color w:val="333333"/>
          <w:sz w:val="28"/>
          <w:szCs w:val="28"/>
          <w:lang w:eastAsia="zh-CN"/>
        </w:rPr>
        <w:t>政府会计准则</w:t>
      </w:r>
      <w:bookmarkStart w:id="0" w:name="_GoBack"/>
      <w:bookmarkEnd w:id="0"/>
      <w:r>
        <w:rPr>
          <w:rFonts w:hint="eastAsia" w:asciiTheme="minorEastAsia" w:hAnsiTheme="minorEastAsia" w:cstheme="minorEastAsia"/>
          <w:color w:val="333333"/>
          <w:sz w:val="28"/>
          <w:szCs w:val="28"/>
        </w:rPr>
        <w:t>制度。设办公室、政治处、法治办（综合治理科）、行政科、基建规划科、财务科、纪检（监察）室、离退休人员管理服务科等30个科室。湖南万安达集团长华实业有限责任公司设办公室、劳动人事部、生产经营科、财务科、综合分公司5个科室。</w:t>
      </w:r>
    </w:p>
    <w:p>
      <w:pPr>
        <w:ind w:firstLine="640" w:firstLineChars="200"/>
        <w:rPr>
          <w:rFonts w:asciiTheme="minorEastAsia" w:hAnsiTheme="minorEastAsia" w:cstheme="minorEastAsia"/>
          <w:sz w:val="28"/>
          <w:szCs w:val="28"/>
        </w:rPr>
      </w:pPr>
      <w:r>
        <w:rPr>
          <w:rFonts w:hint="eastAsia" w:asciiTheme="minorEastAsia" w:hAnsiTheme="minorEastAsia"/>
          <w:bCs/>
          <w:kern w:val="0"/>
          <w:sz w:val="32"/>
          <w:szCs w:val="32"/>
        </w:rPr>
        <w:t>（二）决算单位构成。</w:t>
      </w:r>
      <w:r>
        <w:rPr>
          <w:rFonts w:hint="eastAsia" w:asciiTheme="minorEastAsia" w:hAnsiTheme="minorEastAsia" w:cstheme="minorEastAsia"/>
          <w:color w:val="333333"/>
          <w:sz w:val="28"/>
          <w:szCs w:val="28"/>
        </w:rPr>
        <w:t>湖南省长沙监狱只有本级，无</w:t>
      </w:r>
      <w:r>
        <w:rPr>
          <w:rFonts w:hint="eastAsia" w:asciiTheme="minorEastAsia" w:hAnsiTheme="minorEastAsia" w:cstheme="minorEastAsia"/>
          <w:bCs/>
          <w:color w:val="333333"/>
          <w:sz w:val="28"/>
          <w:szCs w:val="28"/>
        </w:rPr>
        <w:t>二级预算单位。</w:t>
      </w:r>
    </w:p>
    <w:p>
      <w:pPr>
        <w:widowControl/>
        <w:spacing w:line="600" w:lineRule="exact"/>
        <w:ind w:firstLine="640" w:firstLineChars="200"/>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Theme="minorEastAsia" w:hAnsiTheme="minorEastAsia" w:cstheme="minorEastAsia"/>
          <w:sz w:val="72"/>
          <w:szCs w:val="72"/>
        </w:rPr>
      </w:pPr>
      <w:r>
        <w:rPr>
          <w:rFonts w:hint="eastAsia" w:asciiTheme="minorEastAsia" w:hAnsiTheme="minorEastAsia" w:cstheme="minorEastAsia"/>
          <w:sz w:val="72"/>
          <w:szCs w:val="72"/>
        </w:rPr>
        <w:t>第二部分</w:t>
      </w:r>
    </w:p>
    <w:p>
      <w:pPr>
        <w:jc w:val="center"/>
        <w:rPr>
          <w:rFonts w:hint="eastAsia" w:asciiTheme="minorEastAsia" w:hAnsiTheme="minorEastAsia" w:cstheme="minorEastAsia"/>
          <w:sz w:val="72"/>
          <w:szCs w:val="72"/>
        </w:rPr>
      </w:pPr>
    </w:p>
    <w:p>
      <w:pPr>
        <w:jc w:val="center"/>
        <w:rPr>
          <w:rFonts w:asciiTheme="minorEastAsia" w:hAnsiTheme="minorEastAsia" w:cstheme="minorEastAsia"/>
          <w:sz w:val="72"/>
          <w:szCs w:val="72"/>
        </w:rPr>
      </w:pPr>
      <w:r>
        <w:rPr>
          <w:rFonts w:hint="eastAsia" w:asciiTheme="minorEastAsia" w:hAnsiTheme="minorEastAsia" w:cstheme="minorEastAsia"/>
          <w:sz w:val="72"/>
          <w:szCs w:val="72"/>
        </w:rPr>
        <w:t>部门决算表</w:t>
      </w:r>
    </w:p>
    <w:p>
      <w:pPr>
        <w:jc w:val="center"/>
        <w:rPr>
          <w:sz w:val="72"/>
          <w:szCs w:val="72"/>
        </w:rPr>
      </w:pPr>
      <w:r>
        <w:rPr>
          <w:rFonts w:hint="eastAsia"/>
          <w:sz w:val="28"/>
          <w:szCs w:val="28"/>
        </w:rPr>
        <w:t xml:space="preserve">   </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center"/>
        <w:rPr>
          <w:rFonts w:ascii="黑体" w:hAnsi="黑体" w:eastAsia="黑体"/>
          <w:sz w:val="28"/>
          <w:szCs w:val="28"/>
        </w:rPr>
        <w:sectPr>
          <w:pgSz w:w="11906" w:h="16838"/>
          <w:pgMar w:top="720" w:right="720" w:bottom="720" w:left="720" w:header="851" w:footer="992" w:gutter="0"/>
          <w:cols w:space="425" w:num="1"/>
          <w:docGrid w:type="linesAndChars" w:linePitch="312" w:charSpace="0"/>
        </w:sect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2"/>
          <w:szCs w:val="72"/>
        </w:rPr>
      </w:pPr>
    </w:p>
    <w:p>
      <w:pPr>
        <w:pStyle w:val="10"/>
        <w:jc w:val="center"/>
        <w:rPr>
          <w:sz w:val="72"/>
          <w:szCs w:val="72"/>
        </w:rPr>
      </w:pPr>
      <w:r>
        <w:rPr>
          <w:rFonts w:hint="eastAsia"/>
          <w:sz w:val="72"/>
          <w:szCs w:val="72"/>
        </w:rPr>
        <w:t>2021年度部门决算情况说明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333333"/>
          <w:kern w:val="0"/>
          <w:sz w:val="32"/>
          <w:szCs w:val="32"/>
        </w:rPr>
        <w:t>2021年度收、支总计26,161.94万元，与上年相比减少18,180万元，减少41%。收、支总计与上年决算数相比，均有所减少，主要原因是去年</w:t>
      </w:r>
      <w:r>
        <w:rPr>
          <w:rFonts w:hint="eastAsia" w:cs="宋体" w:asciiTheme="minorEastAsia" w:hAnsiTheme="minorEastAsia"/>
          <w:color w:val="000000"/>
          <w:kern w:val="0"/>
          <w:sz w:val="32"/>
          <w:szCs w:val="32"/>
        </w:rPr>
        <w:t>监狱整体迁建工程项目全面启动，年中追加中央与省级专项迁建资金24,200万元，并支付了迁建项目征地拆迁费、建设用地税费、森林植被恢复费等18,485.87万元</w:t>
      </w:r>
      <w:r>
        <w:rPr>
          <w:rFonts w:hint="eastAsia" w:cs="宋体" w:asciiTheme="minorEastAsia" w:hAnsiTheme="minorEastAsia"/>
          <w:color w:val="333333"/>
          <w:sz w:val="32"/>
          <w:szCs w:val="32"/>
        </w:rPr>
        <w:t>。</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宋体" w:hAnsi="宋体" w:eastAsia="宋体" w:cs="宋体"/>
          <w:sz w:val="32"/>
          <w:szCs w:val="32"/>
        </w:rPr>
        <w:t>17,717.16</w:t>
      </w:r>
      <w:r>
        <w:rPr>
          <w:rFonts w:hint="eastAsia" w:asciiTheme="minorEastAsia" w:hAnsiTheme="minorEastAsia" w:eastAsiaTheme="minorEastAsia"/>
          <w:sz w:val="32"/>
          <w:szCs w:val="32"/>
        </w:rPr>
        <w:t>万元，其中：财政拨款收入16,206.67万元，占91.5%；其他收入1,510.49万元，占8.5%。</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cstheme="minorEastAsia"/>
          <w:sz w:val="32"/>
          <w:szCs w:val="32"/>
        </w:rPr>
        <w:t>本年支出合计18,150.22万元，同比减少13,387.68万元，减少42.4%。其中</w:t>
      </w:r>
      <w:r>
        <w:rPr>
          <w:rFonts w:hint="eastAsia" w:asciiTheme="minorEastAsia" w:hAnsiTheme="minorEastAsia" w:eastAsiaTheme="minorEastAsia"/>
          <w:sz w:val="32"/>
          <w:szCs w:val="32"/>
        </w:rPr>
        <w:t>：基本支出9,376.25万元，占51.66%；项目支出8,773.96万元，占48.34%。</w:t>
      </w:r>
    </w:p>
    <w:p>
      <w:pPr>
        <w:pStyle w:val="10"/>
        <w:rPr>
          <w:rFonts w:hAnsi="黑体"/>
          <w:b/>
          <w:sz w:val="32"/>
          <w:szCs w:val="32"/>
        </w:rPr>
      </w:pPr>
      <w:r>
        <w:rPr>
          <w:rFonts w:hint="eastAsia" w:hAnsi="黑体"/>
          <w:b/>
          <w:sz w:val="32"/>
          <w:szCs w:val="32"/>
        </w:rPr>
        <w:t>四、财政拨款收入支出决算总体情况说明</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333333"/>
          <w:kern w:val="0"/>
          <w:sz w:val="32"/>
          <w:szCs w:val="32"/>
        </w:rPr>
        <w:t>2021年度财政拨款收、支总计24,510.04万元，与上年相比减少19,251.5万元，减少44%；财政拨款收、支总计与上年决算数相比，均有所减少，主要原因是去年</w:t>
      </w:r>
      <w:r>
        <w:rPr>
          <w:rFonts w:hint="eastAsia" w:cs="宋体" w:asciiTheme="minorEastAsia" w:hAnsiTheme="minorEastAsia"/>
          <w:color w:val="000000"/>
          <w:kern w:val="0"/>
          <w:sz w:val="32"/>
          <w:szCs w:val="32"/>
        </w:rPr>
        <w:t>监狱整体迁建工程项目全面启动，年中追加中央与省级专项迁建资金24,200万元，并支付了迁建项目征地拆迁费、建设用地税费、森林植被恢复费等18,485.87万元</w:t>
      </w:r>
      <w:r>
        <w:rPr>
          <w:rFonts w:hint="eastAsia" w:cs="宋体" w:asciiTheme="minorEastAsia" w:hAnsiTheme="minorEastAsia"/>
          <w:color w:val="333333"/>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sz w:val="32"/>
          <w:szCs w:val="32"/>
        </w:rPr>
        <w:t>2021年度财政拨款支出</w:t>
      </w:r>
      <w:r>
        <w:rPr>
          <w:rFonts w:hint="eastAsia" w:cs="宋体" w:asciiTheme="minorEastAsia" w:hAnsiTheme="minorEastAsia" w:eastAsiaTheme="minorEastAsia"/>
          <w:sz w:val="32"/>
          <w:szCs w:val="32"/>
        </w:rPr>
        <w:t>17,184.32</w:t>
      </w:r>
      <w:r>
        <w:rPr>
          <w:rFonts w:hint="eastAsia" w:asciiTheme="minorEastAsia" w:hAnsiTheme="minorEastAsia" w:eastAsiaTheme="minorEastAsia"/>
          <w:sz w:val="32"/>
          <w:szCs w:val="32"/>
        </w:rPr>
        <w:t>万元，占本年支出合计的94.68%，较上年相比，财政拨款支出减少13,914.15万元，减少44.74%，</w:t>
      </w:r>
      <w:r>
        <w:rPr>
          <w:rFonts w:hint="eastAsia" w:cs="宋体" w:asciiTheme="minorEastAsia" w:hAnsiTheme="minorEastAsia" w:eastAsiaTheme="minorEastAsia"/>
          <w:sz w:val="32"/>
          <w:szCs w:val="32"/>
        </w:rPr>
        <w:t>主要原因是去年监狱整体迁建工程项目全面启动，</w:t>
      </w:r>
      <w:r>
        <w:rPr>
          <w:rFonts w:hint="eastAsia" w:ascii="宋体" w:hAnsi="宋体" w:eastAsia="宋体" w:cs="宋体"/>
          <w:sz w:val="32"/>
          <w:szCs w:val="32"/>
        </w:rPr>
        <w:t>支付了迁建项目征地拆迁费、建设用地税费、森林植被恢复费等18,485.87万元，2021年迁建项目支付了场地平整进度款、水土保持方案、初步设计方案、临时给水供电等费用5,199.84万元</w:t>
      </w:r>
      <w:r>
        <w:rPr>
          <w:rFonts w:hint="eastAsia" w:ascii="宋体" w:hAnsi="宋体" w:eastAsia="宋体" w:cs="宋体"/>
          <w:color w:val="333333"/>
          <w:sz w:val="32"/>
          <w:szCs w:val="32"/>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widowControl/>
        <w:spacing w:line="480" w:lineRule="auto"/>
        <w:ind w:firstLine="48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2021年度财政拨款支出17,184.32万元，主要用于以下方面：一般公共服务（类）支出66.91万元，占0.39%；公共安全（类）支出14,691.67万元，占85.49%;教育（类）支出50万元，占0.29%；社会保障和就业(类)支出744.68万元,占4.33%;卫生健康(类)支出710.8万元,占4.14%;住房保障(类)支出920.26万元,占5.36%。</w:t>
      </w:r>
    </w:p>
    <w:p>
      <w:pPr>
        <w:pStyle w:val="10"/>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2021年度财政拨款支出年初预算数为17,545.96万元，支出决算数为17,184.32万元，完成年初预算的97.9%，与年初预算安排存在差异的原因主要在于中央与省级专项迁建项目资金还有结余。其中：</w:t>
      </w:r>
    </w:p>
    <w:p>
      <w:pPr>
        <w:widowControl/>
        <w:spacing w:line="480" w:lineRule="auto"/>
        <w:ind w:firstLine="640" w:firstLineChars="200"/>
        <w:jc w:val="left"/>
        <w:rPr>
          <w:rFonts w:cs="宋体" w:asciiTheme="minorEastAsia" w:hAnsiTheme="minorEastAsia"/>
          <w:color w:val="000000"/>
          <w:kern w:val="0"/>
          <w:sz w:val="32"/>
          <w:szCs w:val="32"/>
        </w:rPr>
      </w:pPr>
      <w:r>
        <w:rPr>
          <w:rFonts w:cs="宋体" w:asciiTheme="minorEastAsia" w:hAnsiTheme="minorEastAsia"/>
          <w:color w:val="000000"/>
          <w:kern w:val="0"/>
          <w:sz w:val="32"/>
          <w:szCs w:val="32"/>
        </w:rPr>
        <w:t>1.</w:t>
      </w:r>
      <w:r>
        <w:rPr>
          <w:rFonts w:hint="eastAsia" w:cs="宋体" w:asciiTheme="minorEastAsia" w:hAnsiTheme="minorEastAsia"/>
          <w:color w:val="000000"/>
          <w:kern w:val="0"/>
          <w:sz w:val="32"/>
          <w:szCs w:val="32"/>
        </w:rPr>
        <w:t>公共安全支出（类）监狱（款）行政运行（项）</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年初预算为5,389.43万元，支出决算为5,992.74万元，完成年初预算的111%，决算数大于年初预算数的主要原因是：年中追加在职警察2020年绩效考核奖金清算部分、追加在职警察工资性支出。</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2.公共安全支出（类）监狱（款）一般行政管理事务（项）。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年初预算为70万元，支出决算为70万元，完成年初预算的100%，决算数等于年初预算数。</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3.公共安全支出（类）监狱（款）狱政设施建设（项）。</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年初预算为6,944.63万元，支出决算为5,796.56万元，决算数小于年初预算数的主要原因是是按规定使用以前年度财政拨款结转资金用于监狱迁建项目，并有结转结余。</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4.公共安全支出（类）监狱（款）信息化建设（项）。</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年初预算为4.9万元，支出决算为67.41万元，决算数大于年初预算数的主要原因是：年中追加单位信息化建设资金。</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5.教育支出（类）进修及培训（款）培训支出（项）。</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年初预算为50万元，支出决算为50万元，完成年初预算的100%。决算数等于年初预算数。</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6.社会保障和就业支出（类）行政事业单位离退休（款）行政单位离退休（项）。</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年初预算为79.2万元，支出决算为79.2万元，决算数等于年初预算数。</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7.社会保障和就业支出（类）行政事业单位离退休（款）机关事业单位基本养老保险缴费支出（项）。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年初预算为637万元，支出决算为567万元，完成年初预算的89.01%。年中按规定进行了预算调整。</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8.社会保障和就业支出（类）行政事业单位离退休（款）其他行政事业单位养老支出（项）。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年初预算为14.16万元，支出决算为14.52万元，完成年初预算的102.54%。</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9.社会保障和就业支出（类）抚恤（款）死亡抚恤（项）。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年初预算为83万元，支出决算为83万元，完成年初预算的100%。决算数等于年初预算数。</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10.社会保障和就业支出（类）抚恤（款）其他社会保障和就业支出（项）。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年初预算为0.96万元，支出决算为0.96万元，完成年初预算的100%，决算数等于年初预算数。</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11.卫生健康支出（类）行政事业单位医疗（款）行政单位医疗（项）。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年初预算为391万元，支出决算为402.4万元,完成年初预算的102.92%。年中按规定进行了预算调整。</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12 .卫生健康支出（类）行政事业单位医疗（款）公务员医疗补助（项）。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年初预算为308万元，支出决算为308万元,完成年初预算的100%，决算数等于年初预算数。</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13.卫生健康支出（类）行政事业单位医疗（款）其他行政事业单位医疗支出（项）。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年初预算为0.4万元，支出决算为0.4万元,完成年初预算的100%，决算数等于年初预算数。</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14.住房保障支出（类）住房改革支出（款）住房公积金（项）。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年初预算为528万元，支出决算为598万元,完成年初预算的113.26%。年中按规定进行了预算调整。</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15.住房保障支出（类）住房改革支出（款）购房补贴（项）。</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年初预算为322.26万元，支出决算为322.26万元,完成年初预算的100%。决算数等于年初预算数。</w:t>
      </w:r>
    </w:p>
    <w:p>
      <w:pPr>
        <w:widowControl/>
        <w:numPr>
          <w:ilvl w:val="0"/>
          <w:numId w:val="2"/>
        </w:numPr>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一般公共服务支出（类）其他发展与改革事务支出（项）。</w:t>
      </w:r>
    </w:p>
    <w:p>
      <w:pPr>
        <w:widowControl/>
        <w:spacing w:line="480" w:lineRule="auto"/>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 xml:space="preserve">    年初预算为1200万元，支出决算为66.9万元，完成年初预算的5.58%。</w:t>
      </w:r>
    </w:p>
    <w:p>
      <w:pPr>
        <w:pStyle w:val="10"/>
        <w:rPr>
          <w:rFonts w:hAnsi="黑体"/>
          <w:b/>
          <w:sz w:val="32"/>
          <w:szCs w:val="32"/>
        </w:rPr>
      </w:pPr>
      <w:r>
        <w:rPr>
          <w:rFonts w:hint="eastAsia" w:hAnsi="黑体"/>
          <w:b/>
          <w:sz w:val="32"/>
          <w:szCs w:val="32"/>
        </w:rPr>
        <w:t>六、一般公共预算财政拨款基本支出决算情况说明</w:t>
      </w:r>
    </w:p>
    <w:p>
      <w:pPr>
        <w:widowControl/>
        <w:spacing w:line="480" w:lineRule="auto"/>
        <w:ind w:firstLine="480"/>
        <w:jc w:val="left"/>
        <w:rPr>
          <w:rFonts w:cs="宋体" w:asciiTheme="minorEastAsia" w:hAnsiTheme="minorEastAsia"/>
          <w:color w:val="000000"/>
          <w:kern w:val="0"/>
          <w:sz w:val="32"/>
          <w:szCs w:val="32"/>
        </w:rPr>
      </w:pPr>
      <w:r>
        <w:rPr>
          <w:rFonts w:hint="eastAsia" w:asciiTheme="minorEastAsia" w:hAnsiTheme="minorEastAsia"/>
          <w:sz w:val="32"/>
          <w:szCs w:val="32"/>
        </w:rPr>
        <w:t>2021年度财政拨款基本支出9,050.51万元，其中：人员经费8,345.74万元，占基本支出的92.21%,主要包括</w:t>
      </w:r>
      <w:r>
        <w:rPr>
          <w:rFonts w:hint="eastAsia" w:cs="宋体" w:asciiTheme="minorEastAsia" w:hAnsiTheme="minorEastAsia"/>
          <w:color w:val="000000"/>
          <w:kern w:val="0"/>
          <w:sz w:val="32"/>
          <w:szCs w:val="32"/>
        </w:rPr>
        <w:t>基本工资、津贴补贴、奖金、其他社保缴费、机关事业单位基本养老保险缴费、离休费、退休费、抚恤金、生活补助、医疗费、住房公积金、购房补贴等；公用经费704.77万元，占基本支出的7.79%，主要包括办公费、印刷费、物业管理费、水费、电费、差旅费、维修(护)费、培训费、工会经费、福利费、公务接待费、被装购置费、公务用车运行维护费、其他交通费用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widowControl/>
        <w:spacing w:line="480" w:lineRule="auto"/>
        <w:ind w:firstLine="6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“三公”经费财政拨款支出预算为89万元，支出决算为88.61万元，完成预算的99.56%，其中：</w:t>
      </w:r>
    </w:p>
    <w:p>
      <w:pPr>
        <w:widowControl/>
        <w:spacing w:before="60" w:after="150" w:line="560" w:lineRule="exact"/>
        <w:ind w:firstLine="640" w:firstLineChars="200"/>
        <w:jc w:val="left"/>
        <w:rPr>
          <w:rFonts w:ascii="宋体" w:hAnsi="宋体" w:eastAsia="宋体" w:cs="宋体"/>
          <w:color w:val="333333"/>
          <w:kern w:val="0"/>
          <w:sz w:val="24"/>
          <w:szCs w:val="24"/>
        </w:rPr>
      </w:pPr>
      <w:r>
        <w:rPr>
          <w:rFonts w:hint="eastAsia" w:asciiTheme="minorEastAsia" w:hAnsiTheme="minorEastAsia" w:cstheme="minorEastAsia"/>
          <w:color w:val="333333"/>
          <w:sz w:val="32"/>
          <w:szCs w:val="32"/>
        </w:rPr>
        <w:t>因公出国（境）费支出决算为0万元，全年安排因公出国（境）团组0个，累计0人次。</w:t>
      </w:r>
    </w:p>
    <w:p>
      <w:pPr>
        <w:widowControl/>
        <w:spacing w:before="60" w:after="150" w:line="560" w:lineRule="exact"/>
        <w:ind w:firstLine="640" w:firstLineChars="200"/>
        <w:jc w:val="left"/>
        <w:rPr>
          <w:rFonts w:asciiTheme="minorEastAsia" w:hAnsiTheme="minorEastAsia" w:cstheme="minorEastAsia"/>
          <w:color w:val="333333"/>
          <w:kern w:val="0"/>
          <w:sz w:val="24"/>
          <w:szCs w:val="24"/>
        </w:rPr>
      </w:pPr>
      <w:r>
        <w:rPr>
          <w:rFonts w:hint="eastAsia" w:cs="宋体" w:asciiTheme="minorEastAsia" w:hAnsiTheme="minorEastAsia"/>
          <w:color w:val="000000"/>
          <w:kern w:val="0"/>
          <w:sz w:val="32"/>
          <w:szCs w:val="32"/>
        </w:rPr>
        <w:t>公务接待费支出预算为6万元，支出决算为5.61万元，完成预算的93.5%，决算数小于年初预算数的主要原因</w:t>
      </w:r>
      <w:r>
        <w:rPr>
          <w:rFonts w:hint="eastAsia" w:asciiTheme="minorEastAsia" w:hAnsiTheme="minorEastAsia" w:cstheme="minorEastAsia"/>
          <w:color w:val="333333"/>
          <w:sz w:val="32"/>
          <w:szCs w:val="32"/>
        </w:rPr>
        <w:t>单位遵照上级有关规定厉行节约、严格公务接待管理。</w:t>
      </w:r>
    </w:p>
    <w:p>
      <w:pPr>
        <w:widowControl/>
        <w:spacing w:line="480" w:lineRule="auto"/>
        <w:ind w:firstLine="640" w:firstLineChars="200"/>
        <w:jc w:val="left"/>
        <w:rPr>
          <w:rFonts w:cs="宋体" w:asciiTheme="minorEastAsia" w:hAnsiTheme="minorEastAsia"/>
          <w:color w:val="000000"/>
          <w:kern w:val="0"/>
          <w:sz w:val="32"/>
          <w:szCs w:val="32"/>
        </w:rPr>
      </w:pPr>
      <w:r>
        <w:rPr>
          <w:rFonts w:hint="eastAsia" w:cs="宋体" w:asciiTheme="minorEastAsia" w:hAnsiTheme="minorEastAsia"/>
          <w:color w:val="000000"/>
          <w:kern w:val="0"/>
          <w:sz w:val="32"/>
          <w:szCs w:val="32"/>
        </w:rPr>
        <w:t>公务用车购置费及运行维护费支出预算为83万元，支出决算为83万元，完成预算的100%，2021年单位严格落实中共中央、国务院“过紧日子”的精神，对各项费用进行严格控制，同时由于疫情原因导致的必接必送任务，公务车运行经费与上年相比增加14万元，增加73.68 %。</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2021年度“三公”经费财政拨款支出决算中，公务接待费支出决算5.61万元，占6.33%,因公出国（境）费支出决算0万元，占0%,公务用车购置费及运行维护费支出决算83万元，占93.67%。其中：</w:t>
      </w:r>
    </w:p>
    <w:p>
      <w:pPr>
        <w:widowControl/>
        <w:spacing w:before="60" w:after="150" w:line="560" w:lineRule="exact"/>
        <w:ind w:firstLine="640" w:firstLineChars="200"/>
        <w:jc w:val="left"/>
        <w:rPr>
          <w:rFonts w:asciiTheme="minorEastAsia" w:hAnsiTheme="minorEastAsia" w:cstheme="minorEastAsia"/>
          <w:color w:val="333333"/>
          <w:kern w:val="0"/>
          <w:sz w:val="24"/>
          <w:szCs w:val="24"/>
        </w:rPr>
      </w:pPr>
      <w:r>
        <w:rPr>
          <w:rFonts w:hint="eastAsia" w:asciiTheme="minorEastAsia" w:hAnsiTheme="minorEastAsia" w:cstheme="minorEastAsia"/>
          <w:color w:val="333333"/>
          <w:sz w:val="32"/>
          <w:szCs w:val="32"/>
        </w:rPr>
        <w:t>1.因公出国（境）费支出决算为0万元，全年安排因公出国（境）团组0个，累计0人次。</w:t>
      </w:r>
    </w:p>
    <w:p>
      <w:pPr>
        <w:widowControl/>
        <w:spacing w:before="60" w:after="150" w:line="560" w:lineRule="exact"/>
        <w:ind w:firstLine="640" w:firstLineChars="200"/>
        <w:jc w:val="left"/>
        <w:rPr>
          <w:rFonts w:asciiTheme="minorEastAsia" w:hAnsiTheme="minorEastAsia" w:cstheme="minorEastAsia"/>
          <w:color w:val="333333"/>
          <w:kern w:val="0"/>
          <w:sz w:val="24"/>
          <w:szCs w:val="24"/>
        </w:rPr>
      </w:pPr>
      <w:r>
        <w:rPr>
          <w:rFonts w:hint="eastAsia" w:asciiTheme="minorEastAsia" w:hAnsiTheme="minorEastAsia" w:cstheme="minorEastAsia"/>
          <w:color w:val="333333"/>
          <w:sz w:val="32"/>
          <w:szCs w:val="32"/>
        </w:rPr>
        <w:t>2.公务接待费支出决算为5.61万元，全年共接待来访团组64个、来宾813人次，主要是上级领导及业务、主管部门、工作联系部门等来单位视察、检查工作以及工作联系发生的接待支出。</w:t>
      </w:r>
    </w:p>
    <w:p>
      <w:pPr>
        <w:widowControl/>
        <w:spacing w:before="60" w:after="150" w:line="560" w:lineRule="exact"/>
        <w:ind w:firstLine="640" w:firstLineChars="200"/>
        <w:jc w:val="left"/>
        <w:rPr>
          <w:rFonts w:asciiTheme="minorEastAsia" w:hAnsiTheme="minorEastAsia" w:cstheme="minorEastAsia"/>
          <w:color w:val="333333"/>
          <w:kern w:val="0"/>
          <w:sz w:val="24"/>
          <w:szCs w:val="24"/>
        </w:rPr>
      </w:pPr>
      <w:r>
        <w:rPr>
          <w:rFonts w:hint="eastAsia" w:asciiTheme="minorEastAsia" w:hAnsiTheme="minorEastAsia" w:cstheme="minorEastAsia"/>
          <w:color w:val="333333"/>
          <w:sz w:val="32"/>
          <w:szCs w:val="32"/>
        </w:rPr>
        <w:t>3.公务用车购置费及运行维护费支出决算为83万元，其中：公务用车购置费50万元，2021年新购置两台公务用车；公务用车运行维护费33万元，主要是车辆燃料费、车辆维护费支出。截止2021年12月31日，我单位开支财政拨款的公务用车保有量为12辆。</w:t>
      </w:r>
    </w:p>
    <w:p>
      <w:pPr>
        <w:pStyle w:val="10"/>
        <w:rPr>
          <w:rFonts w:hAnsi="黑体"/>
          <w:b/>
          <w:sz w:val="32"/>
          <w:szCs w:val="32"/>
        </w:rPr>
      </w:pPr>
      <w:r>
        <w:rPr>
          <w:rFonts w:hint="eastAsia" w:hAnsi="黑体"/>
          <w:b/>
          <w:sz w:val="32"/>
          <w:szCs w:val="32"/>
        </w:rPr>
        <w:t>八、政府性基金预算收入支出决算情况</w:t>
      </w:r>
    </w:p>
    <w:p>
      <w:pPr>
        <w:widowControl/>
        <w:spacing w:before="60" w:after="150" w:line="560" w:lineRule="exact"/>
        <w:ind w:firstLine="640" w:firstLineChars="200"/>
        <w:jc w:val="left"/>
        <w:rPr>
          <w:rFonts w:asciiTheme="minorEastAsia" w:hAnsiTheme="minorEastAsia" w:cstheme="minorEastAsia"/>
          <w:color w:val="333333"/>
          <w:kern w:val="0"/>
          <w:sz w:val="24"/>
          <w:szCs w:val="24"/>
        </w:rPr>
      </w:pPr>
      <w:r>
        <w:rPr>
          <w:rFonts w:hint="eastAsia" w:asciiTheme="minorEastAsia" w:hAnsiTheme="minorEastAsia" w:cstheme="minorEastAsia"/>
          <w:color w:val="333333"/>
          <w:sz w:val="32"/>
          <w:szCs w:val="32"/>
        </w:rPr>
        <w:t>本单位无政府性基金收支。</w:t>
      </w:r>
    </w:p>
    <w:p>
      <w:pPr>
        <w:pStyle w:val="10"/>
        <w:rPr>
          <w:rFonts w:hAnsi="黑体"/>
          <w:b/>
          <w:sz w:val="32"/>
          <w:szCs w:val="32"/>
        </w:rPr>
      </w:pPr>
      <w:r>
        <w:rPr>
          <w:rFonts w:hint="eastAsia" w:hAnsi="黑体"/>
          <w:b/>
          <w:sz w:val="32"/>
          <w:szCs w:val="32"/>
        </w:rPr>
        <w:t>九、关于机关运行经费支出说明</w:t>
      </w:r>
    </w:p>
    <w:p>
      <w:pPr>
        <w:widowControl/>
        <w:spacing w:line="480" w:lineRule="auto"/>
        <w:ind w:firstLine="480"/>
        <w:rPr>
          <w:rFonts w:cs="宋体" w:asciiTheme="minorEastAsia" w:hAnsiTheme="minorEastAsia"/>
          <w:color w:val="333333"/>
          <w:kern w:val="0"/>
          <w:sz w:val="30"/>
          <w:szCs w:val="30"/>
        </w:rPr>
      </w:pPr>
      <w:r>
        <w:rPr>
          <w:rFonts w:hint="eastAsia" w:cs="宋体" w:asciiTheme="minorEastAsia" w:hAnsiTheme="minorEastAsia"/>
          <w:color w:val="000000"/>
          <w:kern w:val="0"/>
          <w:sz w:val="30"/>
          <w:szCs w:val="30"/>
        </w:rPr>
        <w:t>本单位2021 年度机关运行经费支出704.77万元</w:t>
      </w:r>
      <w:r>
        <w:rPr>
          <w:rFonts w:hint="eastAsia" w:cs="宋体" w:asciiTheme="minorEastAsia" w:hAnsiTheme="minorEastAsia"/>
          <w:color w:val="000000" w:themeColor="text1"/>
          <w:kern w:val="0"/>
          <w:sz w:val="30"/>
          <w:szCs w:val="30"/>
          <w14:textFill>
            <w14:solidFill>
              <w14:schemeClr w14:val="tx1"/>
            </w14:solidFill>
          </w14:textFill>
        </w:rPr>
        <w:t>，比年初预算数增加2.77万元。</w:t>
      </w:r>
      <w:r>
        <w:rPr>
          <w:rFonts w:hint="eastAsia" w:cs="宋体" w:asciiTheme="minorEastAsia" w:hAnsiTheme="minorEastAsia"/>
          <w:color w:val="333333"/>
          <w:kern w:val="0"/>
          <w:sz w:val="30"/>
          <w:szCs w:val="30"/>
        </w:rPr>
        <w:t>单位严格落实中共中央、国务院“过紧日子”的精神，对机关运行经费进行了严格控制。</w:t>
      </w:r>
    </w:p>
    <w:p>
      <w:pPr>
        <w:pStyle w:val="10"/>
        <w:rPr>
          <w:rFonts w:hAnsi="黑体"/>
          <w:b/>
          <w:sz w:val="32"/>
          <w:szCs w:val="32"/>
        </w:rPr>
      </w:pPr>
      <w:r>
        <w:rPr>
          <w:rFonts w:hint="eastAsia" w:hAnsi="黑体"/>
          <w:b/>
          <w:sz w:val="32"/>
          <w:szCs w:val="32"/>
        </w:rPr>
        <w:t>十、一般性支出情况</w:t>
      </w:r>
    </w:p>
    <w:p>
      <w:pPr>
        <w:ind w:firstLine="540"/>
        <w:jc w:val="left"/>
        <w:rPr>
          <w:rFonts w:cs="宋体" w:asciiTheme="minorEastAsia" w:hAnsiTheme="minorEastAsia"/>
          <w:color w:val="333333"/>
          <w:sz w:val="32"/>
          <w:szCs w:val="32"/>
        </w:rPr>
      </w:pPr>
      <w:r>
        <w:rPr>
          <w:rFonts w:hint="eastAsia" w:cs="宋体" w:asciiTheme="minorEastAsia" w:hAnsiTheme="minorEastAsia"/>
          <w:color w:val="333333"/>
          <w:sz w:val="32"/>
          <w:szCs w:val="32"/>
        </w:rPr>
        <w:t>2021年本部门无会议费预算支出；</w:t>
      </w:r>
    </w:p>
    <w:p>
      <w:pPr>
        <w:ind w:firstLine="540"/>
        <w:jc w:val="left"/>
        <w:rPr>
          <w:rFonts w:cs="宋体" w:asciiTheme="minorEastAsia" w:hAnsiTheme="minorEastAsia"/>
          <w:color w:val="000000"/>
          <w:kern w:val="0"/>
          <w:sz w:val="32"/>
          <w:szCs w:val="32"/>
        </w:rPr>
      </w:pPr>
      <w:r>
        <w:rPr>
          <w:rFonts w:cs="宋体" w:asciiTheme="minorEastAsia" w:hAnsiTheme="minorEastAsia"/>
          <w:color w:val="333333"/>
          <w:sz w:val="32"/>
          <w:szCs w:val="32"/>
        </w:rPr>
        <w:t>2021</w:t>
      </w:r>
      <w:r>
        <w:rPr>
          <w:rFonts w:hint="eastAsia" w:cs="宋体" w:asciiTheme="minorEastAsia" w:hAnsiTheme="minorEastAsia"/>
          <w:color w:val="333333"/>
          <w:sz w:val="32"/>
          <w:szCs w:val="32"/>
        </w:rPr>
        <w:t>年</w:t>
      </w:r>
      <w:r>
        <w:rPr>
          <w:rFonts w:cs="宋体" w:asciiTheme="minorEastAsia" w:hAnsiTheme="minorEastAsia"/>
          <w:color w:val="333333"/>
          <w:sz w:val="32"/>
          <w:szCs w:val="32"/>
        </w:rPr>
        <w:t>本部门</w:t>
      </w:r>
      <w:r>
        <w:rPr>
          <w:rFonts w:hint="eastAsia" w:cs="宋体" w:asciiTheme="minorEastAsia" w:hAnsiTheme="minorEastAsia"/>
          <w:color w:val="333333"/>
          <w:sz w:val="32"/>
          <w:szCs w:val="32"/>
        </w:rPr>
        <w:t>培训费财政拨款预算数50万元，支出决算数50万元，人数合计</w:t>
      </w:r>
      <w:r>
        <w:rPr>
          <w:rFonts w:cs="宋体" w:asciiTheme="minorEastAsia" w:hAnsiTheme="minorEastAsia"/>
          <w:color w:val="333333"/>
          <w:sz w:val="32"/>
          <w:szCs w:val="32"/>
        </w:rPr>
        <w:t>2500</w:t>
      </w:r>
      <w:r>
        <w:rPr>
          <w:rFonts w:hint="eastAsia" w:cs="宋体" w:asciiTheme="minorEastAsia" w:hAnsiTheme="minorEastAsia"/>
          <w:color w:val="333333"/>
          <w:sz w:val="32"/>
          <w:szCs w:val="32"/>
        </w:rPr>
        <w:t>人。内容为：1.监狱警察</w:t>
      </w:r>
      <w:r>
        <w:rPr>
          <w:rFonts w:hint="eastAsia" w:cs="宋体" w:asciiTheme="minorEastAsia" w:hAnsiTheme="minorEastAsia"/>
          <w:color w:val="000000"/>
          <w:kern w:val="0"/>
          <w:sz w:val="32"/>
          <w:szCs w:val="32"/>
        </w:rPr>
        <w:t>警衔晋升及新警首授培训12.12万元，2.业务能力培训：包括单位政治培训、改造线业务培训、会计继续教育培训、执法执纪培训等开支5.1万元,3.轮值轮训等能力素质培训32.78万元。</w:t>
      </w:r>
    </w:p>
    <w:p>
      <w:pPr>
        <w:ind w:firstLine="540"/>
        <w:jc w:val="left"/>
        <w:rPr>
          <w:rFonts w:ascii="宋体" w:hAnsi="宋体" w:eastAsia="宋体"/>
          <w:sz w:val="32"/>
          <w:szCs w:val="32"/>
        </w:rPr>
      </w:pPr>
      <w:r>
        <w:rPr>
          <w:rFonts w:hint="eastAsia" w:ascii="宋体" w:hAnsi="宋体" w:eastAsia="宋体"/>
          <w:sz w:val="32"/>
          <w:szCs w:val="32"/>
        </w:rPr>
        <w:t>2021年本单位无节庆、晚会、论坛、赛事活动经费预算及支出。</w:t>
      </w:r>
    </w:p>
    <w:p>
      <w:pPr>
        <w:widowControl/>
        <w:spacing w:before="60" w:after="150" w:line="560" w:lineRule="exact"/>
        <w:ind w:firstLine="640" w:firstLineChars="200"/>
        <w:jc w:val="left"/>
        <w:rPr>
          <w:rFonts w:hAnsi="黑体"/>
          <w:b/>
          <w:sz w:val="32"/>
          <w:szCs w:val="32"/>
        </w:rPr>
      </w:pPr>
      <w:r>
        <w:rPr>
          <w:rFonts w:hint="eastAsia" w:hAnsi="黑体"/>
          <w:b/>
          <w:sz w:val="32"/>
          <w:szCs w:val="32"/>
        </w:rPr>
        <w:t>十一、关于政府采购支出说明</w:t>
      </w:r>
    </w:p>
    <w:p>
      <w:pPr>
        <w:widowControl/>
        <w:spacing w:line="480" w:lineRule="auto"/>
        <w:ind w:firstLine="480"/>
        <w:rPr>
          <w:rFonts w:cs="宋体" w:asciiTheme="minorEastAsia" w:hAnsiTheme="minorEastAsia"/>
          <w:color w:val="FF0000"/>
          <w:kern w:val="0"/>
          <w:sz w:val="32"/>
          <w:szCs w:val="32"/>
        </w:rPr>
      </w:pPr>
      <w:r>
        <w:rPr>
          <w:rFonts w:hint="eastAsia" w:asciiTheme="minorEastAsia" w:hAnsiTheme="minorEastAsia"/>
          <w:sz w:val="32"/>
          <w:szCs w:val="32"/>
        </w:rPr>
        <w:t>本部门2021年度政府采购支出总额7,415.02万元，其中：政府采购货物支出232.98万元、政府采购工程支出6,782.04万元、政府采购服务支出400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十二、关于国有资产占用情况说明</w:t>
      </w:r>
    </w:p>
    <w:p>
      <w:pPr>
        <w:widowControl/>
        <w:spacing w:line="480" w:lineRule="auto"/>
        <w:ind w:firstLine="480"/>
        <w:rPr>
          <w:rFonts w:cs="宋体" w:asciiTheme="minorEastAsia" w:hAnsiTheme="minorEastAsia"/>
          <w:color w:val="333333"/>
          <w:kern w:val="0"/>
          <w:sz w:val="32"/>
          <w:szCs w:val="32"/>
        </w:rPr>
      </w:pPr>
      <w:r>
        <w:rPr>
          <w:rFonts w:hint="eastAsia" w:asciiTheme="minorEastAsia" w:hAnsiTheme="minorEastAsia"/>
          <w:sz w:val="32"/>
          <w:szCs w:val="32"/>
        </w:rPr>
        <w:t>截至2021年12月31日，本单位共有车辆12辆，</w:t>
      </w:r>
      <w:r>
        <w:rPr>
          <w:rFonts w:hint="eastAsia" w:cs="宋体" w:asciiTheme="minorEastAsia" w:hAnsiTheme="minorEastAsia"/>
          <w:color w:val="000000"/>
          <w:kern w:val="0"/>
          <w:sz w:val="32"/>
          <w:szCs w:val="32"/>
        </w:rPr>
        <w:t>其中执法执勤用车10辆、特种专业技术用车2辆。单位价值100万元以上专用设备1台（套）。</w:t>
      </w:r>
      <w:r>
        <w:rPr>
          <w:rFonts w:hint="eastAsia" w:cs="宋体" w:asciiTheme="minorEastAsia" w:hAnsiTheme="minorEastAsia"/>
          <w:color w:val="333333"/>
          <w:kern w:val="0"/>
          <w:sz w:val="32"/>
          <w:szCs w:val="32"/>
        </w:rPr>
        <w:t> </w:t>
      </w:r>
    </w:p>
    <w:p>
      <w:pPr>
        <w:pStyle w:val="10"/>
        <w:rPr>
          <w:rFonts w:hAnsi="黑体"/>
          <w:b/>
          <w:color w:val="auto"/>
          <w:sz w:val="32"/>
          <w:szCs w:val="32"/>
        </w:rPr>
      </w:pPr>
      <w:r>
        <w:rPr>
          <w:rFonts w:hint="eastAsia" w:hAnsi="黑体"/>
          <w:b/>
          <w:color w:val="auto"/>
          <w:sz w:val="32"/>
          <w:szCs w:val="32"/>
        </w:rPr>
        <w:t>十三、关于2021年度预算绩效情况的说明</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b/>
          <w:sz w:val="30"/>
          <w:szCs w:val="30"/>
        </w:rPr>
        <w:t>（一）预算绩效管理工作开展情况</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sz w:val="30"/>
          <w:szCs w:val="30"/>
        </w:rPr>
        <w:t>为加强财政支出管理，提高财政资金使用效益，根据《湖南省财政厅关于开展2021年度部门整体支出绩效自评工作的通知》（湘财绩〔2022〕1号）精神，我狱迅速成立考评组，对省直监狱系统2021年部门整体支出进行了全方位绩效评价。评价采用定量分析和定性分析相结合的方法，围绕部门职责、行业发展规划，以预算资金管理为主线，一方面从预算配置、履职效益、预算管理、职责履行、预算执行情况和各部门新增财政支出、一般性支出、办公经费支出、机构编制和工资管理以及厉行节约保障措施等方面进行了综合评价；另一方面从运行成本、管理效率、履职效能、社会效应、可持续发展能力和服务对象满意度等方面，衡量部门整体及核心业务实施效果。</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sz w:val="30"/>
          <w:szCs w:val="30"/>
        </w:rPr>
        <w:t>从评价情况来看，完成情况较好，主要表现为以下几个方面：一是项目设置了明确的绩效目标，在推进绩效目标得以实现的同时，为以后年度项目安排及资金管理提供重要依据；二是进一步规范政府采购和财政投资评审工作，加大政府采购指导和监督力度，极大地降低了项目预算成本；三是以提升绩效评价质量为动力，推进财务内控标准化建设。</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b/>
          <w:sz w:val="30"/>
          <w:szCs w:val="30"/>
        </w:rPr>
        <w:t>（二）预算绩效管理目标</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sz w:val="30"/>
          <w:szCs w:val="30"/>
        </w:rPr>
        <w:t> 坚持以习近平新时代中国特色社会主义思想为指导，深入贯彻习近平总书记重要讲话精神，全面落实省厅局工作部署，旗帜鲜明地把政治建设放在首位，坚持党对监狱工作的绝对领导，坚持以人民为中心的发展思想，坚持稳中求进工作总基调，以打造最安全监狱为目标，聚焦监狱治理现代化，坚守安全底线，践行改造宗旨，深化改革创新，打造过硬队伍，努力推动新时代监狱工作高质量发展。</w:t>
      </w:r>
    </w:p>
    <w:p>
      <w:pPr>
        <w:pStyle w:val="5"/>
        <w:widowControl/>
        <w:spacing w:beforeAutospacing="0" w:afterAutospacing="0" w:line="420" w:lineRule="atLeast"/>
        <w:ind w:firstLine="480"/>
        <w:jc w:val="both"/>
        <w:rPr>
          <w:rFonts w:asciiTheme="minorEastAsia" w:hAnsiTheme="minorEastAsia" w:cstheme="minorEastAsia"/>
          <w:sz w:val="30"/>
          <w:szCs w:val="30"/>
        </w:rPr>
      </w:pPr>
      <w:r>
        <w:rPr>
          <w:rFonts w:hint="eastAsia" w:asciiTheme="minorEastAsia" w:hAnsiTheme="minorEastAsia" w:cstheme="minorEastAsia"/>
          <w:b/>
          <w:sz w:val="30"/>
          <w:szCs w:val="30"/>
        </w:rPr>
        <w:t>（三）部门整体支出绩效自评</w:t>
      </w:r>
    </w:p>
    <w:p>
      <w:pPr>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2021年，我们以队伍教育整顿活动为契机，推动了党史学习教育，并强化党建引领作用，不断深化队伍建设；以“8.25”事件为警示，对监管安全隐患进行了全面梳理，需提前报废的资产按照程序处置，资料和专题报告已报省局。并以年底资产清查为契机，与实物管理部门按照“统一政策、统一步骤、统一要求”的原则，实施监狱资产全面清查，确保资产账实、账卡、账账相符，规范资产管理，将实现资产管理与财务管理紧密对接；加强业务培训，提升专业服务技能，夯实财务基础工作。规范监企收支运行，统筹考虑资金使用效益，着重围绕监狱中心工作，科学、精评审准编制全口径预算。按照要求部门预算在监狱局官网上公开，在执行过程中合理、有效的安排各项资金，并建立预算绩效评价体系，做到“先预算后开支、有预算不超支、无预算不开支”的理念入人心，让预算管理成为了监狱稳健发展的的助推器。监狱“三公四费经费”均按预算执行，本年度按照审批制度和流程，采购2台公务车；公务接待费用严格按照制度核报均无超范围、超标准、无公函接待现象。单位整体管理水平不断提高，整体支出绩效自评为“优”。在新一届党委领导班子带领下，全狱警察职工坚守岗位、闯关夺隘，向问题“宣战”、向短板“开刀”，持续推进监狱综合治理，确保了队伍团结稳定、精神牢固坚定。</w:t>
      </w:r>
    </w:p>
    <w:p>
      <w:pPr>
        <w:pStyle w:val="10"/>
        <w:jc w:val="center"/>
        <w:rPr>
          <w:rFonts w:ascii="宋体" w:hAnsi="宋体" w:eastAsia="宋体" w:cs="宋体"/>
          <w:color w:val="auto"/>
          <w:sz w:val="32"/>
          <w:szCs w:val="32"/>
        </w:rPr>
      </w:pPr>
    </w:p>
    <w:p>
      <w:pPr>
        <w:pStyle w:val="10"/>
        <w:jc w:val="center"/>
        <w:rPr>
          <w:rFonts w:ascii="宋体" w:hAnsi="宋体" w:eastAsia="宋体" w:cs="宋体"/>
          <w:color w:val="auto"/>
          <w:sz w:val="32"/>
          <w:szCs w:val="32"/>
        </w:rPr>
      </w:pPr>
    </w:p>
    <w:p>
      <w:pPr>
        <w:pStyle w:val="10"/>
        <w:jc w:val="center"/>
        <w:rPr>
          <w:color w:val="auto"/>
          <w:sz w:val="72"/>
          <w:szCs w:val="72"/>
        </w:rPr>
      </w:pPr>
    </w:p>
    <w:p>
      <w:pPr>
        <w:pStyle w:val="10"/>
        <w:jc w:val="center"/>
        <w:rPr>
          <w:color w:val="auto"/>
          <w:sz w:val="72"/>
          <w:szCs w:val="72"/>
        </w:rPr>
      </w:pPr>
    </w:p>
    <w:p>
      <w:pPr>
        <w:pStyle w:val="10"/>
        <w:jc w:val="center"/>
        <w:rPr>
          <w:color w:val="auto"/>
          <w:sz w:val="72"/>
          <w:szCs w:val="72"/>
        </w:rPr>
      </w:pPr>
    </w:p>
    <w:p>
      <w:pPr>
        <w:pStyle w:val="10"/>
        <w:rPr>
          <w:sz w:val="72"/>
          <w:szCs w:val="72"/>
        </w:rPr>
      </w:pPr>
    </w:p>
    <w:p>
      <w:pPr>
        <w:pStyle w:val="10"/>
        <w:ind w:firstLine="3600" w:firstLineChars="500"/>
        <w:rPr>
          <w:sz w:val="72"/>
          <w:szCs w:val="72"/>
        </w:rPr>
      </w:pPr>
    </w:p>
    <w:p>
      <w:pPr>
        <w:pStyle w:val="10"/>
        <w:ind w:firstLine="3600" w:firstLineChars="500"/>
        <w:rPr>
          <w:sz w:val="72"/>
          <w:szCs w:val="72"/>
        </w:rPr>
      </w:pPr>
    </w:p>
    <w:p>
      <w:pPr>
        <w:pStyle w:val="10"/>
        <w:ind w:firstLine="3600" w:firstLineChars="500"/>
        <w:rPr>
          <w:sz w:val="72"/>
          <w:szCs w:val="72"/>
        </w:rPr>
      </w:pPr>
    </w:p>
    <w:p>
      <w:pPr>
        <w:pStyle w:val="10"/>
        <w:ind w:firstLine="3600" w:firstLineChars="500"/>
        <w:rPr>
          <w:sz w:val="72"/>
          <w:szCs w:val="72"/>
        </w:rPr>
      </w:pPr>
    </w:p>
    <w:p>
      <w:pPr>
        <w:pStyle w:val="10"/>
        <w:ind w:firstLine="3600" w:firstLineChars="500"/>
        <w:rPr>
          <w:sz w:val="72"/>
          <w:szCs w:val="72"/>
        </w:rPr>
      </w:pPr>
    </w:p>
    <w:p>
      <w:pPr>
        <w:pStyle w:val="10"/>
        <w:ind w:firstLine="3600" w:firstLineChars="500"/>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spacing w:line="480" w:lineRule="auto"/>
        <w:rPr>
          <w:rFonts w:cs="宋体" w:asciiTheme="minorEastAsia" w:hAnsiTheme="minorEastAsia"/>
          <w:color w:val="333333"/>
          <w:kern w:val="0"/>
          <w:sz w:val="32"/>
          <w:szCs w:val="32"/>
        </w:rPr>
      </w:pPr>
      <w:r>
        <w:rPr>
          <w:rFonts w:hint="eastAsia" w:ascii="微软雅黑" w:hAnsi="微软雅黑" w:eastAsia="微软雅黑" w:cs="宋体"/>
          <w:color w:val="333333"/>
          <w:kern w:val="0"/>
          <w:sz w:val="24"/>
          <w:szCs w:val="24"/>
        </w:rPr>
        <w:t>  </w:t>
      </w:r>
      <w:r>
        <w:rPr>
          <w:rFonts w:hint="eastAsia" w:cs="宋体" w:asciiTheme="minorEastAsia" w:hAnsiTheme="minorEastAsia"/>
          <w:color w:val="333333"/>
          <w:kern w:val="0"/>
          <w:sz w:val="32"/>
          <w:szCs w:val="32"/>
        </w:rPr>
        <w:t>  一、“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480" w:lineRule="auto"/>
        <w:rPr>
          <w:rFonts w:cs="宋体" w:asciiTheme="minorEastAsia" w:hAnsiTheme="minorEastAsia"/>
          <w:color w:val="333333"/>
          <w:kern w:val="0"/>
          <w:sz w:val="32"/>
          <w:szCs w:val="32"/>
        </w:rPr>
      </w:pPr>
      <w:r>
        <w:rPr>
          <w:rFonts w:hint="eastAsia" w:cs="宋体" w:asciiTheme="minorEastAsia" w:hAnsiTheme="minorEastAsia"/>
          <w:color w:val="333333"/>
          <w:kern w:val="0"/>
          <w:sz w:val="32"/>
          <w:szCs w:val="32"/>
        </w:rPr>
        <w:t>    二、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ind w:firstLine="640" w:firstLineChars="200"/>
        <w:jc w:val="left"/>
        <w:rPr>
          <w:rFonts w:cs="黑体" w:asciiTheme="minorEastAsia" w:hAnsiTheme="minorEastAsia"/>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ind w:firstLine="3600" w:firstLineChars="500"/>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根据涉密信息管理要求，湖南省长沙监狱2021年度部门整体支出绩效评价报告依法不予公开</w:t>
      </w:r>
    </w:p>
    <w:p>
      <w:pPr>
        <w:jc w:val="left"/>
        <w:rPr>
          <w:rFonts w:asciiTheme="minorEastAsia" w:hAnsiTheme="minorEastAsia" w:cstheme="minorEastAsia"/>
          <w:color w:val="000000"/>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99F32D5"/>
    <w:multiLevelType w:val="singleLevel"/>
    <w:tmpl w:val="699F32D5"/>
    <w:lvl w:ilvl="0" w:tentative="0">
      <w:start w:val="1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18A9"/>
    <w:rsid w:val="00021C4C"/>
    <w:rsid w:val="0002229B"/>
    <w:rsid w:val="000273BD"/>
    <w:rsid w:val="00034514"/>
    <w:rsid w:val="000415B7"/>
    <w:rsid w:val="00041E3F"/>
    <w:rsid w:val="00045456"/>
    <w:rsid w:val="00055DAA"/>
    <w:rsid w:val="00061F7B"/>
    <w:rsid w:val="000658A3"/>
    <w:rsid w:val="00074155"/>
    <w:rsid w:val="000A3F69"/>
    <w:rsid w:val="00103957"/>
    <w:rsid w:val="00152C6D"/>
    <w:rsid w:val="00162D39"/>
    <w:rsid w:val="001678BD"/>
    <w:rsid w:val="001A67DB"/>
    <w:rsid w:val="001C3C29"/>
    <w:rsid w:val="001D51E5"/>
    <w:rsid w:val="001D5715"/>
    <w:rsid w:val="001E080D"/>
    <w:rsid w:val="001E53D0"/>
    <w:rsid w:val="001F0C3B"/>
    <w:rsid w:val="00202C82"/>
    <w:rsid w:val="00214427"/>
    <w:rsid w:val="00226CB7"/>
    <w:rsid w:val="00264552"/>
    <w:rsid w:val="00264EF9"/>
    <w:rsid w:val="00265724"/>
    <w:rsid w:val="0027426B"/>
    <w:rsid w:val="002B572D"/>
    <w:rsid w:val="002D508D"/>
    <w:rsid w:val="002E0A30"/>
    <w:rsid w:val="003130C4"/>
    <w:rsid w:val="00316C4B"/>
    <w:rsid w:val="0032192B"/>
    <w:rsid w:val="0033065D"/>
    <w:rsid w:val="003479BD"/>
    <w:rsid w:val="0037197D"/>
    <w:rsid w:val="003768D5"/>
    <w:rsid w:val="00392BAA"/>
    <w:rsid w:val="003C47E6"/>
    <w:rsid w:val="003C4FC2"/>
    <w:rsid w:val="003E5446"/>
    <w:rsid w:val="003F134F"/>
    <w:rsid w:val="00416E61"/>
    <w:rsid w:val="0042790C"/>
    <w:rsid w:val="004506F9"/>
    <w:rsid w:val="00451459"/>
    <w:rsid w:val="004717A2"/>
    <w:rsid w:val="00473DF3"/>
    <w:rsid w:val="00487911"/>
    <w:rsid w:val="00491741"/>
    <w:rsid w:val="004921BF"/>
    <w:rsid w:val="00500E5F"/>
    <w:rsid w:val="00506512"/>
    <w:rsid w:val="005122EF"/>
    <w:rsid w:val="0051441A"/>
    <w:rsid w:val="00517C33"/>
    <w:rsid w:val="0052029D"/>
    <w:rsid w:val="00523644"/>
    <w:rsid w:val="0054069E"/>
    <w:rsid w:val="00544866"/>
    <w:rsid w:val="005767CC"/>
    <w:rsid w:val="00590D9F"/>
    <w:rsid w:val="00595D26"/>
    <w:rsid w:val="005A0C4F"/>
    <w:rsid w:val="005A74E6"/>
    <w:rsid w:val="005B404E"/>
    <w:rsid w:val="005D4D55"/>
    <w:rsid w:val="005E2CFB"/>
    <w:rsid w:val="005F3D1C"/>
    <w:rsid w:val="0062378F"/>
    <w:rsid w:val="006374EA"/>
    <w:rsid w:val="00641842"/>
    <w:rsid w:val="00651EEC"/>
    <w:rsid w:val="00674903"/>
    <w:rsid w:val="00686673"/>
    <w:rsid w:val="00691E8C"/>
    <w:rsid w:val="006A22C4"/>
    <w:rsid w:val="006A351B"/>
    <w:rsid w:val="006A439B"/>
    <w:rsid w:val="006B0422"/>
    <w:rsid w:val="006C1B53"/>
    <w:rsid w:val="006D7730"/>
    <w:rsid w:val="006E0FF3"/>
    <w:rsid w:val="006E5284"/>
    <w:rsid w:val="006E5980"/>
    <w:rsid w:val="006F3EB5"/>
    <w:rsid w:val="00702E34"/>
    <w:rsid w:val="00704395"/>
    <w:rsid w:val="00717621"/>
    <w:rsid w:val="00720FF1"/>
    <w:rsid w:val="00727A53"/>
    <w:rsid w:val="00777DA2"/>
    <w:rsid w:val="00787B42"/>
    <w:rsid w:val="0079490F"/>
    <w:rsid w:val="007A547A"/>
    <w:rsid w:val="007C4539"/>
    <w:rsid w:val="007F3657"/>
    <w:rsid w:val="00812ED5"/>
    <w:rsid w:val="008277D9"/>
    <w:rsid w:val="0084478C"/>
    <w:rsid w:val="0086638C"/>
    <w:rsid w:val="0087251E"/>
    <w:rsid w:val="0087681D"/>
    <w:rsid w:val="0088185C"/>
    <w:rsid w:val="008A3E8D"/>
    <w:rsid w:val="008C2D83"/>
    <w:rsid w:val="00914F15"/>
    <w:rsid w:val="009237C4"/>
    <w:rsid w:val="0092609F"/>
    <w:rsid w:val="00942B80"/>
    <w:rsid w:val="00944C48"/>
    <w:rsid w:val="00950252"/>
    <w:rsid w:val="00956FE6"/>
    <w:rsid w:val="00967F5D"/>
    <w:rsid w:val="00980FA0"/>
    <w:rsid w:val="009A0F95"/>
    <w:rsid w:val="009B3ADF"/>
    <w:rsid w:val="009C2D1F"/>
    <w:rsid w:val="009C3B52"/>
    <w:rsid w:val="009E3836"/>
    <w:rsid w:val="009E6817"/>
    <w:rsid w:val="009E6E9A"/>
    <w:rsid w:val="00A01D2B"/>
    <w:rsid w:val="00A07374"/>
    <w:rsid w:val="00A42218"/>
    <w:rsid w:val="00A70249"/>
    <w:rsid w:val="00A70B02"/>
    <w:rsid w:val="00A71D9F"/>
    <w:rsid w:val="00A92E9F"/>
    <w:rsid w:val="00A94A2D"/>
    <w:rsid w:val="00AD44A8"/>
    <w:rsid w:val="00AE110C"/>
    <w:rsid w:val="00B32BF1"/>
    <w:rsid w:val="00B33BEA"/>
    <w:rsid w:val="00B57C9F"/>
    <w:rsid w:val="00B6268E"/>
    <w:rsid w:val="00B63572"/>
    <w:rsid w:val="00B845B3"/>
    <w:rsid w:val="00B85D8B"/>
    <w:rsid w:val="00BB423F"/>
    <w:rsid w:val="00BB4A40"/>
    <w:rsid w:val="00BB6987"/>
    <w:rsid w:val="00BD6C3E"/>
    <w:rsid w:val="00BE3674"/>
    <w:rsid w:val="00C10681"/>
    <w:rsid w:val="00C14136"/>
    <w:rsid w:val="00C3049A"/>
    <w:rsid w:val="00C31B1E"/>
    <w:rsid w:val="00C44EE8"/>
    <w:rsid w:val="00C538E6"/>
    <w:rsid w:val="00C62516"/>
    <w:rsid w:val="00C71957"/>
    <w:rsid w:val="00C72824"/>
    <w:rsid w:val="00C76629"/>
    <w:rsid w:val="00C77645"/>
    <w:rsid w:val="00CB4BEF"/>
    <w:rsid w:val="00CE04C3"/>
    <w:rsid w:val="00CE76A0"/>
    <w:rsid w:val="00D148C6"/>
    <w:rsid w:val="00D17A8A"/>
    <w:rsid w:val="00D21205"/>
    <w:rsid w:val="00D415BA"/>
    <w:rsid w:val="00D644EE"/>
    <w:rsid w:val="00DB0D71"/>
    <w:rsid w:val="00DD06FF"/>
    <w:rsid w:val="00DD5FE9"/>
    <w:rsid w:val="00DE776A"/>
    <w:rsid w:val="00E00C7A"/>
    <w:rsid w:val="00E37D6C"/>
    <w:rsid w:val="00E55B68"/>
    <w:rsid w:val="00E67BE6"/>
    <w:rsid w:val="00E738A0"/>
    <w:rsid w:val="00E8683C"/>
    <w:rsid w:val="00EA2B72"/>
    <w:rsid w:val="00F74360"/>
    <w:rsid w:val="00FB462F"/>
    <w:rsid w:val="00FE16FA"/>
    <w:rsid w:val="00FE328A"/>
    <w:rsid w:val="00FE6269"/>
    <w:rsid w:val="00FF5CD6"/>
    <w:rsid w:val="01E969D6"/>
    <w:rsid w:val="05EB133D"/>
    <w:rsid w:val="07772280"/>
    <w:rsid w:val="08E407C2"/>
    <w:rsid w:val="0A115AE2"/>
    <w:rsid w:val="0A156E15"/>
    <w:rsid w:val="0D067FD6"/>
    <w:rsid w:val="0D930466"/>
    <w:rsid w:val="0FA91A1F"/>
    <w:rsid w:val="10B53659"/>
    <w:rsid w:val="122139DA"/>
    <w:rsid w:val="15A77FF5"/>
    <w:rsid w:val="15F101FE"/>
    <w:rsid w:val="172736D5"/>
    <w:rsid w:val="18B348C5"/>
    <w:rsid w:val="195B572C"/>
    <w:rsid w:val="197946B0"/>
    <w:rsid w:val="19DA72A2"/>
    <w:rsid w:val="1B786638"/>
    <w:rsid w:val="1C2E001E"/>
    <w:rsid w:val="1DF4258F"/>
    <w:rsid w:val="1E9134AC"/>
    <w:rsid w:val="200B219B"/>
    <w:rsid w:val="20DC5E22"/>
    <w:rsid w:val="21FE461E"/>
    <w:rsid w:val="23E96310"/>
    <w:rsid w:val="24B84105"/>
    <w:rsid w:val="27BE3037"/>
    <w:rsid w:val="2E9225E1"/>
    <w:rsid w:val="30D96A68"/>
    <w:rsid w:val="3237208D"/>
    <w:rsid w:val="32925C39"/>
    <w:rsid w:val="3395721E"/>
    <w:rsid w:val="360F24E7"/>
    <w:rsid w:val="37E56448"/>
    <w:rsid w:val="38906E95"/>
    <w:rsid w:val="38D1116F"/>
    <w:rsid w:val="3BE92394"/>
    <w:rsid w:val="3FBC5433"/>
    <w:rsid w:val="42207281"/>
    <w:rsid w:val="437F3DA6"/>
    <w:rsid w:val="453D2147"/>
    <w:rsid w:val="46A62250"/>
    <w:rsid w:val="4943747C"/>
    <w:rsid w:val="4BFE10CC"/>
    <w:rsid w:val="4ED66C9A"/>
    <w:rsid w:val="546E4664"/>
    <w:rsid w:val="551F3702"/>
    <w:rsid w:val="555137C8"/>
    <w:rsid w:val="596E08FE"/>
    <w:rsid w:val="5B4F3604"/>
    <w:rsid w:val="5D7E4892"/>
    <w:rsid w:val="5E240BC3"/>
    <w:rsid w:val="5F904870"/>
    <w:rsid w:val="5FC46082"/>
    <w:rsid w:val="601D1736"/>
    <w:rsid w:val="62B72DD7"/>
    <w:rsid w:val="638C59B6"/>
    <w:rsid w:val="69D41292"/>
    <w:rsid w:val="6B1B69A8"/>
    <w:rsid w:val="6DF33CD1"/>
    <w:rsid w:val="70CD2563"/>
    <w:rsid w:val="72655D2C"/>
    <w:rsid w:val="72BB5B15"/>
    <w:rsid w:val="736C21A9"/>
    <w:rsid w:val="739B4C9E"/>
    <w:rsid w:val="73CD006E"/>
    <w:rsid w:val="73F22A01"/>
    <w:rsid w:val="749F2376"/>
    <w:rsid w:val="752C75B1"/>
    <w:rsid w:val="76FB039A"/>
    <w:rsid w:val="77355C44"/>
    <w:rsid w:val="78D766B7"/>
    <w:rsid w:val="7C9853CD"/>
    <w:rsid w:val="7CDD7AF9"/>
    <w:rsid w:val="7E262F67"/>
    <w:rsid w:val="7E446888"/>
    <w:rsid w:val="7F2B30CF"/>
    <w:rsid w:val="7F8521C9"/>
    <w:rsid w:val="7FD864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55AE1-7C41-43A5-A2AD-5FA76480C75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1026</Words>
  <Characters>5849</Characters>
  <Lines>48</Lines>
  <Paragraphs>13</Paragraphs>
  <TotalTime>141</TotalTime>
  <ScaleCrop>false</ScaleCrop>
  <LinksUpToDate>false</LinksUpToDate>
  <CharactersWithSpaces>6862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2021-09-01T04:34:00Z</cp:lastPrinted>
  <dcterms:modified xsi:type="dcterms:W3CDTF">2022-09-15T01:09:34Z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C2274856A1354494B14A474CBCD9BC3F</vt:lpwstr>
  </property>
</Properties>
</file>