
<file path=[Content_Types].xml><?xml version="1.0" encoding="utf-8"?>
<Types xmlns="http://schemas.openxmlformats.org/package/2006/content-types">
  <Default Extension="xml" ContentType="application/xml"/>
  <Default Extension="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header1.xml" ContentType="application/vnd.openxmlformats-officedocument.wordprocessingml.header+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wpc="http://schemas.microsoft.com/office/word/2010/wordprocessingCanvas" xmlns:r="http://schemas.openxmlformats.org/officeDocument/2006/relationships" xmlns:o="urn:schemas-microsoft-com:office:office" xmlns:m="http://schemas.openxmlformats.org/officeDocument/2006/math" xmlns:wpi="http://schemas.microsoft.com/office/word/2010/wordprocessingInk" xmlns:w10="urn:schemas-microsoft-com:office:word" xmlns:cx="http://schemas.microsoft.com/office/drawing/2014/chartex" xmlns:w14="http://schemas.microsoft.com/office/word/2010/wordml" xmlns:cx1="http://schemas.microsoft.com/office/drawing/2015/9/8/chartex" xmlns:wne="http://schemas.microsoft.com/office/word/2006/wordml" xmlns:w15="http://schemas.microsoft.com/office/word/2012/wordml" xmlns:mc="http://schemas.openxmlformats.org/markup-compatibility/2006" xmlns:v="urn:schemas-microsoft-com:vml" xmlns:wp14="http://schemas.microsoft.com/office/word/2010/wordprocessingDrawing" xmlns:wpg="http://schemas.microsoft.com/office/word/2010/wordprocessingGroup" xmlns:wp="http://schemas.openxmlformats.org/drawingml/2006/wordprocessingDrawing" xmlns:w16se="http://schemas.microsoft.com/office/word/2015/wordml/symex" xmlns:w="http://schemas.openxmlformats.org/wordprocessingml/2006/main" mc:Ignorable="w14 w15 w16se wp14">
  <w:body>
    <w:p>
      <w:pPr>
        <w:pStyle w:val="UserStyle_3"/>
        <w:jc w:val="center"/>
        <w:rPr>
          <w:sz w:val="56"/>
          <w:szCs w:val="56"/>
          <w:rFonts w:hint="eastAsia"/>
        </w:rPr>
      </w:pPr>
      <w:r>
        <w:rPr>
          <w:sz w:val="56"/>
          <w:szCs w:val="56"/>
          <w:rFonts w:hint="eastAsia"/>
        </w:rPr>
      </w:r>
    </w:p>
    <w:p>
      <w:pPr>
        <w:pStyle w:val="UserStyle_3"/>
        <w:jc w:val="center"/>
        <w:rPr>
          <w:sz w:val="56"/>
          <w:szCs w:val="56"/>
        </w:rPr>
      </w:pPr>
      <w:r>
        <w:rPr>
          <w:sz w:val="56"/>
          <w:szCs w:val="56"/>
        </w:rPr>
      </w:r>
    </w:p>
    <w:p>
      <w:pPr>
        <w:pStyle w:val="UserStyle_3"/>
        <w:jc w:val="center"/>
        <w:rPr>
          <w:sz w:val="84"/>
          <w:szCs w:val="84"/>
        </w:rPr>
      </w:pPr>
      <w:r>
        <w:rPr>
          <w:sz w:val="84"/>
          <w:szCs w:val="84"/>
        </w:rPr>
      </w:r>
    </w:p>
    <w:p>
      <w:pPr>
        <w:pStyle w:val="UserStyle_3"/>
        <w:jc w:val="center"/>
        <w:rPr>
          <w:sz w:val="84"/>
          <w:szCs w:val="84"/>
        </w:rPr>
      </w:pPr>
      <w:r>
        <w:rPr>
          <w:sz w:val="84"/>
          <w:szCs w:val="84"/>
        </w:rPr>
      </w:r>
    </w:p>
    <w:p>
      <w:pPr>
        <w:pStyle w:val="UserStyle_3"/>
        <w:jc w:val="center"/>
        <w:rPr>
          <w:sz w:val="84"/>
          <w:szCs w:val="84"/>
          <w:rFonts w:hint="eastAsia"/>
        </w:rPr>
      </w:pPr>
      <w:r>
        <w:rPr>
          <w:sz w:val="84"/>
          <w:szCs w:val="84"/>
          <w:rFonts w:hint="eastAsia"/>
        </w:rPr>
      </w:r>
    </w:p>
    <w:p>
      <w:pPr>
        <w:pStyle w:val="UserStyle_3"/>
        <w:jc w:val="center"/>
        <w:rPr>
          <w:sz w:val="84"/>
          <w:szCs w:val="84"/>
          <w:rFonts w:hint="eastAsia"/>
        </w:rPr>
      </w:pPr>
      <w:r>
        <w:rPr>
          <w:sz w:val="84"/>
          <w:szCs w:val="84"/>
          <w:rFonts w:hint="eastAsia"/>
        </w:rPr>
        <w:t xml:space="preserve">2021年度</w:t>
      </w:r>
      <w:r>
        <w:rPr>
          <w:sz w:val="84"/>
          <w:szCs w:val="84"/>
          <w:rFonts w:hint="eastAsia"/>
        </w:rPr>
      </w:r>
    </w:p>
    <w:p>
      <w:pPr>
        <w:pStyle w:val="UserStyle_3"/>
        <w:jc w:val="center"/>
        <w:rPr>
          <w:sz w:val="84"/>
          <w:szCs w:val="84"/>
          <w:rFonts w:hint="eastAsia"/>
        </w:rPr>
      </w:pPr>
      <w:r>
        <w:rPr>
          <w:sz w:val="84"/>
          <w:szCs w:val="84"/>
          <w:rFonts w:hint="eastAsia"/>
        </w:rPr>
        <w:t xml:space="preserve">湖南省赤山监狱部门决算</w:t>
      </w:r>
      <w:r>
        <w:rPr>
          <w:sz w:val="84"/>
          <w:szCs w:val="84"/>
        </w:rPr>
      </w:r>
    </w:p>
    <w:p>
      <w:pPr>
        <w:pStyle w:val="UserStyle_3"/>
        <w:jc w:val="center"/>
        <w:rPr>
          <w:sz w:val="56"/>
          <w:szCs w:val="56"/>
        </w:rPr>
      </w:pPr>
      <w:r>
        <w:rPr>
          <w:sz w:val="56"/>
          <w:szCs w:val="56"/>
        </w:rPr>
      </w:r>
    </w:p>
    <w:p>
      <w:pPr>
        <w:pStyle w:val="UserStyle_3"/>
        <w:jc w:val="center"/>
        <w:rPr>
          <w:sz w:val="56"/>
          <w:szCs w:val="56"/>
        </w:rPr>
      </w:pPr>
      <w:r>
        <w:rPr>
          <w:sz w:val="56"/>
          <w:szCs w:val="56"/>
        </w:rPr>
      </w:r>
    </w:p>
    <w:p>
      <w:pPr>
        <w:pStyle w:val="UserStyle_3"/>
        <w:jc w:val="center"/>
        <w:rPr>
          <w:sz w:val="56"/>
          <w:szCs w:val="56"/>
        </w:rPr>
      </w:pPr>
      <w:r>
        <w:rPr>
          <w:sz w:val="56"/>
          <w:szCs w:val="56"/>
        </w:rPr>
      </w:r>
    </w:p>
    <w:p>
      <w:pPr>
        <w:pStyle w:val="UserStyle_3"/>
        <w:jc w:val="center"/>
        <w:rPr>
          <w:sz w:val="56"/>
          <w:szCs w:val="56"/>
        </w:rPr>
      </w:pPr>
      <w:r>
        <w:rPr>
          <w:sz w:val="56"/>
          <w:szCs w:val="56"/>
        </w:rPr>
      </w:r>
    </w:p>
    <w:p>
      <w:pPr>
        <w:pStyle w:val="UserStyle_3"/>
        <w:jc w:val="center"/>
        <w:rPr>
          <w:sz w:val="32"/>
          <w:szCs w:val="32"/>
        </w:rPr>
      </w:pPr>
      <w:r>
        <w:rPr>
          <w:sz w:val="32"/>
          <w:szCs w:val="32"/>
        </w:rPr>
      </w:r>
    </w:p>
    <w:p>
      <w:pPr>
        <w:pStyle w:val="UserStyle_3"/>
        <w:jc w:val="center"/>
        <w:rPr>
          <w:sz w:val="32"/>
          <w:szCs w:val="32"/>
        </w:rPr>
      </w:pPr>
      <w:r>
        <w:rPr>
          <w:sz w:val="32"/>
          <w:szCs w:val="32"/>
        </w:rPr>
      </w:r>
    </w:p>
    <w:p>
      <w:pPr>
        <w:pStyle w:val="UserStyle_3"/>
        <w:jc w:val="center"/>
        <w:rPr>
          <w:sz w:val="32"/>
          <w:szCs w:val="32"/>
        </w:rPr>
      </w:pPr>
      <w:r>
        <w:rPr>
          <w:sz w:val="32"/>
          <w:szCs w:val="32"/>
        </w:rPr>
      </w:r>
    </w:p>
    <w:p>
      <w:pPr>
        <w:pStyle w:val="UserStyle_3"/>
        <w:jc w:val="center"/>
        <w:rPr>
          <w:sz w:val="32"/>
          <w:szCs w:val="32"/>
        </w:rPr>
      </w:pPr>
      <w:r>
        <w:rPr>
          <w:sz w:val="32"/>
          <w:szCs w:val="32"/>
        </w:rPr>
      </w:r>
    </w:p>
    <w:p>
      <w:pPr>
        <w:pStyle w:val="UserStyle_3"/>
        <w:jc w:val="center"/>
        <w:rPr>
          <w:sz w:val="32"/>
          <w:szCs w:val="32"/>
        </w:rPr>
      </w:pPr>
      <w:r>
        <w:rPr>
          <w:sz w:val="32"/>
          <w:szCs w:val="32"/>
        </w:rPr>
      </w:r>
    </w:p>
    <w:p>
      <w:pPr>
        <w:pStyle w:val="UserStyle_3"/>
        <w:spacing w:line="500" w:lineRule="exact"/>
        <w:rPr>
          <w:sz w:val="56"/>
          <w:szCs w:val="56"/>
        </w:rPr>
      </w:pPr>
      <w:r>
        <w:rPr>
          <w:sz w:val="56"/>
          <w:szCs w:val="56"/>
        </w:rPr>
      </w:r>
    </w:p>
    <w:p>
      <w:pPr>
        <w:pStyle w:val="UserStyle_3"/>
        <w:jc w:val="center"/>
        <w:spacing w:line="480" w:lineRule="exact"/>
        <w:rPr>
          <w:b w:val="1"/>
          <w:sz w:val="36"/>
          <w:szCs w:val="28"/>
          <w:rFonts w:hint="eastAsia"/>
        </w:rPr>
      </w:pPr>
      <w:r>
        <w:rPr>
          <w:b w:val="1"/>
          <w:sz w:val="36"/>
          <w:szCs w:val="28"/>
          <w:rFonts w:hint="eastAsia"/>
        </w:rPr>
        <w:t xml:space="preserve">目录</w:t>
      </w:r>
      <w:r>
        <w:rPr>
          <w:b w:val="1"/>
          <w:sz w:val="36"/>
          <w:szCs w:val="28"/>
        </w:rPr>
      </w:r>
    </w:p>
    <w:p>
      <w:pPr>
        <w:pStyle w:val="UserStyle_3"/>
        <w:spacing w:line="480" w:lineRule="exact"/>
        <w:rPr>
          <w:b w:val="1"/>
          <w:sz w:val="28"/>
          <w:szCs w:val="28"/>
          <w:rFonts w:hint="eastAsia"/>
        </w:rPr>
      </w:pPr>
      <w:r>
        <w:rPr>
          <w:b w:val="1"/>
          <w:sz w:val="28"/>
          <w:szCs w:val="28"/>
          <w:rFonts w:hint="eastAsia"/>
        </w:rPr>
        <w:t xml:space="preserve">第一部分湖南省赤山监狱概况</w:t>
      </w:r>
      <w:r>
        <w:rPr>
          <w:b w:val="1"/>
          <w:sz w:val="28"/>
          <w:szCs w:val="28"/>
          <w:rFonts w:ascii="仿宋_GB2312" w:hAnsi="仿宋_GB2312"/>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一、部门职责</w:t>
      </w:r>
      <w:r>
        <w:rPr>
          <w:sz w:val="28"/>
          <w:szCs w:val="28"/>
          <w:rFonts w:ascii="宋体" w:hAnsi="宋体" w:eastAsia="宋体"/>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二、机构设置</w:t>
      </w:r>
      <w:r>
        <w:rPr>
          <w:sz w:val="28"/>
          <w:szCs w:val="28"/>
          <w:rFonts w:ascii="宋体" w:hAnsi="宋体" w:eastAsia="宋体"/>
        </w:rPr>
      </w:r>
    </w:p>
    <w:p>
      <w:pPr>
        <w:pStyle w:val="UserStyle_3"/>
        <w:spacing w:line="480" w:lineRule="exact"/>
        <w:rPr>
          <w:b w:val="1"/>
          <w:sz w:val="28"/>
          <w:szCs w:val="28"/>
          <w:rFonts w:hAnsi="仿宋_GB2312" w:hint="eastAsia"/>
        </w:rPr>
      </w:pPr>
      <w:r>
        <w:rPr>
          <w:b w:val="1"/>
          <w:sz w:val="28"/>
          <w:szCs w:val="28"/>
          <w:rFonts w:hAnsi="仿宋_GB2312" w:hint="eastAsia"/>
        </w:rPr>
        <w:t xml:space="preserve">第二部分</w:t>
      </w:r>
      <w:r>
        <w:rPr>
          <w:b w:val="1"/>
          <w:sz w:val="28"/>
          <w:szCs w:val="28"/>
          <w:rFonts w:hAnsi="仿宋_GB2312"/>
        </w:rPr>
        <w:t xml:space="preserve">20</w:t>
      </w:r>
      <w:r>
        <w:rPr>
          <w:b w:val="1"/>
          <w:sz w:val="28"/>
          <w:szCs w:val="28"/>
          <w:rFonts w:hAnsi="仿宋_GB2312" w:hint="eastAsia"/>
        </w:rPr>
        <w:t xml:space="preserve">21年度部门决算表</w:t>
      </w:r>
      <w:r>
        <w:rPr>
          <w:b w:val="1"/>
          <w:sz w:val="28"/>
          <w:szCs w:val="28"/>
          <w:rFonts w:ascii="仿宋_GB2312" w:hAnsi="仿宋_GB2312"/>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一、收入支出决算总表</w:t>
      </w:r>
      <w:r>
        <w:rPr>
          <w:sz w:val="28"/>
          <w:szCs w:val="28"/>
          <w:rFonts w:ascii="宋体" w:hAnsi="宋体" w:eastAsia="宋体"/>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二、收入决算表</w:t>
      </w:r>
      <w:r>
        <w:rPr>
          <w:sz w:val="28"/>
          <w:szCs w:val="28"/>
          <w:rFonts w:ascii="宋体" w:hAnsi="宋体" w:eastAsia="宋体"/>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三、支出决算表</w:t>
      </w:r>
      <w:r>
        <w:rPr>
          <w:sz w:val="28"/>
          <w:szCs w:val="28"/>
          <w:rFonts w:ascii="宋体" w:hAnsi="宋体" w:eastAsia="宋体"/>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四、财政拨款收入支出决算总表</w:t>
      </w:r>
      <w:r>
        <w:rPr>
          <w:sz w:val="28"/>
          <w:szCs w:val="28"/>
          <w:rFonts w:ascii="宋体" w:hAnsi="宋体" w:eastAsia="宋体"/>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五、一般公共预算财政拨款支出决算表</w:t>
      </w:r>
      <w:r>
        <w:rPr>
          <w:sz w:val="28"/>
          <w:szCs w:val="28"/>
          <w:rFonts w:ascii="宋体" w:hAnsi="宋体" w:eastAsia="宋体"/>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六、一般公共预算财政拨款基本支出决算</w:t>
      </w:r>
      <w:r>
        <w:rPr>
          <w:sz w:val="28"/>
          <w:szCs w:val="28"/>
          <w:rFonts w:ascii="宋体" w:hAnsi="宋体" w:eastAsia="宋体" w:hint="eastAsia"/>
        </w:rPr>
        <w:t xml:space="preserve">明细</w:t>
      </w:r>
      <w:r>
        <w:rPr>
          <w:sz w:val="28"/>
          <w:szCs w:val="28"/>
          <w:rFonts w:ascii="宋体" w:hAnsi="宋体" w:eastAsia="宋体"/>
        </w:rPr>
        <w:t xml:space="preserve">表</w:t>
      </w:r>
      <w:r>
        <w:rPr>
          <w:sz w:val="28"/>
          <w:szCs w:val="28"/>
          <w:rFonts w:ascii="宋体" w:hAnsi="宋体" w:eastAsia="宋体"/>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七、一般公共预算财政拨款“三公”经费支出决算表</w:t>
      </w:r>
      <w:r>
        <w:rPr>
          <w:sz w:val="28"/>
          <w:szCs w:val="28"/>
          <w:rFonts w:ascii="宋体" w:hAnsi="宋体" w:eastAsia="宋体"/>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八、政府性基金预算财政拨款收入支出决算表</w:t>
      </w:r>
      <w:r>
        <w:rPr>
          <w:sz w:val="28"/>
          <w:szCs w:val="28"/>
          <w:rFonts w:ascii="宋体" w:hAnsi="宋体" w:eastAsia="宋体"/>
        </w:rPr>
      </w:r>
    </w:p>
    <w:p>
      <w:pPr>
        <w:pStyle w:val="UserStyle_3"/>
        <w:spacing w:line="480" w:lineRule="exact"/>
        <w:ind w:firstLine="700" w:firstLineChars="250"/>
        <w:rPr>
          <w:sz w:val="28"/>
          <w:szCs w:val="28"/>
          <w:rFonts w:ascii="宋体" w:hAnsi="宋体" w:eastAsia="宋体" w:hint="eastAsia"/>
        </w:rPr>
      </w:pPr>
      <w:r>
        <w:rPr>
          <w:sz w:val="28"/>
          <w:szCs w:val="28"/>
          <w:rFonts w:ascii="宋体" w:hAnsi="宋体" w:eastAsia="宋体" w:hint="eastAsia"/>
        </w:rPr>
        <w:t xml:space="preserve">九、国有资本经营预算财政拨款支出决算表</w:t>
      </w:r>
      <w:r>
        <w:rPr>
          <w:sz w:val="28"/>
          <w:szCs w:val="28"/>
          <w:rFonts w:ascii="宋体" w:hAnsi="宋体" w:eastAsia="宋体"/>
        </w:rPr>
      </w:r>
    </w:p>
    <w:p>
      <w:pPr>
        <w:pStyle w:val="UserStyle_3"/>
        <w:spacing w:line="480" w:lineRule="exact"/>
        <w:rPr>
          <w:b w:val="1"/>
          <w:sz w:val="28"/>
          <w:szCs w:val="28"/>
          <w:rFonts w:hAnsi="仿宋_GB2312" w:hint="eastAsia"/>
        </w:rPr>
      </w:pPr>
      <w:r>
        <w:rPr>
          <w:b w:val="1"/>
          <w:sz w:val="28"/>
          <w:szCs w:val="28"/>
          <w:rFonts w:hAnsi="仿宋_GB2312" w:hint="eastAsia"/>
        </w:rPr>
        <w:t xml:space="preserve">第三部分</w:t>
      </w:r>
      <w:r>
        <w:rPr>
          <w:b w:val="1"/>
          <w:sz w:val="28"/>
          <w:szCs w:val="28"/>
          <w:rFonts w:hAnsi="仿宋_GB2312"/>
        </w:rPr>
        <w:t xml:space="preserve">20</w:t>
      </w:r>
      <w:r>
        <w:rPr>
          <w:b w:val="1"/>
          <w:sz w:val="28"/>
          <w:szCs w:val="28"/>
          <w:rFonts w:hAnsi="仿宋_GB2312" w:hint="eastAsia"/>
        </w:rPr>
        <w:t xml:space="preserve">21年度部门决算情况说明</w:t>
      </w:r>
      <w:r>
        <w:rPr>
          <w:b w:val="1"/>
          <w:sz w:val="28"/>
          <w:szCs w:val="28"/>
          <w:rFonts w:ascii="仿宋_GB2312" w:hAnsi="仿宋_GB2312"/>
        </w:rPr>
      </w:r>
    </w:p>
    <w:p>
      <w:pPr>
        <w:pStyle w:val="UserStyle_3"/>
        <w:spacing w:line="480" w:lineRule="exact"/>
        <w:ind w:firstLine="700" w:firstLineChars="250"/>
        <w:rPr>
          <w:sz w:val="28"/>
          <w:szCs w:val="28"/>
          <w:rFonts w:ascii="宋体" w:hAnsi="宋体" w:eastAsia="宋体"/>
        </w:rPr>
      </w:pPr>
      <w:r>
        <w:rPr>
          <w:sz w:val="28"/>
          <w:szCs w:val="28"/>
          <w:rFonts w:ascii="宋体" w:hAnsi="宋体" w:eastAsia="宋体"/>
        </w:rPr>
        <w:t xml:space="preserve">一、收入支出决算总体情况说明</w:t>
      </w:r>
      <w:r>
        <w:rPr>
          <w:sz w:val="28"/>
          <w:szCs w:val="28"/>
          <w:rFonts w:ascii="宋体" w:hAnsi="宋体" w:eastAsia="宋体"/>
        </w:rPr>
      </w:r>
    </w:p>
    <w:p>
      <w:pPr>
        <w:pStyle w:val="Normal"/>
        <w:jc w:val="start"/>
        <w:spacing w:line="480" w:lineRule="exact"/>
        <w:ind w:firstLine="700" w:firstLineChars="250"/>
        <w:rPr>
          <w:sz w:val="28"/>
          <w:szCs w:val="28"/>
          <w:rFonts w:ascii="仿宋_GB2312" w:hAnsi="仿宋_GB2312"/>
        </w:rPr>
      </w:pPr>
      <w:r>
        <w:rPr>
          <w:sz w:val="28"/>
          <w:szCs w:val="28"/>
          <w:rFonts w:ascii="仿宋_GB2312" w:hAnsi="仿宋_GB2312"/>
        </w:rPr>
        <w:t xml:space="preserve">二、收入决算情况说明</w:t>
      </w:r>
      <w:r>
        <w:rPr>
          <w:sz w:val="28"/>
          <w:szCs w:val="28"/>
          <w:rFonts w:ascii="仿宋_GB2312" w:hAnsi="仿宋_GB2312"/>
        </w:rPr>
      </w:r>
    </w:p>
    <w:p>
      <w:pPr>
        <w:pStyle w:val="Normal"/>
        <w:autoSpaceDE w:val="0"/>
        <w:autoSpaceDN w:val="0"/>
        <w:jc w:val="start"/>
        <w:spacing w:line="480" w:lineRule="exact"/>
        <w:ind w:firstLine="700" w:firstLineChars="250"/>
        <w:rPr>
          <w:color w:val="000000"/>
          <w:sz w:val="28"/>
          <w:szCs w:val="28"/>
          <w:kern w:val="0"/>
          <w:rFonts w:ascii="仿宋_GB2312" w:hAnsi="仿宋_GB2312"/>
        </w:rPr>
      </w:pPr>
      <w:r>
        <w:rPr>
          <w:color w:val="000000"/>
          <w:sz w:val="28"/>
          <w:szCs w:val="28"/>
          <w:kern w:val="0"/>
          <w:rFonts w:ascii="仿宋_GB2312" w:hAnsi="仿宋_GB2312"/>
        </w:rPr>
        <w:t xml:space="preserve">三、支出决算情况说明</w:t>
      </w:r>
      <w:r>
        <w:rPr>
          <w:color w:val="000000"/>
          <w:sz w:val="28"/>
          <w:szCs w:val="28"/>
          <w:kern w:val="0"/>
          <w:rFonts w:ascii="仿宋_GB2312" w:hAnsi="仿宋_GB2312"/>
        </w:rPr>
      </w:r>
    </w:p>
    <w:p>
      <w:pPr>
        <w:pStyle w:val="Normal"/>
        <w:autoSpaceDE w:val="0"/>
        <w:autoSpaceDN w:val="0"/>
        <w:jc w:val="start"/>
        <w:spacing w:line="480" w:lineRule="exact"/>
        <w:ind w:firstLine="700" w:firstLineChars="250"/>
        <w:rPr>
          <w:color w:val="000000"/>
          <w:sz w:val="28"/>
          <w:szCs w:val="28"/>
          <w:kern w:val="0"/>
          <w:rFonts w:ascii="仿宋_GB2312" w:hAnsi="仿宋_GB2312"/>
        </w:rPr>
      </w:pPr>
      <w:r>
        <w:rPr>
          <w:color w:val="000000"/>
          <w:sz w:val="28"/>
          <w:szCs w:val="28"/>
          <w:kern w:val="0"/>
          <w:rFonts w:ascii="仿宋_GB2312" w:hAnsi="仿宋_GB2312"/>
        </w:rPr>
        <w:t xml:space="preserve">四、财政拨款收入支出决算总体情况说明</w:t>
      </w:r>
      <w:r>
        <w:rPr>
          <w:color w:val="000000"/>
          <w:sz w:val="28"/>
          <w:szCs w:val="28"/>
          <w:kern w:val="0"/>
          <w:rFonts w:ascii="仿宋_GB2312" w:hAnsi="仿宋_GB2312"/>
        </w:rPr>
      </w:r>
    </w:p>
    <w:p>
      <w:pPr>
        <w:pStyle w:val="Normal"/>
        <w:autoSpaceDE w:val="0"/>
        <w:autoSpaceDN w:val="0"/>
        <w:jc w:val="start"/>
        <w:spacing w:line="480" w:lineRule="exact"/>
        <w:ind w:firstLine="700" w:firstLineChars="250"/>
        <w:rPr>
          <w:color w:val="000000"/>
          <w:sz w:val="28"/>
          <w:szCs w:val="28"/>
          <w:kern w:val="0"/>
          <w:rFonts w:ascii="仿宋_GB2312" w:hAnsi="仿宋_GB2312"/>
        </w:rPr>
      </w:pPr>
      <w:r>
        <w:rPr>
          <w:color w:val="000000"/>
          <w:sz w:val="28"/>
          <w:szCs w:val="28"/>
          <w:kern w:val="0"/>
          <w:rFonts w:ascii="仿宋_GB2312" w:hAnsi="仿宋_GB2312"/>
        </w:rPr>
        <w:t xml:space="preserve">五、一般公共预算财政拨款支出决算情况说明</w:t>
      </w:r>
      <w:r>
        <w:rPr>
          <w:color w:val="000000"/>
          <w:sz w:val="28"/>
          <w:szCs w:val="28"/>
          <w:kern w:val="0"/>
          <w:rFonts w:ascii="仿宋_GB2312" w:hAnsi="仿宋_GB2312"/>
        </w:rPr>
      </w:r>
    </w:p>
    <w:p>
      <w:pPr>
        <w:pStyle w:val="Normal"/>
        <w:autoSpaceDE w:val="0"/>
        <w:autoSpaceDN w:val="0"/>
        <w:jc w:val="start"/>
        <w:spacing w:line="480" w:lineRule="exact"/>
        <w:ind w:firstLine="700" w:firstLineChars="250"/>
        <w:rPr>
          <w:color w:val="000000"/>
          <w:sz w:val="28"/>
          <w:szCs w:val="28"/>
          <w:kern w:val="0"/>
          <w:rFonts w:ascii="仿宋_GB2312" w:hAnsi="仿宋_GB2312"/>
        </w:rPr>
      </w:pPr>
      <w:r>
        <w:rPr>
          <w:color w:val="000000"/>
          <w:sz w:val="28"/>
          <w:szCs w:val="28"/>
          <w:kern w:val="0"/>
          <w:rFonts w:ascii="仿宋_GB2312" w:hAnsi="仿宋_GB2312"/>
        </w:rPr>
        <w:t xml:space="preserve">六、一般公共预算财政拨款基本支出决算情况说明</w:t>
      </w:r>
      <w:r>
        <w:rPr>
          <w:color w:val="000000"/>
          <w:sz w:val="28"/>
          <w:szCs w:val="28"/>
          <w:kern w:val="0"/>
          <w:rFonts w:ascii="仿宋_GB2312" w:hAnsi="仿宋_GB2312"/>
        </w:rPr>
      </w:r>
    </w:p>
    <w:p>
      <w:pPr>
        <w:pStyle w:val="Normal"/>
        <w:autoSpaceDE w:val="0"/>
        <w:autoSpaceDN w:val="0"/>
        <w:jc w:val="start"/>
        <w:spacing w:line="480" w:lineRule="exact"/>
        <w:ind w:firstLine="700" w:firstLineChars="250"/>
        <w:rPr>
          <w:color w:val="000000"/>
          <w:sz w:val="28"/>
          <w:szCs w:val="28"/>
          <w:kern w:val="0"/>
          <w:rFonts w:ascii="仿宋_GB2312" w:hAnsi="仿宋_GB2312"/>
        </w:rPr>
      </w:pPr>
      <w:r>
        <w:rPr>
          <w:color w:val="000000"/>
          <w:sz w:val="28"/>
          <w:szCs w:val="28"/>
          <w:kern w:val="0"/>
          <w:rFonts w:ascii="仿宋_GB2312" w:hAnsi="仿宋_GB2312"/>
        </w:rPr>
        <w:t xml:space="preserve">七、一般公共预算财政拨款</w:t>
      </w:r>
      <w:r>
        <w:rPr>
          <w:color w:val="000000"/>
          <w:sz w:val="28"/>
          <w:szCs w:val="28"/>
          <w:kern w:val="0"/>
          <w:rFonts w:ascii="仿宋_GB2312" w:hAnsi="仿宋_GB2312" w:hint="eastAsia"/>
        </w:rPr>
        <w:t xml:space="preserve">“</w:t>
      </w:r>
      <w:r>
        <w:rPr>
          <w:color w:val="000000"/>
          <w:sz w:val="28"/>
          <w:szCs w:val="28"/>
          <w:kern w:val="0"/>
          <w:rFonts w:ascii="仿宋_GB2312" w:hAnsi="仿宋_GB2312"/>
        </w:rPr>
        <w:t xml:space="preserve">三公</w:t>
      </w:r>
      <w:r>
        <w:rPr>
          <w:color w:val="000000"/>
          <w:sz w:val="28"/>
          <w:szCs w:val="28"/>
          <w:kern w:val="0"/>
          <w:rFonts w:ascii="仿宋_GB2312" w:hAnsi="仿宋_GB2312" w:hint="eastAsia"/>
        </w:rPr>
        <w:t xml:space="preserve">”</w:t>
      </w:r>
      <w:r>
        <w:rPr>
          <w:color w:val="000000"/>
          <w:sz w:val="28"/>
          <w:szCs w:val="28"/>
          <w:kern w:val="0"/>
          <w:rFonts w:ascii="仿宋_GB2312" w:hAnsi="仿宋_GB2312"/>
        </w:rPr>
        <w:t xml:space="preserve">经费支出决算情况说明</w:t>
      </w:r>
      <w:r>
        <w:rPr>
          <w:color w:val="000000"/>
          <w:sz w:val="28"/>
          <w:szCs w:val="28"/>
          <w:kern w:val="0"/>
          <w:rFonts w:ascii="仿宋_GB2312" w:hAnsi="仿宋_GB2312"/>
        </w:rPr>
      </w:r>
    </w:p>
    <w:p>
      <w:pPr>
        <w:pStyle w:val="Normal"/>
        <w:autoSpaceDE w:val="0"/>
        <w:autoSpaceDN w:val="0"/>
        <w:jc w:val="start"/>
        <w:spacing w:line="480" w:lineRule="exact"/>
        <w:ind w:firstLine="700" w:firstLineChars="250"/>
        <w:rPr>
          <w:color w:val="000000"/>
          <w:sz w:val="28"/>
          <w:szCs w:val="28"/>
          <w:kern w:val="0"/>
          <w:rFonts w:ascii="仿宋_GB2312" w:hAnsi="仿宋_GB2312" w:hint="eastAsia"/>
        </w:rPr>
      </w:pPr>
      <w:r>
        <w:rPr>
          <w:color w:val="000000"/>
          <w:sz w:val="28"/>
          <w:szCs w:val="28"/>
          <w:kern w:val="0"/>
          <w:rFonts w:ascii="仿宋_GB2312" w:hAnsi="仿宋_GB2312" w:hint="eastAsia"/>
        </w:rPr>
        <w:t xml:space="preserve">八</w:t>
      </w:r>
      <w:r>
        <w:rPr>
          <w:color w:val="000000"/>
          <w:sz w:val="28"/>
          <w:szCs w:val="28"/>
          <w:kern w:val="0"/>
          <w:rFonts w:ascii="仿宋_GB2312" w:hAnsi="仿宋_GB2312"/>
        </w:rPr>
        <w:t xml:space="preserve">、</w:t>
      </w:r>
      <w:r>
        <w:rPr>
          <w:color w:val="000000"/>
          <w:sz w:val="28"/>
          <w:szCs w:val="28"/>
          <w:kern w:val="0"/>
          <w:rFonts w:ascii="仿宋_GB2312" w:hAnsi="仿宋_GB2312" w:hint="eastAsia"/>
        </w:rPr>
        <w:t xml:space="preserve">政府性基金预算收入支出决算情况</w:t>
      </w:r>
      <w:r>
        <w:rPr>
          <w:color w:val="000000"/>
          <w:sz w:val="28"/>
          <w:szCs w:val="28"/>
          <w:kern w:val="0"/>
          <w:rFonts w:ascii="仿宋_GB2312" w:hAnsi="仿宋_GB2312"/>
        </w:rPr>
      </w:r>
    </w:p>
    <w:p>
      <w:pPr>
        <w:pStyle w:val="Normal"/>
        <w:autoSpaceDE w:val="0"/>
        <w:autoSpaceDN w:val="0"/>
        <w:jc w:val="start"/>
        <w:spacing w:line="480" w:lineRule="exact"/>
        <w:ind w:firstLine="700" w:firstLineChars="250"/>
        <w:rPr>
          <w:color w:val="000000"/>
          <w:sz w:val="28"/>
          <w:szCs w:val="28"/>
          <w:kern w:val="0"/>
          <w:rFonts w:ascii="仿宋_GB2312" w:hAnsi="仿宋_GB2312" w:hint="eastAsia"/>
        </w:rPr>
      </w:pPr>
      <w:r>
        <w:rPr>
          <w:color w:val="000000"/>
          <w:sz w:val="28"/>
          <w:szCs w:val="28"/>
          <w:kern w:val="0"/>
          <w:rFonts w:ascii="仿宋_GB2312" w:hAnsi="仿宋_GB2312" w:hint="eastAsia"/>
        </w:rPr>
        <w:t xml:space="preserve">九</w:t>
      </w:r>
      <w:r>
        <w:rPr>
          <w:color w:val="000000"/>
          <w:sz w:val="28"/>
          <w:szCs w:val="28"/>
          <w:kern w:val="0"/>
          <w:rFonts w:ascii="仿宋_GB2312" w:hAnsi="仿宋_GB2312"/>
        </w:rPr>
        <w:t xml:space="preserve">、</w:t>
      </w:r>
      <w:r>
        <w:rPr>
          <w:color w:val="000000"/>
          <w:sz w:val="28"/>
          <w:szCs w:val="28"/>
          <w:kern w:val="0"/>
          <w:rFonts w:ascii="仿宋_GB2312" w:hAnsi="仿宋_GB2312" w:hint="eastAsia"/>
        </w:rPr>
        <w:t xml:space="preserve">机关运行经费支出说明</w:t>
      </w:r>
      <w:r>
        <w:rPr>
          <w:color w:val="000000"/>
          <w:sz w:val="28"/>
          <w:szCs w:val="28"/>
          <w:kern w:val="0"/>
          <w:rFonts w:ascii="仿宋_GB2312" w:hAnsi="仿宋_GB2312"/>
        </w:rPr>
      </w:r>
    </w:p>
    <w:p>
      <w:pPr>
        <w:pStyle w:val="Normal"/>
        <w:autoSpaceDE w:val="0"/>
        <w:autoSpaceDN w:val="0"/>
        <w:jc w:val="start"/>
        <w:spacing w:line="480" w:lineRule="exact"/>
        <w:ind w:firstLine="700" w:firstLineChars="250"/>
        <w:rPr>
          <w:color w:val="000000"/>
          <w:sz w:val="28"/>
          <w:szCs w:val="28"/>
          <w:kern w:val="0"/>
          <w:rFonts w:ascii="仿宋_GB2312" w:hAnsi="仿宋_GB2312" w:hint="eastAsia"/>
        </w:rPr>
      </w:pPr>
      <w:r>
        <w:rPr>
          <w:color w:val="000000"/>
          <w:sz w:val="28"/>
          <w:szCs w:val="28"/>
          <w:kern w:val="0"/>
          <w:rFonts w:ascii="仿宋_GB2312" w:hAnsi="仿宋_GB2312" w:hint="eastAsia"/>
        </w:rPr>
        <w:t xml:space="preserve">十、一般性支出情况说明</w:t>
      </w:r>
      <w:r>
        <w:rPr>
          <w:color w:val="000000"/>
          <w:sz w:val="28"/>
          <w:szCs w:val="28"/>
          <w:kern w:val="0"/>
          <w:rFonts w:ascii="仿宋_GB2312" w:hAnsi="仿宋_GB2312"/>
        </w:rPr>
      </w:r>
    </w:p>
    <w:p>
      <w:pPr>
        <w:pStyle w:val="Normal"/>
        <w:autoSpaceDE w:val="0"/>
        <w:autoSpaceDN w:val="0"/>
        <w:jc w:val="start"/>
        <w:spacing w:line="480" w:lineRule="exact"/>
        <w:ind w:firstLine="700" w:firstLineChars="250"/>
        <w:rPr>
          <w:color w:val="000000"/>
          <w:sz w:val="28"/>
          <w:szCs w:val="28"/>
          <w:kern w:val="0"/>
          <w:rFonts w:ascii="仿宋_GB2312" w:hAnsi="仿宋_GB2312" w:hint="eastAsia"/>
        </w:rPr>
      </w:pPr>
      <w:r>
        <w:rPr>
          <w:color w:val="000000"/>
          <w:sz w:val="28"/>
          <w:szCs w:val="28"/>
          <w:kern w:val="0"/>
          <w:rFonts w:ascii="仿宋_GB2312" w:hAnsi="仿宋_GB2312" w:hint="eastAsia"/>
        </w:rPr>
        <w:t xml:space="preserve">十一、政府采购支出说明</w:t>
      </w:r>
      <w:r>
        <w:rPr>
          <w:color w:val="000000"/>
          <w:sz w:val="28"/>
          <w:szCs w:val="28"/>
          <w:kern w:val="0"/>
          <w:rFonts w:ascii="仿宋_GB2312" w:hAnsi="仿宋_GB2312"/>
        </w:rPr>
      </w:r>
    </w:p>
    <w:p>
      <w:pPr>
        <w:pStyle w:val="UserStyle_3"/>
        <w:spacing w:line="480" w:lineRule="exact"/>
        <w:ind w:firstLine="700" w:firstLineChars="250"/>
        <w:rPr>
          <w:sz w:val="28"/>
          <w:szCs w:val="28"/>
          <w:rFonts w:ascii="仿宋_GB2312" w:hAnsi="仿宋_GB2312" w:eastAsia="宋体" w:hint="eastAsia"/>
        </w:rPr>
      </w:pPr>
      <w:r>
        <w:rPr>
          <w:sz w:val="28"/>
          <w:szCs w:val="28"/>
          <w:rFonts w:ascii="仿宋_GB2312" w:hAnsi="仿宋_GB2312" w:eastAsia="宋体" w:hint="eastAsia"/>
        </w:rPr>
        <w:t xml:space="preserve">十二、国有资产占用情况说明</w:t>
      </w:r>
      <w:r>
        <w:rPr>
          <w:sz w:val="28"/>
          <w:szCs w:val="28"/>
          <w:rFonts w:ascii="仿宋_GB2312" w:hAnsi="仿宋_GB2312" w:eastAsia="宋体"/>
        </w:rPr>
      </w:r>
    </w:p>
    <w:p>
      <w:pPr>
        <w:pStyle w:val="UserStyle_3"/>
        <w:spacing w:line="480" w:lineRule="exact"/>
        <w:ind w:firstLine="700" w:firstLineChars="250"/>
        <w:rPr>
          <w:sz w:val="28"/>
          <w:szCs w:val="28"/>
          <w:rFonts w:ascii="仿宋_GB2312" w:hAnsi="仿宋_GB2312" w:eastAsia="宋体" w:hint="eastAsia"/>
        </w:rPr>
      </w:pPr>
      <w:r>
        <w:rPr>
          <w:sz w:val="28"/>
          <w:szCs w:val="28"/>
          <w:rFonts w:ascii="仿宋_GB2312" w:hAnsi="仿宋_GB2312" w:eastAsia="宋体" w:hint="eastAsia"/>
        </w:rPr>
        <w:t xml:space="preserve">十三、</w:t>
      </w:r>
      <w:r>
        <w:rPr>
          <w:sz w:val="28"/>
          <w:szCs w:val="28"/>
          <w:rFonts w:ascii="宋体" w:hAnsi="宋体" w:eastAsia="宋体" w:hint="eastAsia"/>
        </w:rPr>
        <w:t xml:space="preserve">2021年</w:t>
      </w:r>
      <w:r>
        <w:rPr>
          <w:sz w:val="28"/>
          <w:szCs w:val="28"/>
          <w:rFonts w:ascii="仿宋_GB2312" w:hAnsi="仿宋_GB2312" w:eastAsia="宋体" w:hint="eastAsia"/>
        </w:rPr>
        <w:t xml:space="preserve">度预算绩效情况说明</w:t>
      </w:r>
      <w:r>
        <w:rPr>
          <w:sz w:val="28"/>
          <w:szCs w:val="28"/>
          <w:rFonts w:ascii="仿宋_GB2312" w:hAnsi="仿宋_GB2312" w:eastAsia="宋体"/>
        </w:rPr>
      </w:r>
    </w:p>
    <w:p>
      <w:pPr>
        <w:pStyle w:val="Normal"/>
        <w:autoSpaceDE w:val="0"/>
        <w:autoSpaceDN w:val="0"/>
        <w:jc w:val="start"/>
        <w:spacing w:line="480" w:lineRule="exact"/>
        <w:rPr>
          <w:b w:val="1"/>
          <w:color w:val="000000"/>
          <w:sz w:val="28"/>
          <w:szCs w:val="28"/>
          <w:kern w:val="0"/>
          <w:rFonts w:ascii="黑体" w:hAnsi="黑体" w:eastAsia="黑体"/>
        </w:rPr>
      </w:pPr>
      <w:r>
        <w:rPr>
          <w:b w:val="1"/>
          <w:color w:val="000000"/>
          <w:sz w:val="28"/>
          <w:szCs w:val="28"/>
          <w:kern w:val="0"/>
          <w:rFonts w:ascii="黑体" w:hAnsi="黑体" w:eastAsia="黑体"/>
        </w:rPr>
        <w:t xml:space="preserve">第四部分名词解释</w:t>
      </w:r>
      <w:r>
        <w:rPr>
          <w:b w:val="1"/>
          <w:color w:val="000000"/>
          <w:sz w:val="28"/>
          <w:szCs w:val="28"/>
          <w:kern w:val="0"/>
          <w:rFonts w:ascii="黑体" w:hAnsi="黑体" w:eastAsia="黑体"/>
        </w:rPr>
      </w:r>
    </w:p>
    <w:p>
      <w:pPr>
        <w:pStyle w:val="Normal"/>
        <w:autoSpaceDE w:val="0"/>
        <w:autoSpaceDN w:val="0"/>
        <w:jc w:val="start"/>
        <w:spacing w:line="480" w:lineRule="exact"/>
        <w:rPr>
          <w:b w:val="1"/>
          <w:color w:val="000000"/>
          <w:sz w:val="28"/>
          <w:szCs w:val="28"/>
          <w:kern w:val="0"/>
          <w:rFonts w:ascii="黑体" w:hAnsi="黑体" w:eastAsia="黑体" w:hint="eastAsia"/>
        </w:rPr>
      </w:pPr>
      <w:r>
        <w:rPr>
          <w:b w:val="1"/>
          <w:color w:val="000000"/>
          <w:sz w:val="28"/>
          <w:szCs w:val="28"/>
          <w:kern w:val="0"/>
          <w:rFonts w:ascii="黑体" w:hAnsi="黑体" w:eastAsia="黑体" w:hint="eastAsia"/>
        </w:rPr>
        <w:t xml:space="preserve">第五部分附件</w:t>
      </w:r>
      <w:r>
        <w:rPr>
          <w:b w:val="1"/>
          <w:color w:val="000000"/>
          <w:sz w:val="28"/>
          <w:szCs w:val="28"/>
          <w:kern w:val="0"/>
          <w:rFonts w:ascii="黑体" w:hAnsi="黑体" w:eastAsia="黑体"/>
        </w:rPr>
      </w:r>
    </w:p>
    <w:p>
      <w:pPr>
        <w:pStyle w:val="Normal"/>
        <w:jc w:val="center"/>
        <w:spacing w:line="480" w:lineRule="exact"/>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rPr>
          <w:sz w:val="72"/>
          <w:szCs w:val="72"/>
        </w:rPr>
      </w:pPr>
      <w:r>
        <w:rPr>
          <w:sz w:val="72"/>
          <w:szCs w:val="72"/>
        </w:rPr>
      </w:r>
    </w:p>
    <w:p>
      <w:pPr>
        <w:pStyle w:val="UserStyle_3"/>
        <w:jc w:val="center"/>
        <w:rPr>
          <w:sz w:val="84"/>
          <w:szCs w:val="84"/>
          <w:rFonts w:hint="eastAsia"/>
        </w:rPr>
      </w:pPr>
      <w:r>
        <w:rPr>
          <w:sz w:val="84"/>
          <w:szCs w:val="84"/>
          <w:rFonts w:hint="eastAsia"/>
        </w:rPr>
        <w:t xml:space="preserve">第一部分</w:t>
      </w:r>
      <w:r>
        <w:rPr>
          <w:sz w:val="84"/>
          <w:szCs w:val="84"/>
        </w:rPr>
        <w:t xml:space="preserve"> </w:t>
      </w:r>
      <w:r>
        <w:rPr>
          <w:sz w:val="84"/>
          <w:szCs w:val="84"/>
        </w:rPr>
      </w:r>
    </w:p>
    <w:p>
      <w:pPr>
        <w:pStyle w:val="UserStyle_3"/>
        <w:jc w:val="center"/>
        <w:rPr>
          <w:sz w:val="84"/>
          <w:szCs w:val="84"/>
          <w:rFonts w:hint="eastAsia"/>
        </w:rPr>
      </w:pPr>
      <w:r>
        <w:rPr>
          <w:sz w:val="84"/>
          <w:szCs w:val="84"/>
          <w:rFonts w:hint="eastAsia"/>
        </w:rPr>
        <w:t xml:space="preserve">湖南省赤山监狱概况</w:t>
      </w:r>
      <w:r>
        <w:rPr>
          <w:sz w:val="84"/>
          <w:szCs w:val="84"/>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Fonts w:hint="eastAsia"/>
        </w:rPr>
      </w:pPr>
      <w:r>
        <w:rPr>
          <w:sz w:val="72"/>
          <w:szCs w:val="72"/>
          <w:rFonts w:hint="eastAsia"/>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Fonts w:hint="eastAsia"/>
        </w:rPr>
      </w:pPr>
      <w:r>
        <w:rPr>
          <w:sz w:val="72"/>
          <w:szCs w:val="72"/>
          <w:rFonts w:hint="eastAsia"/>
        </w:rPr>
      </w:r>
    </w:p>
    <w:p>
      <w:pPr>
        <w:pStyle w:val="179"/>
        <w:jc w:val="start"/>
        <w:numPr>
          <w:ilvl w:val="0"/>
          <w:numId w:val="1"/>
        </w:numPr>
        <w:ind w:firstLineChars="0"/>
        <w:rPr>
          <w:sz w:val="32"/>
          <w:szCs w:val="32"/>
          <w:rFonts w:ascii="黑体" w:hAnsi="黑体" w:eastAsia="黑体"/>
        </w:rPr>
      </w:pPr>
      <w:r>
        <w:rPr>
          <w:sz w:val="32"/>
          <w:szCs w:val="32"/>
          <w:rFonts w:ascii="黑体" w:hAnsi="黑体" w:eastAsia="黑体"/>
        </w:rPr>
        <w:t xml:space="preserve">部门职责</w:t>
      </w:r>
      <w:r>
        <w:rPr>
          <w:sz w:val="32"/>
          <w:szCs w:val="32"/>
          <w:rFonts w:ascii="黑体" w:hAnsi="黑体" w:eastAsia="黑体"/>
        </w:rPr>
      </w:r>
    </w:p>
    <w:p>
      <w:pPr>
        <w:pStyle w:val="Normal"/>
        <w:jc w:val="start"/>
        <w:ind w:firstLine="640" w:firstLineChars="200" w:left="142" w:leftChars="68"/>
        <w:rPr>
          <w:color w:val="333333"/>
          <w:sz w:val="32"/>
          <w:szCs w:val="32"/>
          <w:kern w:val="0"/>
          <w:rFonts w:ascii="宋体" w:hAnsi="宋体" w:hint="eastAsia"/>
        </w:rPr>
      </w:pPr>
      <w:r>
        <w:rPr>
          <w:color w:val="333333"/>
          <w:sz w:val="32"/>
          <w:szCs w:val="32"/>
          <w:kern w:val="0"/>
          <w:rFonts w:ascii="宋体" w:hAnsi="宋体" w:hint="eastAsia"/>
        </w:rPr>
        <w:t xml:space="preserve">本单位的主要职能是依照《中华人民共和国监狱法》，贯彻执行监狱工作方针及国家有关法律法规；负责罪犯监管改造，依法对罪犯收监、调配、考核奖惩、释放，提出罪犯减刑、假释、暂予监外执行的建议，做好监狱的安全检查防范工作；负责罪犯生活卫生管理，做好罪犯物资生活供应、疾病防治和公共卫生安全工作；负责罪犯教育改造，做好罪犯的思想、文化、职业技术教育和其他教育工作；负责罪犯劳动改造，组织罪犯劳动，落实安全生产管理工作；负责对患有传染病、精神病、严重慢性病等疾病罪犯进行医疗管理；负责监狱国有资产和监狱设施的管理，防止国有资产流失，做好监管、审计工作；按照干部管理权限，协助主管部门做好公务员、职工队伍的管理工作；与武警、公安、检察院、法院等部门做好通联工作，保障监狱安全和依法执行刑罚；承办上级机关交办的其他工作。</w:t>
      </w:r>
      <w:r>
        <w:rPr>
          <w:sz w:val="32"/>
          <w:szCs w:val="32"/>
          <w:rFonts w:ascii="宋体" w:hAnsi="宋体"/>
        </w:rPr>
      </w:r>
    </w:p>
    <w:p>
      <w:pPr>
        <w:pStyle w:val="Normal"/>
        <w:widowControl/>
        <w:spacing w:line="600" w:lineRule="exact"/>
        <w:rPr>
          <w:sz w:val="32"/>
          <w:szCs w:val="32"/>
          <w:kern w:val="0"/>
          <w:bCs/>
          <w:rFonts w:ascii="黑体" w:hAnsi="黑体" w:eastAsia="黑体" w:hint="eastAsia"/>
        </w:rPr>
      </w:pPr>
      <w:r>
        <w:rPr>
          <w:sz w:val="32"/>
          <w:szCs w:val="32"/>
          <w:kern w:val="0"/>
          <w:bCs/>
          <w:rFonts w:ascii="黑体" w:hAnsi="黑体" w:eastAsia="黑体" w:hint="eastAsia"/>
        </w:rPr>
        <w:t xml:space="preserve">二、机构设置及决算单位构成</w:t>
      </w:r>
      <w:r>
        <w:rPr>
          <w:sz w:val="32"/>
          <w:szCs w:val="32"/>
          <w:kern w:val="0"/>
          <w:bCs/>
          <w:rFonts w:ascii="黑体" w:hAnsi="黑体" w:eastAsia="黑体"/>
        </w:rPr>
      </w:r>
    </w:p>
    <w:p>
      <w:pPr>
        <w:pStyle w:val="Normal"/>
        <w:widowControl/>
        <w:spacing w:line="600" w:lineRule="exact"/>
        <w:ind w:firstLine="640" w:firstLineChars="200"/>
        <w:rPr>
          <w:sz w:val="32"/>
          <w:szCs w:val="32"/>
          <w:kern w:val="0"/>
          <w:bCs/>
          <w:rFonts w:ascii="宋体" w:hAnsi="宋体" w:hint="eastAsia"/>
        </w:rPr>
      </w:pPr>
      <w:r>
        <w:rPr>
          <w:sz w:val="32"/>
          <w:szCs w:val="32"/>
          <w:kern w:val="0"/>
          <w:bCs/>
          <w:rFonts w:ascii="宋体" w:hAnsi="宋体" w:hint="eastAsia"/>
        </w:rPr>
        <w:t xml:space="preserve">（一）内设机构设置。湖南省</w:t>
      </w:r>
      <w:r>
        <w:rPr>
          <w:color w:val="333333"/>
          <w:sz w:val="32"/>
          <w:szCs w:val="32"/>
          <w:kern w:val="0"/>
          <w:rFonts w:ascii="宋体" w:hAnsi="宋体" w:hint="eastAsia"/>
        </w:rPr>
        <w:t xml:space="preserve">赤山监狱内设19个科室10个押犯监区：设办公室、政治处、纪委监察室、行政科、财务科、审计科、离退休人员管理服务科、工会办、服刑人员心理健康指导中心、监管指挥与信息管理中心、警备大队、等机关科室。</w:t>
      </w:r>
      <w:r>
        <w:rPr>
          <w:sz w:val="32"/>
          <w:szCs w:val="32"/>
          <w:kern w:val="0"/>
          <w:bCs/>
          <w:rFonts w:ascii="宋体" w:hAnsi="宋体"/>
        </w:rPr>
      </w:r>
    </w:p>
    <w:p>
      <w:pPr>
        <w:pStyle w:val="Normal"/>
        <w:widowControl/>
        <w:spacing w:line="600" w:lineRule="exact"/>
        <w:ind w:firstLine="640" w:firstLineChars="200"/>
        <w:rPr>
          <w:sz w:val="32"/>
          <w:szCs w:val="32"/>
          <w:kern w:val="0"/>
          <w:bCs/>
          <w:rFonts w:ascii="宋体" w:hAnsi="宋体" w:hint="eastAsia"/>
        </w:rPr>
      </w:pPr>
      <w:r>
        <w:rPr>
          <w:sz w:val="32"/>
          <w:szCs w:val="32"/>
          <w:kern w:val="0"/>
          <w:bCs/>
          <w:rFonts w:ascii="宋体" w:hAnsi="宋体" w:hint="eastAsia"/>
        </w:rPr>
        <w:t xml:space="preserve">（二）决算单位构成。湖南省赤山监狱</w:t>
      </w:r>
      <w:r>
        <w:rPr>
          <w:sz w:val="32"/>
          <w:szCs w:val="32"/>
          <w:kern w:val="0"/>
          <w:bCs/>
          <w:rFonts w:ascii="宋体" w:hAnsi="宋体"/>
        </w:rPr>
        <w:t xml:space="preserve">20</w:t>
      </w:r>
      <w:r>
        <w:rPr>
          <w:sz w:val="32"/>
          <w:szCs w:val="32"/>
          <w:kern w:val="0"/>
          <w:bCs/>
          <w:rFonts w:ascii="宋体" w:hAnsi="宋体" w:hint="eastAsia"/>
        </w:rPr>
        <w:t xml:space="preserve">21年部门决算汇总公开单位构成为本单位。</w:t>
      </w:r>
      <w:r>
        <w:rPr>
          <w:sz w:val="28"/>
          <w:szCs w:val="32"/>
          <w:rFonts w:ascii="宋体" w:hAnsi="宋体"/>
        </w:rPr>
      </w:r>
    </w:p>
    <w:p>
      <w:pPr>
        <w:pStyle w:val="Normal"/>
        <w:widowControl/>
        <w:spacing w:line="600" w:lineRule="exact"/>
        <w:rPr>
          <w:sz w:val="28"/>
          <w:szCs w:val="32"/>
          <w:rFonts w:ascii="仿宋_GB2312" w:hAnsi="宋体" w:eastAsia="仿宋_GB2312"/>
        </w:rPr>
      </w:pPr>
      <w:r>
        <w:rPr>
          <w:sz w:val="28"/>
          <w:szCs w:val="32"/>
          <w:rFonts w:ascii="仿宋_GB2312" w:hAnsi="宋体" w:eastAsia="仿宋_GB2312"/>
        </w:rPr>
      </w:r>
    </w:p>
    <w:p>
      <w:pPr>
        <w:pStyle w:val="Normal"/>
        <w:jc w:val="center"/>
        <w:rPr>
          <w:sz w:val="28"/>
          <w:szCs w:val="28"/>
          <w:rFonts w:ascii="黑体" w:hAnsi="黑体" w:eastAsia="黑体"/>
        </w:rPr>
      </w:pPr>
      <w:r>
        <w:rPr>
          <w:sz w:val="28"/>
          <w:szCs w:val="28"/>
          <w:rFonts w:ascii="黑体" w:hAnsi="黑体" w:eastAsia="黑体"/>
        </w:rPr>
      </w:r>
    </w:p>
    <w:p>
      <w:pPr>
        <w:pStyle w:val="Normal"/>
        <w:jc w:val="center"/>
        <w:rPr>
          <w:sz w:val="28"/>
          <w:szCs w:val="28"/>
          <w:rFonts w:ascii="黑体" w:hAnsi="黑体" w:eastAsia="黑体"/>
        </w:rPr>
      </w:pPr>
      <w:r>
        <w:rPr>
          <w:sz w:val="28"/>
          <w:szCs w:val="28"/>
          <w:rFonts w:ascii="黑体" w:hAnsi="黑体" w:eastAsia="黑体"/>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Fonts w:hint="eastAsia"/>
        </w:rPr>
      </w:pPr>
      <w:r>
        <w:rPr>
          <w:sz w:val="72"/>
          <w:szCs w:val="72"/>
          <w:rFonts w:hint="eastAsia"/>
        </w:rPr>
      </w:r>
    </w:p>
    <w:p>
      <w:pPr>
        <w:pStyle w:val="Normal"/>
        <w:jc w:val="center"/>
        <w:rPr>
          <w:sz w:val="72"/>
          <w:szCs w:val="72"/>
          <w:rFonts w:hint="eastAsia"/>
        </w:rPr>
      </w:pPr>
      <w:r>
        <w:rPr>
          <w:sz w:val="72"/>
          <w:szCs w:val="72"/>
          <w:rFonts w:hint="eastAsia"/>
        </w:rPr>
        <w:t xml:space="preserve">第二部分</w:t>
      </w:r>
      <w:r>
        <w:rPr>
          <w:sz w:val="72"/>
          <w:szCs w:val="72"/>
        </w:rPr>
      </w:r>
    </w:p>
    <w:p>
      <w:pPr>
        <w:pStyle w:val="Normal"/>
        <w:jc w:val="center"/>
        <w:rPr>
          <w:sz w:val="72"/>
          <w:szCs w:val="72"/>
        </w:rPr>
      </w:pPr>
      <w:r>
        <w:rPr>
          <w:sz w:val="72"/>
          <w:szCs w:val="72"/>
        </w:rPr>
      </w:r>
    </w:p>
    <w:p>
      <w:pPr>
        <w:pStyle w:val="Normal"/>
        <w:jc w:val="center"/>
        <w:rPr>
          <w:sz w:val="72"/>
          <w:szCs w:val="72"/>
          <w:rFonts w:hint="eastAsia"/>
        </w:rPr>
      </w:pPr>
      <w:r>
        <w:rPr>
          <w:sz w:val="72"/>
          <w:szCs w:val="72"/>
          <w:rFonts w:hint="eastAsia"/>
        </w:rPr>
        <w:t xml:space="preserve">部门决算表</w:t>
      </w: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Fonts w:hint="eastAsia"/>
        </w:rPr>
      </w:pPr>
      <w:r>
        <w:rPr>
          <w:sz w:val="72"/>
          <w:szCs w:val="72"/>
          <w:rFonts w:hint="eastAsia"/>
        </w:rPr>
      </w:r>
    </w:p>
    <w:p>
      <w:pPr>
        <w:pStyle w:val="Normal"/>
        <w:jc w:val="center"/>
        <w:rPr>
          <w:sz w:val="72"/>
          <w:szCs w:val="72"/>
          <w:rFonts w:hint="eastAsia"/>
        </w:rPr>
      </w:pPr>
      <w:r>
        <w:rPr>
          <w:sz w:val="72"/>
          <w:szCs w:val="72"/>
          <w:rFonts w:hint="eastAsia"/>
        </w:rPr>
      </w:r>
    </w:p>
    <w:p>
      <w:pPr>
        <w:pStyle w:val="Normal"/>
        <w:jc w:val="center"/>
        <w:rPr>
          <w:sz w:val="72"/>
          <w:szCs w:val="72"/>
          <w:rFonts w:hint="eastAsia"/>
        </w:rPr>
      </w:pPr>
      <w:r>
        <w:rPr>
          <w:sz w:val="72"/>
          <w:szCs w:val="72"/>
          <w:rFonts w:hint="eastAsia"/>
        </w:rPr>
      </w:r>
    </w:p>
    <w:p>
      <w:pPr>
        <w:pStyle w:val="Normal"/>
        <w:jc w:val="center"/>
        <w:rPr>
          <w:sz w:val="72"/>
          <w:szCs w:val="72"/>
          <w:rFonts w:hint="eastAsia"/>
        </w:rPr>
      </w:pPr>
      <w:r>
        <w:rPr>
          <w:sz w:val="72"/>
          <w:szCs w:val="72"/>
          <w:rFonts w:hint="eastAsia"/>
        </w:rPr>
      </w:r>
    </w:p>
    <w:p>
      <w:pPr>
        <w:pStyle w:val="Normal"/>
        <w:jc w:val="center"/>
        <w:rPr>
          <w:sz w:val="72"/>
          <w:szCs w:val="72"/>
        </w:rPr>
      </w:pPr>
      <w:r>
        <w:rPr>
          <w:sz w:val="72"/>
          <w:szCs w:val="72"/>
        </w:rPr>
      </w:r>
    </w:p>
    <w:p>
      <w:pPr>
        <w:pStyle w:val="Normal"/>
        <w:jc w:val="start"/>
        <w:rPr>
          <w:sz w:val="32"/>
          <w:szCs w:val="32"/>
        </w:rPr>
      </w:pPr>
      <w:r>
        <w:rPr>
          <w:sz w:val="32"/>
          <w:szCs w:val="32"/>
        </w:rPr>
      </w:r>
    </w:p>
    <w:p>
      <w:pPr>
        <w:pStyle w:val="UserStyle_3"/>
        <w:jc w:val="center"/>
        <w:rPr>
          <w:sz w:val="72"/>
          <w:szCs w:val="72"/>
          <w:rFonts w:hint="eastAsia"/>
        </w:rPr>
      </w:pPr>
      <w:r>
        <w:rPr>
          <w:sz w:val="72"/>
          <w:szCs w:val="72"/>
          <w:rFonts w:hint="eastAsia"/>
        </w:rPr>
      </w:r>
    </w:p>
    <w:p>
      <w:pPr>
        <w:pStyle w:val="UserStyle_3"/>
        <w:jc w:val="center"/>
        <w:rPr>
          <w:sz w:val="72"/>
          <w:szCs w:val="72"/>
        </w:rPr>
      </w:pPr>
      <w:r>
        <w:rPr>
          <w:sz w:val="72"/>
          <w:szCs w:val="72"/>
        </w:rPr>
      </w:r>
    </w:p>
    <w:p>
      <w:pPr>
        <w:pStyle w:val="UserStyle_3"/>
        <w:jc w:val="center"/>
        <w:rPr>
          <w:sz w:val="72"/>
          <w:szCs w:val="72"/>
          <w:rFonts w:hint="eastAsia"/>
        </w:rPr>
      </w:pPr>
      <w:r>
        <w:rPr>
          <w:sz w:val="72"/>
          <w:szCs w:val="72"/>
          <w:rFonts w:hint="eastAsia"/>
        </w:rPr>
        <w:t xml:space="preserve">第三部分</w:t>
      </w:r>
      <w:r>
        <w:rPr>
          <w:sz w:val="72"/>
          <w:szCs w:val="72"/>
        </w:rPr>
      </w:r>
    </w:p>
    <w:p>
      <w:pPr>
        <w:pStyle w:val="UserStyle_3"/>
        <w:jc w:val="center"/>
        <w:rPr>
          <w:sz w:val="70"/>
          <w:szCs w:val="70"/>
        </w:rPr>
      </w:pPr>
      <w:r>
        <w:rPr>
          <w:sz w:val="70"/>
          <w:szCs w:val="70"/>
        </w:rPr>
      </w:r>
    </w:p>
    <w:p>
      <w:pPr>
        <w:pStyle w:val="UserStyle_3"/>
        <w:jc w:val="center"/>
        <w:rPr>
          <w:sz w:val="70"/>
          <w:szCs w:val="70"/>
        </w:rPr>
      </w:pPr>
      <w:r>
        <w:rPr>
          <w:sz w:val="70"/>
          <w:szCs w:val="70"/>
        </w:rPr>
        <w:t xml:space="preserve">20</w:t>
      </w:r>
      <w:r>
        <w:rPr>
          <w:sz w:val="70"/>
          <w:szCs w:val="70"/>
          <w:rFonts w:hint="eastAsia"/>
        </w:rPr>
        <w:t xml:space="preserve">21年度部门决算情况说明</w:t>
      </w:r>
      <w:r>
        <w:rPr>
          <w:sz w:val="70"/>
          <w:szCs w:val="70"/>
        </w:rPr>
      </w:r>
    </w:p>
    <w:p>
      <w:pPr>
        <w:pStyle w:val="UserStyle_3"/>
        <w:rPr>
          <w:sz w:val="70"/>
          <w:szCs w:val="70"/>
        </w:rPr>
      </w:pPr>
      <w:r>
        <w:br w:type="page"/>
        <w:rPr>
          <w:sz w:val="70"/>
          <w:szCs w:val="70"/>
        </w:rPr>
      </w:r>
      <w:r>
        <w:rPr>
          <w:b w:val="1"/>
          <w:sz w:val="32"/>
          <w:szCs w:val="32"/>
          <w:rFonts w:hAnsi="黑体" w:hint="eastAsia"/>
        </w:rPr>
        <w:t xml:space="preserve">一、收入支出决算总体情况说明</w:t>
      </w:r>
      <w:r>
        <w:rPr>
          <w:b w:val="1"/>
          <w:sz w:val="32"/>
          <w:szCs w:val="32"/>
          <w:rFonts w:hAnsi="黑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2021年度收、支总计16822.35万元。与上年相比，减少296.06万元，减少1.7%，主要原因为2021年度未拨2021年度绩效预发资金。</w:t>
      </w:r>
      <w:r>
        <w:rPr>
          <w:sz w:val="32"/>
          <w:szCs w:val="32"/>
          <w:rFonts w:ascii="宋体" w:hAnsi="宋体" w:eastAsia="宋体"/>
        </w:rPr>
      </w:r>
    </w:p>
    <w:p>
      <w:pPr>
        <w:pStyle w:val="UserStyle_3"/>
        <w:rPr>
          <w:b w:val="1"/>
          <w:sz w:val="32"/>
          <w:szCs w:val="32"/>
          <w:rFonts w:hAnsi="黑体" w:hint="eastAsia"/>
        </w:rPr>
      </w:pPr>
      <w:r>
        <w:rPr>
          <w:b w:val="1"/>
          <w:sz w:val="32"/>
          <w:szCs w:val="32"/>
          <w:rFonts w:hAnsi="黑体" w:hint="eastAsia"/>
        </w:rPr>
        <w:t xml:space="preserve">二、收入决算情况说明</w:t>
      </w:r>
      <w:r>
        <w:rPr>
          <w:b w:val="1"/>
          <w:sz w:val="32"/>
          <w:szCs w:val="32"/>
          <w:rFonts w:hAnsi="黑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本年收入合计13802.1万元，其中：财政拨款收入12592.24万元，占91%；其他收入1209.86万元，占8.77%。</w:t>
      </w:r>
      <w:r>
        <w:rPr>
          <w:sz w:val="32"/>
          <w:szCs w:val="32"/>
          <w:rFonts w:ascii="宋体" w:hAnsi="宋体" w:eastAsia="宋体"/>
        </w:rPr>
      </w:r>
    </w:p>
    <w:p>
      <w:pPr>
        <w:pStyle w:val="UserStyle_3"/>
        <w:rPr>
          <w:b w:val="1"/>
          <w:sz w:val="32"/>
          <w:szCs w:val="32"/>
          <w:rFonts w:hAnsi="黑体" w:hint="eastAsia"/>
        </w:rPr>
      </w:pPr>
      <w:r>
        <w:rPr>
          <w:b w:val="1"/>
          <w:sz w:val="32"/>
          <w:szCs w:val="32"/>
          <w:rFonts w:hAnsi="黑体" w:hint="eastAsia"/>
        </w:rPr>
        <w:t xml:space="preserve">三、支出决算情况说明</w:t>
      </w:r>
      <w:r>
        <w:rPr>
          <w:b w:val="1"/>
          <w:sz w:val="32"/>
          <w:szCs w:val="32"/>
          <w:rFonts w:hAnsi="黑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本年支出合计13863.19万元，其中：基本支出9482.42万元，占68.4%；项目支出4380.77万元，占31.6%。</w:t>
      </w:r>
      <w:r>
        <w:rPr>
          <w:sz w:val="32"/>
          <w:szCs w:val="32"/>
          <w:rFonts w:ascii="宋体" w:hAnsi="宋体" w:eastAsia="宋体"/>
        </w:rPr>
      </w:r>
    </w:p>
    <w:p>
      <w:pPr>
        <w:pStyle w:val="UserStyle_3"/>
        <w:rPr>
          <w:b w:val="1"/>
          <w:sz w:val="32"/>
          <w:szCs w:val="32"/>
          <w:rFonts w:hAnsi="黑体" w:hint="eastAsia"/>
        </w:rPr>
      </w:pPr>
      <w:r>
        <w:rPr>
          <w:b w:val="1"/>
          <w:sz w:val="32"/>
          <w:szCs w:val="32"/>
          <w:rFonts w:hAnsi="黑体" w:hint="eastAsia"/>
        </w:rPr>
        <w:t xml:space="preserve">四、财政拨款收入支出决算总体情况说明</w:t>
      </w:r>
      <w:r>
        <w:rPr>
          <w:b w:val="1"/>
          <w:sz w:val="32"/>
          <w:szCs w:val="32"/>
          <w:rFonts w:hAnsi="黑体"/>
        </w:rPr>
      </w:r>
    </w:p>
    <w:p>
      <w:pPr>
        <w:pStyle w:val="UserStyle_3"/>
        <w:rPr>
          <w:sz w:val="32"/>
          <w:szCs w:val="32"/>
          <w:rFonts w:ascii="宋体" w:hAnsi="宋体" w:eastAsia="宋体" w:hint="eastAsia"/>
        </w:rPr>
      </w:pPr>
      <w:r>
        <w:rPr>
          <w:sz w:val="32"/>
          <w:szCs w:val="32"/>
          <w:rFonts w:ascii="宋体" w:hAnsi="宋体" w:eastAsia="宋体" w:hint="eastAsia"/>
        </w:rPr>
        <w:t xml:space="preserve">  </w:t>
      </w:r>
      <w:r>
        <w:rPr>
          <w:sz w:val="32"/>
          <w:szCs w:val="32"/>
          <w:rFonts w:ascii="宋体" w:hAnsi="宋体" w:eastAsia="宋体"/>
        </w:rPr>
        <w:t xml:space="preserve">   </w:t>
      </w:r>
      <w:r>
        <w:rPr>
          <w:sz w:val="32"/>
          <w:szCs w:val="32"/>
          <w:rFonts w:ascii="宋体" w:hAnsi="宋体" w:eastAsia="宋体" w:hint="eastAsia"/>
        </w:rPr>
        <w:t xml:space="preserve">2021年度财政拨款收、支总计15404.27万元，与上年相比，减少221.89万元,减少1.42%，主要原因为2021年度未预发2021年度绩效奖。</w:t>
      </w:r>
      <w:r>
        <w:rPr>
          <w:sz w:val="32"/>
          <w:szCs w:val="32"/>
          <w:rFonts w:ascii="宋体" w:hAnsi="宋体" w:eastAsia="宋体"/>
        </w:rPr>
      </w:r>
    </w:p>
    <w:p>
      <w:pPr>
        <w:pStyle w:val="UserStyle_3"/>
        <w:rPr>
          <w:b w:val="1"/>
          <w:sz w:val="32"/>
          <w:szCs w:val="32"/>
          <w:rFonts w:hAnsi="黑体" w:hint="eastAsia"/>
        </w:rPr>
      </w:pPr>
      <w:r>
        <w:rPr>
          <w:b w:val="1"/>
          <w:sz w:val="32"/>
          <w:szCs w:val="32"/>
          <w:rFonts w:hAnsi="黑体" w:hint="eastAsia"/>
        </w:rPr>
        <w:t xml:space="preserve">五、一般公共预算财政拨款支出决算情况说明</w:t>
      </w:r>
      <w:r>
        <w:rPr>
          <w:b w:val="1"/>
          <w:sz w:val="32"/>
          <w:szCs w:val="32"/>
          <w:rFonts w:hAnsi="黑体"/>
        </w:rPr>
      </w:r>
    </w:p>
    <w:p>
      <w:pPr>
        <w:pStyle w:val="UserStyle_3"/>
        <w:ind w:firstLine="422" w:firstLineChars="132"/>
        <w:rPr>
          <w:b w:val="1"/>
          <w:sz w:val="32"/>
          <w:szCs w:val="32"/>
          <w:rFonts w:ascii="宋体" w:hAnsi="宋体" w:eastAsia="宋体" w:hint="eastAsia"/>
        </w:rPr>
      </w:pPr>
      <w:r>
        <w:rPr>
          <w:b w:val="1"/>
          <w:sz w:val="32"/>
          <w:szCs w:val="32"/>
          <w:rFonts w:ascii="宋体" w:hAnsi="宋体" w:eastAsia="宋体" w:hint="eastAsia"/>
        </w:rPr>
        <w:t xml:space="preserve">（一）财政拨款支出决算总体情况</w:t>
      </w:r>
      <w:r>
        <w:rPr>
          <w:b w:val="1"/>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2021年度财政拨款支出12483.98万元，占本年支出合计的90.05%，与上年相比，财政拨款支出减少330.14万元，减少2.58%，主要是因为年底未追加人员支出，2021年绩效拨款。</w:t>
      </w:r>
      <w:r>
        <w:rPr>
          <w:color w:val="ff0000"/>
          <w:sz w:val="32"/>
          <w:szCs w:val="32"/>
          <w:rFonts w:ascii="宋体" w:hAnsi="宋体" w:eastAsia="宋体"/>
        </w:rPr>
      </w:r>
    </w:p>
    <w:p>
      <w:pPr>
        <w:pStyle w:val="UserStyle_3"/>
        <w:ind w:firstLine="422" w:firstLineChars="132"/>
        <w:rPr>
          <w:b w:val="1"/>
          <w:sz w:val="32"/>
          <w:szCs w:val="32"/>
          <w:rFonts w:ascii="宋体" w:hAnsi="宋体" w:eastAsia="宋体" w:hint="eastAsia"/>
        </w:rPr>
      </w:pPr>
      <w:r>
        <w:rPr>
          <w:b w:val="1"/>
          <w:sz w:val="32"/>
          <w:szCs w:val="32"/>
          <w:rFonts w:ascii="宋体" w:hAnsi="宋体" w:eastAsia="宋体" w:hint="eastAsia"/>
        </w:rPr>
        <w:t xml:space="preserve">（二）财政拨款支出决算结构情况</w:t>
      </w:r>
      <w:r>
        <w:rPr>
          <w:b w:val="1"/>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2021年度财政拨款支出12483.98万元，主要用于以下方面：公共安全支出支出10343.95万元，占82.86%；教育（类）支出45万元，占0.36%;社会保障和就业(类)支出813.48万元，占6.52%：卫生健康（类）支出613.6万元，占4.9%；住房保障（类）支出589.5万元，占4.72%。</w:t>
      </w:r>
      <w:r>
        <w:rPr>
          <w:sz w:val="32"/>
          <w:szCs w:val="32"/>
          <w:rFonts w:ascii="宋体" w:hAnsi="宋体" w:eastAsia="宋体"/>
        </w:rPr>
      </w:r>
    </w:p>
    <w:p>
      <w:pPr>
        <w:pStyle w:val="UserStyle_3"/>
        <w:ind w:firstLine="422" w:firstLineChars="132"/>
        <w:rPr>
          <w:b w:val="1"/>
          <w:sz w:val="32"/>
          <w:szCs w:val="32"/>
          <w:rFonts w:ascii="宋体" w:hAnsi="宋体" w:eastAsia="宋体" w:hint="eastAsia"/>
        </w:rPr>
      </w:pPr>
      <w:r>
        <w:rPr>
          <w:b w:val="1"/>
          <w:sz w:val="32"/>
          <w:szCs w:val="32"/>
          <w:rFonts w:ascii="宋体" w:hAnsi="宋体" w:eastAsia="宋体" w:hint="eastAsia"/>
        </w:rPr>
        <w:t xml:space="preserve">（三）财政拨款支出决算具体情况</w:t>
      </w:r>
      <w:r>
        <w:rPr>
          <w:b w:val="1"/>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2021年度财政拨款支出年初预算数为12624.34万元，支出决算数为12483.98万元，完成年初预算的98.89%，其中：</w:t>
      </w:r>
      <w:r>
        <w:rPr>
          <w:color w:val="ff0000"/>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 1、一般公共服务支出（类）其他一般公共服务支出（款）其他一般公共服务支出（项）</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年初预算为0万元，支出决算为78.46万元，决算大于年初预算的主要原因是：年中追加省直单位特殊信息化建设项目拨款。</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2、公共安全支出（类）监狱（款）行政运行（项）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年初预算为5828.8万元，支出决算为6436.05万元，完成年初预算的110.42%，决算大于年初预算数的主要原因是：2021年终追加在职警察2020年绩效奖。</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3、公共安全支出（类）监狱（款）一般行政管理事务（项）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年初预算为30万元，支出决算为30万元，完成年初预算的100%。</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4、公共安全支出（类）监狱（款）狱政设施建设（项）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年初预算为2935.48万元，支出决算为1075.19万元，完成年初预算的36.63%，决算小于年初预算数的主要原因是：年初预算包含二期扩建结余资金2560万元，二期扩建项目未完成。</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5、教育支出（类）进修及培训（款）培训支出（项）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年初预算为45万元，支出决算为45万元，完成年初预算的100%。</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6、社会保障和就业支出（类）行政事业单位养老支出（款）行政单位离退休（项）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年初预算为43.32万元，支出决算为43.32万元，完成年初预算的100%。 </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7、社会保障和就业支出（类）行政事业单位养老支出（款）机关事业单位基本养老保险缴费支出（项）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年初预算为615.4万元，支出决算为595.4万元，完成年初预算的96.75</w:t>
      </w:r>
      <w:r>
        <w:rPr>
          <w:sz w:val="32"/>
          <w:szCs w:val="32"/>
          <w:rFonts w:ascii="宋体" w:hAnsi="宋体" w:eastAsia="宋体"/>
        </w:rPr>
        <w:t xml:space="preserve">%</w:t>
      </w:r>
      <w:r>
        <w:rPr>
          <w:sz w:val="32"/>
          <w:szCs w:val="32"/>
          <w:rFonts w:ascii="宋体" w:hAnsi="宋体" w:eastAsia="宋体" w:hint="eastAsia"/>
        </w:rPr>
        <w:t xml:space="preserve">。决算小于年初预算的主要原因是：年中人员经费正常调出。</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8、社会保障和就业支出（类）行政事业单位养老支出（款）其他行政事业单位离退休支出（项）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年初预算为18.76万元，支出决算为20.56万元，完成年初预算的109.59</w:t>
      </w:r>
      <w:r>
        <w:rPr>
          <w:sz w:val="32"/>
          <w:szCs w:val="32"/>
          <w:rFonts w:ascii="宋体" w:hAnsi="宋体" w:eastAsia="宋体"/>
        </w:rPr>
        <w:t xml:space="preserve">%</w:t>
      </w:r>
      <w:r>
        <w:rPr>
          <w:sz w:val="32"/>
          <w:szCs w:val="32"/>
          <w:rFonts w:ascii="宋体" w:hAnsi="宋体" w:eastAsia="宋体" w:hint="eastAsia"/>
        </w:rPr>
        <w:t xml:space="preserve">，决算大于年初预算的主要原因是：年中追加建国初期人员专项经费。</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9、社会保障和就业支出（类）抚恤（款）死亡抚恤（项）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年初预算为154.2万元，支出决算为154.2万元，完成年初预算的100%。</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10、卫生健康支出（类）行政事业单位医疗（款）行政单位医疗（项）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年初预算为365万元，支出决算为387万元,完成年初预算的106.03%。决算大于年初预算的主要原因是：年中人员经费正常调入。</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11、卫生健康支出（类）行政事业单位医疗（款）公务员医疗补助（项）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年初预算为225万元，支出决算为225万元,完成年初预算的100%。</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12、卫生健康支出（类）行政事业单位医疗（款）其他行政事业单位医疗支出（项）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年初预算为1.6万元，支出决算为1.6万元,完成年初预算的100%。</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13、住房保障支出（类）住房改革支出（款）住房公积金（项）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年初预算为539万元，支出决算为539万元,完成年初预算的100%。</w:t>
      </w:r>
      <w:r>
        <w:rPr>
          <w:sz w:val="32"/>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14、住房保障支出（类）住房改革支出（款）购房补贴（项）</w:t>
      </w:r>
      <w:r>
        <w:rPr>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年初预算为50.5万元，支出决算为50.5万元,完成年初预算的100%。</w:t>
      </w:r>
      <w:r>
        <w:rPr>
          <w:sz w:val="32"/>
          <w:szCs w:val="32"/>
          <w:rFonts w:ascii="宋体" w:hAnsi="宋体" w:eastAsia="宋体"/>
        </w:rPr>
      </w:r>
    </w:p>
    <w:p>
      <w:pPr>
        <w:pStyle w:val="UserStyle_3"/>
        <w:rPr>
          <w:b w:val="1"/>
          <w:sz w:val="32"/>
          <w:szCs w:val="32"/>
          <w:rFonts w:hAnsi="黑体" w:hint="eastAsia"/>
        </w:rPr>
      </w:pPr>
      <w:r>
        <w:rPr>
          <w:b w:val="1"/>
          <w:sz w:val="32"/>
          <w:szCs w:val="32"/>
          <w:rFonts w:hAnsi="黑体" w:hint="eastAsia"/>
        </w:rPr>
        <w:t xml:space="preserve">六、一般公共预算财政拨款基本支出决算情况说明</w:t>
      </w:r>
      <w:r>
        <w:rPr>
          <w:b w:val="1"/>
          <w:sz w:val="32"/>
          <w:szCs w:val="32"/>
          <w:rFonts w:hAnsi="黑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2021年度财政拨款基本支出9156.4万元，其中：人员经费8157.36万元，占基本支出的89.09%,主要包括基本工资、津贴补贴、奖金、伙食补助费、机关事业单位基本养老保险缴费、职工基本医疗保险缴费、公务员医疗补助缴费、住房公积金、其他工资福利支出、离休费、退休费、抚恤金、生活补助、医疗费补助、其他对个人和家庭的补助等；公用经费999.04万元，占基本支出的10.91%，主要包括办公费、印刷费、咨询费、手续费、水费、电费、邮电费、差旅费、维修(护)费、租赁费、会议费、培训费、公务接待费、专用材料费、劳务费、委托业务费、工会经费、福利费、公务用车运行维护费、其他交通费用、其他商品和服务支出等。</w:t>
      </w:r>
      <w:r>
        <w:rPr>
          <w:sz w:val="32"/>
          <w:szCs w:val="32"/>
          <w:rFonts w:ascii="宋体" w:hAnsi="宋体" w:eastAsia="宋体"/>
        </w:rPr>
      </w:r>
    </w:p>
    <w:p>
      <w:pPr>
        <w:pStyle w:val="UserStyle_3"/>
        <w:rPr>
          <w:b w:val="1"/>
          <w:sz w:val="32"/>
          <w:szCs w:val="32"/>
          <w:rFonts w:hAnsi="黑体" w:hint="eastAsia"/>
        </w:rPr>
      </w:pPr>
      <w:r>
        <w:rPr>
          <w:b w:val="1"/>
          <w:sz w:val="32"/>
          <w:szCs w:val="32"/>
          <w:rFonts w:hAnsi="黑体" w:hint="eastAsia"/>
        </w:rPr>
        <w:t xml:space="preserve">七、一般公共预算财政拨款三公经费支出决算情况说明</w:t>
      </w:r>
      <w:r>
        <w:rPr>
          <w:b w:val="1"/>
          <w:sz w:val="32"/>
          <w:szCs w:val="32"/>
          <w:rFonts w:hAnsi="黑体"/>
        </w:rPr>
      </w:r>
    </w:p>
    <w:p>
      <w:pPr>
        <w:pStyle w:val="UserStyle_3"/>
        <w:rPr>
          <w:b w:val="1"/>
          <w:sz w:val="32"/>
          <w:szCs w:val="32"/>
          <w:rFonts w:ascii="宋体" w:hAnsi="宋体" w:eastAsia="宋体" w:hint="eastAsia"/>
        </w:rPr>
      </w:pPr>
      <w:r>
        <w:rPr>
          <w:b w:val="1"/>
          <w:sz w:val="32"/>
          <w:szCs w:val="32"/>
          <w:rFonts w:ascii="宋体" w:hAnsi="宋体" w:eastAsia="宋体" w:hint="eastAsia"/>
        </w:rPr>
        <w:t xml:space="preserve">（一）“三公”经费财政拨款支出决算总体情况说明</w:t>
      </w:r>
      <w:r>
        <w:rPr>
          <w:b w:val="1"/>
          <w:sz w:val="32"/>
          <w:szCs w:val="32"/>
          <w:rFonts w:ascii="宋体" w:hAnsi="宋体" w:eastAsia="宋体"/>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“三公”经费财政拨款支出预算为95万元，支出决算为94.53万元，完成预算的99.51%，其中：</w:t>
      </w:r>
      <w:r>
        <w:rPr>
          <w:sz w:val="32"/>
          <w:szCs w:val="32"/>
          <w:rFonts w:ascii="宋体" w:hAnsi="宋体" w:eastAsia="宋体"/>
        </w:rPr>
      </w:r>
    </w:p>
    <w:p>
      <w:pPr>
        <w:pStyle w:val="UserStyle_3"/>
        <w:ind w:firstLine="800" w:firstLineChars="250"/>
        <w:rPr>
          <w:sz w:val="32"/>
          <w:lang w:val="en-US" w:eastAsia="zh-CN"/>
          <w:szCs w:val="32"/>
          <w:rFonts w:ascii="宋体" w:hAnsi="宋体" w:eastAsia="宋体" w:hint="eastAsia"/>
        </w:rPr>
      </w:pPr>
      <w:r>
        <w:rPr>
          <w:sz w:val="32"/>
          <w:lang w:val="en-US" w:eastAsia="zh-CN"/>
          <w:szCs w:val="32"/>
          <w:rFonts w:ascii="宋体" w:hAnsi="宋体" w:eastAsia="宋体" w:hint="eastAsia"/>
        </w:rPr>
        <w:t xml:space="preserve">因公出国（境）支出预算为0万元，支出决算为0万元；</w:t>
      </w:r>
      <w:r>
        <w:rPr>
          <w:sz w:val="32"/>
          <w:lang w:val="en-US" w:eastAsia="zh-CN"/>
          <w:szCs w:val="32"/>
          <w:rFonts w:ascii="宋体" w:hAnsi="宋体" w:eastAsia="宋体" w:hint="eastAsia"/>
        </w:rPr>
      </w:r>
    </w:p>
    <w:p>
      <w:pPr>
        <w:pStyle w:val="UserStyle_3"/>
        <w:ind w:firstLine="800" w:firstLineChars="250"/>
        <w:rPr>
          <w:sz w:val="32"/>
          <w:szCs w:val="32"/>
          <w:rFonts w:ascii="宋体" w:hAnsi="宋体" w:eastAsia="宋体" w:hint="eastAsia"/>
        </w:rPr>
      </w:pPr>
      <w:r>
        <w:rPr>
          <w:sz w:val="32"/>
          <w:szCs w:val="32"/>
          <w:rFonts w:ascii="宋体" w:hAnsi="宋体" w:eastAsia="宋体" w:hint="eastAsia"/>
        </w:rPr>
        <w:t xml:space="preserve">公务接待费支出年初预算为15万元，调整后预算数为13万元，支出决算为13.99万元，完成预算的107.62%，决算数大于预算数的主要原因是三公经费内部调整，三公经费总额未超标。与上年相比增加4.75万元，增加51.41%,增加的主要原因是增加预算，疫情缓解，公务接待有所增加。</w:t>
      </w:r>
      <w:r>
        <w:rPr>
          <w:sz w:val="32"/>
          <w:szCs w:val="32"/>
          <w:rFonts w:ascii="宋体" w:hAnsi="宋体" w:eastAsia="宋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公务用车购置费年初预算为30万元，支出决算为30万元，完成预算的100%，公务用车运行费年初预算为50万元，支出决算为50.54万元，决算数大于预算数的主要原因是三公经费内部调整，两者与上年相比共减少5.22万元，减少6.09%,减少的主要原因是预算减少5万元，减少5.89%。</w:t>
      </w:r>
      <w:r>
        <w:rPr>
          <w:sz w:val="32"/>
          <w:szCs w:val="32"/>
          <w:rFonts w:ascii="宋体" w:hAnsi="宋体" w:eastAsia="宋体"/>
        </w:rPr>
      </w:r>
    </w:p>
    <w:p>
      <w:pPr>
        <w:pStyle w:val="UserStyle_3"/>
        <w:rPr>
          <w:b w:val="1"/>
          <w:sz w:val="32"/>
          <w:szCs w:val="32"/>
          <w:rFonts w:ascii="宋体" w:hAnsi="宋体" w:eastAsia="宋体" w:hint="eastAsia"/>
        </w:rPr>
      </w:pPr>
      <w:r>
        <w:rPr>
          <w:b w:val="1"/>
          <w:sz w:val="32"/>
          <w:szCs w:val="32"/>
          <w:rFonts w:ascii="宋体" w:hAnsi="宋体" w:eastAsia="宋体" w:hint="eastAsia"/>
        </w:rPr>
        <w:t xml:space="preserve">（二）“三公”经费财政拨款支出决算具体情况说明</w:t>
      </w:r>
      <w:r>
        <w:rPr>
          <w:b w:val="1"/>
          <w:sz w:val="32"/>
          <w:szCs w:val="32"/>
          <w:rFonts w:ascii="宋体" w:hAnsi="宋体" w:eastAsia="宋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2021年度“三公”经费财政拨款支出决算中，公务接待费支出决算13.99万元，占14.8%,</w:t>
      </w:r>
      <w:r>
        <w:rPr>
          <w:sz w:val="32"/>
          <w:lang w:val="en-US" w:eastAsia="zh-CN"/>
          <w:szCs w:val="32"/>
          <w:rFonts w:ascii="宋体" w:hAnsi="宋体" w:eastAsia="宋体" w:hint="eastAsia"/>
        </w:rPr>
        <w:t xml:space="preserve">因公出国（境）支出决算为0万元，占0%。</w:t>
      </w:r>
      <w:r>
        <w:rPr>
          <w:sz w:val="32"/>
          <w:szCs w:val="32"/>
          <w:rFonts w:ascii="宋体" w:hAnsi="宋体" w:eastAsia="宋体" w:hint="eastAsia"/>
        </w:rPr>
        <w:t xml:space="preserve">公务用车购置费及运行维护费支出决算80.54万元，占85.2%。其中：</w:t>
      </w:r>
      <w:r>
        <w:rPr>
          <w:sz w:val="32"/>
          <w:szCs w:val="32"/>
          <w:rFonts w:ascii="宋体" w:hAnsi="宋体" w:eastAsia="宋体"/>
        </w:rPr>
      </w:r>
    </w:p>
    <w:p>
      <w:pPr>
        <w:pStyle w:val="UserStyle_3"/>
        <w:ind w:firstLine="707" w:firstLineChars="221"/>
        <w:rPr>
          <w:sz w:val="32"/>
          <w:szCs w:val="32"/>
          <w:rFonts w:ascii="宋体" w:hAnsi="宋体" w:eastAsia="宋体" w:hint="eastAsia"/>
        </w:rPr>
      </w:pPr>
      <w:r>
        <w:rPr>
          <w:sz w:val="32"/>
          <w:szCs w:val="32"/>
          <w:rFonts w:ascii="宋体" w:hAnsi="宋体" w:eastAsia="宋体" w:hint="eastAsia"/>
        </w:rPr>
        <w:t xml:space="preserve">1、公务接待费支出决算为13.99万元，全年共接待来访团组189个、来宾1323人次，主要是法院开庭、接待学习调研等发生的接待支出。</w:t>
      </w:r>
      <w:r>
        <w:rPr>
          <w:sz w:val="32"/>
          <w:szCs w:val="32"/>
          <w:rFonts w:ascii="宋体" w:hAnsi="宋体" w:eastAsia="宋体"/>
        </w:rPr>
      </w:r>
    </w:p>
    <w:p>
      <w:pPr>
        <w:pStyle w:val="Normal"/>
        <w:ind w:firstLine="707" w:firstLineChars="221"/>
        <w:rPr>
          <w:sz w:val="32"/>
          <w:lang w:val="en-US" w:eastAsia="zh-CN"/>
          <w:szCs w:val="32"/>
          <w:rFonts w:ascii="宋体" w:hAnsi="宋体" w:hint="eastAsia"/>
        </w:rPr>
      </w:pPr>
      <w:r>
        <w:rPr>
          <w:sz w:val="32"/>
          <w:lang w:val="en-US" w:eastAsia="zh-CN"/>
          <w:szCs w:val="32"/>
          <w:rFonts w:ascii="宋体" w:hAnsi="宋体" w:hint="eastAsia"/>
        </w:rPr>
        <w:t xml:space="preserve">2</w:t>
      </w:r>
      <w:r>
        <w:rPr>
          <w:sz w:val="32"/>
          <w:szCs w:val="32"/>
          <w:rFonts w:ascii="宋体" w:hAnsi="宋体" w:hint="eastAsia"/>
        </w:rPr>
        <w:t xml:space="preserve">、公务用车购置费及运行维护费支出决算为80.54万元，其中：公务用车购置费30万元，更新执法执勤用车1辆</w:t>
      </w:r>
      <w:r>
        <w:rPr>
          <w:color w:val="000000"/>
          <w:sz w:val="32"/>
          <w:szCs w:val="32"/>
          <w:rFonts w:ascii="宋体" w:hAnsi="宋体" w:hint="eastAsia"/>
        </w:rPr>
        <w:t xml:space="preserve">。</w:t>
      </w:r>
      <w:r>
        <w:rPr>
          <w:sz w:val="32"/>
          <w:szCs w:val="32"/>
          <w:rFonts w:ascii="宋体" w:hAnsi="宋体" w:hint="eastAsia"/>
        </w:rPr>
        <w:t xml:space="preserve">公务用车运行维护费50.54万元，主要是公务车辆加油等支出，截止2021年12月31日，我单位开支财政拨款的公务用车保有量为12辆。</w:t>
      </w:r>
      <w:r>
        <w:rPr>
          <w:sz w:val="32"/>
          <w:szCs w:val="32"/>
          <w:rFonts w:ascii="宋体" w:hAnsi="宋体" w:hint="eastAsia"/>
        </w:rPr>
      </w:r>
    </w:p>
    <w:p>
      <w:pPr>
        <w:pStyle w:val="Normal"/>
        <w:ind w:firstLine="707" w:firstLineChars="221"/>
        <w:rPr>
          <w:sz w:val="32"/>
          <w:lang w:val="en-US" w:eastAsia="zh-CN"/>
          <w:szCs w:val="32"/>
          <w:rFonts w:ascii="宋体" w:hAnsi="宋体" w:hint="eastAsia"/>
        </w:rPr>
      </w:pPr>
      <w:r>
        <w:rPr>
          <w:sz w:val="32"/>
          <w:lang w:val="en-US" w:eastAsia="zh-CN"/>
          <w:szCs w:val="32"/>
          <w:rFonts w:ascii="宋体" w:hAnsi="宋体" w:hint="eastAsia"/>
        </w:rPr>
        <w:t xml:space="preserve">3、因公出国（境）费支出决算为0万元，全年安排因公出国（境）团组0个，累计0人次。</w:t>
      </w:r>
      <w:r>
        <w:rPr>
          <w:sz w:val="32"/>
          <w:lang w:val="en-US" w:eastAsia="zh-CN"/>
          <w:szCs w:val="32"/>
          <w:rFonts w:ascii="宋体" w:hAnsi="宋体" w:eastAsia="宋体"/>
        </w:rPr>
      </w:r>
    </w:p>
    <w:p>
      <w:pPr>
        <w:pStyle w:val="UserStyle_3"/>
        <w:rPr>
          <w:b w:val="1"/>
          <w:sz w:val="32"/>
          <w:szCs w:val="32"/>
          <w:rFonts w:hAnsi="黑体" w:hint="eastAsia"/>
        </w:rPr>
      </w:pPr>
      <w:r>
        <w:rPr>
          <w:b w:val="1"/>
          <w:sz w:val="32"/>
          <w:szCs w:val="32"/>
          <w:rFonts w:hAnsi="黑体" w:hint="eastAsia"/>
        </w:rPr>
        <w:t xml:space="preserve">八、政府性基金预算收入支出决算情况</w:t>
      </w:r>
      <w:r>
        <w:rPr>
          <w:b w:val="1"/>
          <w:sz w:val="32"/>
          <w:szCs w:val="32"/>
          <w:rFonts w:hAnsi="黑体"/>
        </w:rPr>
      </w:r>
    </w:p>
    <w:p>
      <w:pPr>
        <w:pStyle w:val="UserStyle_3"/>
        <w:rPr>
          <w:sz w:val="32"/>
          <w:szCs w:val="32"/>
          <w:rFonts w:ascii="宋体" w:hAnsi="宋体" w:eastAsia="宋体" w:hint="eastAsia"/>
        </w:rPr>
      </w:pPr>
      <w:r>
        <w:rPr>
          <w:sz w:val="32"/>
          <w:szCs w:val="32"/>
          <w:rFonts w:ascii="宋体" w:hAnsi="宋体" w:eastAsia="宋体" w:hint="eastAsia"/>
        </w:rPr>
        <w:t xml:space="preserve">    </w:t>
      </w:r>
      <w:r>
        <w:rPr>
          <w:color w:val="000000"/>
          <w:sz w:val="32"/>
          <w:szCs w:val="32"/>
          <w:kern w:val="2"/>
          <w:rFonts w:ascii="宋体" w:hAnsi="宋体" w:eastAsia="宋体" w:hint="eastAsia"/>
        </w:rPr>
        <w:t xml:space="preserve"> 本单位无政府性基金收支</w:t>
      </w:r>
      <w:r>
        <w:rPr>
          <w:color w:val="000000"/>
          <w:sz w:val="32"/>
          <w:szCs w:val="32"/>
          <w:kern w:val="2"/>
          <w:rFonts w:ascii="宋体" w:hAnsi="宋体" w:eastAsia="宋体"/>
        </w:rPr>
      </w:r>
    </w:p>
    <w:p>
      <w:pPr>
        <w:pStyle w:val="UserStyle_3"/>
        <w:rPr>
          <w:b w:val="1"/>
          <w:sz w:val="32"/>
          <w:szCs w:val="32"/>
          <w:rFonts w:hAnsi="黑体" w:hint="eastAsia"/>
        </w:rPr>
      </w:pPr>
      <w:r>
        <w:rPr>
          <w:b w:val="1"/>
          <w:sz w:val="32"/>
          <w:szCs w:val="32"/>
          <w:rFonts w:hAnsi="黑体" w:hint="eastAsia"/>
        </w:rPr>
        <w:t xml:space="preserve">九、关于机关运行经费支出说明</w:t>
      </w:r>
      <w:r>
        <w:rPr>
          <w:b w:val="1"/>
          <w:sz w:val="32"/>
          <w:szCs w:val="32"/>
          <w:rFonts w:hAnsi="黑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本单位2021年度机关运行经费支出999.04万元，比上年决算数增加124.75万元，增加14.27%。主要原因是：主要原因是为其他资金弥补福利费增加。</w:t>
      </w:r>
      <w:r>
        <w:rPr>
          <w:sz w:val="32"/>
          <w:szCs w:val="32"/>
          <w:rFonts w:ascii="宋体" w:hAnsi="宋体" w:eastAsia="宋体"/>
        </w:rPr>
      </w:r>
    </w:p>
    <w:p>
      <w:pPr>
        <w:pStyle w:val="UserStyle_3"/>
        <w:rPr>
          <w:b w:val="1"/>
          <w:sz w:val="32"/>
          <w:szCs w:val="32"/>
          <w:rFonts w:hAnsi="黑体" w:hint="eastAsia"/>
        </w:rPr>
      </w:pPr>
      <w:r>
        <w:rPr>
          <w:b w:val="1"/>
          <w:sz w:val="32"/>
          <w:szCs w:val="32"/>
          <w:rFonts w:hAnsi="黑体" w:hint="eastAsia"/>
        </w:rPr>
        <w:t xml:space="preserve">十、一般性支出情况</w:t>
      </w:r>
      <w:r>
        <w:rPr>
          <w:b w:val="1"/>
          <w:sz w:val="32"/>
          <w:szCs w:val="32"/>
          <w:rFonts w:hAnsi="黑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2021年</w:t>
      </w:r>
      <w:r>
        <w:rPr>
          <w:sz w:val="32"/>
          <w:szCs w:val="32"/>
          <w:rFonts w:ascii="宋体" w:hAnsi="宋体" w:eastAsia="宋体"/>
        </w:rPr>
        <w:t xml:space="preserve">本单位无会议费开支</w:t>
      </w:r>
      <w:r>
        <w:rPr>
          <w:sz w:val="32"/>
          <w:szCs w:val="32"/>
          <w:rFonts w:ascii="宋体" w:hAnsi="宋体" w:eastAsia="宋体" w:hint="eastAsia"/>
        </w:rPr>
        <w:t xml:space="preserve">。</w:t>
      </w:r>
      <w:r>
        <w:rPr>
          <w:sz w:val="32"/>
          <w:szCs w:val="32"/>
          <w:rFonts w:ascii="宋体" w:hAnsi="宋体" w:eastAsia="宋体" w:hint="eastAsia"/>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2021年本单位开支培训费45万元，用于开展</w:t>
      </w:r>
      <w:r>
        <w:rPr>
          <w:sz w:val="32"/>
          <w:szCs w:val="32"/>
          <w:rFonts w:ascii="宋体" w:hAnsi="宋体" w:eastAsia="宋体" w:hint="eastAsia"/>
        </w:rPr>
        <w:t xml:space="preserve">警衔晋升、能力素质及业务培训</w:t>
      </w:r>
      <w:r>
        <w:rPr>
          <w:sz w:val="32"/>
          <w:szCs w:val="32"/>
          <w:rFonts w:ascii="宋体" w:hAnsi="宋体" w:eastAsia="宋体" w:hint="eastAsia"/>
        </w:rPr>
        <w:t xml:space="preserve">，人数558人，内容为(1)监狱警察警衔晋升及新警首授培训年初财政拨款支出预算35.8万元，实际开支35.8万元。(2)业务能力培训：包括省直监狱系统以及单位政治培训、改造线业务培训、执法业务培训、会计继续教育培训等年初财政拨款支出预算9.2万元，实际开支9.2万元。</w:t>
      </w:r>
      <w:r>
        <w:rPr>
          <w:sz w:val="32"/>
          <w:szCs w:val="32"/>
          <w:rFonts w:ascii="宋体" w:hAnsi="宋体" w:eastAsia="宋体" w:hint="eastAsia"/>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2021年本单位</w:t>
      </w:r>
      <w:r>
        <w:rPr>
          <w:sz w:val="32"/>
          <w:szCs w:val="32"/>
          <w:rFonts w:ascii="宋体" w:hAnsi="宋体" w:eastAsia="宋体"/>
        </w:rPr>
        <w:t xml:space="preserve">无</w:t>
      </w:r>
      <w:r>
        <w:rPr>
          <w:sz w:val="32"/>
          <w:szCs w:val="32"/>
          <w:rFonts w:ascii="宋体" w:hAnsi="宋体" w:eastAsia="宋体" w:hint="eastAsia"/>
        </w:rPr>
        <w:t xml:space="preserve">节庆、晚会、论坛、赛事活动经费预算及支出。</w:t>
      </w:r>
      <w:r>
        <w:rPr>
          <w:sz w:val="32"/>
          <w:szCs w:val="32"/>
          <w:rFonts w:ascii="宋体" w:hAnsi="宋体" w:eastAsia="宋体"/>
        </w:rPr>
      </w:r>
    </w:p>
    <w:p>
      <w:pPr>
        <w:pStyle w:val="UserStyle_3"/>
        <w:rPr>
          <w:b w:val="1"/>
          <w:sz w:val="32"/>
          <w:szCs w:val="32"/>
          <w:rFonts w:hAnsi="黑体" w:hint="eastAsia"/>
        </w:rPr>
      </w:pPr>
      <w:r>
        <w:rPr>
          <w:b w:val="1"/>
          <w:sz w:val="32"/>
          <w:szCs w:val="32"/>
          <w:rFonts w:hAnsi="黑体" w:hint="eastAsia"/>
        </w:rPr>
        <w:t xml:space="preserve">十一、关于政府采购支出说明</w:t>
      </w:r>
      <w:r>
        <w:rPr>
          <w:b w:val="1"/>
          <w:sz w:val="32"/>
          <w:szCs w:val="32"/>
          <w:rFonts w:hAnsi="黑体"/>
        </w:rPr>
      </w:r>
    </w:p>
    <w:p>
      <w:pPr>
        <w:pStyle w:val="UserStyle_4"/>
        <w:wordWrap w:val="0"/>
        <w:spacing w:after="0" w:afterAutospacing="0" w:before="0" w:beforeAutospacing="0" w:lineRule="auto"/>
        <w:ind w:firstLine="640" w:firstLineChars="200" w:left="212"/>
        <w:rPr>
          <w:sz w:val="32"/>
          <w:szCs w:val="32"/>
          <w:rFonts w:hint="eastAsia"/>
        </w:rPr>
      </w:pPr>
      <w:r>
        <w:rPr>
          <w:sz w:val="32"/>
          <w:szCs w:val="32"/>
          <w:rFonts w:hint="eastAsia"/>
        </w:rPr>
        <w:t xml:space="preserve">本单位2021年度政府采购支出总额2249.16万元，其中：政府采购货物支出1147.99万元、政府采购工程支出616.6 万元、政府采购服务支出</w:t>
      </w:r>
      <w:r>
        <w:rPr>
          <w:sz w:val="32"/>
          <w:szCs w:val="32"/>
        </w:rPr>
        <w:t xml:space="preserve">484.57</w:t>
      </w:r>
      <w:r>
        <w:rPr>
          <w:sz w:val="32"/>
          <w:szCs w:val="32"/>
          <w:rFonts w:hint="eastAsia"/>
        </w:rPr>
        <w:t xml:space="preserve">万元。授予中小企业合同金额1257.61万元，占政府采购支出总额的55.91%，</w:t>
      </w:r>
      <w:r>
        <w:rPr>
          <w:color w:val="000000"/>
          <w:sz w:val="32"/>
          <w:szCs w:val="32"/>
          <w:rFonts w:hint="eastAsia"/>
        </w:rPr>
        <w:t xml:space="preserve">其中：授予小微企业合同金额836.78万元，占授予中小企业合同金额的66.54%；货物采购授予中小企业合同金额占货物支出金额的87.53%，工程采购授予中小企业合同金额占工程支出金额的26.78%，服务采购授予中小企业合同金额占服务支出金额的18.09%。</w:t>
      </w:r>
      <w:r>
        <w:rPr>
          <w:color w:val="000000"/>
          <w:sz w:val="25"/>
          <w:szCs w:val="25"/>
          <w:rFonts w:hint="eastAsia"/>
        </w:rPr>
        <w:t xml:space="preserve"> </w:t>
      </w:r>
      <w:r>
        <w:rPr>
          <w:color w:val="000000"/>
          <w:sz w:val="32"/>
          <w:szCs w:val="32"/>
        </w:rPr>
      </w:r>
    </w:p>
    <w:p>
      <w:pPr>
        <w:pStyle w:val="UserStyle_3"/>
        <w:rPr>
          <w:b w:val="1"/>
          <w:sz w:val="32"/>
          <w:szCs w:val="32"/>
          <w:rFonts w:hAnsi="黑体" w:hint="eastAsia"/>
        </w:rPr>
      </w:pPr>
      <w:r>
        <w:rPr>
          <w:b w:val="1"/>
          <w:sz w:val="32"/>
          <w:szCs w:val="32"/>
          <w:rFonts w:hAnsi="黑体" w:hint="eastAsia"/>
        </w:rPr>
        <w:t xml:space="preserve">十二、关于国有资产占用情况说明</w:t>
      </w:r>
      <w:r>
        <w:rPr>
          <w:b w:val="1"/>
          <w:sz w:val="32"/>
          <w:szCs w:val="32"/>
          <w:rFonts w:hAnsi="黑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截至2021年12月31日，本单位共有车辆12辆，其中，执法执勤用车11辆、特种专业技术用车1辆；单位价值100万元以上专用设备1台（套）。</w:t>
      </w:r>
      <w:r>
        <w:rPr>
          <w:sz w:val="32"/>
          <w:szCs w:val="32"/>
          <w:rFonts w:ascii="宋体" w:hAnsi="宋体" w:eastAsia="宋体"/>
        </w:rPr>
      </w:r>
    </w:p>
    <w:p>
      <w:pPr>
        <w:pStyle w:val="UserStyle_3"/>
        <w:rPr>
          <w:b w:val="1"/>
          <w:sz w:val="32"/>
          <w:szCs w:val="32"/>
          <w:rFonts w:hAnsi="黑体" w:hint="eastAsia"/>
        </w:rPr>
      </w:pPr>
      <w:r>
        <w:rPr>
          <w:b w:val="1"/>
          <w:sz w:val="32"/>
          <w:szCs w:val="32"/>
          <w:rFonts w:hAnsi="黑体" w:hint="eastAsia"/>
        </w:rPr>
        <w:t xml:space="preserve">十三、关于2021年度预算绩效情况的说明</w:t>
      </w:r>
      <w:r>
        <w:rPr>
          <w:b w:val="1"/>
          <w:sz w:val="32"/>
          <w:szCs w:val="32"/>
          <w:rFonts w:hAnsi="黑体" w:hint="eastAsia"/>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（一）预算绩效管理工作开展情况</w:t>
      </w:r>
      <w:r>
        <w:rPr>
          <w:sz w:val="32"/>
          <w:szCs w:val="32"/>
          <w:rFonts w:ascii="宋体" w:hAnsi="宋体" w:eastAsia="宋体" w:hint="eastAsia"/>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我单位认真贯彻落实《预算法》预算绩效管理方面的规定及关于推进预算绩效管理改革各项要求；通过科学规范制定管理制度有效地加强了预算绩效管理，围绕“预算编制有目标、预算执行有监控、预算完成有评价、评价结果有反馈、反馈结果有应用”开展工作，突出预算绩效管理，提高资金使用效益。</w:t>
      </w:r>
      <w:r>
        <w:rPr>
          <w:sz w:val="32"/>
          <w:szCs w:val="32"/>
          <w:rFonts w:ascii="宋体" w:hAnsi="宋体" w:eastAsia="宋体" w:hint="eastAsia"/>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主要开展了以下几方面的工作：一是根据预算绩效管理要求，编制下年度预算以科室职责为依据，分解财政部门预算控制数，科学确定预算额度，明确项目预算绩效目标、绩效指标和评价。二是运用内控信息化软件，对预算资金使用进行控制监督，每季度根据预算执行情况及时调整预算，提高资金使用效益。三是按制度对项目资金使用进行管理，设置了明确的绩效目标，在推进绩效目标得以实现，确保预算项目完成。</w:t>
      </w:r>
      <w:r>
        <w:rPr>
          <w:sz w:val="32"/>
          <w:szCs w:val="32"/>
          <w:rFonts w:ascii="宋体" w:hAnsi="宋体" w:eastAsia="宋体" w:hint="eastAsia"/>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（二）预算绩效管理目标</w:t>
      </w:r>
      <w:r>
        <w:rPr>
          <w:sz w:val="32"/>
          <w:szCs w:val="32"/>
          <w:rFonts w:ascii="宋体" w:hAnsi="宋体" w:eastAsia="宋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坚持以习近平新时代中国特色社会主义思想为指导，深入学习贯彻党的十九大和十九届四中五中全会精神，全面落实司法部、省委、省政府、省委政法委、省司法厅和省监狱管理局决策部署，旗帜鲜明地把政治建设放在首位，坚持党对监狱工作的绝对领导，坚持以人民为中心的发展思想，坚持稳中求进、高质量发展工作总基调，坚守安全底线、践行改造宗旨，统筹推进以政治改造为统领的“五大改造”落地生根，稳步推进监狱治理体系和治理能力现代化，为全面建成小康社会，实现第一个一百年奋斗目标提供应尽的安全保障。 </w:t>
      </w:r>
      <w:r>
        <w:rPr>
          <w:sz w:val="32"/>
          <w:szCs w:val="32"/>
          <w:rFonts w:ascii="宋体" w:hAnsi="宋体" w:eastAsia="宋体" w:hint="eastAsia"/>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（三）预算绩效管理报告</w:t>
      </w:r>
      <w:r>
        <w:rPr>
          <w:sz w:val="32"/>
          <w:szCs w:val="32"/>
          <w:rFonts w:ascii="宋体" w:hAnsi="宋体" w:eastAsia="宋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2021年,我单位整体支出总体取得了较好的绩效成果。2021年初，我单位按照预算绩效管理的要求根据年度工作任务编制了预算绩效目标，并在年度预算执行过程中进行了适度调整，年终各主要产出指标和效益指标均达到了预期目标。</w:t>
      </w:r>
      <w:r>
        <w:rPr>
          <w:sz w:val="32"/>
          <w:szCs w:val="32"/>
          <w:rFonts w:ascii="宋体" w:hAnsi="宋体" w:eastAsia="宋体" w:hint="eastAsia"/>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以政治建设为发展领航，坚持党对监狱工作绝对领导，坚持“党建带队建，队建促发展”，“两学一做”常态化、制度化,深化巩固“不忘初心、牢记使命”主题教育成果。以队伍建设为发展保障，</w:t>
      </w:r>
      <w:r>
        <w:rPr>
          <w:sz w:val="32"/>
          <w:szCs w:val="32"/>
          <w:rFonts w:ascii="宋体" w:hAnsi="宋体" w:eastAsia="宋体"/>
        </w:rPr>
        <w:t xml:space="preserve">坚持素质强警</w:t>
      </w:r>
      <w:r>
        <w:rPr>
          <w:sz w:val="32"/>
          <w:szCs w:val="32"/>
          <w:rFonts w:ascii="宋体" w:hAnsi="宋体" w:eastAsia="宋体" w:hint="eastAsia"/>
        </w:rPr>
        <w:t xml:space="preserve">与严管厚爱相结合，有效发挥队伍建设促进监狱发展、促进个人发展的强大活力。坚持问题导向，深化“一年一主题”教育实效，组织开展“练内功、展形象、开放创新奋进新征程”专项教育活动，警察队伍执法能力、专业水平、文明素养全面提升。以监狱综合治理为发展中心，改造罪犯为发展主业，</w:t>
      </w:r>
      <w:r>
        <w:rPr>
          <w:sz w:val="32"/>
          <w:szCs w:val="32"/>
          <w:rFonts w:ascii="宋体" w:hAnsi="宋体" w:eastAsia="宋体"/>
        </w:rPr>
        <w:t xml:space="preserve">坚持问题导向</w:t>
      </w:r>
      <w:r>
        <w:rPr>
          <w:sz w:val="32"/>
          <w:szCs w:val="32"/>
          <w:rFonts w:ascii="宋体" w:hAnsi="宋体" w:eastAsia="宋体" w:hint="eastAsia"/>
        </w:rPr>
        <w:t xml:space="preserve">与创新思维相结合</w:t>
      </w:r>
      <w:r>
        <w:rPr>
          <w:sz w:val="32"/>
          <w:szCs w:val="32"/>
          <w:rFonts w:ascii="宋体" w:hAnsi="宋体" w:eastAsia="宋体"/>
        </w:rPr>
        <w:t xml:space="preserve">，坚守安全底线，践行改造宗旨，</w:t>
      </w:r>
      <w:r>
        <w:rPr>
          <w:sz w:val="32"/>
          <w:szCs w:val="32"/>
          <w:rFonts w:ascii="宋体" w:hAnsi="宋体" w:eastAsia="宋体" w:hint="eastAsia"/>
        </w:rPr>
        <w:t xml:space="preserve">积极推进罪犯改造“全时空”管理模式，圆满</w:t>
      </w:r>
      <w:r>
        <w:rPr>
          <w:sz w:val="32"/>
          <w:szCs w:val="32"/>
          <w:rFonts w:ascii="宋体" w:hAnsi="宋体" w:eastAsia="宋体"/>
        </w:rPr>
        <w:t xml:space="preserve">实现“四无”</w:t>
      </w:r>
      <w:r>
        <w:rPr>
          <w:sz w:val="32"/>
          <w:szCs w:val="32"/>
          <w:rFonts w:ascii="宋体" w:hAnsi="宋体" w:eastAsia="宋体" w:hint="eastAsia"/>
        </w:rPr>
        <w:t xml:space="preserve">和</w:t>
      </w:r>
      <w:r>
        <w:rPr>
          <w:sz w:val="32"/>
          <w:szCs w:val="32"/>
          <w:rFonts w:ascii="宋体" w:hAnsi="宋体" w:eastAsia="宋体"/>
        </w:rPr>
        <w:t xml:space="preserve">“七个不发生”</w:t>
      </w:r>
      <w:r>
        <w:rPr>
          <w:sz w:val="32"/>
          <w:szCs w:val="32"/>
          <w:rFonts w:ascii="宋体" w:hAnsi="宋体" w:eastAsia="宋体" w:hint="eastAsia"/>
        </w:rPr>
        <w:t xml:space="preserve">。以人民满意为发展要求，警察职工工作生活环境持续改善，获得感、幸福感、安全感明显提升。</w:t>
      </w:r>
      <w:r>
        <w:rPr>
          <w:sz w:val="32"/>
          <w:szCs w:val="32"/>
          <w:rFonts w:ascii="宋体" w:hAnsi="宋体" w:eastAsia="宋体" w:hint="eastAsia"/>
        </w:rPr>
      </w:r>
    </w:p>
    <w:p>
      <w:pPr>
        <w:pStyle w:val="Normal"/>
        <w:jc w:val="start"/>
        <w:widowControl/>
        <w:shd w:val="clear" w:color="auto" w:fill="FFFFFF"/>
        <w:spacing w:line="480" w:lineRule="atLeast"/>
        <w:ind w:firstLine="672" w:firstLineChars="210"/>
        <w:rPr>
          <w:color w:val="000000"/>
          <w:sz w:val="32"/>
          <w:szCs w:val="32"/>
          <w:kern w:val="0"/>
          <w:rFonts w:ascii="宋体" w:hAnsi="宋体" w:hint="eastAsia"/>
        </w:rPr>
      </w:pPr>
      <w:r>
        <w:rPr>
          <w:color w:val="000000"/>
          <w:sz w:val="32"/>
          <w:szCs w:val="32"/>
          <w:kern w:val="0"/>
          <w:rFonts w:ascii="宋体" w:hAnsi="宋体" w:hint="eastAsia"/>
        </w:rPr>
        <w:t xml:space="preserve">蓄势待发新征程，奋楫笃行续辉煌。2022年，赤山监狱将坚持以习近平新时代中国特色社会主义思想为指导，深入学习贯彻习近平法治思想，深入学习贯彻十九届六中全会精神、省第十二次党代会精神，认真落实省厅局决策部署，奋力推动监狱工作高质量发展，为服务</w:t>
      </w:r>
      <w:r>
        <w:rPr>
          <w:color w:val="000000"/>
          <w:sz w:val="32"/>
          <w:szCs w:val="32"/>
          <w:kern w:val="0"/>
          <w:rFonts w:ascii="宋体" w:hAnsi="宋体"/>
        </w:rPr>
        <w:t xml:space="preserve">“</w:t>
      </w:r>
      <w:r>
        <w:rPr>
          <w:color w:val="000000"/>
          <w:sz w:val="32"/>
          <w:szCs w:val="32"/>
          <w:kern w:val="0"/>
          <w:rFonts w:ascii="宋体" w:hAnsi="宋体" w:hint="eastAsia"/>
        </w:rPr>
        <w:t xml:space="preserve">三高四新</w:t>
      </w:r>
      <w:r>
        <w:rPr>
          <w:color w:val="000000"/>
          <w:sz w:val="32"/>
          <w:szCs w:val="32"/>
          <w:kern w:val="0"/>
          <w:rFonts w:ascii="宋体" w:hAnsi="宋体"/>
        </w:rPr>
        <w:t xml:space="preserve">”</w:t>
      </w:r>
      <w:r>
        <w:rPr>
          <w:color w:val="000000"/>
          <w:sz w:val="32"/>
          <w:szCs w:val="32"/>
          <w:kern w:val="0"/>
          <w:rFonts w:ascii="宋体" w:hAnsi="宋体" w:hint="eastAsia"/>
        </w:rPr>
        <w:t xml:space="preserve">战略、建设现代化新湖南作出新的贡献，以更加优异成绩迎接党的二十大召开。</w:t>
      </w:r>
      <w:r>
        <w:rPr>
          <w:color w:val="000000"/>
          <w:sz w:val="32"/>
          <w:szCs w:val="32"/>
          <w:kern w:val="0"/>
          <w:rFonts w:ascii="宋体" w:hAnsi="宋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r>
    </w:p>
    <w:p>
      <w:pPr>
        <w:pStyle w:val="UserStyle_3"/>
        <w:rPr>
          <w:sz w:val="72"/>
          <w:szCs w:val="72"/>
          <w:rFonts w:hint="eastAsia"/>
        </w:rPr>
      </w:pPr>
      <w:r>
        <w:rPr>
          <w:sz w:val="72"/>
          <w:szCs w:val="72"/>
          <w:rFonts w:hint="eastAsia"/>
        </w:rPr>
      </w:r>
    </w:p>
    <w:p>
      <w:pPr>
        <w:pStyle w:val="UserStyle_3"/>
        <w:jc w:val="center"/>
        <w:rPr>
          <w:sz w:val="72"/>
          <w:szCs w:val="72"/>
        </w:rPr>
      </w:pPr>
      <w:r>
        <w:rPr>
          <w:sz w:val="72"/>
          <w:szCs w:val="72"/>
        </w:rPr>
      </w:r>
    </w:p>
    <w:p>
      <w:pPr>
        <w:pStyle w:val="UserStyle_3"/>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r>
        <w:rPr>
          <w:sz w:val="72"/>
          <w:szCs w:val="72"/>
          <w:rFonts w:hint="eastAsia"/>
        </w:rPr>
      </w:r>
      <w:r>
        <w:rPr>
          <w:sz w:val="72"/>
          <w:szCs w:val="72"/>
          <w:rFonts w:hint="eastAsia"/>
        </w:rPr>
      </w:r>
      <w:r>
        <w:rPr>
          <w:sz w:val="72"/>
          <w:szCs w:val="72"/>
          <w:rFonts w:hint="eastAsia"/>
        </w:rPr>
        <w:t xml:space="preserve">第四部分</w:t>
      </w:r>
      <w:r>
        <w:rPr>
          <w:sz w:val="72"/>
          <w:szCs w:val="72"/>
        </w:rPr>
      </w:r>
    </w:p>
    <w:p>
      <w:pPr>
        <w:pStyle w:val="Normal"/>
        <w:jc w:val="center"/>
        <w:rPr>
          <w:color w:val="000000"/>
          <w:sz w:val="70"/>
          <w:szCs w:val="70"/>
          <w:kern w:val="0"/>
          <w:rFonts w:ascii="黑体" w:eastAsia="黑体"/>
        </w:rPr>
      </w:pPr>
      <w:r>
        <w:rPr>
          <w:color w:val="000000"/>
          <w:sz w:val="70"/>
          <w:szCs w:val="70"/>
          <w:kern w:val="0"/>
          <w:rFonts w:ascii="黑体" w:eastAsia="黑体"/>
        </w:rPr>
      </w:r>
    </w:p>
    <w:p>
      <w:pPr>
        <w:pStyle w:val="Normal"/>
        <w:jc w:val="center"/>
        <w:rPr>
          <w:color w:val="000000"/>
          <w:sz w:val="70"/>
          <w:szCs w:val="70"/>
          <w:kern w:val="0"/>
          <w:rFonts w:ascii="黑体" w:eastAsia="黑体" w:hint="eastAsia"/>
        </w:rPr>
      </w:pPr>
      <w:r>
        <w:rPr>
          <w:color w:val="000000"/>
          <w:sz w:val="70"/>
          <w:szCs w:val="70"/>
          <w:kern w:val="0"/>
          <w:rFonts w:ascii="黑体" w:eastAsia="黑体" w:hint="eastAsia"/>
        </w:rPr>
        <w:t xml:space="preserve">名词解释</w:t>
      </w:r>
      <w:r>
        <w:rPr>
          <w:color w:val="000000"/>
          <w:sz w:val="70"/>
          <w:szCs w:val="70"/>
          <w:kern w:val="0"/>
          <w:rFonts w:ascii="黑体" w:eastAsia="黑体"/>
        </w:rPr>
      </w:r>
    </w:p>
    <w:p>
      <w:pPr>
        <w:pStyle w:val="Normal"/>
        <w:jc w:val="start"/>
        <w:widowControl/>
        <w:rPr>
          <w:color w:val="000000"/>
          <w:sz w:val="70"/>
          <w:szCs w:val="70"/>
          <w:kern w:val="0"/>
          <w:rFonts w:ascii="黑体" w:eastAsia="黑体"/>
        </w:rPr>
      </w:pPr>
      <w:r>
        <w:rPr>
          <w:color w:val="000000"/>
          <w:sz w:val="70"/>
          <w:szCs w:val="70"/>
          <w:kern w:val="0"/>
          <w:rFonts w:ascii="黑体" w:eastAsia="黑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一、“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rPr>
          <w:sz w:val="32"/>
          <w:szCs w:val="32"/>
          <w:rFonts w:ascii="宋体" w:hAnsi="宋体" w:eastAsia="宋体" w:hint="eastAsia"/>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二、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jc w:val="center"/>
        <w:rPr>
          <w:sz w:val="72"/>
          <w:szCs w:val="72"/>
        </w:rPr>
      </w:pPr>
      <w:r>
        <w:rPr>
          <w:sz w:val="72"/>
          <w:szCs w:val="72"/>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p>
    <w:p>
      <w:pPr>
        <w:pStyle w:val="UserStyle_3"/>
        <w:jc w:val="center"/>
        <w:rPr>
          <w:sz w:val="72"/>
          <w:szCs w:val="72"/>
          <w:rFonts w:hint="eastAsia"/>
        </w:rPr>
      </w:pPr>
      <w:r>
        <w:rPr>
          <w:sz w:val="72"/>
          <w:szCs w:val="72"/>
          <w:rFonts w:hint="eastAsia"/>
        </w:rPr>
      </w:r>
      <w:r>
        <w:rPr>
          <w:sz w:val="72"/>
          <w:szCs w:val="72"/>
        </w:rPr>
      </w:r>
      <w:r>
        <w:rPr>
          <w:sz w:val="72"/>
          <w:szCs w:val="72"/>
          <w:rFonts w:hint="eastAsia"/>
        </w:rPr>
        <w:t xml:space="preserve">第五部分</w:t>
      </w:r>
      <w:r>
        <w:rPr>
          <w:sz w:val="72"/>
          <w:szCs w:val="72"/>
        </w:rPr>
      </w:r>
    </w:p>
    <w:p>
      <w:pPr>
        <w:pStyle w:val="Normal"/>
        <w:jc w:val="center"/>
        <w:rPr>
          <w:color w:val="000000"/>
          <w:sz w:val="70"/>
          <w:szCs w:val="70"/>
          <w:kern w:val="0"/>
          <w:rFonts w:ascii="黑体" w:eastAsia="黑体"/>
        </w:rPr>
      </w:pPr>
      <w:r>
        <w:rPr>
          <w:color w:val="000000"/>
          <w:sz w:val="70"/>
          <w:szCs w:val="70"/>
          <w:kern w:val="0"/>
          <w:rFonts w:ascii="黑体" w:eastAsia="黑体"/>
        </w:rPr>
      </w:r>
    </w:p>
    <w:p>
      <w:pPr>
        <w:pStyle w:val="Normal"/>
        <w:jc w:val="center"/>
        <w:rPr>
          <w:color w:val="000000"/>
          <w:sz w:val="70"/>
          <w:szCs w:val="70"/>
          <w:kern w:val="0"/>
          <w:rFonts w:ascii="黑体" w:eastAsia="黑体" w:hint="eastAsia"/>
        </w:rPr>
      </w:pPr>
      <w:r>
        <w:rPr>
          <w:color w:val="000000"/>
          <w:sz w:val="70"/>
          <w:szCs w:val="70"/>
          <w:kern w:val="0"/>
          <w:rFonts w:ascii="黑体" w:eastAsia="黑体" w:hint="eastAsia"/>
        </w:rPr>
        <w:t xml:space="preserve">附件</w:t>
      </w:r>
      <w:r>
        <w:rPr>
          <w:color w:val="000000"/>
          <w:sz w:val="70"/>
          <w:szCs w:val="70"/>
          <w:kern w:val="0"/>
          <w:rFonts w:ascii="黑体" w:eastAsia="黑体"/>
        </w:rPr>
      </w:r>
    </w:p>
    <w:p>
      <w:pPr>
        <w:pStyle w:val="Normal"/>
        <w:jc w:val="start"/>
        <w:widowControl/>
        <w:rPr>
          <w:color w:val="000000"/>
          <w:sz w:val="70"/>
          <w:szCs w:val="70"/>
          <w:kern w:val="0"/>
          <w:rFonts w:ascii="黑体" w:eastAsia="黑体"/>
        </w:rPr>
      </w:pPr>
      <w:r>
        <w:rPr>
          <w:color w:val="000000"/>
          <w:sz w:val="70"/>
          <w:szCs w:val="70"/>
          <w:kern w:val="0"/>
          <w:rFonts w:ascii="黑体" w:eastAsia="黑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rPr>
      </w:pPr>
      <w:r>
        <w:rPr>
          <w:sz w:val="32"/>
          <w:szCs w:val="32"/>
          <w:rFonts w:ascii="宋体" w:hAnsi="宋体" w:eastAsia="宋体"/>
        </w:rPr>
      </w:r>
    </w:p>
    <w:p>
      <w:pPr>
        <w:pStyle w:val="UserStyle_3"/>
        <w:ind w:firstLine="640" w:firstLineChars="200"/>
        <w:rPr>
          <w:sz w:val="32"/>
          <w:szCs w:val="32"/>
          <w:rFonts w:ascii="宋体" w:hAnsi="宋体" w:eastAsia="宋体" w:hint="eastAsia"/>
        </w:rPr>
      </w:pPr>
      <w:r>
        <w:rPr>
          <w:sz w:val="32"/>
          <w:szCs w:val="32"/>
          <w:rFonts w:ascii="宋体" w:hAnsi="宋体" w:eastAsia="宋体" w:hint="eastAsia"/>
        </w:rPr>
        <w:t xml:space="preserve">根据涉密信息管理要求,湖南省赤山监狱2021年度部门整体支出绩效评价报告依法不予公开。</w:t>
      </w:r>
      <w:r>
        <w:rPr>
          <w:sz w:val="32"/>
          <w:szCs w:val="32"/>
          <w:rFonts w:ascii="宋体" w:hAnsi="宋体" w:eastAsia="宋体"/>
        </w:rPr>
      </w:r>
    </w:p>
    <w:sectPr>
      <w:headerReference r:id="rId4" w:type="default"/>
      <w:type w:val="nextPage"/>
      <w:docGrid w:type="linesAndChars" w:linePitch="312"/>
      <w:pgSz w:w="11906" w:h="16838"/>
      <w:pgMar w:top="720" w:right="720" w:bottom="720" w:left="720" w:header="851" w:footer="992" w:gutter="0"/>
    </w:sectPr>
  </w:body>
</w:document>
</file>

<file path=word/fontTable.xml><?xml version="1.0" encoding="utf-8"?>
<w:fonts xmlns:w="http://schemas.openxmlformats.org/wordprocessingml/2006/main">
  <w:font w:name="Calibri">
    <w:panose1 w:val="020f0502020204030204"/>
    <w:charset w:val="00"/>
    <w:family w:val="swiss"/>
    <w:pitch w:val="default"/>
    <w:sig w:usb0="E00002FF" w:usb1="4000ACFF" w:usb2="00000001" w:usb3="00000000" w:csb0="2000019F" w:csb1="00000000"/>
  </w:font>
  <w:font w:name="宋体">
    <w:panose1 w:val="02010600030101010101"/>
    <w:charset w:val="86"/>
    <w:family w:val="auto"/>
    <w:pitch w:val="default"/>
    <w:sig w:usb0="00000003" w:usb1="288F0000" w:usb2="00000006" w:usb3="00000000" w:csb0="00040001" w:csb1="00000000"/>
  </w:font>
  <w:font w:name="Times New Roman">
    <w:panose1 w:val="02020603050405020304"/>
    <w:charset w:val="00"/>
    <w:family w:val="auto"/>
    <w:pitch w:val="default"/>
    <w:sig w:usb0="E0002AFF" w:usb1="C0007841"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1" w:usb1="080E0000" w:usb2="00000010" w:usb3="00000000" w:csb0="00040000" w:csb1="00000000"/>
  </w:font>
</w:fonts>
</file>

<file path=word/header1.xml><?xml version="1.0" encoding="utf-8"?>
<w:hdr xmlns:o="urn:schemas-microsoft-com:office:office" xmlns:v="urn:schemas-microsoft-com:vml" xmlns:w="http://schemas.openxmlformats.org/wordprocessingml/2006/main" xmlns:w10="urn:schemas-microsoft-com:office:word" xmlns:r="http://schemas.openxmlformats.org/officeDocument/2006/relationships">
  <w:p>
    <w:pPr>
      <w:pStyle w:val="Header"/>
      <w:pBdr>
        <w:bottom w:val="none" w:color="000000" w:sz="0" w:space="0"/>
      </w:pBdr>
      <w:tabs>
        <w:tab w:val="clear" w:pos="4153"/>
        <w:tab w:val="clear" w:pos="8306"/>
      </w:tabs>
    </w:pPr>
    <w:r/>
  </w:p>
</w:hdr>
</file>

<file path=word/numbering.xml><?xml version="1.0" encoding="utf-8"?>
<w:numbering xmlns:wps="http://schemas.microsoft.com/office/word/2010/wordprocessingShape" xmlns:wpc="http://schemas.microsoft.com/office/word/2010/wordprocessingCanvas" xmlns:wne="http://schemas.microsoft.com/office/word/2006/wordml" xmlns:mc="http://schemas.openxmlformats.org/markup-compatibility/2006" xmlns:w14="http://schemas.microsoft.com/office/word/2010/wordml" xmlns:r="http://schemas.openxmlformats.org/officeDocument/2006/relationships" xmlns:v="urn:schemas-microsoft-com:vml" xmlns:wp14="http://schemas.microsoft.com/office/word/2010/wordprocessingDrawing" xmlns:wpg="http://schemas.microsoft.com/office/word/2010/wordprocessingGroup" xmlns:wp="http://schemas.openxmlformats.org/drawingml/2006/wordprocessingDrawing" xmlns:o="urn:schemas-microsoft-com:office:office" xmlns:w="http://schemas.openxmlformats.org/wordprocessingml/2006/main" xmlns:m="http://schemas.openxmlformats.org/officeDocument/2006/math" xmlns:w10="urn:schemas-microsoft-com:office:word" xmlns:wpi="http://schemas.microsoft.com/office/word/2010/wordprocessingInk" xmlns:a="http://schemas.openxmlformats.org/drawingml/2006/main" mc:Ignorable="w14 wp14">
  <w:abstractNum w:abstractNumId="0">
    <w:nsid w:val="373518C1"/>
    <w:multiLevelType w:val="multilevel"/>
    <w:tmpl w:val="373518C1"/>
    <w:lvl w:ilvl="0">
      <w:start w:val="1"/>
      <w:numFmt w:val="decimal"/>
      <w:suff w:val="tab"/>
      <w:lvlText w:val="一、"/>
      <w:lvlJc w:val="left"/>
      <w:pPr>
        <w:pStyle w:val="Normal"/>
        <w:ind w:hanging="720" w:left="862"/>
      </w:pPr>
      <w:rPr/>
    </w:lvl>
    <w:lvl w:ilvl="1">
      <w:start w:val="1"/>
      <w:numFmt w:val="lowerLetter"/>
      <w:suff w:val="tab"/>
      <w:lvlText w:val="%2)"/>
      <w:lvlJc w:val="left"/>
      <w:pPr>
        <w:pStyle w:val="Normal"/>
        <w:ind w:hanging="420" w:left="840"/>
      </w:pPr>
      <w:rPr/>
    </w:lvl>
    <w:lvl w:ilvl="2">
      <w:start w:val="1"/>
      <w:numFmt w:val="lowerRoman"/>
      <w:suff w:val="tab"/>
      <w:lvlText w:val="%3."/>
      <w:lvlJc w:val="right"/>
      <w:pPr>
        <w:pStyle w:val="Normal"/>
        <w:ind w:hanging="420" w:left="1260"/>
      </w:pPr>
      <w:rPr/>
    </w:lvl>
    <w:lvl w:ilvl="3">
      <w:start w:val="1"/>
      <w:numFmt w:val="decimal"/>
      <w:suff w:val="tab"/>
      <w:lvlText w:val="%4."/>
      <w:lvlJc w:val="left"/>
      <w:pPr>
        <w:pStyle w:val="Normal"/>
        <w:ind w:hanging="420" w:left="1680"/>
      </w:pPr>
      <w:rPr/>
    </w:lvl>
    <w:lvl w:ilvl="4">
      <w:start w:val="1"/>
      <w:numFmt w:val="lowerLetter"/>
      <w:suff w:val="tab"/>
      <w:lvlText w:val="%5)"/>
      <w:lvlJc w:val="left"/>
      <w:pPr>
        <w:pStyle w:val="Normal"/>
        <w:ind w:hanging="420" w:left="2100"/>
      </w:pPr>
      <w:rPr/>
    </w:lvl>
    <w:lvl w:ilvl="5">
      <w:start w:val="1"/>
      <w:numFmt w:val="lowerRoman"/>
      <w:suff w:val="tab"/>
      <w:lvlText w:val="%6."/>
      <w:lvlJc w:val="right"/>
      <w:pPr>
        <w:pStyle w:val="Normal"/>
        <w:ind w:hanging="420" w:left="2520"/>
      </w:pPr>
      <w:rPr/>
    </w:lvl>
    <w:lvl w:ilvl="6">
      <w:start w:val="1"/>
      <w:numFmt w:val="decimal"/>
      <w:suff w:val="tab"/>
      <w:lvlText w:val="%7."/>
      <w:lvlJc w:val="left"/>
      <w:pPr>
        <w:pStyle w:val="Normal"/>
        <w:ind w:hanging="420" w:left="2940"/>
      </w:pPr>
      <w:rPr/>
    </w:lvl>
    <w:lvl w:ilvl="7">
      <w:start w:val="1"/>
      <w:numFmt w:val="lowerLetter"/>
      <w:suff w:val="tab"/>
      <w:lvlText w:val="%8)"/>
      <w:lvlJc w:val="left"/>
      <w:pPr>
        <w:pStyle w:val="Normal"/>
        <w:ind w:hanging="420" w:left="3360"/>
      </w:pPr>
      <w:rPr/>
    </w:lvl>
    <w:lvl w:ilvl="8">
      <w:start w:val="1"/>
      <w:numFmt w:val="lowerRoman"/>
      <w:suff w:val="tab"/>
      <w:lvlText w:val="%9."/>
      <w:lvlJc w:val="right"/>
      <w:pPr>
        <w:pStyle w:val="Normal"/>
        <w:ind w:hanging="420" w:left="3780"/>
      </w:pPr>
      <w:rPr/>
    </w:lvl>
  </w:abstractNum>
  <w:num w:numId="1">
    <w:abstractNumId w:val="0"/>
  </w:num>
</w:numbering>
</file>

<file path=word/settings.xml><?xml version="1.0" encoding="utf-8"?>
<w:settings xmlns:w="http://schemas.openxmlformats.org/wordprocessingml/2006/main">
  <w:defaultTabStop w:val="420"/>
  <w:displayHorizontalDrawingGridEvery w:val="0"/>
  <w:displayVerticalDrawingGridEvery w:val="2"/>
  <w:zoom w:percent="100"/>
  <w:compat>
    <w:balanceSingleByteDoubleByteWidth/>
    <w:doNotLeaveBackslashAlone/>
    <w:ulTrailSpace/>
    <w:doNotExpandShiftReturn/>
    <w:adjustLineHeightInTable/>
    <w:compatSetting w:val="11" w:uri="http://schemas.microsoft.com/office/word" w:name="compatibilityMode"/>
  </w:compat>
  <w:rsids/>
  <w:clrSchemeMapping tx1="dk1" tx2="dk2" bg1="lt1" bg2="lt2"/>
  <w:decimalSymbol/>
  <w:listSeparator/>
</w:settings>
</file>

<file path=word/styles.xml><?xml version="1.0" encoding="utf-8"?>
<w:styles xmlns:w="http://schemas.openxmlformats.org/wordprocessingml/2006/main">
  <w:docDefaults>
    <w:rPrDefault>
      <w:rPr>
        <w:lang w:val="en-US"/>
        <w:rFonts w:ascii="Calibri" w:hAnsi="Calibri" w:eastAsia="宋体" w:cs="Times New Roman"/>
      </w:rPr>
    </w:rPrDefault>
    <w:pPrDefault/>
  </w:docDefaults>
  <w:style w:type="paragraph" w:styleId="Normal">
    <w:name w:val="Normal"/>
    <w:link w:val="Normal"/>
    <w:pPr>
      <w:jc w:val="both"/>
      <w:widowControl w:val="off"/>
    </w:pPr>
    <w:rPr>
      <w:sz w:val="21"/>
      <w:lang w:val="en-US" w:eastAsia="zh-CN" w:bidi="ar-SA"/>
      <w:szCs w:val="22"/>
      <w:kern w:val="2"/>
    </w:rPr>
  </w:style>
  <w:style w:type="character" w:styleId="NormalCharacter">
    <w:name w:val="默认段落字体"/>
    <w:link w:val="Normal"/>
  </w:style>
  <w:style w:type="table" w:styleId="TableNormal">
    <w:name w:val="普通表格"/>
    <w:link w:val="Normal"/>
  </w:style>
  <w:style w:type="paragraph" w:styleId="Acetate">
    <w:name w:val="批注框文本"/>
    <w:basedOn w:val="Normal"/>
    <w:link w:val="UserStyle_0"/>
    <w:rPr>
      <w:sz w:val="18"/>
      <w:szCs w:val="18"/>
    </w:rPr>
  </w:style>
  <w:style w:type="character" w:styleId="UserStyle_0">
    <w:name w:val="批注框文本 Char"/>
    <w:link w:val="Acetate"/>
    <w:semiHidden/>
    <w:rPr>
      <w:sz w:val="18"/>
      <w:szCs w:val="18"/>
    </w:rPr>
  </w:style>
  <w:style w:type="paragraph" w:styleId="Footer">
    <w:name w:val="页脚"/>
    <w:basedOn w:val="Normal"/>
    <w:link w:val="UserStyle_1"/>
    <w:pPr>
      <w:snapToGrid w:val="0"/>
      <w:jc w:val="start"/>
      <w:tabs>
        <w:tab w:val="center" w:pos="4153"/>
        <w:tab w:val="right" w:pos="8306"/>
      </w:tabs>
    </w:pPr>
    <w:rPr>
      <w:sz w:val="18"/>
      <w:szCs w:val="18"/>
    </w:rPr>
  </w:style>
  <w:style w:type="character" w:styleId="UserStyle_1">
    <w:name w:val="页脚 Char"/>
    <w:link w:val="Footer"/>
    <w:rPr>
      <w:sz w:val="18"/>
      <w:szCs w:val="18"/>
    </w:rPr>
  </w:style>
  <w:style w:type="paragraph" w:styleId="Header">
    <w:name w:val="页眉"/>
    <w:basedOn w:val="Normal"/>
    <w:link w:val="UserStyle_2"/>
    <w:pPr>
      <w:snapToGrid w:val="0"/>
      <w:jc w:val="center"/>
      <w:pBdr>
        <w:bottom w:val="single" w:color="000000" w:sz="6" w:space="1"/>
      </w:pBdr>
      <w:tabs>
        <w:tab w:val="center" w:pos="4153"/>
        <w:tab w:val="right" w:pos="8306"/>
      </w:tabs>
    </w:pPr>
    <w:rPr>
      <w:sz w:val="18"/>
      <w:szCs w:val="18"/>
    </w:rPr>
  </w:style>
  <w:style w:type="character" w:styleId="UserStyle_2">
    <w:name w:val="页眉 Char"/>
    <w:link w:val="Header"/>
    <w:rPr>
      <w:sz w:val="18"/>
      <w:szCs w:val="18"/>
    </w:rPr>
  </w:style>
  <w:style w:type="paragraph" w:styleId="UserStyle_3">
    <w:name w:val="Default"/>
    <w:link w:val="Normal"/>
    <w:pPr>
      <w:autoSpaceDE w:val="0"/>
      <w:autoSpaceDN w:val="0"/>
      <w:widowControl w:val="off"/>
    </w:pPr>
    <w:rPr>
      <w:color w:val="000000"/>
      <w:sz w:val="24"/>
      <w:lang w:val="en-US" w:eastAsia="zh-CN" w:bidi="ar-SA"/>
      <w:szCs w:val="24"/>
      <w:rFonts w:ascii="黑体" w:eastAsia="黑体"/>
    </w:rPr>
  </w:style>
  <w:style w:type="paragraph" w:styleId="179">
    <w:name w:val="列出段落"/>
    <w:basedOn w:val="Normal"/>
    <w:link w:val="Normal"/>
    <w:pPr>
      <w:ind w:firstLine="420" w:firstLineChars="200"/>
    </w:pPr>
  </w:style>
  <w:style w:type="paragraph" w:styleId="UserStyle_4">
    <w:name w:val="default"/>
    <w:basedOn w:val="Normal"/>
    <w:link w:val="Normal"/>
    <w:pPr>
      <w:jc w:val="start"/>
      <w:widowControl/>
      <w:spacing w:after="100" w:afterAutospacing="1" w:before="100" w:beforeAutospacing="1" w:lineRule="auto"/>
    </w:pPr>
    <w:rPr>
      <w:sz w:val="24"/>
      <w:szCs w:val="24"/>
      <w:kern w:val="0"/>
      <w:rFonts w:ascii="宋体" w:hAnsi="宋体"/>
    </w:rPr>
  </w:style>
</w:styles>
</file>

<file path=word/_rels/document.xml.rels><?xml version="1.0" encoding="UTF-8" standalone="yes"?><Relationships xmlns="http://schemas.openxmlformats.org/package/2006/relationships"><Relationship Id="rId4" Type="http://schemas.openxmlformats.org/officeDocument/2006/relationships/header" Target="header1.xml" /><Relationship Id="rId3" Type="http://schemas.openxmlformats.org/officeDocument/2006/relationships/numbering" Target="numbering.xml" /><Relationship Id="rId2" Type="http://schemas.openxmlformats.org/officeDocument/2006/relationships/fontTable" Target="fontTable.xml" /><Relationship Id="rId1" Type="http://schemas.openxmlformats.org/officeDocument/2006/relationships/settings" Target="settings.xml" /><Relationship Id="rId0" Type="http://schemas.openxmlformats.org/officeDocument/2006/relationships/styles" Target="styles.xml" /></Relationships>
</file>

<file path=docProps/app.xml><?xml version="1.0" encoding="utf-8"?>
<Properties xmlns="http://schemas.openxmlformats.org/officeDocument/2006/extended-properties">
  <Template/>
  <TotalTime>0</TotalTime>
  <Pages>0</Pages>
  <Words>0</Words>
  <Characters>0</Characters>
  <Application/>
  <DocSecurity>0</DocSecurity>
  <Lines>0</Lines>
  <Paragraphs>0</Paragraphs>
  <ScaleCrop>false</ScaleCrop>
  <Company/>
  <LinksUpToDate>false</LinksUpToDate>
  <CharactersWithSpaces>0</CharactersWithSpaces>
  <SharedDoc>false</SharedDoc>
  <HyperlinksChanged>false</HyperlinksChanged>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
  <cp:keywords/>
  <dc:description/>
  <cp:lastModifiedBy/>
  <cp:revision>0</cp:revision>
</cp:coreProperties>
</file>