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1100" w:lineRule="exact"/>
        <w:jc w:val="center"/>
        <w:rPr>
          <w:bCs/>
          <w:sz w:val="84"/>
          <w:szCs w:val="84"/>
        </w:rPr>
      </w:pPr>
    </w:p>
    <w:p>
      <w:pPr>
        <w:pStyle w:val="6"/>
        <w:spacing w:line="1100" w:lineRule="exact"/>
        <w:jc w:val="center"/>
        <w:rPr>
          <w:bCs/>
          <w:sz w:val="84"/>
          <w:szCs w:val="84"/>
        </w:rPr>
      </w:pPr>
    </w:p>
    <w:p>
      <w:pPr>
        <w:pStyle w:val="6"/>
        <w:spacing w:line="1100" w:lineRule="exact"/>
        <w:jc w:val="center"/>
        <w:rPr>
          <w:bCs/>
          <w:sz w:val="84"/>
          <w:szCs w:val="84"/>
        </w:rPr>
      </w:pPr>
    </w:p>
    <w:p>
      <w:pPr>
        <w:pStyle w:val="6"/>
        <w:spacing w:line="1100" w:lineRule="exact"/>
        <w:jc w:val="center"/>
        <w:rPr>
          <w:bCs/>
          <w:sz w:val="84"/>
          <w:szCs w:val="84"/>
        </w:rPr>
      </w:pPr>
    </w:p>
    <w:p>
      <w:pPr>
        <w:pStyle w:val="6"/>
        <w:spacing w:line="1100" w:lineRule="exact"/>
        <w:jc w:val="center"/>
        <w:rPr>
          <w:bCs/>
          <w:sz w:val="84"/>
          <w:szCs w:val="84"/>
        </w:rPr>
      </w:pPr>
    </w:p>
    <w:p>
      <w:pPr>
        <w:pStyle w:val="6"/>
        <w:spacing w:line="1100" w:lineRule="exact"/>
        <w:jc w:val="center"/>
        <w:rPr>
          <w:bCs/>
          <w:sz w:val="84"/>
          <w:szCs w:val="84"/>
        </w:rPr>
      </w:pPr>
      <w:r>
        <w:rPr>
          <w:rFonts w:hint="eastAsia"/>
          <w:bCs/>
          <w:sz w:val="84"/>
          <w:szCs w:val="84"/>
        </w:rPr>
        <w:t>2021年度</w:t>
      </w:r>
    </w:p>
    <w:p>
      <w:pPr>
        <w:pStyle w:val="6"/>
        <w:spacing w:line="1100" w:lineRule="exact"/>
        <w:jc w:val="center"/>
        <w:rPr>
          <w:bCs/>
          <w:sz w:val="84"/>
          <w:szCs w:val="84"/>
        </w:rPr>
      </w:pPr>
      <w:r>
        <w:rPr>
          <w:rFonts w:hint="eastAsia"/>
          <w:bCs/>
          <w:sz w:val="84"/>
          <w:szCs w:val="84"/>
        </w:rPr>
        <w:t>湖南省岳阳监狱部门决算</w:t>
      </w: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pStyle w:val="6"/>
        <w:spacing w:line="500" w:lineRule="exact"/>
        <w:ind w:firstLine="720" w:firstLineChars="200"/>
        <w:jc w:val="center"/>
        <w:rPr>
          <w:rFonts w:hAnsi="黑体"/>
          <w:bCs/>
          <w:sz w:val="36"/>
          <w:szCs w:val="36"/>
        </w:rPr>
      </w:pPr>
      <w:r>
        <w:rPr>
          <w:rFonts w:hint="eastAsia" w:hAnsi="黑体"/>
          <w:bCs/>
          <w:sz w:val="36"/>
          <w:szCs w:val="36"/>
        </w:rPr>
        <w:t>目录</w:t>
      </w:r>
    </w:p>
    <w:p>
      <w:pPr>
        <w:pStyle w:val="6"/>
        <w:spacing w:line="460" w:lineRule="exact"/>
        <w:jc w:val="both"/>
        <w:rPr>
          <w:rFonts w:hAnsi="黑体"/>
          <w:b/>
          <w:sz w:val="28"/>
          <w:szCs w:val="28"/>
        </w:rPr>
      </w:pPr>
      <w:r>
        <w:rPr>
          <w:rFonts w:hint="eastAsia" w:hAnsi="黑体"/>
          <w:b/>
          <w:sz w:val="28"/>
          <w:szCs w:val="28"/>
        </w:rPr>
        <w:t>第一部分湖南省岳阳监狱概况</w:t>
      </w:r>
    </w:p>
    <w:p>
      <w:pPr>
        <w:pStyle w:val="6"/>
        <w:spacing w:line="460" w:lineRule="exact"/>
        <w:ind w:firstLine="560" w:firstLineChars="200"/>
        <w:jc w:val="both"/>
        <w:rPr>
          <w:rFonts w:ascii="宋体" w:hAnsi="宋体" w:eastAsia="宋体" w:cs="仿宋_GB2312"/>
          <w:sz w:val="28"/>
          <w:szCs w:val="28"/>
        </w:rPr>
      </w:pPr>
      <w:r>
        <w:rPr>
          <w:rFonts w:ascii="宋体" w:hAnsi="宋体" w:eastAsia="宋体" w:cs="仿宋_GB2312"/>
          <w:sz w:val="28"/>
          <w:szCs w:val="28"/>
        </w:rPr>
        <w:t>一、部门职责</w:t>
      </w:r>
    </w:p>
    <w:p>
      <w:pPr>
        <w:pStyle w:val="6"/>
        <w:spacing w:line="460" w:lineRule="exact"/>
        <w:ind w:firstLine="560" w:firstLineChars="200"/>
        <w:jc w:val="both"/>
        <w:rPr>
          <w:rFonts w:ascii="宋体" w:hAnsi="宋体" w:eastAsia="宋体" w:cs="仿宋_GB2312"/>
          <w:sz w:val="28"/>
          <w:szCs w:val="28"/>
        </w:rPr>
      </w:pPr>
      <w:r>
        <w:rPr>
          <w:rFonts w:ascii="宋体" w:hAnsi="宋体" w:eastAsia="宋体" w:cs="仿宋_GB2312"/>
          <w:sz w:val="28"/>
          <w:szCs w:val="28"/>
        </w:rPr>
        <w:t>二、机构设置</w:t>
      </w:r>
    </w:p>
    <w:p>
      <w:pPr>
        <w:pStyle w:val="6"/>
        <w:spacing w:line="460" w:lineRule="exact"/>
        <w:jc w:val="both"/>
        <w:rPr>
          <w:rFonts w:hAnsi="黑体"/>
          <w:b/>
          <w:sz w:val="28"/>
          <w:szCs w:val="28"/>
        </w:rPr>
      </w:pPr>
      <w:r>
        <w:rPr>
          <w:rFonts w:hint="eastAsia" w:hAnsi="黑体"/>
          <w:b/>
          <w:sz w:val="28"/>
          <w:szCs w:val="28"/>
        </w:rPr>
        <w:t xml:space="preserve">第二部分2021年度部门决算表 </w:t>
      </w:r>
    </w:p>
    <w:p>
      <w:pPr>
        <w:pStyle w:val="6"/>
        <w:spacing w:line="460" w:lineRule="exact"/>
        <w:ind w:firstLine="560" w:firstLineChars="200"/>
        <w:jc w:val="both"/>
        <w:rPr>
          <w:rFonts w:ascii="宋体" w:hAnsi="宋体" w:eastAsia="宋体" w:cs="宋体"/>
          <w:sz w:val="28"/>
          <w:szCs w:val="28"/>
        </w:rPr>
      </w:pPr>
      <w:r>
        <w:rPr>
          <w:rFonts w:hint="eastAsia" w:ascii="宋体" w:hAnsi="宋体" w:eastAsia="宋体" w:cs="宋体"/>
          <w:sz w:val="28"/>
          <w:szCs w:val="28"/>
        </w:rPr>
        <w:t>一、收入支出决算总表</w:t>
      </w:r>
    </w:p>
    <w:p>
      <w:pPr>
        <w:pStyle w:val="6"/>
        <w:spacing w:line="460" w:lineRule="exact"/>
        <w:ind w:firstLine="560" w:firstLineChars="200"/>
        <w:jc w:val="both"/>
        <w:rPr>
          <w:rFonts w:ascii="宋体" w:hAnsi="宋体" w:eastAsia="宋体" w:cs="宋体"/>
          <w:sz w:val="28"/>
          <w:szCs w:val="28"/>
        </w:rPr>
      </w:pPr>
      <w:r>
        <w:rPr>
          <w:rFonts w:hint="eastAsia" w:ascii="宋体" w:hAnsi="宋体" w:eastAsia="宋体" w:cs="宋体"/>
          <w:sz w:val="28"/>
          <w:szCs w:val="28"/>
        </w:rPr>
        <w:t xml:space="preserve">二、收入决算表 </w:t>
      </w:r>
    </w:p>
    <w:p>
      <w:pPr>
        <w:pStyle w:val="6"/>
        <w:spacing w:line="460" w:lineRule="exact"/>
        <w:ind w:firstLine="560" w:firstLineChars="200"/>
        <w:jc w:val="both"/>
        <w:rPr>
          <w:rFonts w:ascii="宋体" w:hAnsi="宋体" w:eastAsia="宋体" w:cs="宋体"/>
          <w:sz w:val="28"/>
          <w:szCs w:val="28"/>
        </w:rPr>
      </w:pPr>
      <w:r>
        <w:rPr>
          <w:rFonts w:hint="eastAsia" w:ascii="宋体" w:hAnsi="宋体" w:eastAsia="宋体" w:cs="宋体"/>
          <w:sz w:val="28"/>
          <w:szCs w:val="28"/>
        </w:rPr>
        <w:t>三、支出决算表</w:t>
      </w:r>
    </w:p>
    <w:p>
      <w:pPr>
        <w:pStyle w:val="6"/>
        <w:spacing w:line="460" w:lineRule="exact"/>
        <w:ind w:firstLine="560" w:firstLineChars="200"/>
        <w:jc w:val="both"/>
        <w:rPr>
          <w:rFonts w:ascii="宋体" w:hAnsi="宋体" w:eastAsia="宋体" w:cs="宋体"/>
          <w:sz w:val="28"/>
          <w:szCs w:val="28"/>
        </w:rPr>
      </w:pPr>
      <w:r>
        <w:rPr>
          <w:rFonts w:hint="eastAsia" w:ascii="宋体" w:hAnsi="宋体" w:eastAsia="宋体" w:cs="宋体"/>
          <w:sz w:val="28"/>
          <w:szCs w:val="28"/>
        </w:rPr>
        <w:t>四、财政拨款收入支出决算总表</w:t>
      </w:r>
    </w:p>
    <w:p>
      <w:pPr>
        <w:pStyle w:val="6"/>
        <w:spacing w:line="460" w:lineRule="exact"/>
        <w:ind w:firstLine="560" w:firstLineChars="200"/>
        <w:jc w:val="both"/>
        <w:rPr>
          <w:rFonts w:ascii="宋体" w:hAnsi="宋体" w:eastAsia="宋体" w:cs="宋体"/>
          <w:sz w:val="28"/>
          <w:szCs w:val="28"/>
        </w:rPr>
      </w:pPr>
      <w:r>
        <w:rPr>
          <w:rFonts w:hint="eastAsia" w:ascii="宋体" w:hAnsi="宋体" w:eastAsia="宋体" w:cs="宋体"/>
          <w:sz w:val="28"/>
          <w:szCs w:val="28"/>
        </w:rPr>
        <w:t>五、一般公共预算财政拨款支出决算表</w:t>
      </w:r>
    </w:p>
    <w:p>
      <w:pPr>
        <w:pStyle w:val="6"/>
        <w:spacing w:line="460" w:lineRule="exact"/>
        <w:ind w:firstLine="560" w:firstLineChars="200"/>
        <w:jc w:val="both"/>
        <w:rPr>
          <w:rFonts w:ascii="宋体" w:hAnsi="宋体" w:eastAsia="宋体" w:cs="宋体"/>
          <w:sz w:val="28"/>
          <w:szCs w:val="28"/>
        </w:rPr>
      </w:pPr>
      <w:r>
        <w:rPr>
          <w:rFonts w:hint="eastAsia" w:ascii="宋体" w:hAnsi="宋体" w:eastAsia="宋体" w:cs="宋体"/>
          <w:sz w:val="28"/>
          <w:szCs w:val="28"/>
        </w:rPr>
        <w:t>六、一般公共预算财政拨款基本支出决算表</w:t>
      </w:r>
    </w:p>
    <w:p>
      <w:pPr>
        <w:pStyle w:val="6"/>
        <w:spacing w:line="460" w:lineRule="exact"/>
        <w:ind w:firstLine="560" w:firstLineChars="200"/>
        <w:jc w:val="both"/>
        <w:rPr>
          <w:rFonts w:ascii="宋体" w:hAnsi="宋体" w:eastAsia="宋体" w:cs="宋体"/>
          <w:sz w:val="28"/>
          <w:szCs w:val="28"/>
        </w:rPr>
      </w:pPr>
      <w:r>
        <w:rPr>
          <w:rFonts w:hint="eastAsia" w:ascii="宋体" w:hAnsi="宋体" w:eastAsia="宋体" w:cs="宋体"/>
          <w:sz w:val="28"/>
          <w:szCs w:val="28"/>
        </w:rPr>
        <w:t>七、一般公共预算财政拨款“三公”经费支出决算表</w:t>
      </w:r>
    </w:p>
    <w:p>
      <w:pPr>
        <w:pStyle w:val="6"/>
        <w:spacing w:line="460" w:lineRule="exact"/>
        <w:ind w:firstLine="560" w:firstLineChars="200"/>
        <w:jc w:val="both"/>
        <w:rPr>
          <w:rFonts w:ascii="宋体" w:hAnsi="宋体" w:eastAsia="宋体" w:cs="宋体"/>
          <w:sz w:val="28"/>
          <w:szCs w:val="28"/>
        </w:rPr>
      </w:pPr>
      <w:r>
        <w:rPr>
          <w:rFonts w:hint="eastAsia" w:ascii="宋体" w:hAnsi="宋体" w:eastAsia="宋体" w:cs="宋体"/>
          <w:sz w:val="28"/>
          <w:szCs w:val="28"/>
        </w:rPr>
        <w:t>八、政府性基金预算财政拨款收入支出决算表</w:t>
      </w:r>
    </w:p>
    <w:p>
      <w:pPr>
        <w:pStyle w:val="6"/>
        <w:spacing w:line="460" w:lineRule="exact"/>
        <w:ind w:firstLine="560" w:firstLineChars="200"/>
        <w:jc w:val="both"/>
        <w:rPr>
          <w:rFonts w:ascii="宋体" w:hAnsi="宋体" w:eastAsia="宋体" w:cs="仿宋_GB2312"/>
          <w:sz w:val="28"/>
          <w:szCs w:val="28"/>
        </w:rPr>
      </w:pPr>
      <w:r>
        <w:rPr>
          <w:rFonts w:hint="eastAsia" w:ascii="宋体" w:hAnsi="宋体" w:eastAsia="宋体" w:cs="宋体"/>
          <w:sz w:val="28"/>
          <w:szCs w:val="28"/>
        </w:rPr>
        <w:t>九、国有资本经营预算财政拨款支出决算表</w:t>
      </w:r>
    </w:p>
    <w:p>
      <w:pPr>
        <w:pStyle w:val="6"/>
        <w:spacing w:line="460" w:lineRule="exact"/>
        <w:jc w:val="both"/>
        <w:rPr>
          <w:rFonts w:hAnsi="黑体"/>
          <w:bCs/>
          <w:sz w:val="28"/>
          <w:szCs w:val="28"/>
        </w:rPr>
      </w:pPr>
      <w:r>
        <w:rPr>
          <w:rFonts w:hint="eastAsia" w:hAnsi="黑体"/>
          <w:b/>
          <w:sz w:val="28"/>
          <w:szCs w:val="28"/>
        </w:rPr>
        <w:t>第三部分2021年度部门决算情况说明</w:t>
      </w:r>
    </w:p>
    <w:p>
      <w:pPr>
        <w:pStyle w:val="6"/>
        <w:spacing w:line="460" w:lineRule="exact"/>
        <w:ind w:firstLine="560" w:firstLineChars="200"/>
        <w:jc w:val="both"/>
        <w:rPr>
          <w:rFonts w:ascii="宋体" w:hAnsi="宋体" w:eastAsia="宋体" w:cs="仿宋_GB2312"/>
          <w:sz w:val="28"/>
          <w:szCs w:val="28"/>
        </w:rPr>
      </w:pPr>
      <w:r>
        <w:rPr>
          <w:rFonts w:ascii="宋体" w:hAnsi="宋体" w:eastAsia="宋体" w:cs="仿宋_GB2312"/>
          <w:sz w:val="28"/>
          <w:szCs w:val="28"/>
        </w:rPr>
        <w:t>一、收入支出决算总体情况说明</w:t>
      </w:r>
    </w:p>
    <w:p>
      <w:pPr>
        <w:spacing w:line="460" w:lineRule="exact"/>
        <w:ind w:firstLine="560" w:firstLineChars="200"/>
        <w:rPr>
          <w:rFonts w:ascii="宋体" w:hAnsi="宋体" w:cs="仿宋_GB2312"/>
          <w:sz w:val="28"/>
          <w:szCs w:val="28"/>
        </w:rPr>
      </w:pPr>
      <w:r>
        <w:rPr>
          <w:rFonts w:ascii="宋体" w:hAnsi="宋体" w:cs="仿宋_GB2312"/>
          <w:sz w:val="28"/>
          <w:szCs w:val="28"/>
        </w:rPr>
        <w:t>二、收入决算情况说明</w:t>
      </w:r>
    </w:p>
    <w:p>
      <w:pPr>
        <w:autoSpaceDE w:val="0"/>
        <w:autoSpaceDN w:val="0"/>
        <w:adjustRightInd w:val="0"/>
        <w:spacing w:line="460" w:lineRule="exact"/>
        <w:ind w:firstLine="560" w:firstLineChars="200"/>
        <w:rPr>
          <w:rFonts w:ascii="宋体" w:hAnsi="宋体" w:cs="仿宋_GB2312"/>
          <w:color w:val="000000"/>
          <w:kern w:val="0"/>
          <w:sz w:val="28"/>
          <w:szCs w:val="28"/>
        </w:rPr>
      </w:pPr>
      <w:r>
        <w:rPr>
          <w:rFonts w:ascii="宋体" w:hAnsi="宋体" w:cs="仿宋_GB2312"/>
          <w:color w:val="000000"/>
          <w:kern w:val="0"/>
          <w:sz w:val="28"/>
          <w:szCs w:val="28"/>
        </w:rPr>
        <w:t>三、支出决算情况说明</w:t>
      </w:r>
    </w:p>
    <w:p>
      <w:pPr>
        <w:autoSpaceDE w:val="0"/>
        <w:autoSpaceDN w:val="0"/>
        <w:adjustRightInd w:val="0"/>
        <w:spacing w:line="460" w:lineRule="exact"/>
        <w:ind w:firstLine="560" w:firstLineChars="200"/>
        <w:rPr>
          <w:rFonts w:ascii="宋体" w:hAnsi="宋体" w:cs="仿宋_GB2312"/>
          <w:color w:val="000000"/>
          <w:kern w:val="0"/>
          <w:sz w:val="28"/>
          <w:szCs w:val="28"/>
        </w:rPr>
      </w:pPr>
      <w:r>
        <w:rPr>
          <w:rFonts w:ascii="宋体" w:hAnsi="宋体" w:cs="仿宋_GB2312"/>
          <w:color w:val="000000"/>
          <w:kern w:val="0"/>
          <w:sz w:val="28"/>
          <w:szCs w:val="28"/>
        </w:rPr>
        <w:t>四、财政拨款收入支出决算总体情况说明</w:t>
      </w:r>
    </w:p>
    <w:p>
      <w:pPr>
        <w:autoSpaceDE w:val="0"/>
        <w:autoSpaceDN w:val="0"/>
        <w:adjustRightInd w:val="0"/>
        <w:spacing w:line="460" w:lineRule="exact"/>
        <w:ind w:firstLine="560" w:firstLineChars="200"/>
        <w:rPr>
          <w:rFonts w:ascii="宋体" w:hAnsi="宋体" w:cs="仿宋_GB2312"/>
          <w:color w:val="000000"/>
          <w:kern w:val="0"/>
          <w:sz w:val="28"/>
          <w:szCs w:val="28"/>
        </w:rPr>
      </w:pPr>
      <w:r>
        <w:rPr>
          <w:rFonts w:ascii="宋体" w:hAnsi="宋体" w:cs="仿宋_GB2312"/>
          <w:color w:val="000000"/>
          <w:kern w:val="0"/>
          <w:sz w:val="28"/>
          <w:szCs w:val="28"/>
        </w:rPr>
        <w:t>五、一般公共预算财政拨款支出决算情况说明</w:t>
      </w:r>
    </w:p>
    <w:p>
      <w:pPr>
        <w:autoSpaceDE w:val="0"/>
        <w:autoSpaceDN w:val="0"/>
        <w:adjustRightInd w:val="0"/>
        <w:spacing w:line="460" w:lineRule="exact"/>
        <w:ind w:firstLine="560" w:firstLineChars="200"/>
        <w:rPr>
          <w:rFonts w:ascii="宋体" w:hAnsi="宋体" w:cs="仿宋_GB2312"/>
          <w:color w:val="000000"/>
          <w:kern w:val="0"/>
          <w:sz w:val="28"/>
          <w:szCs w:val="28"/>
        </w:rPr>
      </w:pPr>
      <w:r>
        <w:rPr>
          <w:rFonts w:ascii="宋体" w:hAnsi="宋体" w:cs="仿宋_GB2312"/>
          <w:color w:val="000000"/>
          <w:kern w:val="0"/>
          <w:sz w:val="28"/>
          <w:szCs w:val="28"/>
        </w:rPr>
        <w:t>六、一般公共预算财政拨款基本支出决算情况说明</w:t>
      </w:r>
    </w:p>
    <w:p>
      <w:pPr>
        <w:autoSpaceDE w:val="0"/>
        <w:autoSpaceDN w:val="0"/>
        <w:adjustRightInd w:val="0"/>
        <w:spacing w:line="460" w:lineRule="exact"/>
        <w:ind w:firstLine="560" w:firstLineChars="200"/>
        <w:rPr>
          <w:rFonts w:ascii="宋体" w:hAnsi="宋体" w:cs="仿宋_GB2312"/>
          <w:color w:val="000000"/>
          <w:kern w:val="0"/>
          <w:sz w:val="28"/>
          <w:szCs w:val="28"/>
        </w:rPr>
      </w:pPr>
      <w:r>
        <w:rPr>
          <w:rFonts w:ascii="宋体" w:hAnsi="宋体" w:cs="仿宋_GB2312"/>
          <w:color w:val="000000"/>
          <w:kern w:val="0"/>
          <w:sz w:val="28"/>
          <w:szCs w:val="28"/>
        </w:rPr>
        <w:t>七、一般公共预算财政拨款</w:t>
      </w:r>
      <w:r>
        <w:rPr>
          <w:rFonts w:hint="eastAsia" w:ascii="宋体" w:hAnsi="宋体" w:cs="仿宋_GB2312"/>
          <w:color w:val="000000"/>
          <w:kern w:val="0"/>
          <w:sz w:val="28"/>
          <w:szCs w:val="28"/>
        </w:rPr>
        <w:t>“</w:t>
      </w:r>
      <w:r>
        <w:rPr>
          <w:rFonts w:ascii="宋体" w:hAnsi="宋体" w:cs="仿宋_GB2312"/>
          <w:color w:val="000000"/>
          <w:kern w:val="0"/>
          <w:sz w:val="28"/>
          <w:szCs w:val="28"/>
        </w:rPr>
        <w:t>三公</w:t>
      </w:r>
      <w:r>
        <w:rPr>
          <w:rFonts w:hint="eastAsia" w:ascii="宋体" w:hAnsi="宋体" w:cs="仿宋_GB2312"/>
          <w:color w:val="000000"/>
          <w:kern w:val="0"/>
          <w:sz w:val="28"/>
          <w:szCs w:val="28"/>
        </w:rPr>
        <w:t>”</w:t>
      </w:r>
      <w:r>
        <w:rPr>
          <w:rFonts w:ascii="宋体" w:hAnsi="宋体" w:cs="仿宋_GB2312"/>
          <w:color w:val="000000"/>
          <w:kern w:val="0"/>
          <w:sz w:val="28"/>
          <w:szCs w:val="28"/>
        </w:rPr>
        <w:t>经费支出决算情况说明</w:t>
      </w:r>
    </w:p>
    <w:p>
      <w:pPr>
        <w:autoSpaceDE w:val="0"/>
        <w:autoSpaceDN w:val="0"/>
        <w:adjustRightInd w:val="0"/>
        <w:spacing w:line="460" w:lineRule="exact"/>
        <w:ind w:firstLine="560" w:firstLineChars="200"/>
        <w:rPr>
          <w:rFonts w:ascii="宋体" w:hAnsi="宋体" w:cs="仿宋_GB2312"/>
          <w:color w:val="000000"/>
          <w:kern w:val="0"/>
          <w:sz w:val="28"/>
          <w:szCs w:val="28"/>
        </w:rPr>
      </w:pPr>
      <w:r>
        <w:rPr>
          <w:rFonts w:hint="eastAsia" w:ascii="宋体" w:hAnsi="宋体" w:cs="仿宋_GB2312"/>
          <w:color w:val="000000"/>
          <w:kern w:val="0"/>
          <w:sz w:val="28"/>
          <w:szCs w:val="28"/>
        </w:rPr>
        <w:t>八</w:t>
      </w:r>
      <w:r>
        <w:rPr>
          <w:rFonts w:ascii="宋体" w:hAnsi="宋体" w:cs="仿宋_GB2312"/>
          <w:color w:val="000000"/>
          <w:kern w:val="0"/>
          <w:sz w:val="28"/>
          <w:szCs w:val="28"/>
        </w:rPr>
        <w:t>、</w:t>
      </w:r>
      <w:r>
        <w:rPr>
          <w:rFonts w:hint="eastAsia" w:ascii="宋体" w:hAnsi="宋体" w:cs="仿宋_GB2312"/>
          <w:color w:val="000000"/>
          <w:kern w:val="0"/>
          <w:sz w:val="28"/>
          <w:szCs w:val="28"/>
        </w:rPr>
        <w:t>政府性基金预算收入支出决算情况</w:t>
      </w:r>
    </w:p>
    <w:p>
      <w:pPr>
        <w:autoSpaceDE w:val="0"/>
        <w:autoSpaceDN w:val="0"/>
        <w:adjustRightInd w:val="0"/>
        <w:spacing w:line="460" w:lineRule="exact"/>
        <w:ind w:firstLine="560" w:firstLineChars="200"/>
        <w:rPr>
          <w:rFonts w:ascii="宋体" w:hAnsi="宋体" w:cs="仿宋_GB2312"/>
          <w:color w:val="000000"/>
          <w:kern w:val="0"/>
          <w:sz w:val="28"/>
          <w:szCs w:val="28"/>
        </w:rPr>
      </w:pPr>
      <w:r>
        <w:rPr>
          <w:rFonts w:hint="eastAsia" w:ascii="宋体" w:hAnsi="宋体" w:cs="仿宋_GB2312"/>
          <w:color w:val="000000"/>
          <w:kern w:val="0"/>
          <w:sz w:val="28"/>
          <w:szCs w:val="28"/>
        </w:rPr>
        <w:t>九</w:t>
      </w:r>
      <w:r>
        <w:rPr>
          <w:rFonts w:ascii="宋体" w:hAnsi="宋体" w:cs="仿宋_GB2312"/>
          <w:color w:val="000000"/>
          <w:kern w:val="0"/>
          <w:sz w:val="28"/>
          <w:szCs w:val="28"/>
        </w:rPr>
        <w:t>、</w:t>
      </w:r>
      <w:r>
        <w:rPr>
          <w:rFonts w:hint="eastAsia" w:ascii="宋体" w:hAnsi="宋体" w:cs="仿宋_GB2312"/>
          <w:color w:val="000000"/>
          <w:kern w:val="0"/>
          <w:sz w:val="28"/>
          <w:szCs w:val="28"/>
        </w:rPr>
        <w:t>机关运行经费支出说明</w:t>
      </w:r>
    </w:p>
    <w:p>
      <w:pPr>
        <w:autoSpaceDE w:val="0"/>
        <w:autoSpaceDN w:val="0"/>
        <w:adjustRightInd w:val="0"/>
        <w:spacing w:line="460" w:lineRule="exact"/>
        <w:ind w:firstLine="560" w:firstLineChars="200"/>
        <w:rPr>
          <w:rFonts w:ascii="宋体" w:hAnsi="宋体" w:cs="仿宋_GB2312"/>
          <w:color w:val="000000"/>
          <w:kern w:val="0"/>
          <w:sz w:val="28"/>
          <w:szCs w:val="28"/>
        </w:rPr>
      </w:pPr>
      <w:r>
        <w:rPr>
          <w:rFonts w:hint="eastAsia" w:ascii="宋体" w:hAnsi="宋体" w:cs="仿宋_GB2312"/>
          <w:color w:val="000000"/>
          <w:kern w:val="0"/>
          <w:sz w:val="28"/>
          <w:szCs w:val="28"/>
        </w:rPr>
        <w:t>十、一般性支出情况说明</w:t>
      </w:r>
    </w:p>
    <w:p>
      <w:pPr>
        <w:autoSpaceDE w:val="0"/>
        <w:autoSpaceDN w:val="0"/>
        <w:adjustRightInd w:val="0"/>
        <w:spacing w:line="460" w:lineRule="exact"/>
        <w:ind w:firstLine="560" w:firstLineChars="200"/>
        <w:rPr>
          <w:rFonts w:ascii="宋体" w:hAnsi="宋体" w:cs="仿宋_GB2312"/>
          <w:color w:val="000000"/>
          <w:kern w:val="0"/>
          <w:sz w:val="28"/>
          <w:szCs w:val="28"/>
        </w:rPr>
      </w:pPr>
      <w:r>
        <w:rPr>
          <w:rFonts w:hint="eastAsia" w:ascii="宋体" w:hAnsi="宋体" w:cs="仿宋_GB2312"/>
          <w:color w:val="000000"/>
          <w:kern w:val="0"/>
          <w:sz w:val="28"/>
          <w:szCs w:val="28"/>
        </w:rPr>
        <w:t>十一、政府采购支出说明</w:t>
      </w:r>
    </w:p>
    <w:p>
      <w:pPr>
        <w:pStyle w:val="6"/>
        <w:spacing w:line="460" w:lineRule="exact"/>
        <w:ind w:firstLine="560" w:firstLineChars="200"/>
        <w:jc w:val="both"/>
        <w:rPr>
          <w:rFonts w:ascii="宋体" w:hAnsi="宋体" w:eastAsia="宋体" w:cs="仿宋_GB2312"/>
          <w:sz w:val="28"/>
          <w:szCs w:val="28"/>
        </w:rPr>
      </w:pPr>
      <w:r>
        <w:rPr>
          <w:rFonts w:hint="eastAsia" w:ascii="宋体" w:hAnsi="宋体" w:eastAsia="宋体" w:cs="仿宋_GB2312"/>
          <w:sz w:val="28"/>
          <w:szCs w:val="28"/>
        </w:rPr>
        <w:t>十二、国有资产占用情况说明</w:t>
      </w:r>
    </w:p>
    <w:p>
      <w:pPr>
        <w:pStyle w:val="6"/>
        <w:spacing w:line="460" w:lineRule="exact"/>
        <w:ind w:firstLine="560" w:firstLineChars="200"/>
        <w:jc w:val="both"/>
        <w:rPr>
          <w:rFonts w:ascii="宋体" w:hAnsi="宋体" w:eastAsia="宋体" w:cs="仿宋_GB2312"/>
          <w:sz w:val="28"/>
          <w:szCs w:val="28"/>
        </w:rPr>
      </w:pPr>
      <w:r>
        <w:rPr>
          <w:rFonts w:hint="eastAsia" w:ascii="宋体" w:hAnsi="宋体" w:eastAsia="宋体" w:cs="仿宋_GB2312"/>
          <w:sz w:val="28"/>
          <w:szCs w:val="28"/>
        </w:rPr>
        <w:t>十三、2021年度预算绩效情况说明</w:t>
      </w:r>
    </w:p>
    <w:p>
      <w:pPr>
        <w:pStyle w:val="6"/>
        <w:spacing w:line="460" w:lineRule="exact"/>
        <w:jc w:val="both"/>
        <w:rPr>
          <w:rFonts w:hAnsi="黑体"/>
          <w:bCs/>
          <w:sz w:val="28"/>
          <w:szCs w:val="28"/>
        </w:rPr>
      </w:pPr>
      <w:r>
        <w:rPr>
          <w:rFonts w:hint="eastAsia" w:hAnsi="黑体"/>
          <w:b/>
          <w:sz w:val="28"/>
          <w:szCs w:val="28"/>
        </w:rPr>
        <w:t>第四部分名词解释</w:t>
      </w:r>
    </w:p>
    <w:p>
      <w:pPr>
        <w:pStyle w:val="6"/>
        <w:spacing w:line="460" w:lineRule="exact"/>
        <w:jc w:val="both"/>
        <w:rPr>
          <w:rFonts w:hAnsi="黑体"/>
          <w:bCs/>
          <w:sz w:val="28"/>
          <w:szCs w:val="28"/>
        </w:rPr>
      </w:pPr>
      <w:r>
        <w:rPr>
          <w:rFonts w:hint="eastAsia" w:hAnsi="黑体"/>
          <w:b/>
          <w:sz w:val="28"/>
          <w:szCs w:val="28"/>
        </w:rPr>
        <w:t>第五部分附件</w:t>
      </w:r>
    </w:p>
    <w:p>
      <w:pPr>
        <w:pStyle w:val="6"/>
        <w:spacing w:line="1100" w:lineRule="exact"/>
        <w:jc w:val="center"/>
        <w:rPr>
          <w:rFonts w:hAnsi="黑体"/>
          <w:sz w:val="84"/>
          <w:szCs w:val="84"/>
        </w:rPr>
      </w:pPr>
    </w:p>
    <w:p>
      <w:pPr>
        <w:pStyle w:val="6"/>
        <w:spacing w:line="1100" w:lineRule="exact"/>
        <w:jc w:val="center"/>
        <w:rPr>
          <w:rFonts w:hAnsi="黑体"/>
          <w:sz w:val="84"/>
          <w:szCs w:val="84"/>
        </w:rPr>
      </w:pPr>
    </w:p>
    <w:p>
      <w:pPr>
        <w:pStyle w:val="6"/>
        <w:spacing w:line="1100" w:lineRule="exact"/>
        <w:jc w:val="center"/>
        <w:rPr>
          <w:rFonts w:hAnsi="黑体"/>
          <w:sz w:val="84"/>
          <w:szCs w:val="84"/>
        </w:rPr>
      </w:pPr>
    </w:p>
    <w:p>
      <w:pPr>
        <w:pStyle w:val="6"/>
        <w:spacing w:line="1100" w:lineRule="exact"/>
        <w:jc w:val="center"/>
        <w:rPr>
          <w:rFonts w:hAnsi="黑体"/>
          <w:sz w:val="84"/>
          <w:szCs w:val="84"/>
        </w:rPr>
      </w:pPr>
    </w:p>
    <w:p>
      <w:pPr>
        <w:pStyle w:val="6"/>
        <w:spacing w:line="1100" w:lineRule="exact"/>
        <w:jc w:val="center"/>
        <w:rPr>
          <w:rFonts w:hAnsi="黑体"/>
          <w:sz w:val="84"/>
          <w:szCs w:val="84"/>
        </w:rPr>
      </w:pPr>
    </w:p>
    <w:p>
      <w:pPr>
        <w:pStyle w:val="6"/>
        <w:spacing w:line="1100" w:lineRule="exact"/>
        <w:jc w:val="center"/>
        <w:rPr>
          <w:rFonts w:hAnsi="黑体"/>
          <w:sz w:val="84"/>
          <w:szCs w:val="84"/>
        </w:rPr>
      </w:pPr>
      <w:r>
        <w:rPr>
          <w:rFonts w:hint="eastAsia" w:hAnsi="黑体"/>
          <w:sz w:val="84"/>
          <w:szCs w:val="84"/>
        </w:rPr>
        <w:t>第一部分</w:t>
      </w:r>
    </w:p>
    <w:p>
      <w:pPr>
        <w:pStyle w:val="6"/>
        <w:spacing w:line="1100" w:lineRule="exact"/>
        <w:jc w:val="center"/>
        <w:rPr>
          <w:rFonts w:hAnsi="黑体"/>
          <w:sz w:val="84"/>
          <w:szCs w:val="84"/>
        </w:rPr>
      </w:pPr>
    </w:p>
    <w:p>
      <w:pPr>
        <w:pStyle w:val="6"/>
        <w:spacing w:line="1100" w:lineRule="exact"/>
        <w:jc w:val="center"/>
        <w:rPr>
          <w:rFonts w:hAnsi="黑体"/>
          <w:sz w:val="84"/>
          <w:szCs w:val="84"/>
        </w:rPr>
      </w:pPr>
      <w:r>
        <w:rPr>
          <w:rFonts w:hint="eastAsia" w:hAnsi="黑体"/>
          <w:sz w:val="84"/>
          <w:szCs w:val="84"/>
        </w:rPr>
        <w:t>湖南省岳阳监狱概况</w:t>
      </w:r>
    </w:p>
    <w:p>
      <w:pPr>
        <w:jc w:val="center"/>
        <w:rPr>
          <w:b/>
          <w:sz w:val="32"/>
          <w:szCs w:val="32"/>
        </w:rPr>
      </w:pPr>
    </w:p>
    <w:p>
      <w:pPr>
        <w:jc w:val="center"/>
        <w:rPr>
          <w:b/>
          <w:sz w:val="32"/>
          <w:szCs w:val="32"/>
        </w:rPr>
      </w:pPr>
    </w:p>
    <w:p>
      <w:pPr>
        <w:ind w:firstLine="562" w:firstLineChars="200"/>
        <w:jc w:val="left"/>
        <w:rPr>
          <w:b/>
          <w:sz w:val="28"/>
          <w:szCs w:val="28"/>
        </w:rPr>
      </w:pPr>
    </w:p>
    <w:p>
      <w:pPr>
        <w:ind w:firstLine="562" w:firstLineChars="200"/>
        <w:jc w:val="left"/>
        <w:rPr>
          <w:b/>
          <w:sz w:val="28"/>
          <w:szCs w:val="28"/>
        </w:rPr>
      </w:pPr>
    </w:p>
    <w:p>
      <w:pPr>
        <w:ind w:firstLine="562" w:firstLineChars="200"/>
        <w:jc w:val="left"/>
        <w:rPr>
          <w:b/>
          <w:sz w:val="28"/>
          <w:szCs w:val="28"/>
        </w:rPr>
      </w:pPr>
    </w:p>
    <w:p>
      <w:pPr>
        <w:ind w:firstLine="562" w:firstLineChars="200"/>
        <w:jc w:val="left"/>
        <w:rPr>
          <w:b/>
          <w:sz w:val="28"/>
          <w:szCs w:val="28"/>
        </w:rPr>
      </w:pPr>
    </w:p>
    <w:p>
      <w:pPr>
        <w:ind w:firstLine="562" w:firstLineChars="200"/>
        <w:jc w:val="left"/>
        <w:rPr>
          <w:b/>
          <w:sz w:val="28"/>
          <w:szCs w:val="28"/>
        </w:rPr>
      </w:pPr>
    </w:p>
    <w:p>
      <w:pPr>
        <w:ind w:firstLine="562" w:firstLineChars="200"/>
        <w:jc w:val="left"/>
        <w:rPr>
          <w:b/>
          <w:sz w:val="28"/>
          <w:szCs w:val="28"/>
        </w:rPr>
      </w:pPr>
    </w:p>
    <w:p>
      <w:pPr>
        <w:jc w:val="left"/>
        <w:rPr>
          <w:b/>
          <w:sz w:val="32"/>
          <w:szCs w:val="32"/>
        </w:rPr>
      </w:pPr>
      <w:r>
        <w:rPr>
          <w:rFonts w:hint="eastAsia" w:ascii="黑体" w:hAnsi="黑体" w:eastAsia="黑体" w:cs="黑体"/>
          <w:bCs/>
          <w:sz w:val="32"/>
          <w:szCs w:val="32"/>
        </w:rPr>
        <w:t>一、部门职责</w:t>
      </w:r>
    </w:p>
    <w:p>
      <w:pPr>
        <w:widowControl/>
        <w:spacing w:line="600" w:lineRule="exact"/>
        <w:ind w:firstLine="640" w:firstLineChars="200"/>
        <w:jc w:val="left"/>
        <w:rPr>
          <w:rFonts w:asciiTheme="minorEastAsia" w:hAnsiTheme="minorEastAsia"/>
          <w:sz w:val="32"/>
          <w:szCs w:val="32"/>
        </w:rPr>
      </w:pPr>
      <w:r>
        <w:rPr>
          <w:rFonts w:hint="eastAsia" w:asciiTheme="minorEastAsia" w:hAnsiTheme="minorEastAsia"/>
          <w:sz w:val="32"/>
          <w:szCs w:val="32"/>
        </w:rPr>
        <w:t>监狱是国家刑罚执行机关，其法定职能是执行刑罚。其主要职责是负责依照《中华人民共和国监狱法》，贯彻执行监狱工作方针及国家有关法律法规；负责罪犯监管改造，依法对罪犯收监、调配、考核奖惩、释放、提出罪犯减刑、假释、暂予监外执行的建议，做好监狱的安全检查防范工作；负责罪犯生活卫生管理，做好罪犯物资生活供应、疾病防治和公共卫生安全工作；负责罪犯教育改造，做好罪犯的思想、文化、职业技术教育和心理辅导工作；负责罪犯劳动改造，组织罪犯开展劳动，落实安全生产管理工作；负责监狱经济工作，管理监狱经费和国有资产；负责监狱狱政、生产、生活基本建设的统筹规划以及重大建设项目的资金筹措、工程施工和监管场所的使用与维护；负责监狱机关、所属单位的党务工作，管理监狱警察职工队伍，加强思想政治工作，提高队伍素质；负责监狱警戒设施、交通通讯设施、武器装备及监管技术装备管理；承办上级机关交办的其他工作。</w:t>
      </w:r>
    </w:p>
    <w:p>
      <w:pPr>
        <w:widowControl/>
        <w:spacing w:line="600" w:lineRule="exact"/>
        <w:jc w:val="left"/>
        <w:rPr>
          <w:rFonts w:ascii="黑体" w:hAnsi="黑体" w:eastAsia="黑体" w:cs="黑体"/>
          <w:bCs/>
          <w:sz w:val="32"/>
          <w:szCs w:val="32"/>
        </w:rPr>
      </w:pPr>
      <w:r>
        <w:rPr>
          <w:rFonts w:hint="eastAsia" w:ascii="黑体" w:hAnsi="黑体" w:eastAsia="黑体" w:cs="黑体"/>
          <w:bCs/>
          <w:sz w:val="32"/>
          <w:szCs w:val="32"/>
        </w:rPr>
        <w:t>二、机构设置</w:t>
      </w:r>
    </w:p>
    <w:p>
      <w:pPr>
        <w:widowControl/>
        <w:spacing w:line="600" w:lineRule="exact"/>
        <w:ind w:firstLine="627" w:firstLineChars="196"/>
        <w:jc w:val="left"/>
        <w:rPr>
          <w:sz w:val="32"/>
          <w:szCs w:val="32"/>
        </w:rPr>
      </w:pPr>
      <w:r>
        <w:rPr>
          <w:rFonts w:hint="eastAsia" w:asciiTheme="minorEastAsia" w:hAnsiTheme="minorEastAsia"/>
          <w:bCs/>
          <w:kern w:val="0"/>
          <w:sz w:val="32"/>
          <w:szCs w:val="32"/>
        </w:rPr>
        <w:t>（一）内设机构设置。</w:t>
      </w:r>
      <w:r>
        <w:rPr>
          <w:rFonts w:hint="eastAsia" w:asciiTheme="minorEastAsia" w:hAnsiTheme="minorEastAsia"/>
          <w:sz w:val="32"/>
          <w:szCs w:val="32"/>
        </w:rPr>
        <w:t>湖南省岳阳</w:t>
      </w:r>
      <w:r>
        <w:rPr>
          <w:rFonts w:hint="eastAsia" w:asciiTheme="minorEastAsia" w:hAnsiTheme="minorEastAsia"/>
          <w:color w:val="000000"/>
          <w:sz w:val="32"/>
          <w:szCs w:val="32"/>
        </w:rPr>
        <w:t>监狱为湖南</w:t>
      </w:r>
      <w:r>
        <w:rPr>
          <w:rFonts w:hint="eastAsia" w:cs="宋体" w:asciiTheme="minorEastAsia" w:hAnsiTheme="minorEastAsia"/>
          <w:color w:val="000000"/>
          <w:kern w:val="0"/>
          <w:sz w:val="32"/>
          <w:szCs w:val="32"/>
        </w:rPr>
        <w:t>省监狱管理局所属二级预算单位，财务核算适用</w:t>
      </w:r>
      <w:r>
        <w:rPr>
          <w:rFonts w:hint="eastAsia" w:cs="宋体" w:asciiTheme="minorEastAsia" w:hAnsiTheme="minorEastAsia"/>
          <w:color w:val="000000"/>
          <w:kern w:val="0"/>
          <w:sz w:val="32"/>
          <w:szCs w:val="32"/>
          <w:lang w:eastAsia="zh-CN"/>
        </w:rPr>
        <w:t>政府会计准则</w:t>
      </w:r>
      <w:bookmarkStart w:id="0" w:name="_GoBack"/>
      <w:bookmarkEnd w:id="0"/>
      <w:r>
        <w:rPr>
          <w:rFonts w:hint="eastAsia" w:cs="宋体" w:asciiTheme="minorEastAsia" w:hAnsiTheme="minorEastAsia"/>
          <w:color w:val="000000"/>
          <w:kern w:val="0"/>
          <w:sz w:val="32"/>
          <w:szCs w:val="32"/>
        </w:rPr>
        <w:t>制度。</w:t>
      </w:r>
      <w:r>
        <w:rPr>
          <w:rFonts w:hint="eastAsia" w:asciiTheme="minorEastAsia" w:hAnsiTheme="minorEastAsia"/>
          <w:color w:val="000000"/>
          <w:sz w:val="32"/>
          <w:szCs w:val="32"/>
        </w:rPr>
        <w:t>内设办公室、政治处、纪检监察室、监管指挥与信息中心、法治办、工会办、离退休服务管理科、行政科、基建规划科、水利国土科、财务科、审计科、保卫科等20个职能部门，后勤监区、警备大队2个基层辅助性机构。</w:t>
      </w:r>
    </w:p>
    <w:p>
      <w:pPr>
        <w:ind w:firstLine="640" w:firstLineChars="200"/>
        <w:jc w:val="left"/>
        <w:rPr>
          <w:rFonts w:ascii="黑体" w:hAnsi="黑体" w:eastAsia="黑体"/>
          <w:sz w:val="28"/>
          <w:szCs w:val="28"/>
        </w:rPr>
      </w:pPr>
      <w:r>
        <w:rPr>
          <w:rFonts w:hint="eastAsia" w:asciiTheme="minorEastAsia" w:hAnsiTheme="minorEastAsia"/>
          <w:bCs/>
          <w:kern w:val="0"/>
          <w:sz w:val="32"/>
          <w:szCs w:val="32"/>
        </w:rPr>
        <w:t>（二）决算单位构成。2021年部门决算公开单位为湖南省岳阳监狱本级。</w:t>
      </w:r>
    </w:p>
    <w:p>
      <w:pPr>
        <w:spacing w:line="1100" w:lineRule="exact"/>
        <w:jc w:val="center"/>
        <w:rPr>
          <w:rFonts w:ascii="黑体" w:hAnsi="黑体" w:eastAsia="黑体" w:cs="黑体"/>
          <w:bCs/>
          <w:sz w:val="72"/>
          <w:szCs w:val="72"/>
        </w:rPr>
      </w:pPr>
    </w:p>
    <w:p>
      <w:pPr>
        <w:spacing w:line="1100" w:lineRule="exact"/>
        <w:jc w:val="center"/>
        <w:rPr>
          <w:rFonts w:ascii="黑体" w:hAnsi="黑体" w:eastAsia="黑体" w:cs="黑体"/>
          <w:bCs/>
          <w:sz w:val="72"/>
          <w:szCs w:val="72"/>
        </w:rPr>
      </w:pPr>
    </w:p>
    <w:p>
      <w:pPr>
        <w:spacing w:line="1100" w:lineRule="exact"/>
        <w:jc w:val="center"/>
        <w:rPr>
          <w:rFonts w:ascii="黑体" w:hAnsi="黑体" w:eastAsia="黑体" w:cs="黑体"/>
          <w:bCs/>
          <w:sz w:val="72"/>
          <w:szCs w:val="72"/>
        </w:rPr>
      </w:pPr>
    </w:p>
    <w:p>
      <w:pPr>
        <w:spacing w:line="1100" w:lineRule="exact"/>
        <w:jc w:val="center"/>
        <w:rPr>
          <w:rFonts w:ascii="黑体" w:hAnsi="黑体" w:eastAsia="黑体" w:cs="黑体"/>
          <w:bCs/>
          <w:sz w:val="72"/>
          <w:szCs w:val="72"/>
        </w:rPr>
      </w:pPr>
      <w:r>
        <w:rPr>
          <w:rFonts w:hint="eastAsia" w:ascii="黑体" w:hAnsi="黑体" w:eastAsia="黑体" w:cs="黑体"/>
          <w:bCs/>
          <w:sz w:val="72"/>
          <w:szCs w:val="72"/>
        </w:rPr>
        <w:t>第二部分</w:t>
      </w:r>
    </w:p>
    <w:p>
      <w:pPr>
        <w:spacing w:line="1100" w:lineRule="exact"/>
        <w:jc w:val="center"/>
        <w:rPr>
          <w:rFonts w:ascii="黑体" w:hAnsi="黑体" w:eastAsia="黑体" w:cs="黑体"/>
          <w:bCs/>
          <w:sz w:val="72"/>
          <w:szCs w:val="72"/>
        </w:rPr>
      </w:pPr>
    </w:p>
    <w:p>
      <w:pPr>
        <w:spacing w:line="1100" w:lineRule="exact"/>
        <w:jc w:val="center"/>
        <w:rPr>
          <w:rFonts w:ascii="黑体" w:hAnsi="黑体" w:eastAsia="黑体" w:cs="黑体"/>
          <w:bCs/>
          <w:sz w:val="72"/>
          <w:szCs w:val="72"/>
        </w:rPr>
      </w:pPr>
      <w:r>
        <w:rPr>
          <w:rFonts w:hint="eastAsia" w:ascii="黑体" w:hAnsi="黑体" w:eastAsia="黑体" w:cs="黑体"/>
          <w:bCs/>
          <w:sz w:val="72"/>
          <w:szCs w:val="72"/>
        </w:rPr>
        <w:t>部门决算表</w:t>
      </w:r>
    </w:p>
    <w:p>
      <w:pPr>
        <w:spacing w:line="500" w:lineRule="exact"/>
        <w:ind w:firstLine="562" w:firstLineChars="200"/>
        <w:jc w:val="center"/>
        <w:rPr>
          <w:rFonts w:ascii="宋体" w:hAnsi="宋体"/>
          <w:b/>
          <w:sz w:val="28"/>
          <w:szCs w:val="28"/>
        </w:rPr>
      </w:pPr>
    </w:p>
    <w:p>
      <w:pPr>
        <w:spacing w:line="500" w:lineRule="exact"/>
        <w:ind w:firstLine="562" w:firstLineChars="200"/>
        <w:rPr>
          <w:rFonts w:ascii="宋体" w:hAnsi="宋体"/>
          <w:b/>
          <w:sz w:val="28"/>
          <w:szCs w:val="28"/>
        </w:rPr>
      </w:pPr>
    </w:p>
    <w:p>
      <w:pPr>
        <w:jc w:val="center"/>
        <w:rPr>
          <w:rFonts w:ascii="宋体" w:hAnsi="宋体"/>
          <w:b/>
          <w:sz w:val="28"/>
          <w:szCs w:val="28"/>
        </w:rPr>
      </w:pPr>
    </w:p>
    <w:p>
      <w:pPr>
        <w:jc w:val="center"/>
        <w:rPr>
          <w:rFonts w:ascii="宋体" w:hAnsi="宋体"/>
          <w:sz w:val="28"/>
          <w:szCs w:val="28"/>
        </w:rPr>
      </w:pPr>
    </w:p>
    <w:p>
      <w:pPr>
        <w:pStyle w:val="6"/>
        <w:jc w:val="center"/>
        <w:rPr>
          <w:rFonts w:ascii="宋体" w:hAnsi="宋体" w:eastAsia="宋体"/>
          <w:b/>
          <w:sz w:val="28"/>
          <w:szCs w:val="28"/>
        </w:rPr>
      </w:pPr>
    </w:p>
    <w:p>
      <w:pPr>
        <w:pStyle w:val="6"/>
        <w:jc w:val="center"/>
        <w:rPr>
          <w:rFonts w:ascii="宋体" w:hAnsi="宋体" w:eastAsia="宋体"/>
          <w:b/>
          <w:sz w:val="28"/>
          <w:szCs w:val="28"/>
        </w:rPr>
      </w:pPr>
    </w:p>
    <w:p>
      <w:pPr>
        <w:pStyle w:val="6"/>
        <w:jc w:val="center"/>
        <w:rPr>
          <w:rFonts w:ascii="宋体" w:hAnsi="宋体" w:eastAsia="宋体"/>
          <w:b/>
          <w:sz w:val="28"/>
          <w:szCs w:val="28"/>
        </w:rPr>
      </w:pPr>
    </w:p>
    <w:p>
      <w:pPr>
        <w:pStyle w:val="6"/>
        <w:jc w:val="center"/>
        <w:rPr>
          <w:rFonts w:ascii="宋体" w:hAnsi="宋体" w:eastAsia="宋体"/>
          <w:b/>
          <w:sz w:val="28"/>
          <w:szCs w:val="28"/>
        </w:rPr>
      </w:pPr>
    </w:p>
    <w:p>
      <w:pPr>
        <w:pStyle w:val="6"/>
        <w:jc w:val="center"/>
        <w:rPr>
          <w:rFonts w:ascii="宋体" w:hAnsi="宋体" w:eastAsia="宋体"/>
          <w:b/>
          <w:sz w:val="28"/>
          <w:szCs w:val="28"/>
        </w:rPr>
      </w:pPr>
    </w:p>
    <w:p>
      <w:pPr>
        <w:pStyle w:val="6"/>
        <w:jc w:val="center"/>
        <w:rPr>
          <w:rFonts w:ascii="宋体" w:hAnsi="宋体" w:eastAsia="宋体"/>
          <w:b/>
          <w:sz w:val="28"/>
          <w:szCs w:val="28"/>
        </w:rPr>
      </w:pPr>
    </w:p>
    <w:p>
      <w:pPr>
        <w:pStyle w:val="6"/>
        <w:jc w:val="center"/>
        <w:rPr>
          <w:rFonts w:ascii="宋体" w:hAnsi="宋体" w:eastAsia="宋体"/>
          <w:b/>
          <w:sz w:val="28"/>
          <w:szCs w:val="28"/>
        </w:rPr>
      </w:pPr>
    </w:p>
    <w:p>
      <w:pPr>
        <w:pStyle w:val="6"/>
        <w:spacing w:line="1100" w:lineRule="exact"/>
        <w:jc w:val="center"/>
        <w:rPr>
          <w:rFonts w:hAnsi="黑体"/>
          <w:bCs/>
          <w:sz w:val="72"/>
          <w:szCs w:val="72"/>
        </w:rPr>
      </w:pPr>
    </w:p>
    <w:p>
      <w:pPr>
        <w:pStyle w:val="6"/>
        <w:spacing w:line="1100" w:lineRule="exact"/>
        <w:jc w:val="center"/>
        <w:rPr>
          <w:rFonts w:hAnsi="黑体"/>
          <w:bCs/>
          <w:sz w:val="72"/>
          <w:szCs w:val="72"/>
        </w:rPr>
      </w:pPr>
    </w:p>
    <w:p>
      <w:pPr>
        <w:pStyle w:val="6"/>
        <w:spacing w:line="1100" w:lineRule="exact"/>
        <w:jc w:val="center"/>
        <w:rPr>
          <w:rFonts w:hAnsi="黑体"/>
          <w:bCs/>
          <w:sz w:val="72"/>
          <w:szCs w:val="72"/>
        </w:rPr>
      </w:pPr>
    </w:p>
    <w:p>
      <w:pPr>
        <w:pStyle w:val="6"/>
        <w:spacing w:line="1100" w:lineRule="exact"/>
        <w:jc w:val="center"/>
        <w:rPr>
          <w:rFonts w:hAnsi="黑体"/>
          <w:bCs/>
          <w:sz w:val="72"/>
          <w:szCs w:val="72"/>
        </w:rPr>
      </w:pPr>
      <w:r>
        <w:rPr>
          <w:rFonts w:hint="eastAsia" w:hAnsi="黑体"/>
          <w:bCs/>
          <w:sz w:val="72"/>
          <w:szCs w:val="72"/>
        </w:rPr>
        <w:t>第三部分</w:t>
      </w:r>
    </w:p>
    <w:p>
      <w:pPr>
        <w:pStyle w:val="6"/>
        <w:spacing w:line="1100" w:lineRule="exact"/>
        <w:jc w:val="center"/>
        <w:rPr>
          <w:rFonts w:hAnsi="黑体"/>
          <w:bCs/>
          <w:sz w:val="72"/>
          <w:szCs w:val="72"/>
        </w:rPr>
      </w:pPr>
    </w:p>
    <w:p>
      <w:pPr>
        <w:pStyle w:val="6"/>
        <w:spacing w:line="1100" w:lineRule="exact"/>
        <w:ind w:left="-420" w:leftChars="-200"/>
        <w:jc w:val="center"/>
        <w:rPr>
          <w:rFonts w:hAnsi="黑体"/>
          <w:bCs/>
          <w:sz w:val="72"/>
          <w:szCs w:val="72"/>
        </w:rPr>
      </w:pPr>
      <w:r>
        <w:rPr>
          <w:rFonts w:hint="eastAsia" w:hAnsi="黑体"/>
          <w:bCs/>
          <w:sz w:val="72"/>
          <w:szCs w:val="72"/>
        </w:rPr>
        <w:t>2021年度部门决算情况说明</w:t>
      </w:r>
    </w:p>
    <w:p>
      <w:pPr>
        <w:pStyle w:val="6"/>
        <w:spacing w:line="500" w:lineRule="exact"/>
        <w:ind w:left="-420" w:leftChars="-200"/>
        <w:jc w:val="center"/>
        <w:rPr>
          <w:rFonts w:ascii="宋体" w:hAnsi="宋体" w:eastAsia="宋体"/>
          <w:b/>
          <w:sz w:val="28"/>
          <w:szCs w:val="28"/>
        </w:rPr>
      </w:pPr>
    </w:p>
    <w:p>
      <w:pPr>
        <w:pStyle w:val="6"/>
        <w:jc w:val="center"/>
        <w:rPr>
          <w:rFonts w:ascii="宋体" w:hAnsi="宋体" w:eastAsia="宋体"/>
          <w:b/>
          <w:sz w:val="28"/>
          <w:szCs w:val="28"/>
        </w:rPr>
      </w:pPr>
    </w:p>
    <w:p>
      <w:pPr>
        <w:pStyle w:val="6"/>
        <w:spacing w:line="480" w:lineRule="exact"/>
        <w:ind w:firstLine="562" w:firstLineChars="200"/>
        <w:rPr>
          <w:rFonts w:ascii="宋体" w:hAnsi="宋体" w:eastAsia="宋体"/>
          <w:b/>
          <w:sz w:val="28"/>
          <w:szCs w:val="28"/>
        </w:rPr>
      </w:pPr>
    </w:p>
    <w:p>
      <w:pPr>
        <w:pStyle w:val="6"/>
        <w:spacing w:line="480" w:lineRule="exact"/>
        <w:ind w:firstLine="562" w:firstLineChars="200"/>
        <w:rPr>
          <w:rFonts w:ascii="宋体" w:hAnsi="宋体" w:eastAsia="宋体"/>
          <w:b/>
          <w:sz w:val="28"/>
          <w:szCs w:val="28"/>
        </w:rPr>
      </w:pPr>
    </w:p>
    <w:p>
      <w:pPr>
        <w:pStyle w:val="6"/>
        <w:spacing w:line="480" w:lineRule="exact"/>
        <w:ind w:firstLine="562" w:firstLineChars="200"/>
        <w:rPr>
          <w:rFonts w:ascii="宋体" w:hAnsi="宋体" w:eastAsia="宋体"/>
          <w:b/>
          <w:sz w:val="28"/>
          <w:szCs w:val="28"/>
        </w:rPr>
      </w:pPr>
    </w:p>
    <w:p>
      <w:pPr>
        <w:jc w:val="center"/>
        <w:rPr>
          <w:b/>
          <w:sz w:val="32"/>
          <w:szCs w:val="32"/>
        </w:rPr>
      </w:pPr>
    </w:p>
    <w:p>
      <w:pPr>
        <w:jc w:val="center"/>
        <w:rPr>
          <w:b/>
          <w:sz w:val="32"/>
          <w:szCs w:val="32"/>
        </w:rPr>
      </w:pPr>
    </w:p>
    <w:p>
      <w:pPr>
        <w:jc w:val="center"/>
        <w:rPr>
          <w:b/>
          <w:sz w:val="32"/>
          <w:szCs w:val="32"/>
        </w:rPr>
      </w:pPr>
    </w:p>
    <w:p>
      <w:pPr>
        <w:jc w:val="center"/>
        <w:rPr>
          <w:b/>
          <w:sz w:val="32"/>
          <w:szCs w:val="32"/>
        </w:rPr>
      </w:pPr>
    </w:p>
    <w:p>
      <w:pPr>
        <w:ind w:firstLine="540"/>
        <w:rPr>
          <w:sz w:val="28"/>
          <w:szCs w:val="28"/>
        </w:rPr>
      </w:pPr>
    </w:p>
    <w:p>
      <w:pPr>
        <w:ind w:firstLine="540"/>
        <w:rPr>
          <w:sz w:val="28"/>
          <w:szCs w:val="28"/>
        </w:rPr>
      </w:pPr>
    </w:p>
    <w:p>
      <w:pPr>
        <w:ind w:firstLine="160" w:firstLineChars="50"/>
        <w:jc w:val="left"/>
        <w:rPr>
          <w:rFonts w:ascii="宋体" w:hAnsi="宋体" w:eastAsia="宋体"/>
          <w:sz w:val="32"/>
          <w:szCs w:val="32"/>
        </w:rPr>
      </w:pPr>
    </w:p>
    <w:p>
      <w:pPr>
        <w:ind w:firstLine="640" w:firstLineChars="200"/>
        <w:jc w:val="left"/>
        <w:rPr>
          <w:rFonts w:ascii="宋体" w:hAnsi="宋体" w:eastAsia="宋体"/>
          <w:sz w:val="32"/>
          <w:szCs w:val="32"/>
        </w:rPr>
      </w:pPr>
      <w:r>
        <w:rPr>
          <w:rFonts w:hint="eastAsia" w:ascii="宋体" w:hAnsi="宋体" w:eastAsia="宋体"/>
          <w:sz w:val="32"/>
          <w:szCs w:val="32"/>
        </w:rPr>
        <w:t>湖南省岳阳监狱收入包括公共财政拨款收入、中央财政补助收入以及其他收入；支出既包括保障监狱机构日常运转的基本支出，也包括监狱为完成特定工作任务或事业发展而发生的项目支出。</w:t>
      </w:r>
    </w:p>
    <w:p>
      <w:pPr>
        <w:jc w:val="left"/>
        <w:rPr>
          <w:rFonts w:ascii="黑体" w:hAnsi="黑体" w:eastAsia="黑体" w:cs="黑体"/>
          <w:b/>
          <w:sz w:val="32"/>
          <w:szCs w:val="32"/>
        </w:rPr>
      </w:pPr>
      <w:r>
        <w:rPr>
          <w:rFonts w:hint="eastAsia" w:ascii="黑体" w:hAnsi="黑体" w:eastAsia="黑体" w:cs="黑体"/>
          <w:b/>
          <w:sz w:val="32"/>
          <w:szCs w:val="32"/>
        </w:rPr>
        <w:t>一、收入支出决算总体情况说明</w:t>
      </w:r>
    </w:p>
    <w:p>
      <w:pPr>
        <w:ind w:firstLine="540"/>
        <w:jc w:val="left"/>
        <w:rPr>
          <w:rFonts w:ascii="宋体" w:hAnsi="宋体" w:eastAsia="宋体"/>
          <w:sz w:val="32"/>
          <w:szCs w:val="32"/>
        </w:rPr>
      </w:pPr>
      <w:r>
        <w:rPr>
          <w:rFonts w:hint="eastAsia" w:ascii="宋体" w:hAnsi="宋体" w:eastAsia="宋体"/>
          <w:sz w:val="32"/>
          <w:szCs w:val="32"/>
        </w:rPr>
        <w:t>2021年度决算收、支总计30978.93万元，与上年相比，减少5444.77万元，减少14.95%。主要是因为在职及离退休警察人员经费、基本建设以及水利工程建设项目支出的减少；同时2021年监狱落实党中央、国务院“过紧日子”的精神，大力压减一般性支出。</w:t>
      </w:r>
    </w:p>
    <w:p>
      <w:pPr>
        <w:jc w:val="left"/>
        <w:rPr>
          <w:rFonts w:ascii="黑体" w:hAnsi="黑体" w:eastAsia="黑体" w:cs="黑体"/>
          <w:b/>
          <w:sz w:val="32"/>
          <w:szCs w:val="32"/>
        </w:rPr>
      </w:pPr>
      <w:r>
        <w:rPr>
          <w:rFonts w:hint="eastAsia" w:ascii="黑体" w:hAnsi="黑体" w:eastAsia="黑体" w:cs="黑体"/>
          <w:b/>
          <w:sz w:val="32"/>
          <w:szCs w:val="32"/>
        </w:rPr>
        <w:t>二、收入决算情况说明</w:t>
      </w:r>
    </w:p>
    <w:p>
      <w:pPr>
        <w:ind w:firstLine="540"/>
        <w:jc w:val="left"/>
        <w:rPr>
          <w:rFonts w:ascii="宋体" w:hAnsi="宋体" w:eastAsia="宋体"/>
          <w:sz w:val="32"/>
          <w:szCs w:val="32"/>
        </w:rPr>
      </w:pPr>
      <w:r>
        <w:rPr>
          <w:rFonts w:hint="eastAsia" w:ascii="宋体" w:hAnsi="宋体" w:eastAsia="宋体"/>
          <w:sz w:val="32"/>
          <w:szCs w:val="32"/>
        </w:rPr>
        <w:t>2021年度收入合计29338.43万元，其中：财政拨款收入27370.24万元，占全年收入的93.29%；其他收入1968.19万元，占全年收入的6.71%。</w:t>
      </w:r>
    </w:p>
    <w:p>
      <w:pPr>
        <w:jc w:val="left"/>
        <w:rPr>
          <w:rFonts w:ascii="黑体" w:hAnsi="黑体" w:eastAsia="黑体" w:cs="黑体"/>
          <w:b/>
          <w:sz w:val="32"/>
          <w:szCs w:val="32"/>
        </w:rPr>
      </w:pPr>
      <w:r>
        <w:rPr>
          <w:rFonts w:hint="eastAsia" w:ascii="黑体" w:hAnsi="黑体" w:eastAsia="黑体" w:cs="黑体"/>
          <w:b/>
          <w:sz w:val="32"/>
          <w:szCs w:val="32"/>
        </w:rPr>
        <w:t>三、支出决算情况说明</w:t>
      </w:r>
    </w:p>
    <w:p>
      <w:pPr>
        <w:ind w:firstLine="540"/>
        <w:jc w:val="left"/>
        <w:rPr>
          <w:rFonts w:ascii="宋体" w:hAnsi="宋体" w:eastAsia="宋体"/>
          <w:sz w:val="32"/>
          <w:szCs w:val="32"/>
        </w:rPr>
      </w:pPr>
      <w:r>
        <w:rPr>
          <w:rFonts w:hint="eastAsia" w:ascii="宋体" w:hAnsi="宋体" w:eastAsia="宋体"/>
          <w:sz w:val="32"/>
          <w:szCs w:val="32"/>
        </w:rPr>
        <w:t>2021年度支出合计30236.24万元，其中基本支出22042.87万元，占全年支出的72.9%；项目支出8193.37万元，占全年支出的27.1%。</w:t>
      </w:r>
    </w:p>
    <w:p>
      <w:pPr>
        <w:jc w:val="left"/>
        <w:rPr>
          <w:rFonts w:ascii="黑体" w:hAnsi="黑体" w:eastAsia="黑体" w:cs="黑体"/>
          <w:b/>
          <w:sz w:val="32"/>
          <w:szCs w:val="32"/>
        </w:rPr>
      </w:pPr>
      <w:r>
        <w:rPr>
          <w:rFonts w:hint="eastAsia" w:ascii="黑体" w:hAnsi="黑体" w:eastAsia="黑体" w:cs="黑体"/>
          <w:b/>
          <w:sz w:val="32"/>
          <w:szCs w:val="32"/>
        </w:rPr>
        <w:t>四、财政拨款收入支出决算总体情况说明</w:t>
      </w:r>
    </w:p>
    <w:p>
      <w:pPr>
        <w:ind w:firstLine="540"/>
        <w:jc w:val="left"/>
        <w:rPr>
          <w:rFonts w:ascii="宋体" w:hAnsi="宋体" w:eastAsia="宋体"/>
          <w:sz w:val="32"/>
          <w:szCs w:val="32"/>
        </w:rPr>
      </w:pPr>
      <w:r>
        <w:rPr>
          <w:rFonts w:hint="eastAsia" w:ascii="宋体" w:hAnsi="宋体" w:eastAsia="宋体"/>
          <w:color w:val="000000" w:themeColor="text1"/>
          <w:sz w:val="32"/>
          <w:szCs w:val="32"/>
        </w:rPr>
        <w:t>2021年财政拨款收、支总计</w:t>
      </w:r>
      <w:r>
        <w:rPr>
          <w:rFonts w:ascii="宋体" w:hAnsi="宋体" w:eastAsia="宋体"/>
          <w:color w:val="000000" w:themeColor="text1"/>
          <w:sz w:val="32"/>
          <w:szCs w:val="32"/>
        </w:rPr>
        <w:t>28460.07</w:t>
      </w:r>
      <w:r>
        <w:rPr>
          <w:rFonts w:hint="eastAsia" w:ascii="宋体" w:hAnsi="宋体" w:eastAsia="宋体"/>
          <w:color w:val="000000" w:themeColor="text1"/>
          <w:sz w:val="32"/>
          <w:szCs w:val="32"/>
        </w:rPr>
        <w:t>万元，</w:t>
      </w:r>
      <w:r>
        <w:rPr>
          <w:rFonts w:hint="eastAsia" w:ascii="宋体" w:hAnsi="宋体" w:eastAsia="宋体"/>
          <w:sz w:val="32"/>
          <w:szCs w:val="32"/>
        </w:rPr>
        <w:t>与上年相比，减少</w:t>
      </w:r>
      <w:r>
        <w:rPr>
          <w:rFonts w:ascii="宋体" w:hAnsi="宋体" w:eastAsia="宋体"/>
          <w:sz w:val="32"/>
          <w:szCs w:val="32"/>
        </w:rPr>
        <w:t>5453.09</w:t>
      </w:r>
      <w:r>
        <w:rPr>
          <w:rFonts w:hint="eastAsia" w:ascii="宋体" w:hAnsi="宋体" w:eastAsia="宋体"/>
          <w:sz w:val="32"/>
          <w:szCs w:val="32"/>
        </w:rPr>
        <w:t>万元，减少</w:t>
      </w:r>
      <w:r>
        <w:rPr>
          <w:rFonts w:ascii="宋体" w:hAnsi="宋体" w:eastAsia="宋体"/>
          <w:sz w:val="32"/>
          <w:szCs w:val="32"/>
        </w:rPr>
        <w:t>16.08</w:t>
      </w:r>
      <w:r>
        <w:rPr>
          <w:rFonts w:hint="eastAsia" w:ascii="宋体" w:hAnsi="宋体" w:eastAsia="宋体"/>
          <w:sz w:val="32"/>
          <w:szCs w:val="32"/>
        </w:rPr>
        <w:t>%。主要是因为减少了在职及离退休警察人员经费、基本建设以及水利工程建设项目，同时2021年监狱落实党中央、国务院“过紧日子”的精神，大力压减一般性支出。</w:t>
      </w:r>
    </w:p>
    <w:p>
      <w:pPr>
        <w:jc w:val="left"/>
        <w:rPr>
          <w:rFonts w:ascii="黑体" w:hAnsi="黑体" w:eastAsia="黑体" w:cs="黑体"/>
          <w:b/>
          <w:sz w:val="32"/>
          <w:szCs w:val="32"/>
        </w:rPr>
      </w:pPr>
      <w:r>
        <w:rPr>
          <w:rFonts w:hint="eastAsia" w:ascii="黑体" w:hAnsi="黑体" w:eastAsia="黑体" w:cs="黑体"/>
          <w:b/>
          <w:sz w:val="32"/>
          <w:szCs w:val="32"/>
        </w:rPr>
        <w:t>五、一般公共预算财政拨款支出决算情况说明</w:t>
      </w:r>
    </w:p>
    <w:p>
      <w:pPr>
        <w:ind w:firstLine="540"/>
        <w:jc w:val="left"/>
        <w:rPr>
          <w:rFonts w:ascii="宋体" w:hAnsi="宋体" w:eastAsia="宋体"/>
          <w:b/>
          <w:sz w:val="32"/>
          <w:szCs w:val="32"/>
        </w:rPr>
      </w:pPr>
      <w:r>
        <w:rPr>
          <w:rFonts w:hint="eastAsia" w:ascii="宋体" w:hAnsi="宋体" w:eastAsia="宋体"/>
          <w:b/>
          <w:sz w:val="32"/>
          <w:szCs w:val="32"/>
        </w:rPr>
        <w:t>（一）财政拨款支出决算总体情况</w:t>
      </w:r>
    </w:p>
    <w:p>
      <w:pPr>
        <w:ind w:firstLine="540"/>
        <w:jc w:val="left"/>
        <w:rPr>
          <w:rFonts w:ascii="宋体" w:hAnsi="宋体" w:eastAsia="宋体"/>
          <w:sz w:val="32"/>
          <w:szCs w:val="32"/>
        </w:rPr>
      </w:pPr>
      <w:r>
        <w:rPr>
          <w:rFonts w:hint="eastAsia" w:ascii="宋体" w:hAnsi="宋体" w:eastAsia="宋体"/>
          <w:sz w:val="32"/>
          <w:szCs w:val="32"/>
        </w:rPr>
        <w:t>2021年度一般公共预算财政拨款支出28212.5万元，占本年支出合计的93.3%，与上年相比，财政拨款支出减少4610.83万元，减少14.05%。主要因为在职及离退休警察人员经费、基本建设支出以及水利工程建设等项目资金的减少。</w:t>
      </w:r>
    </w:p>
    <w:p>
      <w:pPr>
        <w:ind w:firstLine="540"/>
        <w:jc w:val="left"/>
        <w:rPr>
          <w:rFonts w:ascii="宋体" w:hAnsi="宋体" w:eastAsia="宋体"/>
          <w:b/>
          <w:sz w:val="32"/>
          <w:szCs w:val="32"/>
        </w:rPr>
      </w:pPr>
      <w:r>
        <w:rPr>
          <w:rFonts w:hint="eastAsia" w:ascii="宋体" w:hAnsi="宋体" w:eastAsia="宋体"/>
          <w:b/>
          <w:sz w:val="32"/>
          <w:szCs w:val="32"/>
        </w:rPr>
        <w:t>（二）财政拨款支出决算结构情况</w:t>
      </w:r>
    </w:p>
    <w:p>
      <w:pPr>
        <w:ind w:firstLine="540"/>
        <w:jc w:val="left"/>
        <w:rPr>
          <w:rFonts w:ascii="宋体" w:hAnsi="宋体" w:eastAsia="宋体"/>
          <w:sz w:val="32"/>
          <w:szCs w:val="32"/>
        </w:rPr>
      </w:pPr>
      <w:r>
        <w:rPr>
          <w:rFonts w:hint="eastAsia" w:ascii="宋体" w:hAnsi="宋体" w:eastAsia="宋体"/>
          <w:sz w:val="32"/>
          <w:szCs w:val="32"/>
        </w:rPr>
        <w:t>2021年度财政拨款支出28212.5万元，主要用于以下方面：一般公共服务（类）支出11.28万元，占0.04%，公共安全（类）支出22858.9万元，占81.03%；教育（类）支出145万元，占0.51%；社会保障和就业（类）支出1868.28万元，占6.62%；卫生健康（类）支出1240.8万元，占4.4%；农林水（类）支出372.78万元，占1.32%；住房保障（类）支出1715.46万元，占6.08%。</w:t>
      </w:r>
    </w:p>
    <w:p>
      <w:pPr>
        <w:pStyle w:val="9"/>
        <w:ind w:left="540" w:firstLine="0" w:firstLineChars="0"/>
        <w:jc w:val="left"/>
        <w:rPr>
          <w:rFonts w:asciiTheme="minorEastAsia" w:hAnsiTheme="minorEastAsia" w:cstheme="minorEastAsia"/>
          <w:b/>
          <w:sz w:val="32"/>
          <w:szCs w:val="32"/>
        </w:rPr>
      </w:pPr>
      <w:r>
        <w:rPr>
          <w:rFonts w:hint="eastAsia" w:asciiTheme="minorEastAsia" w:hAnsiTheme="minorEastAsia" w:cstheme="minorEastAsia"/>
          <w:b/>
          <w:sz w:val="32"/>
          <w:szCs w:val="32"/>
        </w:rPr>
        <w:t>（三）财政拨款支出决算具体情况。</w:t>
      </w:r>
    </w:p>
    <w:p>
      <w:pPr>
        <w:ind w:firstLine="539"/>
        <w:jc w:val="left"/>
        <w:rPr>
          <w:rFonts w:ascii="宋体" w:hAnsi="宋体" w:eastAsia="宋体"/>
          <w:sz w:val="32"/>
          <w:szCs w:val="32"/>
        </w:rPr>
      </w:pPr>
      <w:r>
        <w:rPr>
          <w:rFonts w:hint="eastAsia" w:ascii="宋体" w:hAnsi="宋体" w:eastAsia="宋体"/>
          <w:sz w:val="32"/>
          <w:szCs w:val="32"/>
        </w:rPr>
        <w:t>2021年度财政拨款支出年初预算数为</w:t>
      </w:r>
      <w:r>
        <w:rPr>
          <w:rFonts w:hint="eastAsia" w:ascii="宋体" w:hAnsi="宋体" w:eastAsia="宋体"/>
          <w:color w:val="000000" w:themeColor="text1"/>
          <w:sz w:val="32"/>
          <w:szCs w:val="32"/>
        </w:rPr>
        <w:t>23377.25</w:t>
      </w:r>
      <w:r>
        <w:rPr>
          <w:rFonts w:hint="eastAsia" w:ascii="宋体" w:hAnsi="宋体" w:eastAsia="宋体"/>
          <w:sz w:val="32"/>
          <w:szCs w:val="32"/>
        </w:rPr>
        <w:t>万元，支出决算数为28212.5万元，完成年初预算的120.68%，其中：</w:t>
      </w:r>
    </w:p>
    <w:p>
      <w:pPr>
        <w:jc w:val="left"/>
        <w:rPr>
          <w:rFonts w:ascii="宋体" w:hAnsi="宋体" w:eastAsia="宋体"/>
          <w:sz w:val="32"/>
          <w:szCs w:val="32"/>
        </w:rPr>
      </w:pPr>
      <w:r>
        <w:rPr>
          <w:rFonts w:hint="eastAsia" w:ascii="宋体" w:hAnsi="宋体" w:eastAsia="宋体"/>
          <w:sz w:val="32"/>
          <w:szCs w:val="32"/>
        </w:rPr>
        <w:t xml:space="preserve">    1、一般公共服务支出（类）其他一般公共服务支出（款）其他一般公共服务支出（项）。</w:t>
      </w:r>
    </w:p>
    <w:p>
      <w:pPr>
        <w:jc w:val="left"/>
        <w:rPr>
          <w:rFonts w:ascii="宋体" w:hAnsi="宋体" w:eastAsia="宋体"/>
          <w:sz w:val="32"/>
          <w:szCs w:val="32"/>
        </w:rPr>
      </w:pPr>
      <w:r>
        <w:rPr>
          <w:rFonts w:hint="eastAsia" w:ascii="宋体" w:hAnsi="宋体" w:eastAsia="宋体"/>
          <w:sz w:val="32"/>
          <w:szCs w:val="32"/>
        </w:rPr>
        <w:t xml:space="preserve">    年初预算为0元，支出决算为11.28万元，决算大于年初预算数的主要原因是年中追加信息化建设项目经费。</w:t>
      </w:r>
    </w:p>
    <w:p>
      <w:pPr>
        <w:ind w:firstLine="539"/>
        <w:jc w:val="left"/>
        <w:rPr>
          <w:rFonts w:ascii="宋体" w:hAnsi="宋体" w:eastAsia="宋体"/>
          <w:sz w:val="32"/>
          <w:szCs w:val="32"/>
        </w:rPr>
      </w:pPr>
      <w:r>
        <w:rPr>
          <w:rFonts w:hint="eastAsia" w:ascii="宋体" w:hAnsi="宋体" w:eastAsia="宋体"/>
          <w:sz w:val="32"/>
          <w:szCs w:val="32"/>
        </w:rPr>
        <w:t xml:space="preserve"> 2、公共安全支出（类）监狱（款）行政运行（项）。</w:t>
      </w:r>
    </w:p>
    <w:p>
      <w:pPr>
        <w:pStyle w:val="9"/>
        <w:ind w:firstLine="640"/>
        <w:jc w:val="left"/>
        <w:rPr>
          <w:rFonts w:ascii="宋体" w:hAnsi="宋体" w:eastAsia="宋体"/>
          <w:sz w:val="32"/>
          <w:szCs w:val="32"/>
        </w:rPr>
      </w:pPr>
      <w:r>
        <w:rPr>
          <w:rFonts w:hint="eastAsia" w:ascii="宋体" w:hAnsi="宋体" w:eastAsia="宋体"/>
          <w:sz w:val="32"/>
          <w:szCs w:val="32"/>
        </w:rPr>
        <w:t>年初预算为13239.1万元，支出决算为</w:t>
      </w:r>
      <w:r>
        <w:rPr>
          <w:rFonts w:hint="eastAsia" w:ascii="宋体" w:hAnsi="宋体" w:eastAsia="宋体"/>
          <w:color w:val="000000" w:themeColor="text1"/>
          <w:sz w:val="32"/>
          <w:szCs w:val="32"/>
        </w:rPr>
        <w:t>14886.8</w:t>
      </w:r>
      <w:r>
        <w:rPr>
          <w:rFonts w:hint="eastAsia" w:ascii="宋体" w:hAnsi="宋体" w:eastAsia="宋体"/>
          <w:sz w:val="32"/>
          <w:szCs w:val="32"/>
        </w:rPr>
        <w:t>万元，完成年初预算的112.45%，决算数大于年初预算数的主要原因是：年中追加了在职警察2020年度绩效考核奖。</w:t>
      </w:r>
    </w:p>
    <w:p>
      <w:pPr>
        <w:ind w:firstLine="640" w:firstLineChars="200"/>
        <w:jc w:val="left"/>
        <w:rPr>
          <w:rFonts w:ascii="宋体" w:hAnsi="宋体" w:eastAsia="宋体"/>
          <w:sz w:val="32"/>
          <w:szCs w:val="32"/>
        </w:rPr>
      </w:pPr>
      <w:r>
        <w:rPr>
          <w:rFonts w:hint="eastAsia" w:ascii="宋体" w:hAnsi="宋体" w:eastAsia="宋体"/>
          <w:sz w:val="32"/>
          <w:szCs w:val="32"/>
        </w:rPr>
        <w:t>3、公共安全支出（类）监狱（款）一般行政管理事务（项）。</w:t>
      </w:r>
    </w:p>
    <w:p>
      <w:pPr>
        <w:pStyle w:val="9"/>
        <w:ind w:firstLine="640"/>
        <w:jc w:val="left"/>
        <w:rPr>
          <w:rFonts w:ascii="宋体" w:hAnsi="宋体" w:eastAsia="宋体"/>
          <w:sz w:val="32"/>
          <w:szCs w:val="32"/>
        </w:rPr>
      </w:pPr>
      <w:r>
        <w:rPr>
          <w:rFonts w:hint="eastAsia" w:ascii="宋体" w:hAnsi="宋体" w:eastAsia="宋体"/>
          <w:sz w:val="32"/>
          <w:szCs w:val="32"/>
        </w:rPr>
        <w:t>年初预算为76万元，支出决算为76万元，完成年初预算的100%。</w:t>
      </w:r>
    </w:p>
    <w:p>
      <w:pPr>
        <w:pStyle w:val="9"/>
        <w:ind w:firstLine="640"/>
        <w:jc w:val="left"/>
        <w:rPr>
          <w:rFonts w:ascii="宋体" w:hAnsi="宋体" w:eastAsia="宋体"/>
          <w:sz w:val="32"/>
          <w:szCs w:val="32"/>
        </w:rPr>
      </w:pPr>
      <w:r>
        <w:rPr>
          <w:rFonts w:hint="eastAsia" w:ascii="宋体" w:hAnsi="宋体" w:eastAsia="宋体"/>
          <w:sz w:val="32"/>
          <w:szCs w:val="32"/>
        </w:rPr>
        <w:t>4、公共安全支出（类）监狱（款）狱政设施建设（项）。</w:t>
      </w:r>
    </w:p>
    <w:p>
      <w:pPr>
        <w:pStyle w:val="9"/>
        <w:ind w:firstLine="640"/>
        <w:jc w:val="left"/>
        <w:rPr>
          <w:rFonts w:ascii="宋体" w:hAnsi="宋体" w:eastAsia="宋体"/>
          <w:sz w:val="32"/>
          <w:szCs w:val="32"/>
        </w:rPr>
      </w:pPr>
      <w:r>
        <w:rPr>
          <w:rFonts w:hint="eastAsia" w:ascii="宋体" w:hAnsi="宋体" w:eastAsia="宋体"/>
          <w:sz w:val="32"/>
          <w:szCs w:val="32"/>
        </w:rPr>
        <w:t>年初预算为666万元，支出决算为2002.44万元，完成年初预算的300.67%，决算大于年初预算数的主要原因是：一是追加工程建设项目资金；二是按规定使用以前年度财政拨款结转资金。</w:t>
      </w:r>
    </w:p>
    <w:p>
      <w:pPr>
        <w:ind w:firstLine="640" w:firstLineChars="200"/>
        <w:jc w:val="left"/>
        <w:rPr>
          <w:rFonts w:ascii="宋体" w:hAnsi="宋体" w:eastAsia="宋体"/>
          <w:sz w:val="32"/>
          <w:szCs w:val="32"/>
        </w:rPr>
      </w:pPr>
      <w:r>
        <w:rPr>
          <w:rFonts w:hint="eastAsia" w:ascii="宋体" w:hAnsi="宋体" w:eastAsia="宋体"/>
          <w:sz w:val="32"/>
          <w:szCs w:val="32"/>
        </w:rPr>
        <w:t>5、教育支出（类）进修及培训（款）培训支出（项）。</w:t>
      </w:r>
    </w:p>
    <w:p>
      <w:pPr>
        <w:pStyle w:val="9"/>
        <w:ind w:firstLine="640"/>
        <w:jc w:val="left"/>
        <w:rPr>
          <w:rFonts w:ascii="宋体" w:hAnsi="宋体" w:eastAsia="宋体"/>
          <w:sz w:val="32"/>
          <w:szCs w:val="32"/>
        </w:rPr>
      </w:pPr>
      <w:r>
        <w:rPr>
          <w:rFonts w:hint="eastAsia" w:ascii="宋体" w:hAnsi="宋体" w:eastAsia="宋体"/>
          <w:sz w:val="32"/>
          <w:szCs w:val="32"/>
        </w:rPr>
        <w:t>年初预算为145万元，支出决算为145万元，完成年初预算的100%。</w:t>
      </w:r>
      <w:r>
        <w:rPr>
          <w:rFonts w:ascii="宋体" w:hAnsi="宋体" w:eastAsia="宋体"/>
          <w:sz w:val="32"/>
          <w:szCs w:val="32"/>
        </w:rPr>
        <w:t xml:space="preserve"> </w:t>
      </w:r>
    </w:p>
    <w:p>
      <w:pPr>
        <w:ind w:firstLine="640" w:firstLineChars="200"/>
        <w:jc w:val="left"/>
        <w:rPr>
          <w:rFonts w:ascii="宋体" w:hAnsi="宋体" w:eastAsia="宋体"/>
          <w:sz w:val="32"/>
          <w:szCs w:val="32"/>
        </w:rPr>
      </w:pPr>
      <w:r>
        <w:rPr>
          <w:rFonts w:hint="eastAsia" w:ascii="宋体" w:hAnsi="宋体" w:eastAsia="宋体"/>
          <w:sz w:val="32"/>
          <w:szCs w:val="32"/>
        </w:rPr>
        <w:t>6、社会保障和就业支出（类）行政事业单位养老支出（款）行政单位离退休（项）。</w:t>
      </w:r>
    </w:p>
    <w:p>
      <w:pPr>
        <w:pStyle w:val="9"/>
        <w:ind w:firstLine="640"/>
        <w:jc w:val="left"/>
        <w:rPr>
          <w:rFonts w:ascii="宋体" w:hAnsi="宋体" w:eastAsia="宋体"/>
          <w:sz w:val="32"/>
          <w:szCs w:val="32"/>
        </w:rPr>
      </w:pPr>
      <w:r>
        <w:rPr>
          <w:rFonts w:hint="eastAsia" w:ascii="宋体" w:hAnsi="宋体" w:eastAsia="宋体"/>
          <w:sz w:val="32"/>
          <w:szCs w:val="32"/>
        </w:rPr>
        <w:t>年初预算为63.64万元，支出决算为63.64万元，完成年初预算的100%。</w:t>
      </w:r>
    </w:p>
    <w:p>
      <w:pPr>
        <w:ind w:firstLine="640" w:firstLineChars="200"/>
        <w:jc w:val="left"/>
        <w:rPr>
          <w:rFonts w:ascii="宋体" w:hAnsi="宋体" w:eastAsia="宋体"/>
          <w:sz w:val="32"/>
          <w:szCs w:val="32"/>
        </w:rPr>
      </w:pPr>
      <w:r>
        <w:rPr>
          <w:rFonts w:hint="eastAsia" w:ascii="宋体" w:hAnsi="宋体" w:eastAsia="宋体"/>
          <w:sz w:val="32"/>
          <w:szCs w:val="32"/>
        </w:rPr>
        <w:t>7、社会保障和就业支出（类）行政事业单位养老支出（款）机关事业单位基本养老保险缴费支出（项）。</w:t>
      </w:r>
    </w:p>
    <w:p>
      <w:pPr>
        <w:pStyle w:val="9"/>
        <w:ind w:firstLine="640"/>
        <w:jc w:val="left"/>
        <w:rPr>
          <w:rFonts w:ascii="宋体" w:hAnsi="宋体" w:eastAsia="宋体"/>
          <w:sz w:val="32"/>
          <w:szCs w:val="32"/>
        </w:rPr>
      </w:pPr>
      <w:r>
        <w:rPr>
          <w:rFonts w:hint="eastAsia" w:ascii="宋体" w:hAnsi="宋体" w:eastAsia="宋体"/>
          <w:sz w:val="32"/>
          <w:szCs w:val="32"/>
        </w:rPr>
        <w:t>年初预算为1480万元，支出决算为1430万元，完成年初预算的96.62%，决算小于年初预算数的主要原因是年中按规定进行了预算调整。</w:t>
      </w:r>
    </w:p>
    <w:p>
      <w:pPr>
        <w:pStyle w:val="9"/>
        <w:ind w:firstLine="640"/>
        <w:jc w:val="left"/>
        <w:rPr>
          <w:rFonts w:ascii="宋体" w:hAnsi="宋体" w:eastAsia="宋体"/>
          <w:sz w:val="32"/>
          <w:szCs w:val="32"/>
        </w:rPr>
      </w:pPr>
      <w:r>
        <w:rPr>
          <w:rFonts w:hint="eastAsia" w:ascii="宋体" w:hAnsi="宋体" w:eastAsia="宋体"/>
          <w:sz w:val="32"/>
          <w:szCs w:val="32"/>
        </w:rPr>
        <w:t>8、社会保障和就业支出（类）行政事业单位养老支出（款）其他行政事业单位养老支出（项）。</w:t>
      </w:r>
    </w:p>
    <w:p>
      <w:pPr>
        <w:pStyle w:val="9"/>
        <w:ind w:firstLine="640"/>
        <w:jc w:val="left"/>
        <w:rPr>
          <w:rFonts w:ascii="宋体" w:hAnsi="宋体" w:eastAsia="宋体"/>
          <w:sz w:val="32"/>
          <w:szCs w:val="32"/>
        </w:rPr>
      </w:pPr>
      <w:r>
        <w:rPr>
          <w:rFonts w:hint="eastAsia" w:ascii="宋体" w:hAnsi="宋体" w:eastAsia="宋体"/>
          <w:sz w:val="32"/>
          <w:szCs w:val="32"/>
        </w:rPr>
        <w:t>年初预算为35.52万元，支出决算为37.68万元，完成年初预算的106.08%，决算大于年初预算数的主要原因是年中追加建国初期参加工作人员生活补助。</w:t>
      </w:r>
    </w:p>
    <w:p>
      <w:pPr>
        <w:jc w:val="left"/>
        <w:rPr>
          <w:rFonts w:ascii="宋体" w:hAnsi="宋体" w:eastAsia="宋体"/>
          <w:sz w:val="32"/>
          <w:szCs w:val="32"/>
        </w:rPr>
      </w:pPr>
      <w:r>
        <w:rPr>
          <w:rFonts w:hint="eastAsia" w:ascii="宋体" w:hAnsi="宋体" w:eastAsia="宋体"/>
          <w:sz w:val="32"/>
          <w:szCs w:val="32"/>
        </w:rPr>
        <w:t xml:space="preserve">   </w:t>
      </w:r>
      <w:r>
        <w:rPr>
          <w:rFonts w:ascii="宋体" w:hAnsi="宋体" w:eastAsia="宋体"/>
          <w:sz w:val="32"/>
          <w:szCs w:val="32"/>
        </w:rPr>
        <w:t xml:space="preserve"> </w:t>
      </w:r>
      <w:r>
        <w:rPr>
          <w:rFonts w:hint="eastAsia" w:ascii="宋体" w:hAnsi="宋体" w:eastAsia="宋体"/>
          <w:sz w:val="32"/>
          <w:szCs w:val="32"/>
        </w:rPr>
        <w:t>9、社会保障和就业支出（类）抚恤（款）死亡抚恤（项）。</w:t>
      </w:r>
    </w:p>
    <w:p>
      <w:pPr>
        <w:pStyle w:val="9"/>
        <w:ind w:firstLine="640"/>
        <w:jc w:val="left"/>
        <w:rPr>
          <w:rFonts w:ascii="宋体" w:hAnsi="宋体" w:eastAsia="宋体"/>
          <w:sz w:val="32"/>
          <w:szCs w:val="32"/>
        </w:rPr>
      </w:pPr>
      <w:r>
        <w:rPr>
          <w:rFonts w:hint="eastAsia" w:ascii="宋体" w:hAnsi="宋体" w:eastAsia="宋体"/>
          <w:sz w:val="32"/>
          <w:szCs w:val="32"/>
        </w:rPr>
        <w:t>年初预算为331.2万元，支出决算为331.2万元，完成年初预算的100%。</w:t>
      </w:r>
    </w:p>
    <w:p>
      <w:pPr>
        <w:ind w:firstLine="640" w:firstLineChars="200"/>
        <w:jc w:val="left"/>
        <w:rPr>
          <w:rFonts w:ascii="宋体" w:hAnsi="宋体" w:eastAsia="宋体"/>
          <w:sz w:val="32"/>
          <w:szCs w:val="32"/>
        </w:rPr>
      </w:pPr>
      <w:r>
        <w:rPr>
          <w:rFonts w:hint="eastAsia" w:ascii="宋体" w:hAnsi="宋体" w:eastAsia="宋体"/>
          <w:sz w:val="32"/>
          <w:szCs w:val="32"/>
        </w:rPr>
        <w:t>10、社会保障和就业支出（类）其他社会保障和就业支出（款）其他社会保障和就业支出（项）。</w:t>
      </w:r>
    </w:p>
    <w:p>
      <w:pPr>
        <w:pStyle w:val="9"/>
        <w:ind w:firstLine="640"/>
        <w:jc w:val="left"/>
        <w:rPr>
          <w:rFonts w:ascii="宋体" w:hAnsi="宋体" w:eastAsia="宋体"/>
          <w:sz w:val="32"/>
          <w:szCs w:val="32"/>
        </w:rPr>
      </w:pPr>
      <w:r>
        <w:rPr>
          <w:rFonts w:hint="eastAsia" w:ascii="宋体" w:hAnsi="宋体" w:eastAsia="宋体"/>
          <w:sz w:val="32"/>
          <w:szCs w:val="32"/>
        </w:rPr>
        <w:t>年初预算为5.76万元，支出决算为5.76万元，完成年初预算的100%。</w:t>
      </w:r>
    </w:p>
    <w:p>
      <w:pPr>
        <w:ind w:firstLine="640" w:firstLineChars="200"/>
        <w:jc w:val="left"/>
        <w:rPr>
          <w:rFonts w:ascii="宋体" w:hAnsi="宋体" w:eastAsia="宋体"/>
          <w:sz w:val="32"/>
          <w:szCs w:val="32"/>
        </w:rPr>
      </w:pPr>
      <w:r>
        <w:rPr>
          <w:rFonts w:ascii="宋体" w:hAnsi="宋体" w:eastAsia="宋体"/>
          <w:sz w:val="32"/>
          <w:szCs w:val="32"/>
        </w:rPr>
        <w:t>11</w:t>
      </w:r>
      <w:r>
        <w:rPr>
          <w:rFonts w:hint="eastAsia" w:ascii="宋体" w:hAnsi="宋体" w:eastAsia="宋体"/>
          <w:sz w:val="32"/>
          <w:szCs w:val="32"/>
        </w:rPr>
        <w:t>、卫生健康支出（类）行政事业单位医疗（款）行政单位医疗（项）。</w:t>
      </w:r>
    </w:p>
    <w:p>
      <w:pPr>
        <w:pStyle w:val="9"/>
        <w:ind w:firstLine="640"/>
        <w:jc w:val="left"/>
        <w:rPr>
          <w:rFonts w:ascii="宋体" w:hAnsi="宋体" w:eastAsia="宋体"/>
          <w:sz w:val="32"/>
          <w:szCs w:val="32"/>
        </w:rPr>
      </w:pPr>
      <w:r>
        <w:rPr>
          <w:rFonts w:hint="eastAsia" w:ascii="宋体" w:hAnsi="宋体" w:eastAsia="宋体"/>
          <w:sz w:val="32"/>
          <w:szCs w:val="32"/>
        </w:rPr>
        <w:t>年初预算为824万元，支出决算为746.4万元，完成年初预算的90.58%，决算小于年初预算数的主要原因是年中进行了预算调减。</w:t>
      </w:r>
    </w:p>
    <w:p>
      <w:pPr>
        <w:ind w:firstLine="640" w:firstLineChars="200"/>
        <w:jc w:val="left"/>
        <w:rPr>
          <w:rFonts w:ascii="宋体" w:hAnsi="宋体" w:eastAsia="宋体"/>
          <w:sz w:val="32"/>
          <w:szCs w:val="32"/>
        </w:rPr>
      </w:pPr>
      <w:r>
        <w:rPr>
          <w:rFonts w:ascii="宋体" w:hAnsi="宋体" w:eastAsia="宋体"/>
          <w:sz w:val="32"/>
          <w:szCs w:val="32"/>
        </w:rPr>
        <w:t>12</w:t>
      </w:r>
      <w:r>
        <w:rPr>
          <w:rFonts w:hint="eastAsia" w:ascii="宋体" w:hAnsi="宋体" w:eastAsia="宋体"/>
          <w:sz w:val="32"/>
          <w:szCs w:val="32"/>
        </w:rPr>
        <w:t>、卫生健康支出（类）行政事业单位医疗（款）公务员医疗补助（项）。</w:t>
      </w:r>
    </w:p>
    <w:p>
      <w:pPr>
        <w:pStyle w:val="9"/>
        <w:ind w:firstLine="640"/>
        <w:jc w:val="left"/>
        <w:rPr>
          <w:rFonts w:ascii="宋体" w:hAnsi="宋体" w:eastAsia="宋体"/>
          <w:sz w:val="32"/>
          <w:szCs w:val="32"/>
        </w:rPr>
      </w:pPr>
      <w:r>
        <w:rPr>
          <w:rFonts w:hint="eastAsia" w:ascii="宋体" w:hAnsi="宋体" w:eastAsia="宋体"/>
          <w:sz w:val="32"/>
          <w:szCs w:val="32"/>
        </w:rPr>
        <w:t>年初预算为519万元，支出决算为492万元，完成年初预算的94.8%，决算小于年初预算数的主要原因是年中进行了预算调减。</w:t>
      </w:r>
    </w:p>
    <w:p>
      <w:pPr>
        <w:ind w:firstLine="640" w:firstLineChars="200"/>
        <w:jc w:val="left"/>
        <w:rPr>
          <w:rFonts w:ascii="宋体" w:hAnsi="宋体" w:eastAsia="宋体"/>
          <w:sz w:val="32"/>
          <w:szCs w:val="32"/>
        </w:rPr>
      </w:pPr>
      <w:r>
        <w:rPr>
          <w:rFonts w:ascii="宋体" w:hAnsi="宋体" w:eastAsia="宋体"/>
          <w:sz w:val="32"/>
          <w:szCs w:val="32"/>
        </w:rPr>
        <w:t>13</w:t>
      </w:r>
      <w:r>
        <w:rPr>
          <w:rFonts w:hint="eastAsia" w:ascii="宋体" w:hAnsi="宋体" w:eastAsia="宋体"/>
          <w:sz w:val="32"/>
          <w:szCs w:val="32"/>
        </w:rPr>
        <w:t>、卫生健康支出（类）行政事业单位医疗（款）其他行政事业单位医疗支出（项）。</w:t>
      </w:r>
    </w:p>
    <w:p>
      <w:pPr>
        <w:pStyle w:val="9"/>
        <w:ind w:firstLine="640"/>
        <w:jc w:val="left"/>
        <w:rPr>
          <w:rFonts w:ascii="宋体" w:hAnsi="宋体" w:eastAsia="宋体"/>
          <w:sz w:val="32"/>
          <w:szCs w:val="32"/>
        </w:rPr>
      </w:pPr>
      <w:r>
        <w:rPr>
          <w:rFonts w:hint="eastAsia" w:ascii="宋体" w:hAnsi="宋体" w:eastAsia="宋体"/>
          <w:sz w:val="32"/>
          <w:szCs w:val="32"/>
        </w:rPr>
        <w:t>年初预算为2.4万元，支出决算为2.4万元，完成年初预算的100%。</w:t>
      </w:r>
    </w:p>
    <w:p>
      <w:pPr>
        <w:pStyle w:val="9"/>
        <w:numPr>
          <w:ilvl w:val="0"/>
          <w:numId w:val="1"/>
        </w:numPr>
        <w:ind w:firstLineChars="0"/>
        <w:jc w:val="left"/>
        <w:rPr>
          <w:rFonts w:ascii="宋体" w:hAnsi="宋体" w:eastAsia="宋体"/>
          <w:sz w:val="32"/>
          <w:szCs w:val="32"/>
        </w:rPr>
      </w:pPr>
      <w:r>
        <w:rPr>
          <w:rFonts w:hint="eastAsia" w:ascii="宋体" w:hAnsi="宋体" w:eastAsia="宋体"/>
          <w:sz w:val="32"/>
          <w:szCs w:val="32"/>
        </w:rPr>
        <w:t>农林水支出（类）水利（款）水利工程建设（项）。</w:t>
      </w:r>
    </w:p>
    <w:p>
      <w:pPr>
        <w:ind w:firstLine="640" w:firstLineChars="200"/>
        <w:jc w:val="left"/>
        <w:rPr>
          <w:rFonts w:ascii="宋体" w:hAnsi="宋体" w:eastAsia="宋体"/>
          <w:sz w:val="32"/>
          <w:szCs w:val="32"/>
        </w:rPr>
      </w:pPr>
      <w:r>
        <w:rPr>
          <w:rFonts w:hint="eastAsia" w:ascii="宋体" w:hAnsi="宋体" w:eastAsia="宋体"/>
          <w:sz w:val="32"/>
          <w:szCs w:val="32"/>
        </w:rPr>
        <w:t>年初预算为372.8万元，支出决算为372.78万元，完成年初预算的100%。</w:t>
      </w:r>
    </w:p>
    <w:p>
      <w:pPr>
        <w:ind w:firstLine="640" w:firstLineChars="200"/>
        <w:jc w:val="left"/>
        <w:rPr>
          <w:rFonts w:ascii="宋体" w:hAnsi="宋体" w:eastAsia="宋体"/>
          <w:sz w:val="32"/>
          <w:szCs w:val="32"/>
        </w:rPr>
      </w:pPr>
      <w:r>
        <w:rPr>
          <w:rFonts w:ascii="宋体" w:hAnsi="宋体" w:eastAsia="宋体"/>
          <w:sz w:val="32"/>
          <w:szCs w:val="32"/>
        </w:rPr>
        <w:t>1</w:t>
      </w:r>
      <w:r>
        <w:rPr>
          <w:rFonts w:hint="eastAsia" w:ascii="宋体" w:hAnsi="宋体" w:eastAsia="宋体"/>
          <w:sz w:val="32"/>
          <w:szCs w:val="32"/>
        </w:rPr>
        <w:t>5、住房保障支出（类）住房改革支出（款）住房公积金（项）。</w:t>
      </w:r>
    </w:p>
    <w:p>
      <w:pPr>
        <w:pStyle w:val="9"/>
        <w:ind w:firstLine="640"/>
        <w:jc w:val="left"/>
        <w:rPr>
          <w:rFonts w:ascii="宋体" w:hAnsi="宋体" w:eastAsia="宋体"/>
          <w:sz w:val="32"/>
          <w:szCs w:val="32"/>
        </w:rPr>
      </w:pPr>
      <w:r>
        <w:rPr>
          <w:rFonts w:hint="eastAsia" w:ascii="宋体" w:hAnsi="宋体" w:eastAsia="宋体"/>
          <w:sz w:val="32"/>
          <w:szCs w:val="32"/>
        </w:rPr>
        <w:t>年初预算为1246.9万元，支出决算为1403.9万元，完成年初预算的112.59%，决算大于年初预算数的主要原因是年中按规定进行了预算调整。</w:t>
      </w:r>
    </w:p>
    <w:p>
      <w:pPr>
        <w:pStyle w:val="9"/>
        <w:ind w:firstLine="640"/>
        <w:jc w:val="left"/>
        <w:rPr>
          <w:rFonts w:ascii="宋体" w:hAnsi="宋体" w:eastAsia="宋体"/>
          <w:sz w:val="32"/>
          <w:szCs w:val="32"/>
        </w:rPr>
      </w:pPr>
      <w:r>
        <w:rPr>
          <w:rFonts w:ascii="宋体" w:hAnsi="宋体" w:eastAsia="宋体"/>
          <w:sz w:val="32"/>
          <w:szCs w:val="32"/>
        </w:rPr>
        <w:t>1</w:t>
      </w:r>
      <w:r>
        <w:rPr>
          <w:rFonts w:hint="eastAsia" w:ascii="宋体" w:hAnsi="宋体" w:eastAsia="宋体"/>
          <w:sz w:val="32"/>
          <w:szCs w:val="32"/>
        </w:rPr>
        <w:t>6、住房保障支出（类）住房改革支出（款）购房补贴（项）。</w:t>
      </w:r>
    </w:p>
    <w:p>
      <w:pPr>
        <w:pStyle w:val="9"/>
        <w:ind w:firstLine="640"/>
        <w:jc w:val="left"/>
        <w:rPr>
          <w:rFonts w:ascii="宋体" w:hAnsi="宋体" w:eastAsia="宋体"/>
          <w:sz w:val="32"/>
          <w:szCs w:val="32"/>
        </w:rPr>
      </w:pPr>
      <w:r>
        <w:rPr>
          <w:rFonts w:hint="eastAsia" w:ascii="宋体" w:hAnsi="宋体" w:eastAsia="宋体"/>
          <w:sz w:val="32"/>
          <w:szCs w:val="32"/>
        </w:rPr>
        <w:t>年初预算为306.53万元，支出决算为311.56万元，完成年初预算的101.64%，决算大于年初预算数的主要原因是年中按规定进行了预算调整。</w:t>
      </w:r>
    </w:p>
    <w:p>
      <w:pPr>
        <w:jc w:val="left"/>
        <w:rPr>
          <w:rFonts w:ascii="黑体" w:hAnsi="黑体" w:eastAsia="黑体" w:cs="黑体"/>
          <w:b/>
          <w:sz w:val="32"/>
          <w:szCs w:val="32"/>
        </w:rPr>
      </w:pPr>
      <w:r>
        <w:rPr>
          <w:rFonts w:hint="eastAsia" w:ascii="黑体" w:hAnsi="黑体" w:eastAsia="黑体" w:cs="黑体"/>
          <w:b/>
          <w:sz w:val="32"/>
          <w:szCs w:val="32"/>
        </w:rPr>
        <w:t>六、一般公共预算财政拨款基本支出决算情况说明</w:t>
      </w:r>
    </w:p>
    <w:p>
      <w:pPr>
        <w:ind w:firstLine="540"/>
        <w:jc w:val="left"/>
        <w:rPr>
          <w:rFonts w:ascii="宋体" w:hAnsi="宋体" w:eastAsia="宋体"/>
          <w:sz w:val="32"/>
          <w:szCs w:val="32"/>
        </w:rPr>
      </w:pPr>
      <w:r>
        <w:rPr>
          <w:rFonts w:hint="eastAsia" w:ascii="宋体" w:hAnsi="宋体" w:eastAsia="宋体"/>
          <w:sz w:val="32"/>
          <w:szCs w:val="32"/>
        </w:rPr>
        <w:t>2021年度一般公共预算财政拨款基本支出21216.08万元，其中：人员经费19033.56万元，占基本支出的89.71%，主要包括基本工资、津贴补贴、奖金、其他社保缴费、机关事业单位基本养老保险缴费、离休费、退休费、抚恤金、生活补助、医疗费、住房公积金、购房补贴等；公用经费2182.52万元，占基本支出的10.29%，主要包括办公费、印刷费、物业管理费、水费、电费、差旅费、维修（护）费、会议费、培训费、工会经费、福利费、公务接待费、被装购置费、公务用车运行维护费、其他交通费用等。</w:t>
      </w:r>
    </w:p>
    <w:p>
      <w:pPr>
        <w:jc w:val="left"/>
        <w:rPr>
          <w:rFonts w:ascii="黑体" w:hAnsi="黑体" w:eastAsia="黑体" w:cs="黑体"/>
          <w:b/>
          <w:sz w:val="32"/>
          <w:szCs w:val="32"/>
        </w:rPr>
      </w:pPr>
      <w:r>
        <w:rPr>
          <w:rFonts w:hint="eastAsia" w:ascii="黑体" w:hAnsi="黑体" w:eastAsia="黑体" w:cs="黑体"/>
          <w:b/>
          <w:sz w:val="32"/>
          <w:szCs w:val="32"/>
        </w:rPr>
        <w:t>七、一般公共预算财政拨款三公经费支出决算情况说明</w:t>
      </w:r>
    </w:p>
    <w:p>
      <w:pPr>
        <w:jc w:val="left"/>
        <w:rPr>
          <w:rFonts w:ascii="宋体" w:hAnsi="宋体" w:eastAsia="宋体"/>
          <w:b/>
          <w:sz w:val="32"/>
          <w:szCs w:val="32"/>
        </w:rPr>
      </w:pPr>
      <w:r>
        <w:rPr>
          <w:rFonts w:hint="eastAsia" w:ascii="宋体" w:hAnsi="宋体" w:eastAsia="宋体"/>
          <w:b/>
          <w:sz w:val="32"/>
          <w:szCs w:val="32"/>
        </w:rPr>
        <w:t>（一）“三公”经费财政拨款支出决算总体情况说明</w:t>
      </w:r>
    </w:p>
    <w:p>
      <w:pPr>
        <w:ind w:firstLine="540"/>
        <w:jc w:val="left"/>
        <w:rPr>
          <w:rFonts w:ascii="宋体" w:hAnsi="宋体" w:eastAsia="宋体"/>
          <w:sz w:val="32"/>
          <w:szCs w:val="32"/>
        </w:rPr>
      </w:pPr>
      <w:r>
        <w:rPr>
          <w:rFonts w:hint="eastAsia" w:ascii="宋体" w:hAnsi="宋体" w:eastAsia="宋体"/>
          <w:sz w:val="32"/>
          <w:szCs w:val="32"/>
        </w:rPr>
        <w:t xml:space="preserve"> 2021年度“三公”经费财政拨款支出预算为165万元，支出决算为165万元，完成预算的100%，其中：</w:t>
      </w:r>
    </w:p>
    <w:p>
      <w:pPr>
        <w:ind w:firstLine="540"/>
        <w:jc w:val="left"/>
        <w:rPr>
          <w:rFonts w:ascii="宋体" w:hAnsi="宋体" w:eastAsia="宋体"/>
          <w:sz w:val="32"/>
          <w:szCs w:val="32"/>
        </w:rPr>
      </w:pPr>
      <w:r>
        <w:rPr>
          <w:rFonts w:hint="eastAsia" w:ascii="宋体" w:hAnsi="宋体" w:eastAsia="宋体"/>
          <w:sz w:val="32"/>
          <w:szCs w:val="32"/>
        </w:rPr>
        <w:t>因公出国（境）费支出预算为0万元，支出决算为0万元，与上年相比持平。</w:t>
      </w:r>
    </w:p>
    <w:p>
      <w:pPr>
        <w:ind w:firstLine="540"/>
        <w:jc w:val="left"/>
        <w:rPr>
          <w:rFonts w:ascii="宋体" w:hAnsi="宋体" w:eastAsia="宋体"/>
          <w:sz w:val="32"/>
          <w:szCs w:val="32"/>
        </w:rPr>
      </w:pPr>
      <w:r>
        <w:rPr>
          <w:rFonts w:hint="eastAsia" w:ascii="宋体" w:hAnsi="宋体" w:eastAsia="宋体"/>
          <w:color w:val="000000" w:themeColor="text1"/>
          <w:sz w:val="32"/>
          <w:szCs w:val="32"/>
        </w:rPr>
        <w:t>公务接待费支出年初预算数为36万元，年中调整为31万元</w:t>
      </w:r>
      <w:r>
        <w:rPr>
          <w:rFonts w:hint="eastAsia" w:ascii="宋体" w:hAnsi="宋体" w:eastAsia="宋体"/>
          <w:sz w:val="32"/>
          <w:szCs w:val="32"/>
        </w:rPr>
        <w:t>，支出决算为31万元，完成预算的100%，与上年相比减少5万元，减少13.89%，减少的主要原因是我单位严格落实中共中央、国务院“过紧日子”的精神，进一步管理“钱袋子”，将每分钱都花在刀刃上，对各项费用进行严格控制。</w:t>
      </w:r>
    </w:p>
    <w:p>
      <w:pPr>
        <w:ind w:firstLine="540"/>
        <w:jc w:val="left"/>
        <w:rPr>
          <w:rFonts w:ascii="宋体" w:hAnsi="宋体" w:eastAsia="宋体"/>
          <w:color w:val="000000" w:themeColor="text1"/>
          <w:sz w:val="32"/>
          <w:szCs w:val="32"/>
        </w:rPr>
      </w:pPr>
      <w:r>
        <w:rPr>
          <w:rFonts w:hint="eastAsia" w:ascii="宋体" w:hAnsi="宋体" w:eastAsia="宋体"/>
          <w:color w:val="000000" w:themeColor="text1"/>
          <w:sz w:val="32"/>
          <w:szCs w:val="32"/>
        </w:rPr>
        <w:t>公务用车购置费支出年初预算为30万元，支出决算为30万元，完成预算的100%，与上年相比增加10万元，增长50%，增长的主要原因是购买的车型及排量不同所致。</w:t>
      </w:r>
    </w:p>
    <w:p>
      <w:pPr>
        <w:ind w:firstLine="540"/>
        <w:jc w:val="left"/>
        <w:rPr>
          <w:rFonts w:ascii="宋体" w:hAnsi="宋体" w:eastAsia="宋体"/>
          <w:color w:val="000000" w:themeColor="text1"/>
          <w:sz w:val="32"/>
          <w:szCs w:val="32"/>
        </w:rPr>
      </w:pPr>
      <w:r>
        <w:rPr>
          <w:rFonts w:hint="eastAsia" w:ascii="宋体" w:hAnsi="宋体" w:eastAsia="宋体"/>
          <w:color w:val="000000" w:themeColor="text1"/>
          <w:sz w:val="32"/>
          <w:szCs w:val="32"/>
        </w:rPr>
        <w:t>公务用车运行维护费支出年初预算为99万元，年中调整为104万元，</w:t>
      </w:r>
      <w:r>
        <w:rPr>
          <w:rFonts w:hint="eastAsia" w:ascii="宋体" w:hAnsi="宋体" w:eastAsia="宋体"/>
          <w:sz w:val="32"/>
          <w:szCs w:val="32"/>
        </w:rPr>
        <w:t>支出决算为104万元，完成预算的100%，与上年相比增加20万元，增长23.81%，</w:t>
      </w:r>
      <w:r>
        <w:rPr>
          <w:rFonts w:hint="eastAsia" w:ascii="宋体" w:hAnsi="宋体" w:eastAsia="宋体"/>
          <w:color w:val="000000" w:themeColor="text1"/>
          <w:sz w:val="32"/>
          <w:szCs w:val="32"/>
        </w:rPr>
        <w:t>增长的主要原因是我单位更新执法执勤用车1辆及因公务用车运行维护费用支出的增加。</w:t>
      </w:r>
    </w:p>
    <w:p>
      <w:pPr>
        <w:ind w:firstLine="540"/>
        <w:jc w:val="left"/>
        <w:rPr>
          <w:rFonts w:ascii="宋体" w:hAnsi="宋体" w:eastAsia="宋体"/>
          <w:b/>
          <w:sz w:val="32"/>
          <w:szCs w:val="32"/>
        </w:rPr>
      </w:pPr>
      <w:r>
        <w:rPr>
          <w:rFonts w:hint="eastAsia" w:ascii="宋体" w:hAnsi="宋体" w:eastAsia="宋体"/>
          <w:b/>
          <w:sz w:val="32"/>
          <w:szCs w:val="32"/>
        </w:rPr>
        <w:t>（二）“三公”经费财政拨款支出决算具体情况说明</w:t>
      </w:r>
    </w:p>
    <w:p>
      <w:pPr>
        <w:ind w:firstLine="540"/>
        <w:jc w:val="left"/>
        <w:rPr>
          <w:rFonts w:ascii="宋体" w:hAnsi="宋体" w:eastAsia="宋体"/>
          <w:sz w:val="32"/>
          <w:szCs w:val="32"/>
        </w:rPr>
      </w:pPr>
      <w:r>
        <w:rPr>
          <w:rFonts w:hint="eastAsia" w:ascii="宋体" w:hAnsi="宋体" w:eastAsia="宋体"/>
          <w:sz w:val="32"/>
          <w:szCs w:val="32"/>
        </w:rPr>
        <w:t>2021年度“三公”经费财政拨款支出决算中，公务接待费支出决算31万元，占18.79%，因公出国（境）费用支出决算0万元，占0%，公务用车购置及运行维护费支出决算134万元，占81.21%。其中：</w:t>
      </w:r>
    </w:p>
    <w:p>
      <w:pPr>
        <w:ind w:firstLine="540"/>
        <w:jc w:val="left"/>
        <w:rPr>
          <w:rFonts w:ascii="宋体" w:hAnsi="宋体" w:eastAsia="宋体"/>
          <w:sz w:val="32"/>
          <w:szCs w:val="32"/>
        </w:rPr>
      </w:pPr>
      <w:r>
        <w:rPr>
          <w:rFonts w:hint="eastAsia" w:ascii="宋体" w:hAnsi="宋体" w:eastAsia="宋体"/>
          <w:sz w:val="32"/>
          <w:szCs w:val="32"/>
        </w:rPr>
        <w:t>1、因公出国（境）费支出决算为0万元，全年安排因公出国（境）团组0个，累计0人次。</w:t>
      </w:r>
    </w:p>
    <w:p>
      <w:pPr>
        <w:ind w:firstLine="540"/>
        <w:jc w:val="left"/>
        <w:rPr>
          <w:rFonts w:ascii="宋体" w:hAnsi="宋体" w:eastAsia="宋体"/>
          <w:sz w:val="32"/>
          <w:szCs w:val="32"/>
        </w:rPr>
      </w:pPr>
      <w:r>
        <w:rPr>
          <w:rFonts w:hint="eastAsia" w:ascii="宋体" w:hAnsi="宋体" w:eastAsia="宋体"/>
          <w:sz w:val="32"/>
          <w:szCs w:val="32"/>
        </w:rPr>
        <w:t>2、公务接待费支出决算为31万元，我单位全年共接待来访团组210个，来宾3445人次，主要是公安交付执行、接待省内外学习调研等发生的接待支出。</w:t>
      </w:r>
    </w:p>
    <w:p>
      <w:pPr>
        <w:ind w:firstLine="540"/>
        <w:jc w:val="left"/>
        <w:rPr>
          <w:rFonts w:ascii="宋体" w:hAnsi="宋体" w:eastAsia="宋体"/>
          <w:sz w:val="32"/>
          <w:szCs w:val="32"/>
        </w:rPr>
      </w:pPr>
      <w:r>
        <w:rPr>
          <w:rFonts w:hint="eastAsia" w:ascii="宋体" w:hAnsi="宋体" w:eastAsia="宋体"/>
          <w:sz w:val="32"/>
          <w:szCs w:val="32"/>
        </w:rPr>
        <w:t>3、公务用车购置及运行维护费支出决算为134万元，其中：公务用车购置费30万元，更新执法执勤用车1辆。公务用车运行维护费104万元，主要是公务车辆加油及保险等支出，截止2021年12月31日，我单位开支财政拨款的公务用车保有辆为21辆。</w:t>
      </w:r>
    </w:p>
    <w:p>
      <w:pPr>
        <w:jc w:val="left"/>
        <w:rPr>
          <w:rFonts w:ascii="黑体" w:hAnsi="黑体" w:eastAsia="黑体" w:cs="黑体"/>
          <w:b/>
          <w:sz w:val="32"/>
          <w:szCs w:val="32"/>
        </w:rPr>
      </w:pPr>
      <w:r>
        <w:rPr>
          <w:rFonts w:hint="eastAsia" w:ascii="黑体" w:hAnsi="黑体" w:eastAsia="黑体" w:cs="黑体"/>
          <w:b/>
          <w:sz w:val="32"/>
          <w:szCs w:val="32"/>
        </w:rPr>
        <w:t>八、政府性基金预算收入支出决算情况</w:t>
      </w:r>
    </w:p>
    <w:p>
      <w:pPr>
        <w:ind w:firstLine="540"/>
        <w:jc w:val="left"/>
        <w:rPr>
          <w:rFonts w:ascii="宋体" w:hAnsi="宋体" w:eastAsia="宋体"/>
          <w:sz w:val="32"/>
          <w:szCs w:val="32"/>
        </w:rPr>
      </w:pPr>
      <w:r>
        <w:rPr>
          <w:rFonts w:hint="eastAsia" w:ascii="宋体" w:hAnsi="宋体" w:eastAsia="宋体"/>
          <w:sz w:val="32"/>
          <w:szCs w:val="32"/>
        </w:rPr>
        <w:t>2021年本单位无政府性基金预算收支。</w:t>
      </w:r>
    </w:p>
    <w:p>
      <w:pPr>
        <w:jc w:val="left"/>
        <w:rPr>
          <w:rFonts w:ascii="黑体" w:hAnsi="黑体" w:eastAsia="黑体" w:cs="黑体"/>
          <w:b/>
          <w:bCs/>
          <w:sz w:val="32"/>
          <w:szCs w:val="32"/>
        </w:rPr>
      </w:pPr>
      <w:r>
        <w:rPr>
          <w:rFonts w:hint="eastAsia" w:ascii="黑体" w:hAnsi="黑体" w:eastAsia="黑体" w:cs="黑体"/>
          <w:b/>
          <w:bCs/>
          <w:sz w:val="32"/>
          <w:szCs w:val="32"/>
        </w:rPr>
        <w:t>九、关于机关运行经费支出说明</w:t>
      </w:r>
    </w:p>
    <w:p>
      <w:pPr>
        <w:ind w:firstLine="540"/>
        <w:jc w:val="left"/>
        <w:rPr>
          <w:rFonts w:ascii="宋体" w:hAnsi="宋体" w:eastAsia="宋体"/>
          <w:sz w:val="32"/>
          <w:szCs w:val="32"/>
        </w:rPr>
      </w:pPr>
      <w:r>
        <w:rPr>
          <w:rFonts w:hint="eastAsia" w:ascii="宋体" w:hAnsi="宋体" w:eastAsia="宋体"/>
          <w:sz w:val="32"/>
          <w:szCs w:val="32"/>
        </w:rPr>
        <w:t>本单位2021年机关运行经费支出2182.52万元，比年初预算数减少5万元，降低0.2%。主要原因是我单位严格落实中共中央、国务院“过紧日子”的精神，对机关运行经费进行了严格控制。</w:t>
      </w:r>
    </w:p>
    <w:p>
      <w:pPr>
        <w:jc w:val="left"/>
        <w:rPr>
          <w:rFonts w:ascii="黑体" w:hAnsi="黑体" w:eastAsia="黑体" w:cs="黑体"/>
          <w:b/>
          <w:sz w:val="32"/>
          <w:szCs w:val="32"/>
        </w:rPr>
      </w:pPr>
      <w:r>
        <w:rPr>
          <w:rFonts w:hint="eastAsia" w:ascii="黑体" w:hAnsi="黑体" w:eastAsia="黑体" w:cs="黑体"/>
          <w:b/>
          <w:sz w:val="32"/>
          <w:szCs w:val="32"/>
        </w:rPr>
        <w:t>十、一般性支出情况</w:t>
      </w:r>
    </w:p>
    <w:p>
      <w:pPr>
        <w:ind w:firstLine="540"/>
        <w:jc w:val="left"/>
        <w:rPr>
          <w:rFonts w:ascii="宋体" w:hAnsi="宋体" w:eastAsia="宋体"/>
          <w:sz w:val="32"/>
          <w:szCs w:val="32"/>
        </w:rPr>
      </w:pPr>
      <w:r>
        <w:rPr>
          <w:rFonts w:hint="eastAsia" w:ascii="宋体" w:hAnsi="宋体" w:eastAsia="宋体"/>
          <w:sz w:val="32"/>
          <w:szCs w:val="32"/>
        </w:rPr>
        <w:t>2021年本单位开支会议费2万元，年初预算2万元，用于召开三类以下会议，人数共计</w:t>
      </w:r>
      <w:r>
        <w:rPr>
          <w:rFonts w:hint="eastAsia" w:ascii="宋体" w:hAnsi="宋体" w:eastAsia="宋体"/>
          <w:color w:val="000000" w:themeColor="text1"/>
          <w:sz w:val="32"/>
          <w:szCs w:val="32"/>
        </w:rPr>
        <w:t>4600</w:t>
      </w:r>
      <w:r>
        <w:rPr>
          <w:rFonts w:hint="eastAsia" w:ascii="宋体" w:hAnsi="宋体" w:eastAsia="宋体"/>
          <w:sz w:val="32"/>
          <w:szCs w:val="32"/>
        </w:rPr>
        <w:t>人，内容为其他类会议，包括年度工作会议、</w:t>
      </w:r>
      <w:r>
        <w:rPr>
          <w:rFonts w:hint="eastAsia" w:asciiTheme="minorEastAsia" w:hAnsiTheme="minorEastAsia" w:cstheme="minorEastAsia"/>
          <w:sz w:val="32"/>
          <w:szCs w:val="32"/>
        </w:rPr>
        <w:t>政法队伍教育整顿部署动员会、</w:t>
      </w:r>
      <w:r>
        <w:rPr>
          <w:rFonts w:hint="eastAsia" w:ascii="宋体" w:hAnsi="宋体" w:eastAsia="宋体"/>
          <w:sz w:val="32"/>
          <w:szCs w:val="32"/>
        </w:rPr>
        <w:t>党风廉政建设会议、“七一”表彰等会议。</w:t>
      </w:r>
    </w:p>
    <w:p>
      <w:pPr>
        <w:ind w:firstLine="540"/>
        <w:jc w:val="left"/>
        <w:rPr>
          <w:rFonts w:ascii="宋体" w:hAnsi="宋体" w:eastAsia="宋体"/>
          <w:sz w:val="32"/>
          <w:szCs w:val="32"/>
        </w:rPr>
      </w:pPr>
      <w:r>
        <w:rPr>
          <w:rFonts w:hint="eastAsia" w:ascii="宋体" w:hAnsi="宋体" w:eastAsia="宋体"/>
          <w:sz w:val="32"/>
          <w:szCs w:val="32"/>
        </w:rPr>
        <w:t>2021年本单位开支培训费145万元，年初预算145万元，用于开展警衔晋升、能力素质及业务培训，人数4166人，内容为（1）警察警衔晋升及新警首授培训年初财政拨款支出预算80.71万元，实际开支73.71万元；（2）业务能力培训：包括督察业务培训、医护人员、心理咨询及财务人员专业继续教育培训等，年初财政拨款支出预算11.12万元，实际开支18.97万元；（3）能力素质培训：包括政法队伍教育整顿轮训、实战大练兵、主题党日活动、通讯员专业素能提升培训等，年初财政拨款支出预算53.17万元，实际开支52.32万元。</w:t>
      </w:r>
    </w:p>
    <w:p>
      <w:pPr>
        <w:ind w:firstLine="540"/>
        <w:jc w:val="left"/>
        <w:rPr>
          <w:rFonts w:ascii="宋体" w:hAnsi="宋体" w:eastAsia="宋体"/>
          <w:sz w:val="32"/>
          <w:szCs w:val="32"/>
        </w:rPr>
      </w:pPr>
      <w:r>
        <w:rPr>
          <w:rFonts w:hint="eastAsia" w:ascii="宋体" w:hAnsi="宋体" w:eastAsia="宋体"/>
          <w:sz w:val="32"/>
          <w:szCs w:val="32"/>
        </w:rPr>
        <w:t>2021年本单位无节庆、晚会、论坛、赛事活动经费预算及支出。</w:t>
      </w:r>
    </w:p>
    <w:p>
      <w:pPr>
        <w:jc w:val="left"/>
        <w:rPr>
          <w:rFonts w:ascii="黑体" w:hAnsi="黑体" w:eastAsia="黑体" w:cs="黑体"/>
          <w:b/>
          <w:sz w:val="32"/>
          <w:szCs w:val="32"/>
        </w:rPr>
      </w:pPr>
      <w:r>
        <w:rPr>
          <w:rFonts w:hint="eastAsia" w:ascii="黑体" w:hAnsi="黑体" w:eastAsia="黑体" w:cs="黑体"/>
          <w:b/>
          <w:sz w:val="32"/>
          <w:szCs w:val="32"/>
        </w:rPr>
        <w:t>十一、关于政府采购支出说明</w:t>
      </w:r>
    </w:p>
    <w:p>
      <w:pPr>
        <w:ind w:firstLine="640" w:firstLineChars="200"/>
        <w:jc w:val="left"/>
        <w:rPr>
          <w:rFonts w:ascii="宋体" w:hAnsi="宋体" w:eastAsia="宋体"/>
          <w:sz w:val="32"/>
          <w:szCs w:val="32"/>
        </w:rPr>
      </w:pPr>
      <w:r>
        <w:rPr>
          <w:rFonts w:hint="eastAsia" w:ascii="宋体" w:hAnsi="宋体" w:eastAsia="宋体"/>
          <w:sz w:val="32"/>
          <w:szCs w:val="32"/>
        </w:rPr>
        <w:t>本单位2021年度政府采购支出总额2175.35万元，其中：政府采购货物支出1120.57万元、政府采购工程支出853.89万元、政府采购服务支出200.88万元。授予中小企业合同金额2175.35万元，占政府采购支出总额的100%，其中：授予小微企业合同金额1120.57万元，占授予中小企业合同金额的51.51%；货物采购授予中小企业合同金额占货物支出金额的100%，工程采购授予中小企业合同金额占工程支出金额的100%，服务采购授予中小企业合同金额占服务支出金额的100%。</w:t>
      </w:r>
    </w:p>
    <w:p>
      <w:pPr>
        <w:jc w:val="left"/>
        <w:rPr>
          <w:rFonts w:ascii="黑体" w:hAnsi="黑体" w:eastAsia="黑体" w:cs="黑体"/>
          <w:b/>
          <w:sz w:val="32"/>
          <w:szCs w:val="32"/>
        </w:rPr>
      </w:pPr>
      <w:r>
        <w:rPr>
          <w:rFonts w:hint="eastAsia" w:ascii="黑体" w:hAnsi="黑体" w:eastAsia="黑体" w:cs="黑体"/>
          <w:b/>
          <w:sz w:val="32"/>
          <w:szCs w:val="32"/>
        </w:rPr>
        <w:t>十二、关于国有资产占用情况说明</w:t>
      </w:r>
    </w:p>
    <w:p>
      <w:pPr>
        <w:ind w:firstLine="540"/>
        <w:jc w:val="left"/>
        <w:rPr>
          <w:rFonts w:ascii="宋体" w:hAnsi="宋体" w:eastAsia="宋体"/>
          <w:sz w:val="32"/>
          <w:szCs w:val="32"/>
        </w:rPr>
      </w:pPr>
      <w:r>
        <w:rPr>
          <w:rFonts w:hint="eastAsia" w:ascii="宋体" w:hAnsi="宋体" w:eastAsia="宋体"/>
          <w:sz w:val="32"/>
          <w:szCs w:val="32"/>
        </w:rPr>
        <w:t>截至2021年12月31日，本单位共有车辆21辆，其中，执法执勤用车13辆、特种专业技术用车6辆、其他用车2辆，其他用车主要是离退休干部用车；单位价值50万元以上通用设备5台（套）；单位价值100万元以上专用设备2台（套）。</w:t>
      </w:r>
    </w:p>
    <w:p>
      <w:pPr>
        <w:jc w:val="left"/>
        <w:rPr>
          <w:rFonts w:ascii="宋体" w:hAnsi="宋体" w:eastAsia="宋体"/>
          <w:b/>
          <w:sz w:val="32"/>
          <w:szCs w:val="32"/>
        </w:rPr>
      </w:pPr>
      <w:r>
        <w:rPr>
          <w:rFonts w:hint="eastAsia" w:ascii="黑体" w:hAnsi="黑体" w:eastAsia="黑体" w:cs="黑体"/>
          <w:b/>
          <w:sz w:val="32"/>
          <w:szCs w:val="32"/>
        </w:rPr>
        <w:t>十三、关于2021年度预算绩效情况的说明</w:t>
      </w:r>
    </w:p>
    <w:p>
      <w:pPr>
        <w:ind w:firstLine="540"/>
        <w:jc w:val="left"/>
        <w:rPr>
          <w:rFonts w:ascii="宋体" w:hAnsi="宋体" w:eastAsia="宋体"/>
          <w:b/>
          <w:color w:val="000000" w:themeColor="text1"/>
          <w:sz w:val="32"/>
          <w:szCs w:val="32"/>
        </w:rPr>
      </w:pPr>
      <w:r>
        <w:rPr>
          <w:rFonts w:hint="eastAsia" w:ascii="宋体" w:hAnsi="宋体" w:eastAsia="宋体"/>
          <w:b/>
          <w:color w:val="000000" w:themeColor="text1"/>
          <w:sz w:val="32"/>
          <w:szCs w:val="32"/>
        </w:rPr>
        <w:t>（1）绩效管理评价工作开展情况</w:t>
      </w:r>
    </w:p>
    <w:p>
      <w:pPr>
        <w:spacing w:line="360" w:lineRule="auto"/>
        <w:ind w:firstLine="640" w:firstLineChars="200"/>
        <w:rPr>
          <w:rFonts w:asciiTheme="minorEastAsia" w:hAnsiTheme="minorEastAsia" w:cstheme="minorEastAsia"/>
          <w:color w:val="000000" w:themeColor="text1"/>
          <w:sz w:val="32"/>
          <w:szCs w:val="32"/>
        </w:rPr>
      </w:pPr>
      <w:r>
        <w:rPr>
          <w:rFonts w:hint="eastAsia" w:ascii="宋体" w:hAnsi="宋体" w:eastAsia="宋体"/>
          <w:bCs/>
          <w:color w:val="000000" w:themeColor="text1"/>
          <w:sz w:val="32"/>
          <w:szCs w:val="32"/>
        </w:rPr>
        <w:t>根据预算绩效管理要求，本单位</w:t>
      </w:r>
      <w:r>
        <w:rPr>
          <w:rFonts w:hint="eastAsia" w:asciiTheme="minorEastAsia" w:hAnsiTheme="minorEastAsia" w:cstheme="minorEastAsia"/>
          <w:color w:val="000000" w:themeColor="text1"/>
          <w:sz w:val="32"/>
          <w:szCs w:val="32"/>
        </w:rPr>
        <w:t>从经济性、行政效益、社会效益、社会公众满意度、可持续发展能力等方面全面开展绩效自评。从评价情况来看，完成情况较好，主要表现为以下几个方面：一是预算管理把控能力不断加强，进一步强化预算监管；二是加强财务管理制度建设，提高财务信息质量，根据原制定的《岳阳监狱财务管理办法》的实际执形情况，为进一步规范财务工作、提高会计信息的质量，于今年制定了新的《岳阳监狱财务管理办法》；三是资产管理、资产处置工作有序进行，积极配合省局及省机关事务局调研复核监狱土地、房屋资产；为了加强固定资产管理，</w:t>
      </w:r>
      <w:r>
        <w:rPr>
          <w:rFonts w:hint="eastAsia" w:asciiTheme="minorEastAsia" w:hAnsiTheme="minorEastAsia" w:cstheme="minorEastAsia"/>
          <w:bCs/>
          <w:color w:val="000000" w:themeColor="text1"/>
          <w:sz w:val="32"/>
          <w:szCs w:val="32"/>
        </w:rPr>
        <w:t>制定新的《岳阳监狱固定资产管理实施细则》</w:t>
      </w:r>
      <w:r>
        <w:rPr>
          <w:rFonts w:hint="eastAsia" w:asciiTheme="minorEastAsia" w:hAnsiTheme="minorEastAsia" w:cstheme="minorEastAsia"/>
          <w:color w:val="000000" w:themeColor="text1"/>
          <w:sz w:val="32"/>
          <w:szCs w:val="32"/>
        </w:rPr>
        <w:t>；四是加强对监狱政府采购工作的管理，严格政府采购程序与要求，规范采购行为。同时积极推进政府采购限额标准以下的货物、服务和工程采购逐步向电子卖场转移，成绩显著。2021年全年电子卖场成交额在湖南省省本级排名前十,监狱系统排名第一。</w:t>
      </w:r>
    </w:p>
    <w:p>
      <w:pPr>
        <w:ind w:firstLine="540"/>
        <w:jc w:val="left"/>
        <w:rPr>
          <w:rFonts w:ascii="宋体" w:hAnsi="宋体" w:eastAsia="宋体"/>
          <w:b/>
          <w:sz w:val="32"/>
          <w:szCs w:val="32"/>
        </w:rPr>
      </w:pPr>
      <w:r>
        <w:rPr>
          <w:rFonts w:hint="eastAsia" w:ascii="宋体" w:hAnsi="宋体" w:eastAsia="宋体"/>
          <w:b/>
          <w:sz w:val="32"/>
          <w:szCs w:val="32"/>
        </w:rPr>
        <w:t>（2）部门决算中绩效自评结果</w:t>
      </w:r>
    </w:p>
    <w:p>
      <w:pPr>
        <w:ind w:firstLine="570"/>
        <w:rPr>
          <w:rFonts w:asciiTheme="minorEastAsia" w:hAnsiTheme="minorEastAsia" w:cstheme="minorEastAsia"/>
          <w:sz w:val="32"/>
          <w:szCs w:val="32"/>
        </w:rPr>
      </w:pPr>
      <w:r>
        <w:rPr>
          <w:rFonts w:hint="eastAsia" w:asciiTheme="minorEastAsia" w:hAnsiTheme="minorEastAsia" w:cstheme="minorEastAsia"/>
          <w:bCs/>
          <w:sz w:val="32"/>
          <w:szCs w:val="32"/>
        </w:rPr>
        <w:t>根据年初设定的绩效目标，本单位整体支出绩效自评得分为9分</w:t>
      </w:r>
      <w:r>
        <w:rPr>
          <w:rFonts w:hint="eastAsia" w:asciiTheme="minorEastAsia" w:hAnsiTheme="minorEastAsia" w:cstheme="minorEastAsia"/>
          <w:sz w:val="32"/>
          <w:szCs w:val="32"/>
        </w:rPr>
        <w:t>。全年预算数为30978.93万元，执行数为30236.24万元，完成预算的97.6%。绩效目标完成情况：</w:t>
      </w:r>
      <w:r>
        <w:rPr>
          <w:rFonts w:hint="eastAsia" w:asciiTheme="minorEastAsia" w:hAnsiTheme="minorEastAsia" w:cstheme="minorEastAsia"/>
          <w:bCs/>
          <w:color w:val="000000" w:themeColor="text1"/>
          <w:sz w:val="32"/>
          <w:szCs w:val="32"/>
        </w:rPr>
        <w:t>2021年是我狱转型发展、奋力赶超的收获之年。监狱连续21年实现“四无”，保持了疫情防控“三零”战果，创造了劳务效益历史最好成绩。时别多年再次跨入全系统第一方阵，荣获全省监狱绩效考核“优秀单位”，开启了跨越式、高质量发展的新篇章。发现的主要问题及原因：</w:t>
      </w:r>
      <w:r>
        <w:rPr>
          <w:rFonts w:hint="eastAsia" w:asciiTheme="minorEastAsia" w:hAnsiTheme="minorEastAsia" w:cstheme="minorEastAsia"/>
          <w:sz w:val="32"/>
          <w:szCs w:val="32"/>
        </w:rPr>
        <w:t>通过对单位整体支出情况的分析，反映出目前整体支出主要在预算执行方面还存在一些问题和不足，</w:t>
      </w:r>
      <w:r>
        <w:rPr>
          <w:rFonts w:hint="eastAsia" w:asciiTheme="minorEastAsia" w:hAnsiTheme="minorEastAsia" w:cstheme="minorEastAsia"/>
          <w:bCs/>
          <w:color w:val="000000" w:themeColor="text1"/>
          <w:sz w:val="32"/>
          <w:szCs w:val="32"/>
        </w:rPr>
        <w:t>一是</w:t>
      </w:r>
      <w:r>
        <w:rPr>
          <w:rFonts w:hint="eastAsia" w:asciiTheme="minorEastAsia" w:hAnsiTheme="minorEastAsia" w:cstheme="minorEastAsia"/>
          <w:sz w:val="32"/>
          <w:szCs w:val="32"/>
        </w:rPr>
        <w:t>经费缺口较大；二是预算管理精细化程度不够。下一步改进措施：一是以实施《内部控制规范》工作为契机，完善内部财务管理制度；二是严格监狱全口径预算管理，压减一般性支出，坚持“保民生、保运转、保重点”，落实过“紧日子”要求；三是</w:t>
      </w:r>
      <w:r>
        <w:rPr>
          <w:rFonts w:hint="eastAsia" w:asciiTheme="minorEastAsia" w:hAnsiTheme="minorEastAsia" w:cstheme="minorEastAsia"/>
          <w:color w:val="000000" w:themeColor="text1"/>
          <w:sz w:val="32"/>
          <w:szCs w:val="32"/>
        </w:rPr>
        <w:t>进一步规范政府采购及限额标准以下的小额采购程序，提升政府采购及电子卖场等工作的规范执行；四是</w:t>
      </w:r>
      <w:r>
        <w:rPr>
          <w:rFonts w:hint="eastAsia" w:asciiTheme="minorEastAsia" w:hAnsiTheme="minorEastAsia" w:cstheme="minorEastAsia"/>
          <w:color w:val="000000"/>
          <w:kern w:val="0"/>
          <w:sz w:val="32"/>
          <w:szCs w:val="32"/>
        </w:rPr>
        <w:t>加强监狱资产管理，</w:t>
      </w:r>
      <w:r>
        <w:rPr>
          <w:rFonts w:hint="eastAsia" w:asciiTheme="minorEastAsia" w:hAnsiTheme="minorEastAsia" w:cstheme="minorEastAsia"/>
          <w:sz w:val="32"/>
          <w:szCs w:val="32"/>
        </w:rPr>
        <w:t>确保国有资产的完全完整</w:t>
      </w:r>
      <w:r>
        <w:rPr>
          <w:rFonts w:hint="eastAsia" w:asciiTheme="minorEastAsia" w:hAnsiTheme="minorEastAsia" w:cstheme="minorEastAsia"/>
          <w:color w:val="000000"/>
          <w:kern w:val="0"/>
          <w:sz w:val="32"/>
          <w:szCs w:val="32"/>
        </w:rPr>
        <w:t>；五是</w:t>
      </w:r>
      <w:r>
        <w:rPr>
          <w:rFonts w:hint="eastAsia" w:asciiTheme="minorEastAsia" w:hAnsiTheme="minorEastAsia" w:cstheme="minorEastAsia"/>
          <w:sz w:val="32"/>
          <w:szCs w:val="32"/>
        </w:rPr>
        <w:t>加强内部财务监督，提高财务管理水平。</w:t>
      </w:r>
    </w:p>
    <w:p>
      <w:pPr>
        <w:ind w:firstLine="321" w:firstLineChars="100"/>
        <w:jc w:val="left"/>
        <w:rPr>
          <w:rFonts w:ascii="宋体" w:hAnsi="宋体" w:eastAsia="宋体" w:cs="仿宋_GB2312"/>
          <w:b/>
          <w:sz w:val="32"/>
          <w:szCs w:val="32"/>
        </w:rPr>
      </w:pPr>
      <w:r>
        <w:rPr>
          <w:rFonts w:hint="eastAsia" w:ascii="宋体" w:hAnsi="宋体" w:eastAsia="宋体" w:cs="仿宋_GB2312"/>
          <w:b/>
          <w:sz w:val="32"/>
          <w:szCs w:val="32"/>
        </w:rPr>
        <w:t>（3）部门评价绩效评价结果</w:t>
      </w:r>
    </w:p>
    <w:p>
      <w:pPr>
        <w:ind w:firstLine="640"/>
        <w:jc w:val="left"/>
        <w:rPr>
          <w:rFonts w:asciiTheme="minorEastAsia" w:hAnsiTheme="minorEastAsia" w:cstheme="minorEastAsia"/>
          <w:sz w:val="32"/>
          <w:szCs w:val="32"/>
        </w:rPr>
      </w:pPr>
      <w:r>
        <w:rPr>
          <w:rFonts w:hint="eastAsia" w:asciiTheme="minorEastAsia" w:hAnsiTheme="minorEastAsia" w:cstheme="minorEastAsia"/>
          <w:sz w:val="32"/>
          <w:szCs w:val="32"/>
        </w:rPr>
        <w:t>本次单位绩效评价，结果将作为预算申请、安排、分配资金的重要依据之一，加快财政资金支付进度，特别是结转资金的支付进度，确保财政资金支付工作有序开展，进一步提升财政资金使用绩效。与此同时，坚持以推进预算绩效结果为导向，改进管理措施，强化统筹，完善管理办法，调整和优化支出结构，有效提升监狱财务监督效能。</w:t>
      </w:r>
    </w:p>
    <w:p>
      <w:pPr>
        <w:rPr>
          <w:rFonts w:asciiTheme="minorEastAsia" w:hAnsiTheme="minorEastAsia" w:cstheme="minorEastAsia"/>
          <w:b/>
          <w:sz w:val="32"/>
          <w:szCs w:val="32"/>
        </w:rPr>
      </w:pPr>
    </w:p>
    <w:p>
      <w:pPr>
        <w:pStyle w:val="6"/>
        <w:jc w:val="center"/>
        <w:rPr>
          <w:rFonts w:asciiTheme="minorEastAsia" w:hAnsiTheme="minorEastAsia" w:eastAsiaTheme="minorEastAsia" w:cstheme="minorEastAsia"/>
          <w:sz w:val="72"/>
          <w:szCs w:val="72"/>
        </w:rPr>
      </w:pPr>
    </w:p>
    <w:p>
      <w:pPr>
        <w:pStyle w:val="6"/>
        <w:jc w:val="center"/>
        <w:rPr>
          <w:rFonts w:asciiTheme="minorEastAsia" w:hAnsiTheme="minorEastAsia" w:eastAsiaTheme="minorEastAsia" w:cstheme="minorEastAsia"/>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rPr>
          <w:rFonts w:hint="eastAsia"/>
          <w:sz w:val="72"/>
          <w:szCs w:val="72"/>
        </w:rPr>
      </w:pPr>
    </w:p>
    <w:p>
      <w:pPr>
        <w:pStyle w:val="6"/>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ind w:firstLine="540"/>
        <w:jc w:val="center"/>
        <w:rPr>
          <w:rFonts w:asciiTheme="minorEastAsia" w:hAnsiTheme="minorEastAsia"/>
          <w:b/>
          <w:sz w:val="32"/>
          <w:szCs w:val="32"/>
        </w:rPr>
      </w:pPr>
    </w:p>
    <w:p>
      <w:pPr>
        <w:ind w:firstLine="540"/>
        <w:jc w:val="center"/>
        <w:rPr>
          <w:rFonts w:asciiTheme="minorEastAsia" w:hAnsiTheme="minorEastAsia"/>
          <w:b/>
          <w:sz w:val="32"/>
          <w:szCs w:val="32"/>
        </w:rPr>
      </w:pPr>
    </w:p>
    <w:p>
      <w:pPr>
        <w:ind w:firstLine="640" w:firstLineChars="200"/>
        <w:jc w:val="left"/>
        <w:rPr>
          <w:rFonts w:asciiTheme="minorEastAsia" w:hAnsiTheme="minorEastAsia"/>
          <w:sz w:val="32"/>
          <w:szCs w:val="32"/>
        </w:rPr>
      </w:pPr>
    </w:p>
    <w:p>
      <w:pPr>
        <w:ind w:firstLine="640" w:firstLineChars="200"/>
        <w:jc w:val="left"/>
        <w:rPr>
          <w:rFonts w:asciiTheme="minorEastAsia" w:hAnsiTheme="minorEastAsia"/>
          <w:sz w:val="32"/>
          <w:szCs w:val="32"/>
        </w:rPr>
      </w:pPr>
    </w:p>
    <w:p>
      <w:pPr>
        <w:ind w:firstLine="640" w:firstLineChars="200"/>
        <w:jc w:val="left"/>
        <w:rPr>
          <w:rFonts w:asciiTheme="minorEastAsia" w:hAnsiTheme="minorEastAsia"/>
          <w:sz w:val="32"/>
          <w:szCs w:val="32"/>
        </w:rPr>
      </w:pPr>
    </w:p>
    <w:p>
      <w:pPr>
        <w:ind w:firstLine="640" w:firstLineChars="200"/>
        <w:jc w:val="left"/>
        <w:rPr>
          <w:rFonts w:asciiTheme="minorEastAsia" w:hAnsiTheme="minorEastAsia"/>
          <w:sz w:val="32"/>
          <w:szCs w:val="32"/>
        </w:rPr>
      </w:pPr>
    </w:p>
    <w:p>
      <w:pPr>
        <w:ind w:firstLine="640" w:firstLineChars="200"/>
        <w:jc w:val="left"/>
        <w:rPr>
          <w:rFonts w:asciiTheme="minorEastAsia" w:hAnsiTheme="minorEastAsia"/>
          <w:sz w:val="32"/>
          <w:szCs w:val="32"/>
        </w:rPr>
      </w:pPr>
    </w:p>
    <w:p>
      <w:pPr>
        <w:ind w:firstLine="640" w:firstLineChars="200"/>
        <w:jc w:val="left"/>
        <w:rPr>
          <w:rFonts w:asciiTheme="minorEastAsia" w:hAnsiTheme="minorEastAsia"/>
          <w:sz w:val="32"/>
          <w:szCs w:val="32"/>
        </w:rPr>
      </w:pPr>
    </w:p>
    <w:p>
      <w:pPr>
        <w:ind w:firstLine="640" w:firstLineChars="200"/>
        <w:jc w:val="left"/>
        <w:rPr>
          <w:rFonts w:asciiTheme="minorEastAsia" w:hAnsiTheme="minorEastAsia"/>
          <w:sz w:val="32"/>
          <w:szCs w:val="32"/>
        </w:rPr>
      </w:pPr>
    </w:p>
    <w:p>
      <w:pPr>
        <w:ind w:firstLine="640" w:firstLineChars="200"/>
        <w:jc w:val="left"/>
        <w:rPr>
          <w:rFonts w:asciiTheme="minorEastAsia" w:hAnsiTheme="minorEastAsia"/>
          <w:sz w:val="32"/>
          <w:szCs w:val="32"/>
        </w:rPr>
      </w:pPr>
    </w:p>
    <w:p>
      <w:pPr>
        <w:ind w:firstLine="640" w:firstLineChars="200"/>
        <w:jc w:val="left"/>
        <w:rPr>
          <w:rFonts w:asciiTheme="minorEastAsia" w:hAnsiTheme="minorEastAsia"/>
          <w:sz w:val="32"/>
          <w:szCs w:val="32"/>
        </w:rPr>
      </w:pPr>
      <w:r>
        <w:rPr>
          <w:rFonts w:hint="eastAsia" w:asciiTheme="minorEastAsia" w:hAnsiTheme="minorEastAsia"/>
          <w:sz w:val="32"/>
          <w:szCs w:val="32"/>
        </w:rPr>
        <w:t>一、</w:t>
      </w:r>
      <w:r>
        <w:rPr>
          <w:rFonts w:asciiTheme="minorEastAsia" w:hAnsiTheme="minorEastAsia"/>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widowControl/>
        <w:spacing w:line="600" w:lineRule="exact"/>
        <w:ind w:firstLine="660"/>
        <w:rPr>
          <w:rFonts w:asciiTheme="minorEastAsia" w:hAnsiTheme="minorEastAsia"/>
          <w:sz w:val="32"/>
          <w:szCs w:val="32"/>
        </w:rPr>
      </w:pPr>
      <w:r>
        <w:rPr>
          <w:rFonts w:hint="eastAsia" w:asciiTheme="minorEastAsia" w:hAnsiTheme="minorEastAsia"/>
          <w:sz w:val="32"/>
          <w:szCs w:val="32"/>
        </w:rPr>
        <w:t>二、</w:t>
      </w:r>
      <w:r>
        <w:rPr>
          <w:rFonts w:asciiTheme="minorEastAsia" w:hAnsiTheme="minorEastAsia"/>
          <w:sz w:val="32"/>
          <w:szCs w:val="32"/>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asciiTheme="minorEastAsia" w:hAnsiTheme="minorEastAsia"/>
          <w:sz w:val="32"/>
          <w:szCs w:val="32"/>
        </w:rPr>
      </w:pPr>
    </w:p>
    <w:p>
      <w:pPr>
        <w:widowControl/>
        <w:spacing w:line="600" w:lineRule="exact"/>
        <w:ind w:firstLine="660"/>
        <w:rPr>
          <w:rFonts w:asciiTheme="minorEastAsia" w:hAnsiTheme="minorEastAsia"/>
          <w:sz w:val="28"/>
          <w:szCs w:val="28"/>
        </w:rPr>
      </w:pPr>
    </w:p>
    <w:p>
      <w:pPr>
        <w:ind w:firstLine="540"/>
        <w:jc w:val="center"/>
        <w:rPr>
          <w:rFonts w:asciiTheme="minorEastAsia" w:hAnsiTheme="minorEastAsia"/>
          <w:b/>
          <w:sz w:val="32"/>
          <w:szCs w:val="32"/>
        </w:rPr>
      </w:pPr>
    </w:p>
    <w:p>
      <w:pPr>
        <w:ind w:firstLine="540"/>
        <w:jc w:val="center"/>
        <w:rPr>
          <w:rFonts w:asciiTheme="minorEastAsia" w:hAnsiTheme="minorEastAsia"/>
          <w:b/>
          <w:sz w:val="32"/>
          <w:szCs w:val="32"/>
        </w:rPr>
      </w:pPr>
    </w:p>
    <w:p>
      <w:pPr>
        <w:ind w:firstLine="540"/>
        <w:jc w:val="center"/>
        <w:rPr>
          <w:rFonts w:asciiTheme="minorEastAsia" w:hAnsiTheme="minorEastAsia"/>
          <w:b/>
          <w:sz w:val="32"/>
          <w:szCs w:val="32"/>
        </w:rPr>
      </w:pPr>
    </w:p>
    <w:p>
      <w:pPr>
        <w:ind w:firstLine="540"/>
        <w:jc w:val="center"/>
        <w:rPr>
          <w:rFonts w:asciiTheme="minorEastAsia" w:hAnsiTheme="minorEastAsia"/>
          <w:b/>
          <w:sz w:val="32"/>
          <w:szCs w:val="32"/>
        </w:rPr>
      </w:pPr>
    </w:p>
    <w:p>
      <w:pPr>
        <w:ind w:firstLine="540"/>
        <w:jc w:val="center"/>
        <w:rPr>
          <w:rFonts w:asciiTheme="minorEastAsia" w:hAnsiTheme="minorEastAsia"/>
          <w:b/>
          <w:sz w:val="32"/>
          <w:szCs w:val="32"/>
        </w:rPr>
      </w:pPr>
    </w:p>
    <w:p>
      <w:pPr>
        <w:ind w:firstLine="540"/>
        <w:jc w:val="center"/>
        <w:rPr>
          <w:rFonts w:asciiTheme="minorEastAsia" w:hAnsiTheme="minorEastAsia"/>
          <w:b/>
          <w:sz w:val="32"/>
          <w:szCs w:val="32"/>
        </w:rPr>
      </w:pPr>
    </w:p>
    <w:p>
      <w:pPr>
        <w:ind w:firstLine="540"/>
        <w:jc w:val="center"/>
        <w:rPr>
          <w:rFonts w:asciiTheme="minorEastAsia" w:hAnsiTheme="minorEastAsia"/>
          <w:b/>
          <w:sz w:val="32"/>
          <w:szCs w:val="32"/>
        </w:rPr>
      </w:pPr>
    </w:p>
    <w:p>
      <w:pPr>
        <w:ind w:firstLine="540"/>
        <w:jc w:val="center"/>
        <w:rPr>
          <w:rFonts w:asciiTheme="minorEastAsia" w:hAnsiTheme="minorEastAsia"/>
          <w:b/>
          <w:sz w:val="32"/>
          <w:szCs w:val="32"/>
        </w:rPr>
      </w:pPr>
    </w:p>
    <w:p>
      <w:pPr>
        <w:ind w:firstLine="540"/>
        <w:jc w:val="center"/>
        <w:rPr>
          <w:rFonts w:asciiTheme="minorEastAsia" w:hAnsiTheme="minorEastAsia"/>
          <w:b/>
          <w:sz w:val="32"/>
          <w:szCs w:val="32"/>
        </w:rPr>
      </w:pPr>
    </w:p>
    <w:p>
      <w:pPr>
        <w:autoSpaceDE w:val="0"/>
        <w:autoSpaceDN w:val="0"/>
        <w:adjustRightInd w:val="0"/>
        <w:jc w:val="center"/>
        <w:rPr>
          <w:rFonts w:ascii="黑体" w:eastAsia="黑体" w:cs="黑体"/>
          <w:color w:val="000000"/>
          <w:kern w:val="0"/>
          <w:sz w:val="72"/>
          <w:szCs w:val="72"/>
        </w:rPr>
      </w:pPr>
    </w:p>
    <w:p>
      <w:pPr>
        <w:autoSpaceDE w:val="0"/>
        <w:autoSpaceDN w:val="0"/>
        <w:adjustRightInd w:val="0"/>
        <w:jc w:val="center"/>
        <w:rPr>
          <w:rFonts w:ascii="黑体" w:eastAsia="黑体" w:cs="黑体"/>
          <w:color w:val="000000"/>
          <w:kern w:val="0"/>
          <w:sz w:val="72"/>
          <w:szCs w:val="72"/>
        </w:rPr>
      </w:pPr>
    </w:p>
    <w:p>
      <w:pPr>
        <w:autoSpaceDE w:val="0"/>
        <w:autoSpaceDN w:val="0"/>
        <w:adjustRightInd w:val="0"/>
        <w:jc w:val="center"/>
        <w:rPr>
          <w:rFonts w:ascii="黑体" w:eastAsia="黑体" w:cs="黑体"/>
          <w:color w:val="000000"/>
          <w:kern w:val="0"/>
          <w:sz w:val="72"/>
          <w:szCs w:val="72"/>
        </w:rPr>
      </w:pPr>
    </w:p>
    <w:p>
      <w:pPr>
        <w:autoSpaceDE w:val="0"/>
        <w:autoSpaceDN w:val="0"/>
        <w:adjustRightInd w:val="0"/>
        <w:jc w:val="center"/>
        <w:rPr>
          <w:rFonts w:ascii="黑体" w:eastAsia="黑体" w:cs="黑体"/>
          <w:color w:val="000000"/>
          <w:kern w:val="0"/>
          <w:sz w:val="72"/>
          <w:szCs w:val="72"/>
        </w:rPr>
      </w:pPr>
    </w:p>
    <w:p>
      <w:pPr>
        <w:autoSpaceDE w:val="0"/>
        <w:autoSpaceDN w:val="0"/>
        <w:adjustRightInd w:val="0"/>
        <w:jc w:val="center"/>
        <w:rPr>
          <w:rFonts w:ascii="黑体" w:eastAsia="黑体" w:cs="黑体"/>
          <w:color w:val="000000"/>
          <w:kern w:val="0"/>
          <w:sz w:val="72"/>
          <w:szCs w:val="72"/>
        </w:rPr>
      </w:pPr>
    </w:p>
    <w:p>
      <w:pPr>
        <w:autoSpaceDE w:val="0"/>
        <w:autoSpaceDN w:val="0"/>
        <w:adjustRightInd w:val="0"/>
        <w:jc w:val="center"/>
        <w:rPr>
          <w:rFonts w:ascii="黑体" w:eastAsia="黑体" w:cs="黑体"/>
          <w:color w:val="000000"/>
          <w:kern w:val="0"/>
          <w:sz w:val="72"/>
          <w:szCs w:val="72"/>
        </w:rPr>
      </w:pPr>
      <w:r>
        <w:rPr>
          <w:rFonts w:hint="eastAsia" w:ascii="黑体" w:eastAsia="黑体" w:cs="黑体"/>
          <w:color w:val="000000"/>
          <w:kern w:val="0"/>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ind w:firstLine="540"/>
        <w:jc w:val="center"/>
        <w:rPr>
          <w:rFonts w:asciiTheme="minorEastAsia" w:hAnsiTheme="minorEastAsia"/>
          <w:b/>
          <w:sz w:val="32"/>
          <w:szCs w:val="32"/>
        </w:rPr>
      </w:pPr>
    </w:p>
    <w:p>
      <w:pPr>
        <w:ind w:firstLine="540"/>
        <w:jc w:val="center"/>
        <w:rPr>
          <w:rFonts w:asciiTheme="minorEastAsia" w:hAnsiTheme="minorEastAsia"/>
          <w:b/>
          <w:sz w:val="32"/>
          <w:szCs w:val="32"/>
        </w:rPr>
      </w:pPr>
    </w:p>
    <w:p>
      <w:pPr>
        <w:ind w:firstLine="540"/>
        <w:jc w:val="center"/>
        <w:rPr>
          <w:rFonts w:asciiTheme="minorEastAsia" w:hAnsiTheme="minorEastAsia"/>
          <w:b/>
          <w:sz w:val="32"/>
          <w:szCs w:val="32"/>
        </w:rPr>
      </w:pPr>
    </w:p>
    <w:p>
      <w:pPr>
        <w:ind w:firstLine="540"/>
        <w:jc w:val="center"/>
        <w:rPr>
          <w:rFonts w:asciiTheme="minorEastAsia" w:hAnsiTheme="minorEastAsia"/>
          <w:b/>
          <w:sz w:val="32"/>
          <w:szCs w:val="32"/>
        </w:rPr>
      </w:pPr>
    </w:p>
    <w:p>
      <w:pPr>
        <w:ind w:firstLine="540"/>
        <w:jc w:val="center"/>
        <w:rPr>
          <w:rFonts w:asciiTheme="minorEastAsia" w:hAnsiTheme="minorEastAsia"/>
          <w:b/>
          <w:sz w:val="32"/>
          <w:szCs w:val="32"/>
        </w:rPr>
      </w:pPr>
    </w:p>
    <w:p>
      <w:pPr>
        <w:ind w:firstLine="540"/>
        <w:jc w:val="center"/>
        <w:rPr>
          <w:rFonts w:asciiTheme="minorEastAsia" w:hAnsiTheme="minorEastAsia"/>
          <w:b/>
          <w:sz w:val="32"/>
          <w:szCs w:val="32"/>
        </w:rPr>
      </w:pPr>
    </w:p>
    <w:p>
      <w:pPr>
        <w:ind w:firstLine="540"/>
        <w:jc w:val="center"/>
        <w:rPr>
          <w:rFonts w:asciiTheme="minorEastAsia" w:hAnsiTheme="minorEastAsia"/>
          <w:b/>
          <w:sz w:val="32"/>
          <w:szCs w:val="32"/>
        </w:rPr>
      </w:pPr>
    </w:p>
    <w:p>
      <w:pPr>
        <w:ind w:firstLine="540"/>
        <w:jc w:val="center"/>
        <w:rPr>
          <w:rFonts w:asciiTheme="minorEastAsia" w:hAnsiTheme="minorEastAsia"/>
          <w:b/>
          <w:sz w:val="32"/>
          <w:szCs w:val="32"/>
        </w:rPr>
      </w:pPr>
    </w:p>
    <w:p>
      <w:pPr>
        <w:ind w:firstLine="640" w:firstLineChars="200"/>
        <w:jc w:val="left"/>
        <w:rPr>
          <w:rFonts w:asciiTheme="minorEastAsia" w:hAnsiTheme="minorEastAsia"/>
          <w:sz w:val="32"/>
          <w:szCs w:val="32"/>
        </w:rPr>
      </w:pPr>
    </w:p>
    <w:p>
      <w:pPr>
        <w:ind w:firstLine="640" w:firstLineChars="200"/>
        <w:jc w:val="left"/>
        <w:rPr>
          <w:rFonts w:asciiTheme="minorEastAsia" w:hAnsiTheme="minorEastAsia"/>
          <w:sz w:val="32"/>
          <w:szCs w:val="32"/>
        </w:rPr>
      </w:pPr>
    </w:p>
    <w:p>
      <w:pPr>
        <w:ind w:firstLine="640" w:firstLineChars="200"/>
        <w:jc w:val="left"/>
        <w:rPr>
          <w:rFonts w:asciiTheme="minorEastAsia" w:hAnsiTheme="minorEastAsia"/>
          <w:sz w:val="32"/>
          <w:szCs w:val="32"/>
        </w:rPr>
      </w:pPr>
      <w:r>
        <w:rPr>
          <w:rFonts w:hint="eastAsia" w:asciiTheme="minorEastAsia" w:hAnsiTheme="minorEastAsia"/>
          <w:sz w:val="32"/>
          <w:szCs w:val="32"/>
        </w:rPr>
        <w:t>根据涉密信息管理要求，湖南省岳阳监狱2021年度部门整体支出绩效评价报告依法不予公开。</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D1B51"/>
    <w:multiLevelType w:val="multilevel"/>
    <w:tmpl w:val="238D1B51"/>
    <w:lvl w:ilvl="0" w:tentative="0">
      <w:start w:val="14"/>
      <w:numFmt w:val="decimal"/>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D3D10"/>
    <w:rsid w:val="00052DE4"/>
    <w:rsid w:val="00061CDE"/>
    <w:rsid w:val="00065495"/>
    <w:rsid w:val="00070BB1"/>
    <w:rsid w:val="00075948"/>
    <w:rsid w:val="000811BB"/>
    <w:rsid w:val="00096CA9"/>
    <w:rsid w:val="000B108C"/>
    <w:rsid w:val="000D5A1E"/>
    <w:rsid w:val="000E6AC0"/>
    <w:rsid w:val="000F61B2"/>
    <w:rsid w:val="00107FB8"/>
    <w:rsid w:val="00112AE2"/>
    <w:rsid w:val="00124392"/>
    <w:rsid w:val="0013549B"/>
    <w:rsid w:val="00142B2C"/>
    <w:rsid w:val="001568A7"/>
    <w:rsid w:val="001777F3"/>
    <w:rsid w:val="001A6777"/>
    <w:rsid w:val="00210B22"/>
    <w:rsid w:val="00251469"/>
    <w:rsid w:val="00267196"/>
    <w:rsid w:val="002844D6"/>
    <w:rsid w:val="002867C3"/>
    <w:rsid w:val="002950E0"/>
    <w:rsid w:val="002B7918"/>
    <w:rsid w:val="002D3D10"/>
    <w:rsid w:val="002D6703"/>
    <w:rsid w:val="002E412F"/>
    <w:rsid w:val="003148A7"/>
    <w:rsid w:val="00366ECB"/>
    <w:rsid w:val="00382A2F"/>
    <w:rsid w:val="003B0868"/>
    <w:rsid w:val="003B5D3D"/>
    <w:rsid w:val="003D2F9B"/>
    <w:rsid w:val="003D638F"/>
    <w:rsid w:val="004076E8"/>
    <w:rsid w:val="00415FA9"/>
    <w:rsid w:val="004A41D0"/>
    <w:rsid w:val="004B16D6"/>
    <w:rsid w:val="004B2FA2"/>
    <w:rsid w:val="004B7A31"/>
    <w:rsid w:val="0053677C"/>
    <w:rsid w:val="00541091"/>
    <w:rsid w:val="005412C9"/>
    <w:rsid w:val="005A6816"/>
    <w:rsid w:val="005B0B7B"/>
    <w:rsid w:val="005D4307"/>
    <w:rsid w:val="005E606F"/>
    <w:rsid w:val="005F0CB7"/>
    <w:rsid w:val="005F25D5"/>
    <w:rsid w:val="0061701F"/>
    <w:rsid w:val="00634735"/>
    <w:rsid w:val="00653C99"/>
    <w:rsid w:val="0065797F"/>
    <w:rsid w:val="0065798C"/>
    <w:rsid w:val="00674330"/>
    <w:rsid w:val="006839AE"/>
    <w:rsid w:val="00695D5E"/>
    <w:rsid w:val="006A1702"/>
    <w:rsid w:val="006B05DF"/>
    <w:rsid w:val="006D605E"/>
    <w:rsid w:val="006E2ED8"/>
    <w:rsid w:val="006E4336"/>
    <w:rsid w:val="006F7CA4"/>
    <w:rsid w:val="007025D3"/>
    <w:rsid w:val="00713943"/>
    <w:rsid w:val="00750514"/>
    <w:rsid w:val="007664C4"/>
    <w:rsid w:val="007B575B"/>
    <w:rsid w:val="007B7ABA"/>
    <w:rsid w:val="007C03AE"/>
    <w:rsid w:val="007C4AB2"/>
    <w:rsid w:val="007E0FDC"/>
    <w:rsid w:val="0082091A"/>
    <w:rsid w:val="00824D3C"/>
    <w:rsid w:val="008314C7"/>
    <w:rsid w:val="00841174"/>
    <w:rsid w:val="00851E7B"/>
    <w:rsid w:val="00872EA7"/>
    <w:rsid w:val="00882F61"/>
    <w:rsid w:val="008A3164"/>
    <w:rsid w:val="008B3AC5"/>
    <w:rsid w:val="00901EC1"/>
    <w:rsid w:val="00947001"/>
    <w:rsid w:val="009501A5"/>
    <w:rsid w:val="00950C63"/>
    <w:rsid w:val="00954BA8"/>
    <w:rsid w:val="009A184E"/>
    <w:rsid w:val="009A21C4"/>
    <w:rsid w:val="00A0365B"/>
    <w:rsid w:val="00A4662B"/>
    <w:rsid w:val="00A672A8"/>
    <w:rsid w:val="00A85FB6"/>
    <w:rsid w:val="00A92816"/>
    <w:rsid w:val="00A96AF3"/>
    <w:rsid w:val="00AB6367"/>
    <w:rsid w:val="00AC59F6"/>
    <w:rsid w:val="00AD0AF5"/>
    <w:rsid w:val="00AF432E"/>
    <w:rsid w:val="00B13514"/>
    <w:rsid w:val="00B22113"/>
    <w:rsid w:val="00B67927"/>
    <w:rsid w:val="00B83E51"/>
    <w:rsid w:val="00B87D07"/>
    <w:rsid w:val="00B972ED"/>
    <w:rsid w:val="00B976C4"/>
    <w:rsid w:val="00BC031E"/>
    <w:rsid w:val="00BC645F"/>
    <w:rsid w:val="00C54D5D"/>
    <w:rsid w:val="00C556D4"/>
    <w:rsid w:val="00C7157E"/>
    <w:rsid w:val="00C73F94"/>
    <w:rsid w:val="00C766CF"/>
    <w:rsid w:val="00C86993"/>
    <w:rsid w:val="00C96AE2"/>
    <w:rsid w:val="00CA6289"/>
    <w:rsid w:val="00CF01C6"/>
    <w:rsid w:val="00CF7448"/>
    <w:rsid w:val="00CF7AB1"/>
    <w:rsid w:val="00D14033"/>
    <w:rsid w:val="00D4434E"/>
    <w:rsid w:val="00D44DD1"/>
    <w:rsid w:val="00D74DCE"/>
    <w:rsid w:val="00DA381E"/>
    <w:rsid w:val="00DC0B24"/>
    <w:rsid w:val="00DC1303"/>
    <w:rsid w:val="00DD1D8A"/>
    <w:rsid w:val="00DE1229"/>
    <w:rsid w:val="00DE1C93"/>
    <w:rsid w:val="00E03E62"/>
    <w:rsid w:val="00E17DFD"/>
    <w:rsid w:val="00E65C4D"/>
    <w:rsid w:val="00E7682B"/>
    <w:rsid w:val="00EB5503"/>
    <w:rsid w:val="00EF5117"/>
    <w:rsid w:val="00F05EC6"/>
    <w:rsid w:val="00F3171F"/>
    <w:rsid w:val="00F40DE9"/>
    <w:rsid w:val="00F55ABB"/>
    <w:rsid w:val="00F624EE"/>
    <w:rsid w:val="00F763E8"/>
    <w:rsid w:val="00FA18B1"/>
    <w:rsid w:val="00FD30CE"/>
    <w:rsid w:val="072B3876"/>
    <w:rsid w:val="0D371D9F"/>
    <w:rsid w:val="10B221BA"/>
    <w:rsid w:val="146A756F"/>
    <w:rsid w:val="2A637122"/>
    <w:rsid w:val="36754E37"/>
    <w:rsid w:val="550E1B35"/>
    <w:rsid w:val="62C6480A"/>
    <w:rsid w:val="69633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character" w:customStyle="1" w:styleId="7">
    <w:name w:val="页眉 字符"/>
    <w:basedOn w:val="4"/>
    <w:link w:val="3"/>
    <w:qFormat/>
    <w:uiPriority w:val="99"/>
    <w:rPr>
      <w:sz w:val="18"/>
      <w:szCs w:val="18"/>
    </w:rPr>
  </w:style>
  <w:style w:type="character" w:customStyle="1" w:styleId="8">
    <w:name w:val="页脚 字符"/>
    <w:basedOn w:val="4"/>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20</Pages>
  <Words>1062</Words>
  <Characters>6057</Characters>
  <Lines>50</Lines>
  <Paragraphs>14</Paragraphs>
  <TotalTime>35</TotalTime>
  <ScaleCrop>false</ScaleCrop>
  <LinksUpToDate>false</LinksUpToDate>
  <CharactersWithSpaces>7105</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2021-08-16T08:11:00Z</dcterms:created>
  <dc:creator>黄龙飙</dc:creator>
  <cp:lastModifiedBy>Administrator</cp:lastModifiedBy>
  <dcterms:modified xsi:type="dcterms:W3CDTF">2022-09-15T00:56:13Z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