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84"/>
          <w:szCs w:val="84"/>
        </w:rPr>
      </w:pP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湖南省女子监狱部门决算</w:t>
      </w: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</w:p>
    <w:p>
      <w:pPr>
        <w:pStyle w:val="11"/>
        <w:spacing w:line="500" w:lineRule="exact"/>
        <w:jc w:val="center"/>
        <w:rPr>
          <w:rFonts w:hint="eastAsia"/>
          <w:b/>
          <w:sz w:val="36"/>
          <w:szCs w:val="28"/>
        </w:rPr>
      </w:pPr>
    </w:p>
    <w:p>
      <w:pPr>
        <w:pStyle w:val="11"/>
        <w:spacing w:line="500" w:lineRule="exact"/>
        <w:rPr>
          <w:b/>
          <w:sz w:val="36"/>
          <w:szCs w:val="28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1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第一部分湖南省女子监狱概况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11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11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十、一般性支出情况说明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十一、政府采购支出说明</w:t>
      </w:r>
    </w:p>
    <w:p>
      <w:pPr>
        <w:pStyle w:val="11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十二、国有资产占用情况说明</w:t>
      </w:r>
    </w:p>
    <w:p>
      <w:pPr>
        <w:pStyle w:val="11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第四部分名词解释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第五部分附件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11"/>
        <w:jc w:val="center"/>
        <w:rPr>
          <w:sz w:val="84"/>
          <w:szCs w:val="84"/>
        </w:rPr>
      </w:pP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湖南省女子监狱概况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2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2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2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2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pStyle w:val="6"/>
        <w:spacing w:before="0" w:beforeAutospacing="0" w:after="0" w:afterAutospacing="0" w:line="600" w:lineRule="atLeast"/>
        <w:ind w:firstLine="960" w:firstLineChars="300"/>
        <w:jc w:val="both"/>
        <w:rPr>
          <w:rFonts w:cs="Times New Roman"/>
          <w:color w:val="333333"/>
          <w:sz w:val="32"/>
          <w:szCs w:val="32"/>
          <w:shd w:val="clear" w:color="auto" w:fill="FFFFFF" w:themeFill="background1"/>
        </w:rPr>
      </w:pPr>
      <w:r>
        <w:rPr>
          <w:rFonts w:hint="eastAsia" w:cs="Times New Roman"/>
          <w:color w:val="333333"/>
          <w:sz w:val="32"/>
          <w:szCs w:val="32"/>
          <w:shd w:val="clear" w:color="auto" w:fill="FFFFFF" w:themeFill="background1"/>
        </w:rPr>
        <w:t>湖南省女子监狱的主要职能是负责依照《中华人民共和国监狱法》，贯彻执行监狱工作方针及国家有关法律法规；负责女性罪犯监管改造，依法对女性罪犯收监、考核奖惩、释放，提出女性罪犯减刑、假释、暂予监外执行的建议，做好监狱的安全检查防范工作；负责女性罪犯生活卫生管理，做好女性罪犯物资生活供应、疾病防治和公共卫生安全工作；负责女性罪犯教育改造，做好女性罪犯的思想、文化、职业技术教育和其他教育工作；负责女性罪犯劳动改造，组织女性罪犯开展劳动，落实安全生产管理工作；负责对患有传染病、精神病、严重慢性病等疾病罪犯进行医疗管理；负责监狱国有资产和监狱设施的管理，防治国有资产流失，做好监管、审计工作；按照干部管理权限，协助主管部门做好公务员、职工队伍的管理工作；与武警、公安、检察院、法院等部门做好通联工作，保障监狱的安全和依法执行刑罚；承办上级机关交办的其他工作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adjustRightInd w:val="0"/>
        <w:snapToGrid w:val="0"/>
        <w:spacing w:line="600" w:lineRule="atLeast"/>
        <w:ind w:firstLine="561"/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 w:themeFill="background1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Theme="minorEastAsia" w:hAnsiTheme="minorEastAsia" w:cstheme="minorEastAsia"/>
          <w:color w:val="333333"/>
          <w:sz w:val="32"/>
          <w:szCs w:val="32"/>
          <w:shd w:val="clear" w:color="auto" w:fill="FFFFFF" w:themeFill="background1"/>
        </w:rPr>
        <w:t>湖南省女子监狱</w:t>
      </w:r>
      <w:r>
        <w:rPr>
          <w:rFonts w:hint="eastAsia" w:asciiTheme="minorEastAsia" w:hAnsiTheme="minorEastAsia" w:cstheme="minorEastAsia"/>
          <w:bCs/>
          <w:kern w:val="0"/>
          <w:sz w:val="32"/>
          <w:szCs w:val="32"/>
        </w:rPr>
        <w:t>内设机构包括：</w:t>
      </w:r>
      <w:r>
        <w:rPr>
          <w:rFonts w:hint="eastAsia" w:asciiTheme="minorEastAsia" w:hAnsiTheme="minorEastAsia" w:cstheme="minorEastAsia"/>
          <w:color w:val="333333"/>
          <w:sz w:val="32"/>
          <w:szCs w:val="32"/>
          <w:shd w:val="clear" w:color="auto" w:fill="FFFFFF" w:themeFill="background1"/>
        </w:rPr>
        <w:t>办公室、政治处、行政科、财务科、纪检（监察）室、离退休管理人员服务科、审计科、法治办（综合治理科）、工会办、监管安防设施管理科等16个业务科室；6个押犯监区；5个功能性监区；3个基层服务性及辅助性机构。</w:t>
      </w:r>
    </w:p>
    <w:p>
      <w:pPr>
        <w:widowControl/>
        <w:spacing w:line="600" w:lineRule="exact"/>
        <w:ind w:firstLine="640" w:firstLineChars="200"/>
        <w:rPr>
          <w:rFonts w:asciiTheme="minorEastAsia" w:hAnsiTheme="minorEastAsia" w:cs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（二）决算单位构成。</w:t>
      </w:r>
      <w:r>
        <w:rPr>
          <w:rFonts w:hint="eastAsia" w:asciiTheme="minorEastAsia" w:hAnsiTheme="minorEastAsia" w:cstheme="minorEastAsia"/>
          <w:color w:val="333333"/>
          <w:sz w:val="32"/>
          <w:szCs w:val="32"/>
          <w:shd w:val="clear" w:color="auto" w:fill="FFFFFF" w:themeFill="background1"/>
        </w:rPr>
        <w:t>湖南省女子监狱</w:t>
      </w:r>
      <w:r>
        <w:rPr>
          <w:rFonts w:hint="eastAsia" w:asciiTheme="minorEastAsia" w:hAnsiTheme="minorEastAsia" w:cstheme="minorEastAsia"/>
          <w:bCs/>
          <w:kern w:val="0"/>
          <w:sz w:val="32"/>
          <w:szCs w:val="32"/>
        </w:rPr>
        <w:t>2021年部门决算汇总公开单位构成包括：</w:t>
      </w:r>
      <w:r>
        <w:rPr>
          <w:rFonts w:hint="eastAsia" w:asciiTheme="minorEastAsia" w:hAnsiTheme="minorEastAsia" w:cstheme="minorEastAsia"/>
          <w:color w:val="333333"/>
          <w:sz w:val="32"/>
          <w:szCs w:val="32"/>
          <w:shd w:val="clear" w:color="auto" w:fill="FFFFFF" w:themeFill="background1"/>
        </w:rPr>
        <w:t>湖南省女子监狱</w:t>
      </w:r>
      <w:r>
        <w:rPr>
          <w:rFonts w:hint="eastAsia" w:asciiTheme="minorEastAsia" w:hAnsiTheme="minorEastAsia" w:cstheme="minorEastAsia"/>
          <w:bCs/>
          <w:kern w:val="0"/>
          <w:sz w:val="32"/>
          <w:szCs w:val="32"/>
        </w:rPr>
        <w:t>单位本级。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仿宋_GB2312" w:cs="Times New Roman"/>
          <w:bCs/>
          <w:kern w:val="0"/>
          <w:szCs w:val="21"/>
        </w:rPr>
      </w:pPr>
    </w:p>
    <w:p>
      <w:pPr>
        <w:pStyle w:val="11"/>
        <w:rPr>
          <w:sz w:val="72"/>
          <w:szCs w:val="72"/>
        </w:rPr>
      </w:pPr>
    </w:p>
    <w:p>
      <w:pPr>
        <w:pStyle w:val="11"/>
        <w:rPr>
          <w:sz w:val="72"/>
          <w:szCs w:val="72"/>
        </w:rPr>
      </w:pPr>
    </w:p>
    <w:p>
      <w:pPr>
        <w:pStyle w:val="11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11"/>
        <w:jc w:val="center"/>
        <w:rPr>
          <w:sz w:val="70"/>
          <w:szCs w:val="70"/>
        </w:rPr>
      </w:pPr>
    </w:p>
    <w:p>
      <w:pPr>
        <w:pStyle w:val="11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11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2021年度收、支总计25333.32万元。与上年相比，增加1238.43万元，增长5.14%，主要是因为省财政年中追加了狱政设施建设、疫情防控资金。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2021年度收入合计22915.47万元，其中：财政拨款收入20731.05万元，占90.47%；其他收入2184.42万元，占9.53%。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2021年度支出合计21032.95万元，其中：基本支出15052.23万元，占71.56%；项目支出5980.72万元，占28.44%。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2021年度财政拨款收、支总计22834.62万元，与上年相比，增加69.51万元,增长0.3%，主要是因为省财政增加了狱政设施建设、疫情防控资金。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2021年度财政拨款支出18796.83万元，占本年支出合计的89.37%，与上年相比，财政拨款支出减少1709.59万元，减少8.34%，主要是因为人员经费政策调整减少了当年度的人员经费支出。</w:t>
      </w:r>
    </w:p>
    <w:p>
      <w:pPr>
        <w:pStyle w:val="11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18796.83万元，主要用于以下方面：公共安全支出14896.40万元，占79.25%；教育支出43万元，占0.23%;社会保障和就业支出1205.08万元，占6.41%.卫生健康支出1221.60万元，占6.5%；住房保障支出1430.75万元，占7.61%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2021年度财政拨款支出年初预算数为17791.59万元，支出决算数为18796.83万元，完成年初预算的117.59%，其中：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1、公共安全支出（类）监狱（款）行政运行（项）。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年初预算为9606.56万元，支出决算为10048.37万元，完成年初预算的104.60%，决算数大于年初预算数的主要原因是：年中追加了在职警察2020年绩效考核奖金。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2、公共安全支出（类）监狱（款）一般行政管理事务（项）。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年初预算为21万元，支出决算为21万元，完成年初预算的100%。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3、公共安全支出（类）监狱（款）狱政设施建设（项）。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年初预算为1898.56万元，支出决算为968.24万元，完成年初预算的51%，决算数小于年初预算数的主要原因是：年末因项目未竣工，项目建设资金结转下年。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4、公共安全支出（类）监狱（款）信息化建设（项）。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年初预算为8.54万元，支出决算为112.54万元，决算数大于年初预算数的主要原因是：年中追加了信息化建设资金。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5、教育支出（类）进修及培训（款）培训支出（项）。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年初预算为60万元，支出决算为43万元，完成年初预算的71.7%，决算数小于年初预算数的主要原因是：年中按规定进行了预算调整，调整后完成预算的100%。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6、社会保障和就业支出（类）行政事业单位养老支出（款）行政单位离退休（项）。</w:t>
      </w:r>
    </w:p>
    <w:p>
      <w:pPr>
        <w:pStyle w:val="11"/>
        <w:ind w:left="638" w:leftChars="304" w:firstLine="160" w:firstLineChars="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年初预算为148.72万元，支出决算为148.72万元，完成年初预算的100%。</w:t>
      </w:r>
    </w:p>
    <w:p>
      <w:pPr>
        <w:pStyle w:val="11"/>
        <w:ind w:left="638" w:leftChars="304" w:firstLine="160" w:firstLineChars="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7、社会保障和就业支出（类）行政事业单位养老支出（款）机关事业单位基本养老保险缴费支出（项）。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年初预算为959.25万元，支出决算为959.25万元，完成年初预算的100%。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8、社会保障和就业支出（类）行政事业单位养老支出（款）其他行政事业单位养老支出（项）。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年初预算为23.66万元，支出决算为24.38万元，完成年初预算的103%，决算数大于年初预算数的主要原因是：年中追加了其他行政事业单位养老支出资金。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9、社会保障和就业支出（类）抚恤（款）死亡抚恤（项）。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年初预算为70.81万元，支出决算为70.81万元，完成年初预算的100%。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10、社会保障和就业支出（类）其他社会保障和就业支出（款）其他社会保障和就业支出（项）。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年初预算为1.92万元，支出决算为1.92万元，完成年初预算的100%。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11、卫生健康支出（类）行政事业单位医疗（款）行政单位医疗（项）。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年初预算为656万元，支出决算为656.80万元，完成年初预算的101%。决算数大于年初预算数的主要原因是：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年中追加了建国初期参加工作医疗补助。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12、卫生健康支出（类）行政事业单位医疗（款）公务员医疗补助（项）。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年初预算为564万元，支出决算为564万元，完成年初预算的100%。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13、卫生健康支出（类）行政事业单位医疗（款）其他行政事业单位医疗支出（项）。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年初预算为0.8万元，支出决算为0.8万元，完成年初预算的100%。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14、住房保障支出（类）住房改革支出（款）住房公积金（项）。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年初预算为878万元，支出决算为881万元，完成年初预算的100%。决算数大于年初预算数的主要原因是：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年中追加了住房公积金。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15、住房保障支出（类）住房改革支出（款）购房补贴（项）。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年初预算为523.57万元，支出决算为549.75万元，完成年初预算的100%。决算数大于年初预算数的主要原因是：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年中追加了异地调动干部住房地区差补贴。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14536.68万元，其中：人员经费13214.62万元，占基本支出的90.91%,主要包括基本工资、津贴补贴、奖金、机关事业单位基本养老保险缴费、职工基本医疗保险缴费、公务员医疗补助缴费、住房公积金、离休费、退休费、抚恤金、生活补助等；公用经费1322.06万元，占基本支出的9.09%，主要包括办公费、印刷费、咨询费、手续费、水费、电费、邮电费、物业管理费、差旅费、维修费、培训费、公务接待费、工会经费、福利费、公务用车运行维护费、其他交通费用等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11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2021年度“三公”经费财政拨款支出预算为80万元，支出决算为78.24万元，完成预算的97.8%，其中：</w:t>
      </w:r>
    </w:p>
    <w:p>
      <w:pPr>
        <w:pStyle w:val="11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因公出国（境）费支出预算为0万元，支出决算为0万元。因公出国（境）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团组数及人数均为0。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公务接待费支出预算为2万元，支出决算为1.91万元，完成预算的95.5%，决算数小于预算数的主要原因是严格落实中共中央、国务院“过紧日子”的精神，对各项费用进行严格控制。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与上年相比增加0.33万元，增加20.89%,增加的主要原因是由于工作需要，公务接待有所增加。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公务用车购置费支出预算为29万元，支出决算为29万元，完成预算的100%。与上年相比增加12.97万元，增加80.91%,增加的主要原因是因工作需要新购别克商务车一辆。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49万元，支出决算为47.33万元，完成预算的96.59%，决算数小于预算数的主要原因是严格落实中共中央、国务院“过紧日子”的精神，对各项费用进行严格控制。与上年相比减少12.71万元，减少21.17%,减少的主要原因是严格控制，压减支出。</w:t>
      </w:r>
    </w:p>
    <w:p>
      <w:pPr>
        <w:pStyle w:val="11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2021年度“三公”经费财政拨款支出决算中，公务接待费支出决算1.91万元，占2.44%,因公出国（境）费支出决算0万元，公务用车购置费及运行维护费支出决算76.33万元，占97.56%。其中：</w:t>
      </w:r>
    </w:p>
    <w:p>
      <w:pPr>
        <w:pStyle w:val="11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1、本年因公出（境）费用支出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</w:rPr>
        <w:t>决算为0万元。因公出国（境）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团组数及人数均为0。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2、公务接待费支出决算为1.91万元，全年共接待来访团组25个、来宾261人次，主要是接待省内外办案、学习考察等发生的接待支出。</w:t>
      </w:r>
    </w:p>
    <w:p>
      <w:pPr>
        <w:ind w:firstLine="800" w:firstLineChars="250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3、公务用车购置费及运行维护费支出决算为76.33万元，其中：公务用车购置费29万元，更新执法执勤用车1辆</w:t>
      </w:r>
      <w:r>
        <w:rPr>
          <w:rFonts w:hint="eastAsia" w:asciiTheme="minorEastAsia" w:hAnsiTheme="minorEastAsia"/>
          <w:color w:val="000000" w:themeColor="text1"/>
          <w:sz w:val="32"/>
          <w:szCs w:val="32"/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公务用车运行维护费47.33万元，主要是公务车辆加油、维修等支出，截止2021年12月31日，我单位开支财政拨款的公务用车保有量为17辆。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11"/>
        <w:rPr>
          <w:rFonts w:asciiTheme="minorEastAsia" w:hAnsiTheme="minorEastAsia" w:eastAsia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</w:rPr>
        <w:t>本单位无政府性基金收支。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九、机关运行经费支出说明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本部门2021年度机关运行经费支出1322.06万元，比年初预算数增加62.06万元，增长4.93%。主要原因是：1、水、电、天然气费用增加； 2、因基数提高，增加了计提应付工会经费。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十、一般性支出情况说明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会议费0万元；开支培训费43万元，用于开展警衔晋升、能力素质及业务等培训，人数103人，内容为：1）、监狱警察警衔晋升及新警首授警衔培训支出42.24万元，人数74人；2）业务能力培训支出0.76万元，人数29人，包括会计继续教育培训、党务业务培训、党员发展对象培训。本部门无节庆、晚会、论坛、赛事活动经费预算及开支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十一、政府采购支出说明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额2465.40万元，其中：政府采购货物支出1788.65万元、政府采购工程支出559.91万元、政府采购服务支出116.84万元。授予中小企业合同金额2465.40万元，占政府采购支出总额的100%，其中：授予小微企业合同金额2440.43万元，占授予中小企业合同金额的98.99%；货物采购授予中小企业合同金额占货物支出金额的100%，工程采购授予中小企业合同金额占工程支出金额的100%，服务采购授予中小企业合同金额占服务支出金额的100%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十二、国有资产占用情况说明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2021年12月31日，本单位共有车辆17辆，其中，主要领导干部用车0辆，机要通信用车0辆、应急保障用车0辆、执法执勤用车16辆、其他用车1辆，其他用车主要是离退休干部用车；单位价值50万元以上通用设备4台（套）；单位价值100万元以上专用设备2台（套）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（一）绩效管理评价工作开展情况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为了切实提高财政资金使用效益，规范资金管理，根据</w:t>
      </w:r>
      <w:r>
        <w:rPr>
          <w:rFonts w:hint="eastAsia" w:ascii="宋体" w:hAnsi="宋体" w:eastAsia="宋体" w:cs="宋体"/>
          <w:sz w:val="32"/>
          <w:szCs w:val="32"/>
        </w:rPr>
        <w:t>《湖南省监狱管理局关于开展2021年度单位整体绩效自评工作的通知》、（湘财绩【2021】1号）精神，我狱成立了绩效自评工作小组，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对2021 年度部门整体支出开展全方面绩效自评</w:t>
      </w:r>
      <w:r>
        <w:rPr>
          <w:rFonts w:hint="eastAsia" w:ascii="宋体" w:hAnsi="宋体" w:eastAsia="宋体" w:cs="宋体"/>
          <w:sz w:val="32"/>
          <w:szCs w:val="32"/>
        </w:rPr>
        <w:t>。评价采用定量分析和定性分析相结合的方法，按年度预期目标和实际完成情况进行整体评价。</w:t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   从评价情况来看，完成情况较好，主要表现在以下几个方面：一是设置了明确的绩效目标，</w:t>
      </w:r>
      <w:r>
        <w:rPr>
          <w:rFonts w:hint="eastAsia" w:ascii="宋体" w:hAnsi="宋体" w:eastAsia="宋体" w:cs="宋体"/>
          <w:sz w:val="32"/>
          <w:szCs w:val="32"/>
        </w:rPr>
        <w:t>组织开展了财政资金绩效评价工作，增强了职能履行和重点工作经费的保障能力；二是加快了预算执行进度，提高了资金使用绩效；三是规范了财务管理，加强了财务监督检查，财务管理水平稳步提高。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（二）预算绩效管理目标</w:t>
      </w:r>
    </w:p>
    <w:p>
      <w:pPr>
        <w:ind w:firstLine="640" w:firstLineChars="200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坚持以习近平新时代中国特色社会主义思想为指导，深入贯彻党的十九大和十九届二中、三中、四中、五中、六中全会精神，学习贯彻习近平总书记重要指示和关于湖南工作系列重要讲话精神，落实党和政府“过紧日子”要求，持续推进智慧监狱建设，打造“平安、法治、智慧”的新型监狱。</w:t>
      </w:r>
    </w:p>
    <w:p>
      <w:pPr>
        <w:pStyle w:val="11"/>
        <w:ind w:firstLine="640" w:firstLineChars="2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（三）部门整体支出</w:t>
      </w:r>
      <w:r>
        <w:rPr>
          <w:rFonts w:ascii="宋体" w:hAnsi="宋体" w:eastAsia="宋体" w:cs="宋体"/>
          <w:b/>
          <w:bCs/>
          <w:sz w:val="32"/>
          <w:szCs w:val="32"/>
        </w:rPr>
        <w:t>绩效评价自评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2021年，我狱</w:t>
      </w:r>
      <w:r>
        <w:rPr>
          <w:rFonts w:hint="eastAsia"/>
          <w:sz w:val="32"/>
          <w:szCs w:val="32"/>
        </w:rPr>
        <w:t>对照考核指标，从产出指标、效益指标、满意度指标等方面对监狱2021年部门整体支出绩效开展了评价，预算自评得分99分，对照预算完成率标准自评扣1分。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1、我狱支出重点绩效情况如下：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480" w:firstLineChars="15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（1）运行成本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 xml:space="preserve">2021年，我狱根据相关工资标准支出人员经费，不超范围不超标准；严格落实省财政厅关于压减一般性支出相关规定，坚持厉行节约，遵守国家财务管理规定，“三重一大”严格审批，严格执行一般性公务支出标准，加快预算执行进度。  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（2）管理效率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一是监管秩序持续稳定。连续24年“四无”，连续20年无安全生产事故，全年实现“七个不发生”。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二是监管整治重拳出击。接续开展“百日监管安全竞赛”“安全大整治”“大坦白 大检举 大揭发”等专项活动，狠抓两违物品的清理、六类隐患的排查整改。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三是规范执法增强公信。开展集中攻坚，组织交叉评查，推进阳光整改，无一例适用法律不当或者违反法定程序。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四是疫情防控有力有效。坚决贯彻落实党中央国务院、省委省政府、省司法厅、省监狱管理局关于疫情防控的决策部署，常态化抓好疫情防控各项工作，监狱大门和办公楼坚持登记检查、验码测温；物资进监实行消毒、静置、转运；禁止工作人员出省、严控出市，因公外出严格按程序审批；提审及回监、收监罪犯全部落实14天隔离，疫情防控实现零输入、零感染、零报告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五是指挥体系提质升级。实现由“监控中心”向“指挥中心”的转变，指挥督查、安全预警、应急处突等职能充分发挥，多次得到省厅局领导充分肯定。2021年12月27日，我狱在司法部视频会议上介绍了指挥中心建设经验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b/>
          <w:bCs/>
          <w:kern w:val="2"/>
          <w:sz w:val="32"/>
          <w:szCs w:val="32"/>
        </w:rPr>
      </w:pPr>
      <w:r>
        <w:rPr>
          <w:rFonts w:hint="eastAsia"/>
          <w:b/>
          <w:bCs/>
          <w:kern w:val="2"/>
          <w:sz w:val="32"/>
          <w:szCs w:val="32"/>
        </w:rPr>
        <w:t>2、存在的问题及原因分析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2021年，我狱预算整体支出基本保证了各单位的正常运行和职能履行，但在工作中还存在一些困难和问题：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（1）经费保障存在不足。在过“紧日子”的长期工作方针下，进一步压减了一般性支出282万元，人均公用经费明显不足；由于疫情原因，我狱实行封闭执勤模式，防疫经费缺口较大。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2）项目支出执行进度有待提高。年末结转结余全部为项目结转结余，主要是扩建工程二期建设项目，影响预算执行率的主要原因：一方面由于设计变更的原因；另一方面是受到国内新冠疫情的影响，我狱采取全封闭执勤模式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b/>
          <w:bCs/>
          <w:kern w:val="2"/>
          <w:sz w:val="32"/>
          <w:szCs w:val="32"/>
        </w:rPr>
      </w:pPr>
      <w:r>
        <w:rPr>
          <w:rFonts w:hint="eastAsia"/>
          <w:b/>
          <w:bCs/>
          <w:kern w:val="2"/>
          <w:sz w:val="32"/>
          <w:szCs w:val="32"/>
        </w:rPr>
        <w:t>3、下一步改进措施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（1）基本支出预算方面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一是科学精细编制预算，对于经费缺口部分争取支持；二是坚决落实过紧日子要求，坚持厉行节约，严格执行财务管理制度。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（2）项目支出方面</w:t>
      </w:r>
    </w:p>
    <w:p>
      <w:pPr>
        <w:pStyle w:val="6"/>
        <w:autoSpaceDE w:val="0"/>
        <w:autoSpaceDN w:val="0"/>
        <w:snapToGrid w:val="0"/>
        <w:spacing w:before="0" w:beforeAutospacing="0" w:after="0" w:afterAutospacing="0" w:line="360" w:lineRule="auto"/>
        <w:ind w:firstLine="640" w:firstLineChars="200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进一步加强财务部门与项目管理部门的联动，宣传预算管理有关规定，增强预算管理意识，督促达到进度要求和合同付款条件的资金及时办理支付，加快预算执行进度。</w:t>
      </w: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纳入省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00" w:firstLineChars="200"/>
        <w:rPr>
          <w:rFonts w:cs="黑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黑体" w:asciiTheme="minorEastAsia" w:hAnsiTheme="minorEastAsia"/>
          <w:color w:val="000000"/>
          <w:kern w:val="0"/>
          <w:sz w:val="30"/>
          <w:szCs w:val="30"/>
        </w:rPr>
        <w:t>根据涉密信息管理要求，湖南省女子监狱2021年度部门整体支出绩效评价报告依法不予公开。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ZkYTk0NWU4MDJjNDUyNDI4YmJhOGQ4MTQzNjM3YmMifQ=="/>
  </w:docVars>
  <w:rsids>
    <w:rsidRoot w:val="004506F9"/>
    <w:rsid w:val="0000084E"/>
    <w:rsid w:val="000079BD"/>
    <w:rsid w:val="000220C8"/>
    <w:rsid w:val="0002229B"/>
    <w:rsid w:val="00023304"/>
    <w:rsid w:val="000273BD"/>
    <w:rsid w:val="0003025F"/>
    <w:rsid w:val="00032EBA"/>
    <w:rsid w:val="000415B7"/>
    <w:rsid w:val="00041E3F"/>
    <w:rsid w:val="00043E7B"/>
    <w:rsid w:val="00055DAA"/>
    <w:rsid w:val="000567DA"/>
    <w:rsid w:val="00061F7B"/>
    <w:rsid w:val="000658A3"/>
    <w:rsid w:val="00072C4F"/>
    <w:rsid w:val="00074155"/>
    <w:rsid w:val="000A3F69"/>
    <w:rsid w:val="000A5447"/>
    <w:rsid w:val="000D14CD"/>
    <w:rsid w:val="000D6E0C"/>
    <w:rsid w:val="000E6307"/>
    <w:rsid w:val="000F24A0"/>
    <w:rsid w:val="000F6AB3"/>
    <w:rsid w:val="00103957"/>
    <w:rsid w:val="0010767F"/>
    <w:rsid w:val="00120E4C"/>
    <w:rsid w:val="00122646"/>
    <w:rsid w:val="00133168"/>
    <w:rsid w:val="0014258B"/>
    <w:rsid w:val="00152542"/>
    <w:rsid w:val="00152C6D"/>
    <w:rsid w:val="001563E7"/>
    <w:rsid w:val="00162D39"/>
    <w:rsid w:val="001678BD"/>
    <w:rsid w:val="001761BD"/>
    <w:rsid w:val="001803AD"/>
    <w:rsid w:val="00192F27"/>
    <w:rsid w:val="001A15E6"/>
    <w:rsid w:val="001A67DB"/>
    <w:rsid w:val="001A7E68"/>
    <w:rsid w:val="001B1098"/>
    <w:rsid w:val="001B6C96"/>
    <w:rsid w:val="001C3C29"/>
    <w:rsid w:val="001D51E5"/>
    <w:rsid w:val="001E080D"/>
    <w:rsid w:val="001E53D0"/>
    <w:rsid w:val="001F0C3B"/>
    <w:rsid w:val="001F1D35"/>
    <w:rsid w:val="001F59D9"/>
    <w:rsid w:val="00202C82"/>
    <w:rsid w:val="00214427"/>
    <w:rsid w:val="00226CB7"/>
    <w:rsid w:val="002338F2"/>
    <w:rsid w:val="00245594"/>
    <w:rsid w:val="00250B52"/>
    <w:rsid w:val="002608B3"/>
    <w:rsid w:val="002616A7"/>
    <w:rsid w:val="00261E57"/>
    <w:rsid w:val="00264552"/>
    <w:rsid w:val="00264EF9"/>
    <w:rsid w:val="00265724"/>
    <w:rsid w:val="00266FEC"/>
    <w:rsid w:val="0027426B"/>
    <w:rsid w:val="00274B91"/>
    <w:rsid w:val="00285471"/>
    <w:rsid w:val="00290ED6"/>
    <w:rsid w:val="002B1BD0"/>
    <w:rsid w:val="002B6D3E"/>
    <w:rsid w:val="002B7163"/>
    <w:rsid w:val="002E0A30"/>
    <w:rsid w:val="00302814"/>
    <w:rsid w:val="00303C2D"/>
    <w:rsid w:val="003130C4"/>
    <w:rsid w:val="00316C4B"/>
    <w:rsid w:val="0032192B"/>
    <w:rsid w:val="00322D84"/>
    <w:rsid w:val="0034153E"/>
    <w:rsid w:val="00345ED5"/>
    <w:rsid w:val="003478FA"/>
    <w:rsid w:val="003479BD"/>
    <w:rsid w:val="00355902"/>
    <w:rsid w:val="00356008"/>
    <w:rsid w:val="0037197D"/>
    <w:rsid w:val="00373408"/>
    <w:rsid w:val="003768D5"/>
    <w:rsid w:val="003A3C7F"/>
    <w:rsid w:val="003C47E6"/>
    <w:rsid w:val="003C4FC2"/>
    <w:rsid w:val="003D721C"/>
    <w:rsid w:val="003E2575"/>
    <w:rsid w:val="003E6CA0"/>
    <w:rsid w:val="003F4341"/>
    <w:rsid w:val="00416E61"/>
    <w:rsid w:val="00424C26"/>
    <w:rsid w:val="0042790C"/>
    <w:rsid w:val="0044031C"/>
    <w:rsid w:val="004506F9"/>
    <w:rsid w:val="004536BE"/>
    <w:rsid w:val="00466805"/>
    <w:rsid w:val="00470CB8"/>
    <w:rsid w:val="004717A2"/>
    <w:rsid w:val="00473DF3"/>
    <w:rsid w:val="00487911"/>
    <w:rsid w:val="00491741"/>
    <w:rsid w:val="004A49FD"/>
    <w:rsid w:val="004A6957"/>
    <w:rsid w:val="004B24B8"/>
    <w:rsid w:val="004B471E"/>
    <w:rsid w:val="004B58A3"/>
    <w:rsid w:val="004D4F87"/>
    <w:rsid w:val="004D5D7F"/>
    <w:rsid w:val="004E2540"/>
    <w:rsid w:val="00500E5F"/>
    <w:rsid w:val="005122EF"/>
    <w:rsid w:val="0051441A"/>
    <w:rsid w:val="00517C33"/>
    <w:rsid w:val="00523644"/>
    <w:rsid w:val="005241A8"/>
    <w:rsid w:val="0053127E"/>
    <w:rsid w:val="0054069E"/>
    <w:rsid w:val="0054320B"/>
    <w:rsid w:val="00543241"/>
    <w:rsid w:val="00544866"/>
    <w:rsid w:val="00557945"/>
    <w:rsid w:val="00563C05"/>
    <w:rsid w:val="00573EB5"/>
    <w:rsid w:val="005767CC"/>
    <w:rsid w:val="00590D8D"/>
    <w:rsid w:val="00590D9F"/>
    <w:rsid w:val="00595D26"/>
    <w:rsid w:val="005A1065"/>
    <w:rsid w:val="005A74E6"/>
    <w:rsid w:val="005B404E"/>
    <w:rsid w:val="005C6380"/>
    <w:rsid w:val="005D4D55"/>
    <w:rsid w:val="005E2CFB"/>
    <w:rsid w:val="005E69F6"/>
    <w:rsid w:val="005F3D1C"/>
    <w:rsid w:val="0061126E"/>
    <w:rsid w:val="0061285C"/>
    <w:rsid w:val="0062378F"/>
    <w:rsid w:val="00630102"/>
    <w:rsid w:val="00637D73"/>
    <w:rsid w:val="00641842"/>
    <w:rsid w:val="00651EEC"/>
    <w:rsid w:val="00664490"/>
    <w:rsid w:val="006656C7"/>
    <w:rsid w:val="00686673"/>
    <w:rsid w:val="00691E8C"/>
    <w:rsid w:val="006A22C4"/>
    <w:rsid w:val="006A351B"/>
    <w:rsid w:val="006A35BA"/>
    <w:rsid w:val="006B0422"/>
    <w:rsid w:val="006C0068"/>
    <w:rsid w:val="006C1B53"/>
    <w:rsid w:val="006C6CAD"/>
    <w:rsid w:val="006D3F93"/>
    <w:rsid w:val="006D62D9"/>
    <w:rsid w:val="006D7730"/>
    <w:rsid w:val="006E190E"/>
    <w:rsid w:val="006E5284"/>
    <w:rsid w:val="006F3EB5"/>
    <w:rsid w:val="00702E34"/>
    <w:rsid w:val="00704395"/>
    <w:rsid w:val="00713551"/>
    <w:rsid w:val="00717621"/>
    <w:rsid w:val="00720FF1"/>
    <w:rsid w:val="007220C3"/>
    <w:rsid w:val="0072306D"/>
    <w:rsid w:val="00727A53"/>
    <w:rsid w:val="00734F55"/>
    <w:rsid w:val="00773B25"/>
    <w:rsid w:val="00774ACF"/>
    <w:rsid w:val="00787B42"/>
    <w:rsid w:val="007A1577"/>
    <w:rsid w:val="007A36D3"/>
    <w:rsid w:val="007A46D0"/>
    <w:rsid w:val="007A7292"/>
    <w:rsid w:val="007C1737"/>
    <w:rsid w:val="007C1E28"/>
    <w:rsid w:val="007C3706"/>
    <w:rsid w:val="007C4539"/>
    <w:rsid w:val="007D1903"/>
    <w:rsid w:val="007D29FE"/>
    <w:rsid w:val="007D3291"/>
    <w:rsid w:val="007F2760"/>
    <w:rsid w:val="007F3657"/>
    <w:rsid w:val="00800430"/>
    <w:rsid w:val="00812ECF"/>
    <w:rsid w:val="00812ED5"/>
    <w:rsid w:val="00817268"/>
    <w:rsid w:val="008277D9"/>
    <w:rsid w:val="008277F9"/>
    <w:rsid w:val="00833215"/>
    <w:rsid w:val="00833AF6"/>
    <w:rsid w:val="0084478C"/>
    <w:rsid w:val="0086638C"/>
    <w:rsid w:val="00883546"/>
    <w:rsid w:val="00897C29"/>
    <w:rsid w:val="008A3E8D"/>
    <w:rsid w:val="008B3918"/>
    <w:rsid w:val="008B644F"/>
    <w:rsid w:val="008C1411"/>
    <w:rsid w:val="008C426E"/>
    <w:rsid w:val="008E1F8B"/>
    <w:rsid w:val="008E7BBC"/>
    <w:rsid w:val="008F60A3"/>
    <w:rsid w:val="008F656E"/>
    <w:rsid w:val="009237C4"/>
    <w:rsid w:val="00927FF2"/>
    <w:rsid w:val="00940AB3"/>
    <w:rsid w:val="00944C48"/>
    <w:rsid w:val="00950252"/>
    <w:rsid w:val="0095138D"/>
    <w:rsid w:val="00962276"/>
    <w:rsid w:val="00967F5D"/>
    <w:rsid w:val="009812CE"/>
    <w:rsid w:val="00986282"/>
    <w:rsid w:val="009A0F95"/>
    <w:rsid w:val="009A3077"/>
    <w:rsid w:val="009A543F"/>
    <w:rsid w:val="009B3ADF"/>
    <w:rsid w:val="009C3B52"/>
    <w:rsid w:val="009C50A7"/>
    <w:rsid w:val="009D2419"/>
    <w:rsid w:val="009D33CA"/>
    <w:rsid w:val="009D3C7E"/>
    <w:rsid w:val="009E6817"/>
    <w:rsid w:val="009E6DD6"/>
    <w:rsid w:val="009E6E9A"/>
    <w:rsid w:val="009F5FD3"/>
    <w:rsid w:val="00A01D2B"/>
    <w:rsid w:val="00A15038"/>
    <w:rsid w:val="00A22C5E"/>
    <w:rsid w:val="00A23A0E"/>
    <w:rsid w:val="00A3020E"/>
    <w:rsid w:val="00A42218"/>
    <w:rsid w:val="00A5625D"/>
    <w:rsid w:val="00A66975"/>
    <w:rsid w:val="00A70249"/>
    <w:rsid w:val="00A70B02"/>
    <w:rsid w:val="00A71D9F"/>
    <w:rsid w:val="00A7553A"/>
    <w:rsid w:val="00A80E24"/>
    <w:rsid w:val="00A92E9F"/>
    <w:rsid w:val="00AA1577"/>
    <w:rsid w:val="00AD046F"/>
    <w:rsid w:val="00AF0DFA"/>
    <w:rsid w:val="00AF607E"/>
    <w:rsid w:val="00B06066"/>
    <w:rsid w:val="00B14842"/>
    <w:rsid w:val="00B15BA3"/>
    <w:rsid w:val="00B32064"/>
    <w:rsid w:val="00B33BEA"/>
    <w:rsid w:val="00B34374"/>
    <w:rsid w:val="00B4315B"/>
    <w:rsid w:val="00B57C9F"/>
    <w:rsid w:val="00B63572"/>
    <w:rsid w:val="00B741C0"/>
    <w:rsid w:val="00B83217"/>
    <w:rsid w:val="00B845B3"/>
    <w:rsid w:val="00B84E4B"/>
    <w:rsid w:val="00B85D8B"/>
    <w:rsid w:val="00B87FE1"/>
    <w:rsid w:val="00BA7088"/>
    <w:rsid w:val="00BB1EEE"/>
    <w:rsid w:val="00BB4A40"/>
    <w:rsid w:val="00BC2CC4"/>
    <w:rsid w:val="00BD25BA"/>
    <w:rsid w:val="00BD6C3E"/>
    <w:rsid w:val="00BD7C61"/>
    <w:rsid w:val="00BE08E0"/>
    <w:rsid w:val="00BE1A94"/>
    <w:rsid w:val="00BE3674"/>
    <w:rsid w:val="00C10681"/>
    <w:rsid w:val="00C21F63"/>
    <w:rsid w:val="00C3049A"/>
    <w:rsid w:val="00C31B1E"/>
    <w:rsid w:val="00C40B0A"/>
    <w:rsid w:val="00C50FEC"/>
    <w:rsid w:val="00C70EC7"/>
    <w:rsid w:val="00C76E9D"/>
    <w:rsid w:val="00C77368"/>
    <w:rsid w:val="00C77645"/>
    <w:rsid w:val="00C91AE6"/>
    <w:rsid w:val="00CA0BC9"/>
    <w:rsid w:val="00CA7F70"/>
    <w:rsid w:val="00CD651F"/>
    <w:rsid w:val="00CE04C3"/>
    <w:rsid w:val="00CE2985"/>
    <w:rsid w:val="00CE76A0"/>
    <w:rsid w:val="00CF7693"/>
    <w:rsid w:val="00D0180F"/>
    <w:rsid w:val="00D148C6"/>
    <w:rsid w:val="00D17A8A"/>
    <w:rsid w:val="00D35383"/>
    <w:rsid w:val="00D35885"/>
    <w:rsid w:val="00D37CFC"/>
    <w:rsid w:val="00D415BA"/>
    <w:rsid w:val="00D5710A"/>
    <w:rsid w:val="00D644EE"/>
    <w:rsid w:val="00D82738"/>
    <w:rsid w:val="00DB0E66"/>
    <w:rsid w:val="00DB1675"/>
    <w:rsid w:val="00DB3840"/>
    <w:rsid w:val="00DD06FF"/>
    <w:rsid w:val="00DD4D1E"/>
    <w:rsid w:val="00DD5FE9"/>
    <w:rsid w:val="00DE7299"/>
    <w:rsid w:val="00DF4952"/>
    <w:rsid w:val="00DF7A5B"/>
    <w:rsid w:val="00E00C7A"/>
    <w:rsid w:val="00E37D6C"/>
    <w:rsid w:val="00E509A3"/>
    <w:rsid w:val="00E55B68"/>
    <w:rsid w:val="00E6042D"/>
    <w:rsid w:val="00E67BE6"/>
    <w:rsid w:val="00E723AC"/>
    <w:rsid w:val="00E8683C"/>
    <w:rsid w:val="00E9666F"/>
    <w:rsid w:val="00EA0FE2"/>
    <w:rsid w:val="00EA2B72"/>
    <w:rsid w:val="00EB6B14"/>
    <w:rsid w:val="00EC134E"/>
    <w:rsid w:val="00EC52DF"/>
    <w:rsid w:val="00EC5393"/>
    <w:rsid w:val="00ED43FF"/>
    <w:rsid w:val="00EE0291"/>
    <w:rsid w:val="00EF5400"/>
    <w:rsid w:val="00F03B30"/>
    <w:rsid w:val="00F30BD5"/>
    <w:rsid w:val="00F41EA8"/>
    <w:rsid w:val="00F56082"/>
    <w:rsid w:val="00F66F31"/>
    <w:rsid w:val="00F74360"/>
    <w:rsid w:val="00F85224"/>
    <w:rsid w:val="00FA1953"/>
    <w:rsid w:val="00FA6264"/>
    <w:rsid w:val="00FB4547"/>
    <w:rsid w:val="00FB462F"/>
    <w:rsid w:val="00FB46C3"/>
    <w:rsid w:val="00FD2B07"/>
    <w:rsid w:val="00FE16FA"/>
    <w:rsid w:val="00FE328A"/>
    <w:rsid w:val="00FE6269"/>
    <w:rsid w:val="00FF0FFB"/>
    <w:rsid w:val="00FF5CD6"/>
    <w:rsid w:val="010A29DC"/>
    <w:rsid w:val="0156352C"/>
    <w:rsid w:val="01670A82"/>
    <w:rsid w:val="019410BF"/>
    <w:rsid w:val="01A70776"/>
    <w:rsid w:val="01BA46E8"/>
    <w:rsid w:val="01C01408"/>
    <w:rsid w:val="01C81F50"/>
    <w:rsid w:val="01CF717C"/>
    <w:rsid w:val="020967F0"/>
    <w:rsid w:val="021147E8"/>
    <w:rsid w:val="0261662C"/>
    <w:rsid w:val="0263753E"/>
    <w:rsid w:val="028D5673"/>
    <w:rsid w:val="02AD7AC3"/>
    <w:rsid w:val="02BB02C9"/>
    <w:rsid w:val="02C87F5E"/>
    <w:rsid w:val="02D1348B"/>
    <w:rsid w:val="02EA4873"/>
    <w:rsid w:val="032633D2"/>
    <w:rsid w:val="032D2FCB"/>
    <w:rsid w:val="03411FB9"/>
    <w:rsid w:val="034D095E"/>
    <w:rsid w:val="037E320E"/>
    <w:rsid w:val="04097F2D"/>
    <w:rsid w:val="047D5273"/>
    <w:rsid w:val="04F03C97"/>
    <w:rsid w:val="04FA5D7B"/>
    <w:rsid w:val="050A096A"/>
    <w:rsid w:val="051A11B8"/>
    <w:rsid w:val="052971A9"/>
    <w:rsid w:val="052C3019"/>
    <w:rsid w:val="05622A05"/>
    <w:rsid w:val="05A32554"/>
    <w:rsid w:val="05BD626F"/>
    <w:rsid w:val="05D34772"/>
    <w:rsid w:val="05FB6D97"/>
    <w:rsid w:val="0639341C"/>
    <w:rsid w:val="064A387B"/>
    <w:rsid w:val="069E5C45"/>
    <w:rsid w:val="06AA5347"/>
    <w:rsid w:val="06B846F6"/>
    <w:rsid w:val="06E15F8D"/>
    <w:rsid w:val="070B6B66"/>
    <w:rsid w:val="072C7F1A"/>
    <w:rsid w:val="075F6EB2"/>
    <w:rsid w:val="079A6055"/>
    <w:rsid w:val="07AC4BC3"/>
    <w:rsid w:val="07D63618"/>
    <w:rsid w:val="08105186"/>
    <w:rsid w:val="084E7652"/>
    <w:rsid w:val="08602135"/>
    <w:rsid w:val="086230FE"/>
    <w:rsid w:val="089A2612"/>
    <w:rsid w:val="08D307E7"/>
    <w:rsid w:val="09016792"/>
    <w:rsid w:val="092959CA"/>
    <w:rsid w:val="092B34F0"/>
    <w:rsid w:val="09347AAB"/>
    <w:rsid w:val="09E35B78"/>
    <w:rsid w:val="0ADD225C"/>
    <w:rsid w:val="0AF94752"/>
    <w:rsid w:val="0B024724"/>
    <w:rsid w:val="0B5837CA"/>
    <w:rsid w:val="0B786794"/>
    <w:rsid w:val="0B8A37E2"/>
    <w:rsid w:val="0BD7795D"/>
    <w:rsid w:val="0C047917"/>
    <w:rsid w:val="0C112E71"/>
    <w:rsid w:val="0C122745"/>
    <w:rsid w:val="0C1E733C"/>
    <w:rsid w:val="0C2F32F7"/>
    <w:rsid w:val="0C5A30B9"/>
    <w:rsid w:val="0C746B58"/>
    <w:rsid w:val="0C9870EE"/>
    <w:rsid w:val="0CB100FE"/>
    <w:rsid w:val="0CE95405"/>
    <w:rsid w:val="0CF31637"/>
    <w:rsid w:val="0D1D3A97"/>
    <w:rsid w:val="0D3F756A"/>
    <w:rsid w:val="0D645222"/>
    <w:rsid w:val="0DC35DF5"/>
    <w:rsid w:val="0DEB68AC"/>
    <w:rsid w:val="0DEF3649"/>
    <w:rsid w:val="0DF22A14"/>
    <w:rsid w:val="0E071619"/>
    <w:rsid w:val="0E25283D"/>
    <w:rsid w:val="0E341099"/>
    <w:rsid w:val="0E417312"/>
    <w:rsid w:val="0E5E6115"/>
    <w:rsid w:val="0E651252"/>
    <w:rsid w:val="0E690D86"/>
    <w:rsid w:val="0E6F26E7"/>
    <w:rsid w:val="0E8D69FB"/>
    <w:rsid w:val="0EA57A1B"/>
    <w:rsid w:val="0ECE329B"/>
    <w:rsid w:val="0EF12AE6"/>
    <w:rsid w:val="0EF83E74"/>
    <w:rsid w:val="0EFE379F"/>
    <w:rsid w:val="0F8C504B"/>
    <w:rsid w:val="0F9F2542"/>
    <w:rsid w:val="0FA1275E"/>
    <w:rsid w:val="0FBD0C1A"/>
    <w:rsid w:val="0FE64ECE"/>
    <w:rsid w:val="10843731"/>
    <w:rsid w:val="10F479B5"/>
    <w:rsid w:val="110A7E8F"/>
    <w:rsid w:val="110C1E59"/>
    <w:rsid w:val="110F4440"/>
    <w:rsid w:val="11545714"/>
    <w:rsid w:val="116E48C1"/>
    <w:rsid w:val="11A26319"/>
    <w:rsid w:val="11B76268"/>
    <w:rsid w:val="11D87CBB"/>
    <w:rsid w:val="11F052D6"/>
    <w:rsid w:val="12032D8E"/>
    <w:rsid w:val="12077C5D"/>
    <w:rsid w:val="121C431D"/>
    <w:rsid w:val="12527A9D"/>
    <w:rsid w:val="12723F3D"/>
    <w:rsid w:val="128E689D"/>
    <w:rsid w:val="12A32349"/>
    <w:rsid w:val="12B10F0A"/>
    <w:rsid w:val="12FA460A"/>
    <w:rsid w:val="1303413D"/>
    <w:rsid w:val="13160D6D"/>
    <w:rsid w:val="13223BB5"/>
    <w:rsid w:val="132765AE"/>
    <w:rsid w:val="13280AA0"/>
    <w:rsid w:val="13345697"/>
    <w:rsid w:val="13477178"/>
    <w:rsid w:val="134E6759"/>
    <w:rsid w:val="134F24D1"/>
    <w:rsid w:val="13587D04"/>
    <w:rsid w:val="1363779B"/>
    <w:rsid w:val="1379754E"/>
    <w:rsid w:val="137A57A0"/>
    <w:rsid w:val="139E05DB"/>
    <w:rsid w:val="144756D5"/>
    <w:rsid w:val="147E306D"/>
    <w:rsid w:val="147F212D"/>
    <w:rsid w:val="14805BB9"/>
    <w:rsid w:val="149C34F4"/>
    <w:rsid w:val="14A034E5"/>
    <w:rsid w:val="14CD457F"/>
    <w:rsid w:val="14D20CEF"/>
    <w:rsid w:val="14F128EC"/>
    <w:rsid w:val="14FB2910"/>
    <w:rsid w:val="14FC0436"/>
    <w:rsid w:val="1517701E"/>
    <w:rsid w:val="15393438"/>
    <w:rsid w:val="1548367B"/>
    <w:rsid w:val="156A35F2"/>
    <w:rsid w:val="156F3340"/>
    <w:rsid w:val="15D27D0A"/>
    <w:rsid w:val="16472E64"/>
    <w:rsid w:val="165A3666"/>
    <w:rsid w:val="165F5DEB"/>
    <w:rsid w:val="167B02CC"/>
    <w:rsid w:val="16C60872"/>
    <w:rsid w:val="16E32627"/>
    <w:rsid w:val="16FC0D84"/>
    <w:rsid w:val="16FC471D"/>
    <w:rsid w:val="1702020F"/>
    <w:rsid w:val="17051824"/>
    <w:rsid w:val="176127D3"/>
    <w:rsid w:val="178D1819"/>
    <w:rsid w:val="179443C1"/>
    <w:rsid w:val="17C83648"/>
    <w:rsid w:val="17D553A4"/>
    <w:rsid w:val="17FC5796"/>
    <w:rsid w:val="17FF10A8"/>
    <w:rsid w:val="180715CC"/>
    <w:rsid w:val="182170F4"/>
    <w:rsid w:val="18BD7EC9"/>
    <w:rsid w:val="18F76B7F"/>
    <w:rsid w:val="191E6BCD"/>
    <w:rsid w:val="194C39B8"/>
    <w:rsid w:val="19D46B2E"/>
    <w:rsid w:val="1A0A53A3"/>
    <w:rsid w:val="1A4462D8"/>
    <w:rsid w:val="1A465BCE"/>
    <w:rsid w:val="1A632854"/>
    <w:rsid w:val="1A760443"/>
    <w:rsid w:val="1A8A3DEE"/>
    <w:rsid w:val="1AB07CF9"/>
    <w:rsid w:val="1AC35C7E"/>
    <w:rsid w:val="1AC64164"/>
    <w:rsid w:val="1AC7623C"/>
    <w:rsid w:val="1AC9700C"/>
    <w:rsid w:val="1B043BA1"/>
    <w:rsid w:val="1B1B1CEB"/>
    <w:rsid w:val="1B354592"/>
    <w:rsid w:val="1B416BA3"/>
    <w:rsid w:val="1B473D10"/>
    <w:rsid w:val="1B6455F8"/>
    <w:rsid w:val="1BA361B3"/>
    <w:rsid w:val="1BBE4697"/>
    <w:rsid w:val="1BD9327F"/>
    <w:rsid w:val="1C5D17BA"/>
    <w:rsid w:val="1C9F6277"/>
    <w:rsid w:val="1CA50CF5"/>
    <w:rsid w:val="1CD40993"/>
    <w:rsid w:val="1CDA254D"/>
    <w:rsid w:val="1E036392"/>
    <w:rsid w:val="1E0839A8"/>
    <w:rsid w:val="1E0E221F"/>
    <w:rsid w:val="1E2307E2"/>
    <w:rsid w:val="1E34479D"/>
    <w:rsid w:val="1E5976B1"/>
    <w:rsid w:val="1E984D2C"/>
    <w:rsid w:val="1EB66D49"/>
    <w:rsid w:val="1EE2069D"/>
    <w:rsid w:val="1EF700B0"/>
    <w:rsid w:val="1F1734B5"/>
    <w:rsid w:val="1F1D6B9D"/>
    <w:rsid w:val="1F3F5AEF"/>
    <w:rsid w:val="1F6B68E4"/>
    <w:rsid w:val="1F7B4EEB"/>
    <w:rsid w:val="203C3DDD"/>
    <w:rsid w:val="20542ED4"/>
    <w:rsid w:val="207253C3"/>
    <w:rsid w:val="208B671B"/>
    <w:rsid w:val="20914128"/>
    <w:rsid w:val="20D81D57"/>
    <w:rsid w:val="20E73D4E"/>
    <w:rsid w:val="20EA3839"/>
    <w:rsid w:val="212C1C63"/>
    <w:rsid w:val="21507B40"/>
    <w:rsid w:val="215343A9"/>
    <w:rsid w:val="2164183D"/>
    <w:rsid w:val="21785160"/>
    <w:rsid w:val="21A63F44"/>
    <w:rsid w:val="21B07443"/>
    <w:rsid w:val="21B207FA"/>
    <w:rsid w:val="2206331B"/>
    <w:rsid w:val="221072CF"/>
    <w:rsid w:val="223D0CAB"/>
    <w:rsid w:val="224B1086"/>
    <w:rsid w:val="22890CA1"/>
    <w:rsid w:val="22C72083"/>
    <w:rsid w:val="22F56BF1"/>
    <w:rsid w:val="23057C2B"/>
    <w:rsid w:val="23DD7477"/>
    <w:rsid w:val="242A28CA"/>
    <w:rsid w:val="243553EE"/>
    <w:rsid w:val="243C4AFE"/>
    <w:rsid w:val="24413261"/>
    <w:rsid w:val="244A6AC8"/>
    <w:rsid w:val="24661428"/>
    <w:rsid w:val="248144B4"/>
    <w:rsid w:val="24A62000"/>
    <w:rsid w:val="24AA57B9"/>
    <w:rsid w:val="24B93C4E"/>
    <w:rsid w:val="251A6F9D"/>
    <w:rsid w:val="257858B7"/>
    <w:rsid w:val="257D2ECD"/>
    <w:rsid w:val="258646A2"/>
    <w:rsid w:val="258778A8"/>
    <w:rsid w:val="25A161F7"/>
    <w:rsid w:val="25CE197B"/>
    <w:rsid w:val="25DF76E4"/>
    <w:rsid w:val="26325A66"/>
    <w:rsid w:val="26391443"/>
    <w:rsid w:val="263B442D"/>
    <w:rsid w:val="26485289"/>
    <w:rsid w:val="26591245"/>
    <w:rsid w:val="26627F81"/>
    <w:rsid w:val="267420D4"/>
    <w:rsid w:val="269E1C9F"/>
    <w:rsid w:val="27225FF3"/>
    <w:rsid w:val="275F6D2E"/>
    <w:rsid w:val="276D00F6"/>
    <w:rsid w:val="2786250D"/>
    <w:rsid w:val="27C923FA"/>
    <w:rsid w:val="27C93474"/>
    <w:rsid w:val="27CA6A5C"/>
    <w:rsid w:val="27E234BC"/>
    <w:rsid w:val="28007F78"/>
    <w:rsid w:val="28096C9A"/>
    <w:rsid w:val="280C45C4"/>
    <w:rsid w:val="283C7070"/>
    <w:rsid w:val="288A43EC"/>
    <w:rsid w:val="288B5508"/>
    <w:rsid w:val="28BA7F95"/>
    <w:rsid w:val="28D42E04"/>
    <w:rsid w:val="29482C86"/>
    <w:rsid w:val="294D7365"/>
    <w:rsid w:val="29656389"/>
    <w:rsid w:val="299D77A8"/>
    <w:rsid w:val="299E3412"/>
    <w:rsid w:val="29AC3769"/>
    <w:rsid w:val="29C86A5E"/>
    <w:rsid w:val="2A157B78"/>
    <w:rsid w:val="2A465F84"/>
    <w:rsid w:val="2A7E3970"/>
    <w:rsid w:val="2A8841B2"/>
    <w:rsid w:val="2A970393"/>
    <w:rsid w:val="2AA54677"/>
    <w:rsid w:val="2AB6081A"/>
    <w:rsid w:val="2AD42A28"/>
    <w:rsid w:val="2ADB2B70"/>
    <w:rsid w:val="2AFB6A57"/>
    <w:rsid w:val="2B343322"/>
    <w:rsid w:val="2B401458"/>
    <w:rsid w:val="2B536D24"/>
    <w:rsid w:val="2B8A4AED"/>
    <w:rsid w:val="2BB1567F"/>
    <w:rsid w:val="2BE21CDC"/>
    <w:rsid w:val="2BFA0DD4"/>
    <w:rsid w:val="2C2C2F57"/>
    <w:rsid w:val="2C412EA7"/>
    <w:rsid w:val="2C6941AB"/>
    <w:rsid w:val="2D055924"/>
    <w:rsid w:val="2D095047"/>
    <w:rsid w:val="2D766B80"/>
    <w:rsid w:val="2DBB3E15"/>
    <w:rsid w:val="2DBD47AF"/>
    <w:rsid w:val="2DC25921"/>
    <w:rsid w:val="2DE56FB5"/>
    <w:rsid w:val="2E132F9D"/>
    <w:rsid w:val="2E390E23"/>
    <w:rsid w:val="2E3A5F56"/>
    <w:rsid w:val="2E54340A"/>
    <w:rsid w:val="2E6652A7"/>
    <w:rsid w:val="2E853EB9"/>
    <w:rsid w:val="2EB72FAC"/>
    <w:rsid w:val="2EBE7BB1"/>
    <w:rsid w:val="2ED55B28"/>
    <w:rsid w:val="2EE065AE"/>
    <w:rsid w:val="2EE10029"/>
    <w:rsid w:val="2EED69CE"/>
    <w:rsid w:val="2EF35FAE"/>
    <w:rsid w:val="2F141E0B"/>
    <w:rsid w:val="2F2D326E"/>
    <w:rsid w:val="2F3864A5"/>
    <w:rsid w:val="2F3F11F4"/>
    <w:rsid w:val="2F45137B"/>
    <w:rsid w:val="2F4871AE"/>
    <w:rsid w:val="2F5078B1"/>
    <w:rsid w:val="2F603644"/>
    <w:rsid w:val="2F866E22"/>
    <w:rsid w:val="2FAC6167"/>
    <w:rsid w:val="2FB6712A"/>
    <w:rsid w:val="2FD05B47"/>
    <w:rsid w:val="2FEF6776"/>
    <w:rsid w:val="30297EDA"/>
    <w:rsid w:val="302D08EE"/>
    <w:rsid w:val="30B17ECF"/>
    <w:rsid w:val="30B359F5"/>
    <w:rsid w:val="30C916BD"/>
    <w:rsid w:val="311952C0"/>
    <w:rsid w:val="315E1E05"/>
    <w:rsid w:val="319B4B09"/>
    <w:rsid w:val="31BB7257"/>
    <w:rsid w:val="324A4137"/>
    <w:rsid w:val="32655415"/>
    <w:rsid w:val="32755658"/>
    <w:rsid w:val="327B0CEF"/>
    <w:rsid w:val="327B69E7"/>
    <w:rsid w:val="329655CE"/>
    <w:rsid w:val="32A56069"/>
    <w:rsid w:val="32AA0637"/>
    <w:rsid w:val="32FB7A52"/>
    <w:rsid w:val="330662B0"/>
    <w:rsid w:val="33093FF2"/>
    <w:rsid w:val="33AA7583"/>
    <w:rsid w:val="33D740F0"/>
    <w:rsid w:val="33DA14EB"/>
    <w:rsid w:val="34192013"/>
    <w:rsid w:val="341F54AF"/>
    <w:rsid w:val="34420458"/>
    <w:rsid w:val="34637732"/>
    <w:rsid w:val="34E977A8"/>
    <w:rsid w:val="353B650D"/>
    <w:rsid w:val="35417A73"/>
    <w:rsid w:val="3575596F"/>
    <w:rsid w:val="35973B37"/>
    <w:rsid w:val="359B1157"/>
    <w:rsid w:val="35B106EA"/>
    <w:rsid w:val="35C661CB"/>
    <w:rsid w:val="35C671EE"/>
    <w:rsid w:val="35FA4954"/>
    <w:rsid w:val="36A36BC7"/>
    <w:rsid w:val="36C02C1A"/>
    <w:rsid w:val="36C24BE4"/>
    <w:rsid w:val="36C24EF5"/>
    <w:rsid w:val="36CA3A99"/>
    <w:rsid w:val="36CF3170"/>
    <w:rsid w:val="36D668E1"/>
    <w:rsid w:val="36F31670"/>
    <w:rsid w:val="372059F3"/>
    <w:rsid w:val="37214C01"/>
    <w:rsid w:val="373A2C71"/>
    <w:rsid w:val="3765503C"/>
    <w:rsid w:val="379E73FF"/>
    <w:rsid w:val="37B02F5B"/>
    <w:rsid w:val="37B24C58"/>
    <w:rsid w:val="37B564F7"/>
    <w:rsid w:val="37BC6A06"/>
    <w:rsid w:val="37BF2ED1"/>
    <w:rsid w:val="37FD4F83"/>
    <w:rsid w:val="382953DF"/>
    <w:rsid w:val="383C555A"/>
    <w:rsid w:val="38466530"/>
    <w:rsid w:val="38885D87"/>
    <w:rsid w:val="388C7258"/>
    <w:rsid w:val="38932945"/>
    <w:rsid w:val="38BD1B07"/>
    <w:rsid w:val="38CD7870"/>
    <w:rsid w:val="38DD7AB3"/>
    <w:rsid w:val="38DE55D9"/>
    <w:rsid w:val="39163F96"/>
    <w:rsid w:val="39235875"/>
    <w:rsid w:val="393D49F6"/>
    <w:rsid w:val="398E0DAD"/>
    <w:rsid w:val="39B56FB6"/>
    <w:rsid w:val="39CD7B28"/>
    <w:rsid w:val="39F8091D"/>
    <w:rsid w:val="3A4E01EC"/>
    <w:rsid w:val="3AB331C1"/>
    <w:rsid w:val="3AF45588"/>
    <w:rsid w:val="3B245E6D"/>
    <w:rsid w:val="3B24771C"/>
    <w:rsid w:val="3B300AB3"/>
    <w:rsid w:val="3B356CFA"/>
    <w:rsid w:val="3B4E4C98"/>
    <w:rsid w:val="3BBA40DC"/>
    <w:rsid w:val="3C1001A0"/>
    <w:rsid w:val="3C2B4B00"/>
    <w:rsid w:val="3C30439E"/>
    <w:rsid w:val="3C635200"/>
    <w:rsid w:val="3C834E15"/>
    <w:rsid w:val="3C992ADD"/>
    <w:rsid w:val="3CBE5E4E"/>
    <w:rsid w:val="3CCB40C7"/>
    <w:rsid w:val="3D10713C"/>
    <w:rsid w:val="3D2263DC"/>
    <w:rsid w:val="3D2E5AB4"/>
    <w:rsid w:val="3D335347"/>
    <w:rsid w:val="3D345BC8"/>
    <w:rsid w:val="3DCC6348"/>
    <w:rsid w:val="3DE01B5A"/>
    <w:rsid w:val="3DF17B5D"/>
    <w:rsid w:val="3E0E4BB3"/>
    <w:rsid w:val="3E2B12C1"/>
    <w:rsid w:val="3E2B7513"/>
    <w:rsid w:val="3E4F1453"/>
    <w:rsid w:val="3E587E3F"/>
    <w:rsid w:val="3E8B7AFF"/>
    <w:rsid w:val="3E90783B"/>
    <w:rsid w:val="3E99447C"/>
    <w:rsid w:val="3EE21833"/>
    <w:rsid w:val="3F0062A9"/>
    <w:rsid w:val="3F295ADE"/>
    <w:rsid w:val="3F473ED8"/>
    <w:rsid w:val="3F704899"/>
    <w:rsid w:val="3F867014"/>
    <w:rsid w:val="3F9133A5"/>
    <w:rsid w:val="3FD5414A"/>
    <w:rsid w:val="3FD83B5C"/>
    <w:rsid w:val="3FEA29BE"/>
    <w:rsid w:val="401E564B"/>
    <w:rsid w:val="401F30A7"/>
    <w:rsid w:val="402C30CE"/>
    <w:rsid w:val="40354679"/>
    <w:rsid w:val="40AF26D7"/>
    <w:rsid w:val="40E33694"/>
    <w:rsid w:val="41000AFE"/>
    <w:rsid w:val="41076015"/>
    <w:rsid w:val="411C1395"/>
    <w:rsid w:val="417054AB"/>
    <w:rsid w:val="417B430D"/>
    <w:rsid w:val="41872CB2"/>
    <w:rsid w:val="418B0559"/>
    <w:rsid w:val="41A05B22"/>
    <w:rsid w:val="41A53138"/>
    <w:rsid w:val="41BE41FA"/>
    <w:rsid w:val="41D914B8"/>
    <w:rsid w:val="42664FBD"/>
    <w:rsid w:val="42674891"/>
    <w:rsid w:val="426B25D4"/>
    <w:rsid w:val="42707BEA"/>
    <w:rsid w:val="427157FD"/>
    <w:rsid w:val="42795024"/>
    <w:rsid w:val="428B2B3E"/>
    <w:rsid w:val="42D812EB"/>
    <w:rsid w:val="42DA32B5"/>
    <w:rsid w:val="43010842"/>
    <w:rsid w:val="43263FCE"/>
    <w:rsid w:val="433A3D54"/>
    <w:rsid w:val="435941F1"/>
    <w:rsid w:val="43663E2C"/>
    <w:rsid w:val="43756202"/>
    <w:rsid w:val="438919B5"/>
    <w:rsid w:val="43F867D8"/>
    <w:rsid w:val="444034D9"/>
    <w:rsid w:val="44CC2282"/>
    <w:rsid w:val="44D12580"/>
    <w:rsid w:val="44D426B2"/>
    <w:rsid w:val="44E421C9"/>
    <w:rsid w:val="44E93C84"/>
    <w:rsid w:val="45134813"/>
    <w:rsid w:val="454F7F8B"/>
    <w:rsid w:val="455A58EC"/>
    <w:rsid w:val="4568104C"/>
    <w:rsid w:val="4568161B"/>
    <w:rsid w:val="458B570C"/>
    <w:rsid w:val="459044B5"/>
    <w:rsid w:val="45921B58"/>
    <w:rsid w:val="45943BEF"/>
    <w:rsid w:val="45B222C8"/>
    <w:rsid w:val="45CF4C28"/>
    <w:rsid w:val="45DF485A"/>
    <w:rsid w:val="45F1656D"/>
    <w:rsid w:val="461B2532"/>
    <w:rsid w:val="46713F31"/>
    <w:rsid w:val="469A3487"/>
    <w:rsid w:val="46BD7176"/>
    <w:rsid w:val="46C40504"/>
    <w:rsid w:val="46EF3D90"/>
    <w:rsid w:val="472B20F6"/>
    <w:rsid w:val="47485BE6"/>
    <w:rsid w:val="47580FB6"/>
    <w:rsid w:val="475950F1"/>
    <w:rsid w:val="476B77EB"/>
    <w:rsid w:val="477459B0"/>
    <w:rsid w:val="479A3013"/>
    <w:rsid w:val="479C65F4"/>
    <w:rsid w:val="47B95B8F"/>
    <w:rsid w:val="47C56154"/>
    <w:rsid w:val="47E726FC"/>
    <w:rsid w:val="486E697A"/>
    <w:rsid w:val="48790E7B"/>
    <w:rsid w:val="488241D3"/>
    <w:rsid w:val="48C84F8D"/>
    <w:rsid w:val="48D547F4"/>
    <w:rsid w:val="48E32D1E"/>
    <w:rsid w:val="48FC21D7"/>
    <w:rsid w:val="48FF3377"/>
    <w:rsid w:val="49025A14"/>
    <w:rsid w:val="49261002"/>
    <w:rsid w:val="493F3B20"/>
    <w:rsid w:val="49521DF7"/>
    <w:rsid w:val="498521CD"/>
    <w:rsid w:val="49A5461D"/>
    <w:rsid w:val="49AC1EAA"/>
    <w:rsid w:val="49BD69DC"/>
    <w:rsid w:val="4A043A69"/>
    <w:rsid w:val="4A0E54E3"/>
    <w:rsid w:val="4A203D66"/>
    <w:rsid w:val="4A205A52"/>
    <w:rsid w:val="4A45195C"/>
    <w:rsid w:val="4A5B1180"/>
    <w:rsid w:val="4A673681"/>
    <w:rsid w:val="4A720F03"/>
    <w:rsid w:val="4A791606"/>
    <w:rsid w:val="4A7A7858"/>
    <w:rsid w:val="4A895CED"/>
    <w:rsid w:val="4AD21E9A"/>
    <w:rsid w:val="4B3155DC"/>
    <w:rsid w:val="4B6B5F8B"/>
    <w:rsid w:val="4B775B45"/>
    <w:rsid w:val="4B7E5C76"/>
    <w:rsid w:val="4B8244EA"/>
    <w:rsid w:val="4BBC3A0F"/>
    <w:rsid w:val="4BC62629"/>
    <w:rsid w:val="4BE777A6"/>
    <w:rsid w:val="4C0F5199"/>
    <w:rsid w:val="4C1C6BDB"/>
    <w:rsid w:val="4C6F0F12"/>
    <w:rsid w:val="4CAB57F5"/>
    <w:rsid w:val="4CB71674"/>
    <w:rsid w:val="4D491763"/>
    <w:rsid w:val="4DC42B98"/>
    <w:rsid w:val="4E127DA7"/>
    <w:rsid w:val="4E2D698F"/>
    <w:rsid w:val="4E352978"/>
    <w:rsid w:val="4E437F61"/>
    <w:rsid w:val="4E4B5067"/>
    <w:rsid w:val="4E546612"/>
    <w:rsid w:val="4E6F24E3"/>
    <w:rsid w:val="4EAA7FE0"/>
    <w:rsid w:val="4ECC43FA"/>
    <w:rsid w:val="4EE2777A"/>
    <w:rsid w:val="4FB66668"/>
    <w:rsid w:val="4FCE3A09"/>
    <w:rsid w:val="4FE1656A"/>
    <w:rsid w:val="500D6A78"/>
    <w:rsid w:val="50577CF3"/>
    <w:rsid w:val="507C3BFE"/>
    <w:rsid w:val="50BB4726"/>
    <w:rsid w:val="50D26123"/>
    <w:rsid w:val="50D6330E"/>
    <w:rsid w:val="51954F77"/>
    <w:rsid w:val="51B421A1"/>
    <w:rsid w:val="51BD7E16"/>
    <w:rsid w:val="520D5E6B"/>
    <w:rsid w:val="521B6584"/>
    <w:rsid w:val="522B768A"/>
    <w:rsid w:val="52806290"/>
    <w:rsid w:val="52A752F8"/>
    <w:rsid w:val="52BB6C5F"/>
    <w:rsid w:val="530F2B07"/>
    <w:rsid w:val="53732757"/>
    <w:rsid w:val="53B02C8D"/>
    <w:rsid w:val="53C75190"/>
    <w:rsid w:val="53DA4EC3"/>
    <w:rsid w:val="540B1521"/>
    <w:rsid w:val="54183C3E"/>
    <w:rsid w:val="544B4013"/>
    <w:rsid w:val="54576514"/>
    <w:rsid w:val="54790B80"/>
    <w:rsid w:val="548B4AF6"/>
    <w:rsid w:val="54F56A58"/>
    <w:rsid w:val="555D3FFE"/>
    <w:rsid w:val="558D7AD9"/>
    <w:rsid w:val="559A6EF7"/>
    <w:rsid w:val="55C026E8"/>
    <w:rsid w:val="55D92CE6"/>
    <w:rsid w:val="56006F5C"/>
    <w:rsid w:val="561358D4"/>
    <w:rsid w:val="563665FD"/>
    <w:rsid w:val="565D002E"/>
    <w:rsid w:val="5675551D"/>
    <w:rsid w:val="568B1458"/>
    <w:rsid w:val="56AD68BF"/>
    <w:rsid w:val="56B70FE7"/>
    <w:rsid w:val="56F97A25"/>
    <w:rsid w:val="57102639"/>
    <w:rsid w:val="571132F2"/>
    <w:rsid w:val="573B73FB"/>
    <w:rsid w:val="57547D24"/>
    <w:rsid w:val="576B054B"/>
    <w:rsid w:val="577E64AD"/>
    <w:rsid w:val="578E4942"/>
    <w:rsid w:val="578F2469"/>
    <w:rsid w:val="579E5364"/>
    <w:rsid w:val="57C2283E"/>
    <w:rsid w:val="57CC546B"/>
    <w:rsid w:val="58022C3B"/>
    <w:rsid w:val="580A6B87"/>
    <w:rsid w:val="5815494B"/>
    <w:rsid w:val="582B5F86"/>
    <w:rsid w:val="58705609"/>
    <w:rsid w:val="589A56BC"/>
    <w:rsid w:val="58CB127E"/>
    <w:rsid w:val="58DF2F7C"/>
    <w:rsid w:val="591C5F7E"/>
    <w:rsid w:val="59354C9C"/>
    <w:rsid w:val="59554FEC"/>
    <w:rsid w:val="595941DE"/>
    <w:rsid w:val="596210B1"/>
    <w:rsid w:val="59837DAB"/>
    <w:rsid w:val="59B90B20"/>
    <w:rsid w:val="5A026F22"/>
    <w:rsid w:val="5A452C74"/>
    <w:rsid w:val="5A9A05E4"/>
    <w:rsid w:val="5AD46FB2"/>
    <w:rsid w:val="5AE96334"/>
    <w:rsid w:val="5B2B24A8"/>
    <w:rsid w:val="5B4D4167"/>
    <w:rsid w:val="5B7E4CCE"/>
    <w:rsid w:val="5B927310"/>
    <w:rsid w:val="5BA74225"/>
    <w:rsid w:val="5BB701E0"/>
    <w:rsid w:val="5BEA4111"/>
    <w:rsid w:val="5C142F3C"/>
    <w:rsid w:val="5C294C3A"/>
    <w:rsid w:val="5C3B0F3F"/>
    <w:rsid w:val="5C475340"/>
    <w:rsid w:val="5C550F9C"/>
    <w:rsid w:val="5C7D4F86"/>
    <w:rsid w:val="5C930C16"/>
    <w:rsid w:val="5CD66444"/>
    <w:rsid w:val="5CDD5A24"/>
    <w:rsid w:val="5D07692D"/>
    <w:rsid w:val="5D704AEA"/>
    <w:rsid w:val="5D845EA0"/>
    <w:rsid w:val="5DD153D5"/>
    <w:rsid w:val="5DD93653"/>
    <w:rsid w:val="5DF23E32"/>
    <w:rsid w:val="5DF74889"/>
    <w:rsid w:val="5E0019CA"/>
    <w:rsid w:val="5E020F2C"/>
    <w:rsid w:val="5E40626B"/>
    <w:rsid w:val="5E8A6D3E"/>
    <w:rsid w:val="5EC41820"/>
    <w:rsid w:val="5EC8733D"/>
    <w:rsid w:val="5EDD7F5D"/>
    <w:rsid w:val="5EFA28BD"/>
    <w:rsid w:val="5F261904"/>
    <w:rsid w:val="5F286EBD"/>
    <w:rsid w:val="5F656334"/>
    <w:rsid w:val="5FB94527"/>
    <w:rsid w:val="5FBF2B12"/>
    <w:rsid w:val="5FD72BFF"/>
    <w:rsid w:val="5FF06A88"/>
    <w:rsid w:val="5FFC7F81"/>
    <w:rsid w:val="60412ACB"/>
    <w:rsid w:val="604C3CAD"/>
    <w:rsid w:val="604E1113"/>
    <w:rsid w:val="60976B07"/>
    <w:rsid w:val="60D17CD7"/>
    <w:rsid w:val="612260FC"/>
    <w:rsid w:val="615C33BC"/>
    <w:rsid w:val="615D2F39"/>
    <w:rsid w:val="61774CE6"/>
    <w:rsid w:val="619E4946"/>
    <w:rsid w:val="61CD2009"/>
    <w:rsid w:val="61E437FF"/>
    <w:rsid w:val="61F5736C"/>
    <w:rsid w:val="62182E80"/>
    <w:rsid w:val="621F541D"/>
    <w:rsid w:val="623C31ED"/>
    <w:rsid w:val="625978FB"/>
    <w:rsid w:val="628D32B2"/>
    <w:rsid w:val="62B611F1"/>
    <w:rsid w:val="62CA25A7"/>
    <w:rsid w:val="62F15D85"/>
    <w:rsid w:val="63035AB9"/>
    <w:rsid w:val="630F5F30"/>
    <w:rsid w:val="634B1EE2"/>
    <w:rsid w:val="636F3728"/>
    <w:rsid w:val="63950E07"/>
    <w:rsid w:val="63AB3CA1"/>
    <w:rsid w:val="63B52201"/>
    <w:rsid w:val="63C139AA"/>
    <w:rsid w:val="63ED0C43"/>
    <w:rsid w:val="63FF52D9"/>
    <w:rsid w:val="641E0DFC"/>
    <w:rsid w:val="64354762"/>
    <w:rsid w:val="64366F45"/>
    <w:rsid w:val="64CA245A"/>
    <w:rsid w:val="64D771FD"/>
    <w:rsid w:val="64D92F75"/>
    <w:rsid w:val="64F30812"/>
    <w:rsid w:val="65AE7F5E"/>
    <w:rsid w:val="65B90964"/>
    <w:rsid w:val="65D47FB2"/>
    <w:rsid w:val="65E47E23"/>
    <w:rsid w:val="65EE3A67"/>
    <w:rsid w:val="660B3602"/>
    <w:rsid w:val="668A7267"/>
    <w:rsid w:val="669E28C8"/>
    <w:rsid w:val="66BC6724"/>
    <w:rsid w:val="66BE6088"/>
    <w:rsid w:val="66C67529"/>
    <w:rsid w:val="66CE441F"/>
    <w:rsid w:val="66E95B72"/>
    <w:rsid w:val="670A3D11"/>
    <w:rsid w:val="675608AD"/>
    <w:rsid w:val="67801DCE"/>
    <w:rsid w:val="67C45E83"/>
    <w:rsid w:val="67E45C6D"/>
    <w:rsid w:val="67EA12C7"/>
    <w:rsid w:val="68295FC1"/>
    <w:rsid w:val="682A4CF2"/>
    <w:rsid w:val="683A1F7D"/>
    <w:rsid w:val="685079F2"/>
    <w:rsid w:val="68866F70"/>
    <w:rsid w:val="68953657"/>
    <w:rsid w:val="68975621"/>
    <w:rsid w:val="68D0643D"/>
    <w:rsid w:val="6916767F"/>
    <w:rsid w:val="695157D0"/>
    <w:rsid w:val="69732B0A"/>
    <w:rsid w:val="69A578CA"/>
    <w:rsid w:val="69AC6EAA"/>
    <w:rsid w:val="69B95123"/>
    <w:rsid w:val="69DC51D8"/>
    <w:rsid w:val="6A152CA1"/>
    <w:rsid w:val="6A2E5867"/>
    <w:rsid w:val="6A406FE6"/>
    <w:rsid w:val="6A4E7F61"/>
    <w:rsid w:val="6A903C9A"/>
    <w:rsid w:val="6A9E4A45"/>
    <w:rsid w:val="6A9F07BD"/>
    <w:rsid w:val="6ABC136F"/>
    <w:rsid w:val="6ACD3B40"/>
    <w:rsid w:val="6ADB77DB"/>
    <w:rsid w:val="6AFA2A24"/>
    <w:rsid w:val="6B4A0729"/>
    <w:rsid w:val="6B7710F5"/>
    <w:rsid w:val="6BA37A4A"/>
    <w:rsid w:val="6C2947E2"/>
    <w:rsid w:val="6C517895"/>
    <w:rsid w:val="6C6A74B0"/>
    <w:rsid w:val="6C6E0447"/>
    <w:rsid w:val="6C7E412B"/>
    <w:rsid w:val="6C9B63A0"/>
    <w:rsid w:val="6CAA7B22"/>
    <w:rsid w:val="6D036DE1"/>
    <w:rsid w:val="6D1C60F5"/>
    <w:rsid w:val="6D2626A2"/>
    <w:rsid w:val="6D48382C"/>
    <w:rsid w:val="6D8166FB"/>
    <w:rsid w:val="6D8D72BC"/>
    <w:rsid w:val="6DE54739"/>
    <w:rsid w:val="6DEB630A"/>
    <w:rsid w:val="6DF17581"/>
    <w:rsid w:val="6DF54876"/>
    <w:rsid w:val="6E1969B9"/>
    <w:rsid w:val="6E3D6323"/>
    <w:rsid w:val="6E4F6394"/>
    <w:rsid w:val="6E5B2C4D"/>
    <w:rsid w:val="6E802F92"/>
    <w:rsid w:val="6E9028F6"/>
    <w:rsid w:val="6E934195"/>
    <w:rsid w:val="6E9A393E"/>
    <w:rsid w:val="6EB30562"/>
    <w:rsid w:val="6ECB7DD2"/>
    <w:rsid w:val="6F4102E4"/>
    <w:rsid w:val="6F6F60E9"/>
    <w:rsid w:val="6FF70753"/>
    <w:rsid w:val="704A2F79"/>
    <w:rsid w:val="705A7660"/>
    <w:rsid w:val="705B5199"/>
    <w:rsid w:val="708C137D"/>
    <w:rsid w:val="7091433E"/>
    <w:rsid w:val="70B8495E"/>
    <w:rsid w:val="70C21DF2"/>
    <w:rsid w:val="70E44D6E"/>
    <w:rsid w:val="710F044A"/>
    <w:rsid w:val="711A2CD9"/>
    <w:rsid w:val="712D267F"/>
    <w:rsid w:val="7150636D"/>
    <w:rsid w:val="71520337"/>
    <w:rsid w:val="71A66263"/>
    <w:rsid w:val="71A768D5"/>
    <w:rsid w:val="72161365"/>
    <w:rsid w:val="72295D06"/>
    <w:rsid w:val="7235429C"/>
    <w:rsid w:val="72691DDC"/>
    <w:rsid w:val="7284135E"/>
    <w:rsid w:val="73166EDB"/>
    <w:rsid w:val="731A1328"/>
    <w:rsid w:val="735C1457"/>
    <w:rsid w:val="7363682B"/>
    <w:rsid w:val="73760212"/>
    <w:rsid w:val="73971D8B"/>
    <w:rsid w:val="73A050F3"/>
    <w:rsid w:val="73D2339B"/>
    <w:rsid w:val="740873D3"/>
    <w:rsid w:val="74654DE4"/>
    <w:rsid w:val="74840B33"/>
    <w:rsid w:val="74AC7D5E"/>
    <w:rsid w:val="74B11819"/>
    <w:rsid w:val="74B62C18"/>
    <w:rsid w:val="74D34D23"/>
    <w:rsid w:val="74FC0CE6"/>
    <w:rsid w:val="751D2A0A"/>
    <w:rsid w:val="75305A25"/>
    <w:rsid w:val="75383CE8"/>
    <w:rsid w:val="756845CD"/>
    <w:rsid w:val="75D43A11"/>
    <w:rsid w:val="75EE59F4"/>
    <w:rsid w:val="7610256F"/>
    <w:rsid w:val="767B36C2"/>
    <w:rsid w:val="769149E0"/>
    <w:rsid w:val="76B61368"/>
    <w:rsid w:val="76C66DF7"/>
    <w:rsid w:val="76FC0A6F"/>
    <w:rsid w:val="7709016F"/>
    <w:rsid w:val="773724A9"/>
    <w:rsid w:val="777032C5"/>
    <w:rsid w:val="779C230C"/>
    <w:rsid w:val="779F004E"/>
    <w:rsid w:val="77FC724F"/>
    <w:rsid w:val="78282AA0"/>
    <w:rsid w:val="7873657A"/>
    <w:rsid w:val="787F1630"/>
    <w:rsid w:val="789414F5"/>
    <w:rsid w:val="78A172B8"/>
    <w:rsid w:val="78A53442"/>
    <w:rsid w:val="78A91184"/>
    <w:rsid w:val="78B673FD"/>
    <w:rsid w:val="78DD498A"/>
    <w:rsid w:val="78F148D9"/>
    <w:rsid w:val="79033E32"/>
    <w:rsid w:val="79163F1E"/>
    <w:rsid w:val="7927654D"/>
    <w:rsid w:val="797846B3"/>
    <w:rsid w:val="79954683"/>
    <w:rsid w:val="79B33120"/>
    <w:rsid w:val="79D33FDF"/>
    <w:rsid w:val="79EE0E19"/>
    <w:rsid w:val="7A083C89"/>
    <w:rsid w:val="7A0D5B55"/>
    <w:rsid w:val="7A4822D7"/>
    <w:rsid w:val="7A7A445B"/>
    <w:rsid w:val="7A7B775A"/>
    <w:rsid w:val="7A8D3579"/>
    <w:rsid w:val="7AB83901"/>
    <w:rsid w:val="7AC676A0"/>
    <w:rsid w:val="7AC73B44"/>
    <w:rsid w:val="7ADD200E"/>
    <w:rsid w:val="7AF406B1"/>
    <w:rsid w:val="7B0E1773"/>
    <w:rsid w:val="7B142129"/>
    <w:rsid w:val="7B14665D"/>
    <w:rsid w:val="7B187EFC"/>
    <w:rsid w:val="7B25086A"/>
    <w:rsid w:val="7B533629"/>
    <w:rsid w:val="7B6A44CF"/>
    <w:rsid w:val="7B901AD8"/>
    <w:rsid w:val="7BBC740E"/>
    <w:rsid w:val="7BCC6F38"/>
    <w:rsid w:val="7C464F3C"/>
    <w:rsid w:val="7C6158B6"/>
    <w:rsid w:val="7CAD0259"/>
    <w:rsid w:val="7CBC4120"/>
    <w:rsid w:val="7D000B0A"/>
    <w:rsid w:val="7D036684"/>
    <w:rsid w:val="7D11554A"/>
    <w:rsid w:val="7D194032"/>
    <w:rsid w:val="7D4C6582"/>
    <w:rsid w:val="7DED0CF6"/>
    <w:rsid w:val="7DEF5A1E"/>
    <w:rsid w:val="7E2E79B4"/>
    <w:rsid w:val="7E464D80"/>
    <w:rsid w:val="7E7717FD"/>
    <w:rsid w:val="7ED052C6"/>
    <w:rsid w:val="7F053D2A"/>
    <w:rsid w:val="7F2C21C7"/>
    <w:rsid w:val="7F30216C"/>
    <w:rsid w:val="7F4219EB"/>
    <w:rsid w:val="7FB34697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40FF18-6F06-4A2F-BD28-6F20FCE5AA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1039</Words>
  <Characters>5928</Characters>
  <Lines>49</Lines>
  <Paragraphs>13</Paragraphs>
  <TotalTime>2</TotalTime>
  <ScaleCrop>false</ScaleCrop>
  <LinksUpToDate>false</LinksUpToDate>
  <CharactersWithSpaces>6954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Administrator</cp:lastModifiedBy>
  <cp:lastPrinted>2022-08-30T01:19:00Z</cp:lastPrinted>
  <dcterms:modified xsi:type="dcterms:W3CDTF">2023-09-25T08:30:47Z</dcterms:modified>
  <cp:revision>1228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88D7DCBA40DA4C0DB87363C79EC21302</vt:lpwstr>
  </property>
</Properties>
</file>