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 w:line="600" w:lineRule="atLeast"/>
        <w:jc w:val="center"/>
        <w:rPr>
          <w:rFonts w:hint="default" w:cs="宋体"/>
          <w:color w:val="auto"/>
          <w:sz w:val="36"/>
          <w:szCs w:val="36"/>
        </w:rPr>
      </w:pPr>
    </w:p>
    <w:p>
      <w:pPr>
        <w:pStyle w:val="2"/>
        <w:widowControl/>
        <w:spacing w:beforeAutospacing="0" w:afterAutospacing="0" w:line="600" w:lineRule="atLeast"/>
        <w:jc w:val="center"/>
        <w:rPr>
          <w:rFonts w:hint="default" w:cs="宋体"/>
          <w:color w:val="auto"/>
          <w:sz w:val="36"/>
          <w:szCs w:val="36"/>
        </w:rPr>
      </w:pPr>
    </w:p>
    <w:p>
      <w:pPr>
        <w:pStyle w:val="2"/>
        <w:widowControl/>
        <w:spacing w:beforeAutospacing="0" w:afterAutospacing="0" w:line="600" w:lineRule="atLeast"/>
        <w:jc w:val="center"/>
        <w:rPr>
          <w:rFonts w:hint="default" w:cs="宋体"/>
          <w:color w:val="auto"/>
          <w:sz w:val="36"/>
          <w:szCs w:val="36"/>
        </w:rPr>
      </w:pPr>
    </w:p>
    <w:p>
      <w:pPr>
        <w:pStyle w:val="2"/>
        <w:widowControl/>
        <w:spacing w:beforeAutospacing="0" w:afterAutospacing="0" w:line="600" w:lineRule="atLeast"/>
        <w:jc w:val="center"/>
        <w:rPr>
          <w:rFonts w:hint="default" w:cs="宋体"/>
          <w:color w:val="auto"/>
          <w:sz w:val="36"/>
          <w:szCs w:val="36"/>
        </w:rPr>
      </w:pPr>
    </w:p>
    <w:p>
      <w:pPr>
        <w:pStyle w:val="2"/>
        <w:widowControl/>
        <w:spacing w:beforeAutospacing="0" w:afterAutospacing="0" w:line="600" w:lineRule="atLeast"/>
        <w:jc w:val="center"/>
        <w:rPr>
          <w:rFonts w:hint="default" w:cs="宋体"/>
          <w:color w:val="auto"/>
          <w:sz w:val="36"/>
          <w:szCs w:val="36"/>
        </w:rPr>
      </w:pPr>
    </w:p>
    <w:p>
      <w:pPr>
        <w:pStyle w:val="2"/>
        <w:widowControl/>
        <w:spacing w:beforeAutospacing="0" w:afterAutospacing="0" w:line="600" w:lineRule="atLeast"/>
        <w:jc w:val="center"/>
        <w:rPr>
          <w:rFonts w:hint="default" w:cs="宋体"/>
          <w:color w:val="auto"/>
          <w:sz w:val="36"/>
          <w:szCs w:val="36"/>
        </w:rPr>
      </w:pPr>
    </w:p>
    <w:p>
      <w:pPr>
        <w:pStyle w:val="2"/>
        <w:widowControl/>
        <w:spacing w:beforeAutospacing="0" w:afterAutospacing="0" w:line="600" w:lineRule="atLeast"/>
        <w:jc w:val="center"/>
        <w:rPr>
          <w:rFonts w:hint="default" w:cs="宋体"/>
          <w:color w:val="auto"/>
          <w:sz w:val="36"/>
          <w:szCs w:val="36"/>
        </w:rPr>
      </w:pPr>
    </w:p>
    <w:p>
      <w:pPr>
        <w:pStyle w:val="2"/>
        <w:widowControl/>
        <w:spacing w:beforeAutospacing="0" w:afterAutospacing="0" w:line="600" w:lineRule="atLeast"/>
        <w:jc w:val="center"/>
        <w:rPr>
          <w:rFonts w:hint="default" w:cs="宋体"/>
          <w:color w:val="auto"/>
          <w:sz w:val="36"/>
          <w:szCs w:val="36"/>
        </w:rPr>
      </w:pPr>
    </w:p>
    <w:p>
      <w:pPr>
        <w:pStyle w:val="2"/>
        <w:widowControl/>
        <w:spacing w:beforeAutospacing="0" w:afterAutospacing="0" w:line="600" w:lineRule="atLeast"/>
        <w:jc w:val="center"/>
        <w:rPr>
          <w:rFonts w:hint="default" w:ascii="黑体" w:hAnsi="黑体" w:eastAsia="黑体" w:cs="宋体"/>
          <w:color w:val="auto"/>
          <w:sz w:val="84"/>
          <w:szCs w:val="84"/>
        </w:rPr>
      </w:pPr>
      <w:r>
        <w:rPr>
          <w:rFonts w:ascii="黑体" w:hAnsi="黑体" w:eastAsia="黑体" w:cs="宋体"/>
          <w:color w:val="auto"/>
          <w:sz w:val="84"/>
          <w:szCs w:val="84"/>
        </w:rPr>
        <w:t>202</w:t>
      </w:r>
      <w:r>
        <w:rPr>
          <w:rFonts w:hint="default" w:ascii="黑体" w:hAnsi="黑体" w:eastAsia="黑体" w:cs="宋体"/>
          <w:color w:val="auto"/>
          <w:sz w:val="84"/>
          <w:szCs w:val="84"/>
        </w:rPr>
        <w:t>1</w:t>
      </w:r>
      <w:r>
        <w:rPr>
          <w:rFonts w:ascii="黑体" w:hAnsi="黑体" w:eastAsia="黑体" w:cs="宋体"/>
          <w:color w:val="auto"/>
          <w:sz w:val="84"/>
          <w:szCs w:val="84"/>
        </w:rPr>
        <w:t>年度</w:t>
      </w:r>
    </w:p>
    <w:p>
      <w:pPr>
        <w:pStyle w:val="2"/>
        <w:widowControl/>
        <w:spacing w:beforeAutospacing="0" w:afterAutospacing="0" w:line="600" w:lineRule="atLeast"/>
        <w:jc w:val="center"/>
        <w:rPr>
          <w:rFonts w:hint="default" w:ascii="黑体" w:hAnsi="黑体" w:eastAsia="黑体" w:cs="宋体"/>
          <w:color w:val="auto"/>
          <w:sz w:val="84"/>
          <w:szCs w:val="84"/>
        </w:rPr>
      </w:pPr>
      <w:r>
        <w:rPr>
          <w:rFonts w:ascii="黑体" w:hAnsi="黑体" w:eastAsia="黑体" w:cs="宋体"/>
          <w:color w:val="auto"/>
          <w:sz w:val="84"/>
          <w:szCs w:val="84"/>
        </w:rPr>
        <w:t>湖南省监狱后勤事务管理所部门决算</w:t>
      </w:r>
    </w:p>
    <w:p>
      <w:pPr>
        <w:pStyle w:val="8"/>
        <w:spacing w:line="500" w:lineRule="exact"/>
        <w:jc w:val="center"/>
        <w:rPr>
          <w:b/>
          <w:color w:val="auto"/>
          <w:sz w:val="36"/>
          <w:szCs w:val="28"/>
        </w:rPr>
      </w:pPr>
    </w:p>
    <w:p>
      <w:pPr>
        <w:pStyle w:val="8"/>
        <w:spacing w:line="500" w:lineRule="exact"/>
        <w:jc w:val="center"/>
        <w:rPr>
          <w:b/>
          <w:color w:val="auto"/>
          <w:sz w:val="30"/>
          <w:szCs w:val="30"/>
        </w:rPr>
      </w:pPr>
    </w:p>
    <w:p>
      <w:pPr>
        <w:pStyle w:val="8"/>
        <w:spacing w:line="500" w:lineRule="exact"/>
        <w:jc w:val="center"/>
        <w:rPr>
          <w:b/>
          <w:color w:val="auto"/>
          <w:sz w:val="30"/>
          <w:szCs w:val="30"/>
        </w:rPr>
      </w:pPr>
    </w:p>
    <w:p>
      <w:pPr>
        <w:pStyle w:val="8"/>
        <w:spacing w:line="500" w:lineRule="exact"/>
        <w:jc w:val="center"/>
        <w:rPr>
          <w:b/>
          <w:color w:val="auto"/>
          <w:sz w:val="30"/>
          <w:szCs w:val="30"/>
        </w:rPr>
      </w:pPr>
    </w:p>
    <w:p>
      <w:pPr>
        <w:pStyle w:val="8"/>
        <w:spacing w:line="500" w:lineRule="exact"/>
        <w:jc w:val="center"/>
        <w:rPr>
          <w:b/>
          <w:color w:val="auto"/>
          <w:sz w:val="30"/>
          <w:szCs w:val="30"/>
        </w:rPr>
      </w:pPr>
    </w:p>
    <w:p>
      <w:pPr>
        <w:pStyle w:val="8"/>
        <w:spacing w:line="500" w:lineRule="exact"/>
        <w:jc w:val="center"/>
        <w:rPr>
          <w:b/>
          <w:color w:val="auto"/>
          <w:sz w:val="30"/>
          <w:szCs w:val="30"/>
        </w:rPr>
      </w:pPr>
    </w:p>
    <w:p>
      <w:pPr>
        <w:pStyle w:val="8"/>
        <w:spacing w:line="500" w:lineRule="exact"/>
        <w:jc w:val="center"/>
        <w:rPr>
          <w:b/>
          <w:color w:val="auto"/>
          <w:sz w:val="30"/>
          <w:szCs w:val="30"/>
        </w:rPr>
      </w:pPr>
    </w:p>
    <w:p>
      <w:pPr>
        <w:pStyle w:val="8"/>
        <w:spacing w:line="500" w:lineRule="exact"/>
        <w:jc w:val="center"/>
        <w:rPr>
          <w:b/>
          <w:color w:val="auto"/>
          <w:sz w:val="30"/>
          <w:szCs w:val="30"/>
        </w:rPr>
      </w:pPr>
    </w:p>
    <w:p>
      <w:pPr>
        <w:pStyle w:val="8"/>
        <w:spacing w:line="500" w:lineRule="exact"/>
        <w:rPr>
          <w:b/>
          <w:color w:val="auto"/>
          <w:sz w:val="30"/>
          <w:szCs w:val="30"/>
        </w:rPr>
      </w:pPr>
    </w:p>
    <w:p>
      <w:pPr>
        <w:pStyle w:val="8"/>
        <w:spacing w:line="460" w:lineRule="exact"/>
        <w:ind w:firstLine="602" w:firstLineChars="200"/>
        <w:jc w:val="center"/>
        <w:rPr>
          <w:b/>
          <w:color w:val="auto"/>
          <w:sz w:val="30"/>
          <w:szCs w:val="30"/>
        </w:rPr>
      </w:pPr>
    </w:p>
    <w:p>
      <w:pPr>
        <w:pStyle w:val="8"/>
        <w:spacing w:line="460" w:lineRule="exact"/>
        <w:ind w:firstLine="643" w:firstLineChars="200"/>
        <w:jc w:val="center"/>
        <w:rPr>
          <w:rFonts w:asciiTheme="minorEastAsia" w:hAnsiTheme="minorEastAsia" w:eastAsiaTheme="minorEastAsia"/>
          <w:b/>
          <w:color w:val="auto"/>
          <w:sz w:val="32"/>
          <w:szCs w:val="32"/>
        </w:rPr>
      </w:pPr>
    </w:p>
    <w:p>
      <w:pPr>
        <w:pStyle w:val="8"/>
        <w:spacing w:line="460" w:lineRule="exact"/>
        <w:ind w:firstLine="643" w:firstLineChars="200"/>
        <w:jc w:val="center"/>
        <w:rPr>
          <w:rFonts w:asciiTheme="minorEastAsia" w:hAnsiTheme="minorEastAsia" w:eastAsiaTheme="minorEastAsia"/>
          <w:b/>
          <w:color w:val="auto"/>
          <w:sz w:val="32"/>
          <w:szCs w:val="32"/>
        </w:rPr>
      </w:pPr>
    </w:p>
    <w:p>
      <w:pPr>
        <w:pStyle w:val="8"/>
        <w:spacing w:line="460" w:lineRule="exact"/>
        <w:ind w:firstLine="643" w:firstLineChars="200"/>
        <w:jc w:val="center"/>
        <w:rPr>
          <w:rFonts w:asciiTheme="minorEastAsia" w:hAnsiTheme="minorEastAsia" w:eastAsiaTheme="minorEastAsia"/>
          <w:b/>
          <w:color w:val="auto"/>
          <w:sz w:val="32"/>
          <w:szCs w:val="32"/>
        </w:rPr>
      </w:pPr>
    </w:p>
    <w:p>
      <w:pPr>
        <w:pStyle w:val="8"/>
        <w:spacing w:line="460" w:lineRule="exact"/>
        <w:ind w:firstLine="643" w:firstLineChars="200"/>
        <w:jc w:val="center"/>
        <w:rPr>
          <w:rFonts w:asciiTheme="minorEastAsia" w:hAnsiTheme="minorEastAsia" w:eastAsiaTheme="minorEastAsia"/>
          <w:b/>
          <w:color w:val="auto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auto"/>
          <w:sz w:val="32"/>
          <w:szCs w:val="32"/>
        </w:rPr>
        <w:t>目录</w:t>
      </w:r>
    </w:p>
    <w:p>
      <w:pPr>
        <w:pStyle w:val="5"/>
        <w:widowControl/>
        <w:spacing w:beforeAutospacing="0" w:afterAutospacing="0" w:line="460" w:lineRule="exact"/>
        <w:ind w:firstLine="643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第一部分湖南省监狱</w:t>
      </w:r>
      <w:r>
        <w:rPr>
          <w:rFonts w:hint="eastAsia" w:cs="微软雅黑" w:asciiTheme="minorEastAsia" w:hAnsiTheme="minorEastAsia"/>
          <w:b/>
          <w:color w:val="auto"/>
          <w:sz w:val="32"/>
          <w:szCs w:val="32"/>
        </w:rPr>
        <w:t>后勤事务管理所</w:t>
      </w:r>
      <w:r>
        <w:rPr>
          <w:rFonts w:cs="微软雅黑" w:asciiTheme="minorEastAsia" w:hAnsiTheme="minorEastAsia"/>
          <w:b/>
          <w:color w:val="auto"/>
          <w:sz w:val="32"/>
          <w:szCs w:val="32"/>
        </w:rPr>
        <w:t>概况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一、部门职责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二、机构设置</w:t>
      </w:r>
    </w:p>
    <w:p>
      <w:pPr>
        <w:pStyle w:val="5"/>
        <w:widowControl/>
        <w:spacing w:beforeAutospacing="0" w:afterAutospacing="0" w:line="460" w:lineRule="exact"/>
        <w:ind w:firstLine="643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第二部分2021年度部门决算表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一、收入支出决算总表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二、收入决算表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三、支出决算表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四、财政拨款收入支出决算总表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五、一般公共预算财政拨款支出决算表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六、一般公共预算财政拨款基本支出决算表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七、一般公共预算财政拨款“三公”经费支出决算表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八、政府性基金预算财政拨款收入支出决算表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九、国有资本经营预算财政拨款支出决算表</w:t>
      </w:r>
    </w:p>
    <w:p>
      <w:pPr>
        <w:pStyle w:val="5"/>
        <w:widowControl/>
        <w:spacing w:beforeAutospacing="0" w:afterAutospacing="0" w:line="460" w:lineRule="exact"/>
        <w:ind w:firstLine="643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第三部分2021年度部门决算情况说明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一、收入支出决算总体情况说明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二、收入决算情况说明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三、支出决算情况说明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四、财政拨款收入支出决算总体情况说明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五、一般公共预算财政拨款支出决算情况说明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六、一般公共预算财政拨款基本支出决算情况说明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七、一般公共预算财政拨款三公经费支出决算情况说明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八、政府性基金预算收入支出决算情况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九、关于机关运行经费支出说明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十、一般性支出情况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十一、关于政府采购支出说明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十二、关于国有资产占用情况说明</w:t>
      </w:r>
    </w:p>
    <w:p>
      <w:pPr>
        <w:pStyle w:val="5"/>
        <w:widowControl/>
        <w:spacing w:beforeAutospacing="0" w:afterAutospacing="0" w:line="460" w:lineRule="exac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十三、关于2021年度预算绩效情况的说明</w:t>
      </w:r>
    </w:p>
    <w:p>
      <w:pPr>
        <w:pStyle w:val="5"/>
        <w:widowControl/>
        <w:spacing w:beforeAutospacing="0" w:afterAutospacing="0" w:line="460" w:lineRule="exact"/>
        <w:ind w:firstLine="643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第四部分名词解释</w:t>
      </w:r>
    </w:p>
    <w:p>
      <w:pPr>
        <w:pStyle w:val="5"/>
        <w:widowControl/>
        <w:spacing w:beforeAutospacing="0" w:afterAutospacing="0" w:line="460" w:lineRule="exact"/>
        <w:ind w:firstLine="643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第五部分附件</w:t>
      </w: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Calibri" w:hAnsi="Calibri" w:cs="Calibri"/>
          <w:color w:val="auto"/>
          <w:sz w:val="21"/>
          <w:szCs w:val="21"/>
        </w:rPr>
      </w:pPr>
      <w:r>
        <w:rPr>
          <w:rFonts w:ascii="Calibri" w:hAnsi="Calibri" w:cs="Calibri"/>
          <w:color w:val="auto"/>
          <w:sz w:val="21"/>
          <w:szCs w:val="21"/>
        </w:rPr>
        <w:t> </w:t>
      </w: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  <w:r>
        <w:rPr>
          <w:rFonts w:ascii="黑体" w:hAnsi="黑体" w:eastAsia="黑体" w:cs="微软雅黑"/>
          <w:b/>
          <w:color w:val="auto"/>
          <w:sz w:val="72"/>
          <w:szCs w:val="72"/>
        </w:rPr>
        <w:t>第一部分</w:t>
      </w:r>
      <w:r>
        <w:rPr>
          <w:rFonts w:ascii="Calibri" w:hAnsi="Calibri" w:eastAsia="黑体" w:cs="Calibri"/>
          <w:b/>
          <w:color w:val="auto"/>
          <w:sz w:val="72"/>
          <w:szCs w:val="72"/>
        </w:rPr>
        <w:t> </w:t>
      </w:r>
      <w:r>
        <w:rPr>
          <w:rFonts w:ascii="黑体" w:hAnsi="黑体" w:eastAsia="黑体" w:cs="微软雅黑"/>
          <w:b/>
          <w:color w:val="auto"/>
          <w:sz w:val="72"/>
          <w:szCs w:val="72"/>
        </w:rPr>
        <w:t> </w:t>
      </w: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  <w:r>
        <w:rPr>
          <w:rFonts w:ascii="黑体" w:hAnsi="黑体" w:eastAsia="黑体" w:cs="微软雅黑"/>
          <w:b/>
          <w:color w:val="auto"/>
          <w:sz w:val="72"/>
          <w:szCs w:val="72"/>
        </w:rPr>
        <w:t>湖南省监狱</w:t>
      </w:r>
      <w:r>
        <w:rPr>
          <w:rFonts w:hint="eastAsia" w:ascii="黑体" w:hAnsi="黑体" w:eastAsia="黑体" w:cs="微软雅黑"/>
          <w:b/>
          <w:color w:val="auto"/>
          <w:sz w:val="72"/>
          <w:szCs w:val="72"/>
        </w:rPr>
        <w:t>后勤事务管理所</w:t>
      </w: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Calibri"/>
          <w:color w:val="auto"/>
          <w:sz w:val="72"/>
          <w:szCs w:val="72"/>
        </w:rPr>
      </w:pPr>
      <w:r>
        <w:rPr>
          <w:rFonts w:ascii="黑体" w:hAnsi="黑体" w:eastAsia="黑体" w:cs="微软雅黑"/>
          <w:b/>
          <w:color w:val="auto"/>
          <w:sz w:val="72"/>
          <w:szCs w:val="72"/>
        </w:rPr>
        <w:t>概况</w:t>
      </w: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一、部门职责</w:t>
      </w: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（一）负责全省监狱系统政府集中招标采购；</w:t>
      </w: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（二）负责全省监狱系统罪犯生活物资服务部监督管理和粮油配送；</w:t>
      </w: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（三）负责省局机关食堂运营管理；</w:t>
      </w: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（四）负责全省监狱协会指导工作。</w:t>
      </w: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二、机构设置及决算单位构成</w:t>
      </w: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cs="微软雅黑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（一）内设机构设置。</w:t>
      </w:r>
      <w:r>
        <w:rPr>
          <w:rFonts w:cs="微软雅黑" w:asciiTheme="minorEastAsia" w:hAnsiTheme="minorEastAsia"/>
          <w:color w:val="auto"/>
          <w:sz w:val="32"/>
          <w:szCs w:val="32"/>
        </w:rPr>
        <w:t>湖南省监狱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后勤事务管理所</w:t>
      </w:r>
      <w:r>
        <w:rPr>
          <w:rFonts w:cs="微软雅黑" w:asciiTheme="minorEastAsia" w:hAnsiTheme="minorEastAsia"/>
          <w:color w:val="auto"/>
          <w:sz w:val="32"/>
          <w:szCs w:val="32"/>
        </w:rPr>
        <w:t>为财政全额拨款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正处</w:t>
      </w:r>
      <w:r>
        <w:rPr>
          <w:rFonts w:cs="微软雅黑" w:asciiTheme="minorEastAsia" w:hAnsiTheme="minorEastAsia"/>
          <w:color w:val="auto"/>
          <w:sz w:val="32"/>
          <w:szCs w:val="32"/>
        </w:rPr>
        <w:t>级行政单位，财务核算适用</w:t>
      </w:r>
      <w:r>
        <w:rPr>
          <w:rFonts w:hint="eastAsia" w:cs="微软雅黑" w:asciiTheme="minorEastAsia" w:hAnsiTheme="minorEastAsia"/>
          <w:color w:val="auto"/>
          <w:sz w:val="32"/>
          <w:szCs w:val="32"/>
          <w:lang w:eastAsia="zh-CN"/>
        </w:rPr>
        <w:t>政府会计准则</w:t>
      </w:r>
      <w:r>
        <w:rPr>
          <w:rFonts w:cs="微软雅黑" w:asciiTheme="minorEastAsia" w:hAnsiTheme="minorEastAsia"/>
          <w:color w:val="auto"/>
          <w:sz w:val="32"/>
          <w:szCs w:val="32"/>
        </w:rPr>
        <w:t>制度。湖南省监狱后勤事务管理所内设机构包括：办公室、政治处、财务科、工会办、监审科、政府采购科、生卫装备科等7个科室。</w:t>
      </w: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（二）决算单位构成。</w:t>
      </w:r>
      <w:r>
        <w:rPr>
          <w:rFonts w:cs="微软雅黑" w:asciiTheme="minorEastAsia" w:hAnsiTheme="minorEastAsia"/>
          <w:color w:val="auto"/>
          <w:sz w:val="32"/>
          <w:szCs w:val="32"/>
        </w:rPr>
        <w:t>湖南省监狱后勤事务管理所2021年部门决算汇总公开单位构成包括：湖南省监狱后勤事务管理所本级。</w:t>
      </w: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  <w:r>
        <w:rPr>
          <w:rFonts w:ascii="黑体" w:hAnsi="黑体" w:eastAsia="黑体" w:cs="微软雅黑"/>
          <w:b/>
          <w:color w:val="auto"/>
          <w:sz w:val="72"/>
          <w:szCs w:val="72"/>
        </w:rPr>
        <w:t>第二部分</w:t>
      </w:r>
      <w:r>
        <w:rPr>
          <w:rFonts w:ascii="Calibri" w:hAnsi="Calibri" w:eastAsia="黑体" w:cs="Calibri"/>
          <w:b/>
          <w:color w:val="auto"/>
          <w:sz w:val="72"/>
          <w:szCs w:val="72"/>
        </w:rPr>
        <w:t> </w:t>
      </w:r>
      <w:r>
        <w:rPr>
          <w:rFonts w:ascii="黑体" w:hAnsi="黑体" w:eastAsia="黑体" w:cs="微软雅黑"/>
          <w:b/>
          <w:color w:val="auto"/>
          <w:sz w:val="72"/>
          <w:szCs w:val="72"/>
        </w:rPr>
        <w:t> </w:t>
      </w: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  <w:r>
        <w:rPr>
          <w:rFonts w:ascii="黑体" w:hAnsi="黑体" w:eastAsia="黑体" w:cs="微软雅黑"/>
          <w:b/>
          <w:color w:val="auto"/>
          <w:sz w:val="72"/>
          <w:szCs w:val="72"/>
        </w:rPr>
        <w:t>部门决算表</w:t>
      </w: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Calibri"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  <w:r>
        <w:rPr>
          <w:rFonts w:ascii="黑体" w:hAnsi="黑体" w:eastAsia="黑体" w:cs="微软雅黑"/>
          <w:b/>
          <w:color w:val="auto"/>
          <w:sz w:val="72"/>
          <w:szCs w:val="72"/>
        </w:rPr>
        <w:t>第三部分</w:t>
      </w: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  <w:r>
        <w:rPr>
          <w:rFonts w:ascii="黑体" w:hAnsi="黑体" w:eastAsia="黑体" w:cs="微软雅黑"/>
          <w:b/>
          <w:color w:val="auto"/>
          <w:sz w:val="72"/>
          <w:szCs w:val="72"/>
        </w:rPr>
        <w:t>  </w:t>
      </w: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Calibri"/>
          <w:color w:val="auto"/>
          <w:sz w:val="72"/>
          <w:szCs w:val="72"/>
        </w:rPr>
      </w:pPr>
      <w:r>
        <w:rPr>
          <w:rFonts w:ascii="黑体" w:hAnsi="黑体" w:eastAsia="黑体" w:cs="微软雅黑"/>
          <w:b/>
          <w:color w:val="auto"/>
          <w:sz w:val="72"/>
          <w:szCs w:val="72"/>
        </w:rPr>
        <w:t>2021年度部门决算情况说明</w:t>
      </w: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ascii="微软雅黑" w:hAnsi="微软雅黑" w:eastAsia="微软雅黑" w:cs="微软雅黑"/>
          <w:b/>
          <w:color w:val="auto"/>
        </w:rPr>
      </w:pPr>
    </w:p>
    <w:p>
      <w:pPr>
        <w:pStyle w:val="5"/>
        <w:widowControl/>
        <w:spacing w:beforeAutospacing="0" w:afterAutospacing="0" w:line="420" w:lineRule="atLeast"/>
        <w:ind w:firstLine="48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一、收入支出决算总体情况说明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2021年度收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入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、支总计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7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5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8.03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万元。与上年相比，</w:t>
      </w:r>
      <w:bookmarkStart w:id="0" w:name="_Hlk112937433"/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减少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16.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09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万元，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减少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2.10%</w:t>
      </w:r>
      <w:bookmarkEnd w:id="0"/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。主要是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因为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贯彻中央继续过“紧日子”精神，压缩开支，减少一般性公用支出。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二、收入决算情况说明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本年收入合计757.60万元，其中：财政拨款收入757.55万元，占99.99%；其他收入0.05万元，占0.01%。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三、支出决算情况说明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本年支出合计757.89万元，其中：基本支出712.46万元，占93.99%；项目支出45.53万元，占6.01%。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四、财政拨款收入支出决算总体情况说明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2021年度财政拨款收、支总计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7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57.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98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万元。与上年相比，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减少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16.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09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万元，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减少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2.10%。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主要是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因为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贯彻中央继续过“紧日子”精神，压缩开支，减少一般性公用支出。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五、一般公共预算财政拨款支出决算情况说明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（一）财政拨款支出决算总体情况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2021年度财政拨款支出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7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57.85万元，占本年支出合计的99.99%，与上年相比，财政拨款支出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减少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15.7万元，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减少2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.11%。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（二）财政拨款支出决算结构情况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2021年度财政拨款支出757.85万元，主要用于以下方面：公共安全支出636.67万元，占84.01%；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教育支出4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.5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万元，占0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.59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%；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社会保障和就业支出90万元，占11.88%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；住房保障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支出26.68万元，占3.52%。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（三）财政拨款支出决算具体情况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2021年度财政拨款支出年初预算数为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573.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4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2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万元，支出决算数为757.85万元，完成年初预算的132.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1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6%，其中：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1、</w:t>
      </w:r>
      <w:bookmarkStart w:id="1" w:name="_Hlk112938865"/>
      <w:r>
        <w:rPr>
          <w:rFonts w:cs="微软雅黑" w:asciiTheme="minorEastAsia" w:hAnsiTheme="minorEastAsia"/>
          <w:b/>
          <w:color w:val="auto"/>
          <w:sz w:val="32"/>
          <w:szCs w:val="32"/>
        </w:rPr>
        <w:t>公共安全支出（类）监狱（款）行政运行（项）</w:t>
      </w:r>
      <w:bookmarkEnd w:id="1"/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年初预算为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4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28.52万元，支出决算为591.24万元，完成年初预算的137.97%，决算数大于年初预算数的主要原因是：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（1）因人员增加，调整人员经费指标，（2）增加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拨付2020年省政府绩效考核奖金及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文明单位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奖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等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2、公共安全支出（类）监狱（款）一般行政管理事务（项）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年初预算为50万元，支出决算为40万元，完成年初预算的80%。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主要原因为调整年初预算1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0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万元计入公共安全支出监狱行政运行项。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3、公共安全支出（类）监狱（款）信息化建设（项）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年初预算为0万元，支出决算为0.43万元，决算数大于年初预算数的主要原因是：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2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020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年度结余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工程项目经费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0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.43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万元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4、公共安全支出（类）监狱（款）其他监狱支出（项）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年初预算为5万元，支出决算为5万元，完成年初预算的100.00%。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5、社会保障和就业支出（类）行政事业单位养老支出（款） 行政单位离退休（项）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年初预算为11.52万元，支出决算为27.63万元，决算数大于年初预算数的主要原因是：追加拨付2020年省政府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退休警察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绩效考核奖金。</w:t>
      </w:r>
    </w:p>
    <w:p>
      <w:pPr>
        <w:pStyle w:val="5"/>
        <w:widowControl/>
        <w:numPr>
          <w:ilvl w:val="0"/>
          <w:numId w:val="1"/>
        </w:numPr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社会保障和就业支出（类）行政事业单位养老支出（款） 机关事业单位基本养老保险缴费支出（项）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 xml:space="preserve"> 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年初预算为41万元，支出决算为45.82万元，完成年初预算的111.76%。</w:t>
      </w:r>
      <w:bookmarkStart w:id="2" w:name="_Hlk112942468"/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决算数大于预算数主要原因是：年中追加指标。</w:t>
      </w:r>
      <w:bookmarkEnd w:id="2"/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7、卫生健康支出（类）行政事业单位医疗（款）行政单位医疗（项）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年初预算为24万元，支出决算为33.39万元，完成年初预算的139.13%。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决算数大于预算数主要原因是：年中追加指标。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8、卫生健康支出（类）行政事业单位医疗（款）公务员医疗补助（项）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年初预算为20万元，支出决算为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3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1.99万元，完成年初预算的159.95%</w:t>
      </w:r>
      <w:r>
        <w:rPr>
          <w:rFonts w:cs="微软雅黑" w:asciiTheme="minorEastAsia" w:hAnsiTheme="minorEastAsia"/>
          <w:b/>
          <w:color w:val="auto"/>
          <w:sz w:val="32"/>
          <w:szCs w:val="32"/>
        </w:rPr>
        <w:t>。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决算数大于预算数主要原因是：年中追加指标。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六、一般公共预算财政拨款基本支出决算情况说明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2021年度财政拨款基本支出712.42万元，其中：人员经费659.31万元，占基本支出的92.55%,主要包括基本工资140.06万元、津贴补贴210.43万元、奖金75.02万元、机关事业单位基本养老保险缴费45.82万元、职工医疗保险缴费33.39万元、公务员医疗补助缴费31.99万元、住房公积金52.81万元、其他工资福利支出36.86万元、退休费27.63万元、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生活补助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5.28万元；公用经费53.11万元，占基本支出的7.45%，主要包括办公费1万元、差旅费0.49万元、维修（护）费0.25万元、培训费4.5万元、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公务接待费0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.17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万元、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工会经费6.95万元、福利费9.85万元、公务用车运行维护费2万元、其他交通费用27.9万元。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七、一般公共预算财政拨款三公经费支出决算情况说明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（一）“三公”经费财政拨款支出决算总体情况说明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“三公”经费财政拨款支出预算为2,3万元，支出决算为2.17万元，完成预算的94.35%，其中：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本单位无因公出国（境）费支出。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公务接待费支出预算为0.3万元，支出决算为0.17万元，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较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上年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增加0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.17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万元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。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公务用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车购置费及运行维护费支出预算为2万元，支出决算为2万元，完成预算的100.00%，，与上年相比减少0.5万元，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减少20%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，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减少的主要原因是疫情影响，用车次数减少。</w:t>
      </w:r>
      <w:bookmarkStart w:id="3" w:name="_GoBack"/>
      <w:bookmarkEnd w:id="3"/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（二）“三公”经费财政拨款支出决算具体情况说明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2021年度“三公”经费财政拨款支出决算中，公务接待费支出决算0.17万元,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占7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.83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%；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因公出国（境）费支出决算0万元,公务用车购置费及运行维护费支出决算2万元，占92.17%。其中：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1、因公出国（境）费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支出为0万元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  <w:lang w:eastAsia="zh-CN"/>
        </w:rPr>
        <w:t>，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  <w:lang w:val="en-US" w:eastAsia="zh-CN"/>
        </w:rPr>
        <w:t>批次0次，人数0人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。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2、公务接待费支出决算为0.17万元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，接待来访团组数2组，来宾人数1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0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人。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3、公务用车购置费及运行维护费支出决算为2万元，其中：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  <w:lang w:val="en-US" w:eastAsia="zh-CN"/>
        </w:rPr>
        <w:t>公务用车购置或更新支出0万元；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公务用车运行维护费2万元，主要是车辆维修费及保险费、燃油费支出，截止2021年12月31日，我单位开支财政拨款的公务用车保有量为2辆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  <w:lang w:eastAsia="zh-CN"/>
        </w:rPr>
        <w:t>，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八、政府性基金预算收入支出决算情况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本单位无政府性基金收支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九、关于机关运行经费支出说明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本部门2021年度机关运行经费支出53.11万元，比年初预算数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增加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4.87万元，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增加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10.1%。主要原因是：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年中指标调整，调整增加其他交通费用5万元，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公务接待费0.13万元未使用。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十、一般性支出情况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2021年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本部门无会议费开支；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bCs/>
          <w:color w:val="auto"/>
          <w:sz w:val="32"/>
          <w:szCs w:val="32"/>
        </w:rPr>
      </w:pPr>
      <w:r>
        <w:rPr>
          <w:rFonts w:cs="微软雅黑" w:asciiTheme="minorEastAsia" w:hAnsiTheme="minorEastAsia"/>
          <w:bCs/>
          <w:color w:val="auto"/>
          <w:sz w:val="32"/>
          <w:szCs w:val="32"/>
        </w:rPr>
        <w:t>2021年本部门开支培训费4.5万元，用于开展培训及购买培训书籍，培训人数29人次，内容开展警察党性及爱国主义教育培训，以及为全所干警购买</w:t>
      </w:r>
      <w:r>
        <w:rPr>
          <w:rFonts w:hint="eastAsia" w:cs="微软雅黑" w:asciiTheme="minorEastAsia" w:hAnsiTheme="minorEastAsia"/>
          <w:bCs/>
          <w:color w:val="auto"/>
          <w:sz w:val="32"/>
          <w:szCs w:val="32"/>
        </w:rPr>
        <w:t>队伍教育整顿警示书籍</w:t>
      </w:r>
      <w:r>
        <w:rPr>
          <w:rFonts w:cs="微软雅黑" w:asciiTheme="minorEastAsia" w:hAnsiTheme="minorEastAsia"/>
          <w:bCs/>
          <w:color w:val="auto"/>
          <w:sz w:val="32"/>
          <w:szCs w:val="32"/>
        </w:rPr>
        <w:t>等支出。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2021年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本部门</w:t>
      </w:r>
      <w:r>
        <w:rPr>
          <w:rFonts w:cs="微软雅黑" w:asciiTheme="minorEastAsia" w:hAnsiTheme="minorEastAsia"/>
          <w:color w:val="auto"/>
          <w:sz w:val="32"/>
          <w:szCs w:val="32"/>
        </w:rPr>
        <w:t>无节庆、晚会、论坛、赛事活动经费预算及支出。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十一、关于政府采购支出说明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color w:val="auto"/>
          <w:sz w:val="32"/>
          <w:szCs w:val="32"/>
        </w:rPr>
      </w:pPr>
      <w:r>
        <w:rPr>
          <w:rFonts w:hint="eastAsia" w:cs="微软雅黑" w:asciiTheme="minorEastAsia" w:hAnsiTheme="minorEastAsia"/>
          <w:color w:val="auto"/>
          <w:sz w:val="32"/>
          <w:szCs w:val="32"/>
        </w:rPr>
        <w:t>本部门2021年度政府采购支出总额</w:t>
      </w:r>
      <w:r>
        <w:rPr>
          <w:rFonts w:cs="微软雅黑" w:asciiTheme="minorEastAsia" w:hAnsiTheme="minorEastAsia"/>
          <w:color w:val="auto"/>
          <w:sz w:val="32"/>
          <w:szCs w:val="32"/>
        </w:rPr>
        <w:t>3.75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万元，其中：政府采购货物支出</w:t>
      </w:r>
      <w:r>
        <w:rPr>
          <w:rFonts w:cs="微软雅黑" w:asciiTheme="minorEastAsia" w:hAnsiTheme="minorEastAsia"/>
          <w:color w:val="auto"/>
          <w:sz w:val="32"/>
          <w:szCs w:val="32"/>
        </w:rPr>
        <w:t>3.75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万元、政府采购工程支出0万元、政府采购服务支出0万元。授予中小企业合同金额</w:t>
      </w:r>
      <w:r>
        <w:rPr>
          <w:rFonts w:cs="微软雅黑" w:asciiTheme="minorEastAsia" w:hAnsiTheme="minorEastAsia"/>
          <w:color w:val="auto"/>
          <w:sz w:val="32"/>
          <w:szCs w:val="32"/>
        </w:rPr>
        <w:t>3.75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 xml:space="preserve">万元，占政府采购支出总额的100%，其中：授予小微企业合同金额0万元，占授予中小企业合同金额的0%；货物采购授予中小企业合同金额占货物支出金额的100%，工程采购授予中小企业合同金额占工程支出金额的0%，服务采购授予中小企业合同金额占服务支出金额的0%。 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十二、关于国有资产占用情况说明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截至2021年12月31日，本单位共有车辆2辆，其中，执法执勤用车2辆；无单位价值50万元以上通用设备。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十三、关于2021年度预算绩效情况的说明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（一）预算绩效管理工作开展情况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为加强财政支出管理，提高财政资金使用效益，根据湖南省财政厅关于开展202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1</w:t>
      </w:r>
      <w:r>
        <w:rPr>
          <w:rFonts w:cs="微软雅黑" w:asciiTheme="minorEastAsia" w:hAnsiTheme="minorEastAsia"/>
          <w:color w:val="auto"/>
          <w:sz w:val="32"/>
          <w:szCs w:val="32"/>
        </w:rPr>
        <w:t>年度部门整体支出绩效自评工作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的有关</w:t>
      </w:r>
      <w:r>
        <w:rPr>
          <w:rFonts w:cs="微软雅黑" w:asciiTheme="minorEastAsia" w:hAnsiTheme="minorEastAsia"/>
          <w:color w:val="auto"/>
          <w:sz w:val="32"/>
          <w:szCs w:val="32"/>
        </w:rPr>
        <w:t>精神，我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所</w:t>
      </w:r>
      <w:r>
        <w:rPr>
          <w:rFonts w:cs="微软雅黑" w:asciiTheme="minorEastAsia" w:hAnsiTheme="minorEastAsia"/>
          <w:color w:val="auto"/>
          <w:sz w:val="32"/>
          <w:szCs w:val="32"/>
        </w:rPr>
        <w:t>迅速成立考评组，对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本单位</w:t>
      </w:r>
      <w:r>
        <w:rPr>
          <w:rFonts w:cs="微软雅黑" w:asciiTheme="minorEastAsia" w:hAnsiTheme="minorEastAsia"/>
          <w:color w:val="auto"/>
          <w:sz w:val="32"/>
          <w:szCs w:val="32"/>
        </w:rPr>
        <w:t>2021年部门整体支出进行了全方位绩效评价。评价采用定量分析和定性分析相结合的方法，围绕部门职责，以预算资金管理为主线，一方面从预算配置、履职效益、预算管理、职责履行、预算执行情况和新增财政支出、一般性支出、办公经费支出、工资管理以及厉行节约保障措施等方面进行了综合评价；另一方面从运行成本、管理效率、履职效能、社会效应、可持续发展能力和服务对象满意度等方面，衡量部门整体及核心业务实施效果。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从评价情况来看，完成情况较好，主要表现为以下几个方面：一是项目设置了明确的绩效目标，在推进绩效目标得以实现的同时，为以后年度项目安排及资金管理提供重要依据；二是进一步规范政府采购，降低了预算成本；三是以提升绩效评价质量为动力，推进财务内控标准化建设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（二）预算绩效管理目标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 坚持以习近平新时代中国特色社会主义思想为指导，深入贯彻习近平总书记重要讲话精神，全面落实司法部和省司法厅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、省监狱局</w:t>
      </w:r>
      <w:r>
        <w:rPr>
          <w:rFonts w:cs="微软雅黑" w:asciiTheme="minorEastAsia" w:hAnsiTheme="minorEastAsia"/>
          <w:color w:val="auto"/>
          <w:sz w:val="32"/>
          <w:szCs w:val="32"/>
        </w:rPr>
        <w:t>工作部署，旗帜鲜明地把政治建设放在首位，坚持党对监狱工作的绝对领导，坚持以人民为中心的发展思想，坚持稳中求进工作总基调，以打造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现代化监狱后勤保障体系</w:t>
      </w:r>
      <w:r>
        <w:rPr>
          <w:rFonts w:cs="微软雅黑" w:asciiTheme="minorEastAsia" w:hAnsiTheme="minorEastAsia"/>
          <w:color w:val="auto"/>
          <w:sz w:val="32"/>
          <w:szCs w:val="32"/>
        </w:rPr>
        <w:t>为目标，聚焦监狱治理现代化，坚守安全底线，深化改革创新，打造过硬队伍，努力推动新时代监狱工作高质量发展。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（三）</w:t>
      </w:r>
      <w:r>
        <w:rPr>
          <w:rFonts w:hint="eastAsia" w:cs="微软雅黑" w:asciiTheme="minorEastAsia" w:hAnsiTheme="minorEastAsia"/>
          <w:b/>
          <w:color w:val="auto"/>
          <w:sz w:val="32"/>
          <w:szCs w:val="32"/>
        </w:rPr>
        <w:t>部门整体</w:t>
      </w:r>
      <w:r>
        <w:rPr>
          <w:rFonts w:cs="微软雅黑" w:asciiTheme="minorEastAsia" w:hAnsiTheme="minorEastAsia"/>
          <w:b/>
          <w:color w:val="auto"/>
          <w:sz w:val="32"/>
          <w:szCs w:val="32"/>
        </w:rPr>
        <w:t>支出绩效自评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2021年，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湖南省监狱后勤事务管理所</w:t>
      </w:r>
      <w:r>
        <w:rPr>
          <w:rFonts w:cs="微软雅黑" w:asciiTheme="minorEastAsia" w:hAnsiTheme="minorEastAsia"/>
          <w:color w:val="auto"/>
          <w:sz w:val="32"/>
          <w:szCs w:val="32"/>
        </w:rPr>
        <w:t>在省司法厅党组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、局党委</w:t>
      </w:r>
      <w:r>
        <w:rPr>
          <w:rFonts w:cs="微软雅黑" w:asciiTheme="minorEastAsia" w:hAnsiTheme="minorEastAsia"/>
          <w:color w:val="auto"/>
          <w:sz w:val="32"/>
          <w:szCs w:val="32"/>
        </w:rPr>
        <w:t>的正确领导下，以习近平新时代中国特色社会主义思想为指导，坚持稳中求进工作总基调，坚守安全底线，聚焦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后勤服务保障</w:t>
      </w:r>
      <w:r>
        <w:rPr>
          <w:rFonts w:cs="微软雅黑" w:asciiTheme="minorEastAsia" w:hAnsiTheme="minorEastAsia"/>
          <w:color w:val="auto"/>
          <w:sz w:val="32"/>
          <w:szCs w:val="32"/>
        </w:rPr>
        <w:t>，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坚持底线思维</w:t>
      </w:r>
      <w:r>
        <w:rPr>
          <w:rFonts w:cs="微软雅黑" w:asciiTheme="minorEastAsia" w:hAnsiTheme="minorEastAsia"/>
          <w:color w:val="auto"/>
          <w:sz w:val="32"/>
          <w:szCs w:val="32"/>
        </w:rPr>
        <w:t>，大力排查整治隐患，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积极应对</w:t>
      </w:r>
      <w:r>
        <w:rPr>
          <w:rFonts w:cs="微软雅黑" w:asciiTheme="minorEastAsia" w:hAnsiTheme="minorEastAsia"/>
          <w:color w:val="auto"/>
          <w:sz w:val="32"/>
          <w:szCs w:val="32"/>
        </w:rPr>
        <w:t>新冠肺炎疫情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，</w:t>
      </w:r>
      <w:r>
        <w:rPr>
          <w:rFonts w:cs="微软雅黑" w:asciiTheme="minorEastAsia" w:hAnsiTheme="minorEastAsia"/>
          <w:color w:val="auto"/>
          <w:sz w:val="32"/>
          <w:szCs w:val="32"/>
        </w:rPr>
        <w:t>坚持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筑牢</w:t>
      </w:r>
      <w:r>
        <w:rPr>
          <w:rFonts w:cs="微软雅黑" w:asciiTheme="minorEastAsia" w:hAnsiTheme="minorEastAsia"/>
          <w:color w:val="auto"/>
          <w:sz w:val="32"/>
          <w:szCs w:val="32"/>
        </w:rPr>
        <w:t>过紧日子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思想。</w:t>
      </w:r>
      <w:r>
        <w:rPr>
          <w:rFonts w:cs="微软雅黑" w:asciiTheme="minorEastAsia" w:hAnsiTheme="minorEastAsia"/>
          <w:color w:val="auto"/>
          <w:sz w:val="32"/>
          <w:szCs w:val="32"/>
        </w:rPr>
        <w:t>我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所</w:t>
      </w:r>
      <w:r>
        <w:rPr>
          <w:rFonts w:cs="微软雅黑" w:asciiTheme="minorEastAsia" w:hAnsiTheme="minorEastAsia"/>
          <w:color w:val="auto"/>
          <w:sz w:val="32"/>
          <w:szCs w:val="32"/>
        </w:rPr>
        <w:t>对照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绩效考核</w:t>
      </w:r>
      <w:r>
        <w:rPr>
          <w:rFonts w:cs="微软雅黑" w:asciiTheme="minorEastAsia" w:hAnsiTheme="minorEastAsia"/>
          <w:color w:val="auto"/>
          <w:sz w:val="32"/>
          <w:szCs w:val="32"/>
        </w:rPr>
        <w:t>文件规定的考核指标，从预算配置、预算执行、预算管理、履职效益、职责履行情况等方面对省直监狱系统2021年部门整体支出绩效开展了评价，自评得分9</w:t>
      </w:r>
      <w:r>
        <w:rPr>
          <w:rFonts w:hint="eastAsia" w:cs="微软雅黑" w:asciiTheme="minorEastAsia" w:hAnsiTheme="minorEastAsia"/>
          <w:color w:val="auto"/>
          <w:sz w:val="32"/>
          <w:szCs w:val="32"/>
        </w:rPr>
        <w:t>6</w:t>
      </w:r>
      <w:r>
        <w:rPr>
          <w:rFonts w:cs="微软雅黑" w:asciiTheme="minorEastAsia" w:hAnsiTheme="minorEastAsia"/>
          <w:color w:val="auto"/>
          <w:sz w:val="32"/>
          <w:szCs w:val="32"/>
        </w:rPr>
        <w:t>分。</w:t>
      </w:r>
    </w:p>
    <w:p>
      <w:pPr>
        <w:widowControl/>
        <w:spacing w:line="580" w:lineRule="exact"/>
        <w:ind w:firstLine="640" w:firstLineChars="200"/>
        <w:jc w:val="left"/>
        <w:rPr>
          <w:rFonts w:cs="微软雅黑" w:asciiTheme="minorEastAsia" w:hAnsiTheme="minorEastAsia"/>
          <w:color w:val="auto"/>
          <w:kern w:val="0"/>
          <w:sz w:val="32"/>
          <w:szCs w:val="32"/>
        </w:rPr>
      </w:pPr>
      <w:r>
        <w:rPr>
          <w:rFonts w:hint="eastAsia" w:cs="微软雅黑" w:asciiTheme="minorEastAsia" w:hAnsiTheme="minorEastAsia"/>
          <w:color w:val="auto"/>
          <w:kern w:val="0"/>
          <w:sz w:val="32"/>
          <w:szCs w:val="32"/>
        </w:rPr>
        <w:t>本单位2021年现有工作职能主要包括：一是负责全省监狱系统政府集中招标采购；二是负责全省监狱系统生活物资服务监督管理；三是负责省局机关食堂运营管理；四是负责全省监狱协会指导工作。</w:t>
      </w:r>
    </w:p>
    <w:p>
      <w:pPr>
        <w:widowControl/>
        <w:spacing w:line="580" w:lineRule="exact"/>
        <w:ind w:firstLine="640" w:firstLineChars="200"/>
        <w:jc w:val="left"/>
        <w:rPr>
          <w:rFonts w:cs="微软雅黑" w:asciiTheme="minorEastAsia" w:hAnsiTheme="minorEastAsia"/>
          <w:color w:val="auto"/>
          <w:kern w:val="0"/>
          <w:sz w:val="32"/>
          <w:szCs w:val="32"/>
        </w:rPr>
      </w:pPr>
      <w:r>
        <w:rPr>
          <w:rFonts w:hint="eastAsia" w:cs="微软雅黑" w:asciiTheme="minorEastAsia" w:hAnsiTheme="minorEastAsia"/>
          <w:color w:val="auto"/>
          <w:kern w:val="0"/>
          <w:sz w:val="32"/>
          <w:szCs w:val="32"/>
        </w:rPr>
        <w:t>本单位2021年度整体支出未偏离绩效目标。</w:t>
      </w:r>
    </w:p>
    <w:p>
      <w:pPr>
        <w:widowControl/>
        <w:spacing w:line="580" w:lineRule="exact"/>
        <w:ind w:firstLine="640" w:firstLineChars="200"/>
        <w:jc w:val="left"/>
        <w:rPr>
          <w:rFonts w:cs="微软雅黑" w:asciiTheme="minorEastAsia" w:hAnsiTheme="minorEastAsia"/>
          <w:color w:val="auto"/>
          <w:kern w:val="0"/>
          <w:sz w:val="32"/>
          <w:szCs w:val="32"/>
        </w:rPr>
      </w:pPr>
      <w:r>
        <w:rPr>
          <w:rFonts w:hint="eastAsia" w:cs="微软雅黑" w:asciiTheme="minorEastAsia" w:hAnsiTheme="minorEastAsia"/>
          <w:color w:val="auto"/>
          <w:kern w:val="0"/>
          <w:sz w:val="32"/>
          <w:szCs w:val="32"/>
        </w:rPr>
        <w:t>下一步，我们将根据单位年度工作</w:t>
      </w:r>
      <w:r>
        <w:rPr>
          <w:rFonts w:cs="微软雅黑" w:asciiTheme="minorEastAsia" w:hAnsiTheme="minorEastAsia"/>
          <w:color w:val="auto"/>
          <w:kern w:val="0"/>
          <w:sz w:val="32"/>
          <w:szCs w:val="32"/>
        </w:rPr>
        <w:t>总体目标</w:t>
      </w:r>
      <w:r>
        <w:rPr>
          <w:rFonts w:hint="eastAsia" w:cs="微软雅黑" w:asciiTheme="minorEastAsia" w:hAnsiTheme="minorEastAsia"/>
          <w:color w:val="auto"/>
          <w:kern w:val="0"/>
          <w:sz w:val="32"/>
          <w:szCs w:val="32"/>
        </w:rPr>
        <w:t>任务，合理制定年初预算，并严格按预算执行控制，加大对成本的控制，特别是降低公用经费的支出，继续建立和完善相关管理制度，确保财政资金得到规范、高效运行，取得良好的经济和社会效益。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  <w:r>
        <w:rPr>
          <w:rFonts w:ascii="黑体" w:hAnsi="黑体" w:eastAsia="黑体" w:cs="微软雅黑"/>
          <w:b/>
          <w:color w:val="auto"/>
          <w:sz w:val="72"/>
          <w:szCs w:val="72"/>
        </w:rPr>
        <w:t>第四部分  </w:t>
      </w:r>
    </w:p>
    <w:p>
      <w:pPr>
        <w:pStyle w:val="5"/>
        <w:widowControl/>
        <w:spacing w:beforeAutospacing="0" w:afterAutospacing="0" w:line="420" w:lineRule="atLeast"/>
        <w:ind w:firstLine="1446" w:firstLineChars="200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Calibri"/>
          <w:color w:val="auto"/>
          <w:sz w:val="72"/>
          <w:szCs w:val="72"/>
        </w:rPr>
      </w:pPr>
      <w:r>
        <w:rPr>
          <w:rFonts w:ascii="黑体" w:hAnsi="黑体" w:eastAsia="黑体" w:cs="微软雅黑"/>
          <w:b/>
          <w:color w:val="auto"/>
          <w:sz w:val="72"/>
          <w:szCs w:val="72"/>
        </w:rPr>
        <w:t>名词解释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一、机关运行经费：</w:t>
      </w:r>
      <w:r>
        <w:rPr>
          <w:rFonts w:cs="微软雅黑" w:asciiTheme="minorEastAsia" w:hAnsiTheme="minorEastAsia"/>
          <w:color w:val="auto"/>
          <w:sz w:val="32"/>
          <w:szCs w:val="32"/>
        </w:rPr>
        <w:t>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5"/>
        <w:widowControl/>
        <w:spacing w:beforeAutospacing="0" w:afterAutospacing="0" w:line="420" w:lineRule="atLeast"/>
        <w:ind w:firstLine="643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b/>
          <w:color w:val="auto"/>
          <w:sz w:val="32"/>
          <w:szCs w:val="32"/>
        </w:rPr>
        <w:t>二、“三公”经费：</w:t>
      </w:r>
      <w:r>
        <w:rPr>
          <w:rFonts w:cs="微软雅黑" w:asciiTheme="minorEastAsia" w:hAnsiTheme="minorEastAsia"/>
          <w:color w:val="auto"/>
          <w:sz w:val="32"/>
          <w:szCs w:val="32"/>
        </w:rPr>
        <w:t>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</w:p>
    <w:p>
      <w:pPr>
        <w:rPr>
          <w:rFonts w:asciiTheme="minorEastAsia" w:hAnsiTheme="minorEastAsia"/>
          <w:color w:val="auto"/>
          <w:sz w:val="32"/>
          <w:szCs w:val="32"/>
        </w:rPr>
      </w:pPr>
    </w:p>
    <w:p>
      <w:pPr>
        <w:rPr>
          <w:rFonts w:asciiTheme="minorEastAsia" w:hAnsiTheme="minorEastAsia"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3" w:firstLineChars="200"/>
        <w:jc w:val="center"/>
        <w:rPr>
          <w:rFonts w:cs="微软雅黑" w:asciiTheme="minorEastAsia" w:hAnsiTheme="minorEastAsia"/>
          <w:b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  <w:r>
        <w:rPr>
          <w:rFonts w:ascii="黑体" w:hAnsi="黑体" w:eastAsia="黑体" w:cs="微软雅黑"/>
          <w:b/>
          <w:color w:val="auto"/>
          <w:sz w:val="72"/>
          <w:szCs w:val="72"/>
        </w:rPr>
        <w:t>第五部分  </w:t>
      </w: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微软雅黑"/>
          <w:b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jc w:val="center"/>
        <w:rPr>
          <w:rFonts w:ascii="黑体" w:hAnsi="黑体" w:eastAsia="黑体" w:cs="Calibri"/>
          <w:color w:val="auto"/>
          <w:sz w:val="72"/>
          <w:szCs w:val="72"/>
        </w:rPr>
      </w:pPr>
      <w:r>
        <w:rPr>
          <w:rFonts w:ascii="黑体" w:hAnsi="黑体" w:eastAsia="黑体" w:cs="微软雅黑"/>
          <w:b/>
          <w:color w:val="auto"/>
          <w:sz w:val="72"/>
          <w:szCs w:val="72"/>
        </w:rPr>
        <w:t>附件</w:t>
      </w:r>
    </w:p>
    <w:p>
      <w:pPr>
        <w:pStyle w:val="5"/>
        <w:widowControl/>
        <w:spacing w:beforeAutospacing="0" w:afterAutospacing="0" w:line="420" w:lineRule="atLeast"/>
        <w:ind w:firstLine="1440" w:firstLineChars="200"/>
        <w:jc w:val="both"/>
        <w:rPr>
          <w:rFonts w:ascii="黑体" w:hAnsi="黑体" w:eastAsia="黑体" w:cs="微软雅黑"/>
          <w:color w:val="auto"/>
          <w:sz w:val="72"/>
          <w:szCs w:val="72"/>
        </w:rPr>
      </w:pP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微软雅黑" w:asciiTheme="minorEastAsia" w:hAnsiTheme="minorEastAsia"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jc w:val="both"/>
        <w:rPr>
          <w:rFonts w:cs="微软雅黑" w:asciiTheme="minorEastAsia" w:hAnsiTheme="minorEastAsia"/>
          <w:color w:val="auto"/>
          <w:sz w:val="32"/>
          <w:szCs w:val="32"/>
        </w:rPr>
      </w:pPr>
    </w:p>
    <w:p>
      <w:pPr>
        <w:pStyle w:val="5"/>
        <w:widowControl/>
        <w:spacing w:beforeAutospacing="0" w:afterAutospacing="0" w:line="420" w:lineRule="atLeast"/>
        <w:ind w:firstLine="640" w:firstLineChars="200"/>
        <w:jc w:val="both"/>
        <w:rPr>
          <w:rFonts w:cs="Calibri" w:asciiTheme="minorEastAsia" w:hAnsiTheme="minorEastAsia"/>
          <w:color w:val="auto"/>
          <w:sz w:val="32"/>
          <w:szCs w:val="32"/>
        </w:rPr>
      </w:pPr>
      <w:r>
        <w:rPr>
          <w:rFonts w:cs="微软雅黑" w:asciiTheme="minorEastAsia" w:hAnsiTheme="minorEastAsia"/>
          <w:color w:val="auto"/>
          <w:sz w:val="32"/>
          <w:szCs w:val="32"/>
        </w:rPr>
        <w:t>根据涉密信息管理要求,湖南省监狱后勤事务管理所2021年度部门整体支出绩效评价报告依法不予公开。</w:t>
      </w:r>
    </w:p>
    <w:p>
      <w:pPr>
        <w:ind w:firstLine="640" w:firstLineChars="200"/>
        <w:rPr>
          <w:rFonts w:asciiTheme="minorEastAsia" w:hAnsiTheme="minorEastAsia"/>
          <w:color w:val="auto"/>
          <w:sz w:val="32"/>
          <w:szCs w:val="32"/>
        </w:rPr>
      </w:pPr>
    </w:p>
    <w:p>
      <w:pPr>
        <w:rPr>
          <w:rFonts w:asciiTheme="minorEastAsia" w:hAnsiTheme="minorEastAsia"/>
          <w:color w:val="auto"/>
          <w:sz w:val="32"/>
          <w:szCs w:val="32"/>
        </w:rPr>
      </w:pPr>
    </w:p>
    <w:p>
      <w:pPr>
        <w:rPr>
          <w:rFonts w:asciiTheme="minorEastAsia" w:hAnsiTheme="minorEastAsia"/>
          <w:color w:val="auto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D9D2C1"/>
    <w:multiLevelType w:val="singleLevel"/>
    <w:tmpl w:val="F7D9D2C1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jNDI4NGI1MGM5NWY2NmI2MWMxOGYxZjc3OTE1YjIifQ=="/>
  </w:docVars>
  <w:rsids>
    <w:rsidRoot w:val="5D17EF61"/>
    <w:rsid w:val="00046244"/>
    <w:rsid w:val="00051ED5"/>
    <w:rsid w:val="0014481C"/>
    <w:rsid w:val="00165F11"/>
    <w:rsid w:val="001D4F05"/>
    <w:rsid w:val="00201E1C"/>
    <w:rsid w:val="00207404"/>
    <w:rsid w:val="00236B9A"/>
    <w:rsid w:val="002728B9"/>
    <w:rsid w:val="002B31DC"/>
    <w:rsid w:val="003877E2"/>
    <w:rsid w:val="003B5080"/>
    <w:rsid w:val="003F6B27"/>
    <w:rsid w:val="00412511"/>
    <w:rsid w:val="004145A9"/>
    <w:rsid w:val="00467655"/>
    <w:rsid w:val="004C163E"/>
    <w:rsid w:val="00540240"/>
    <w:rsid w:val="00604F22"/>
    <w:rsid w:val="0063769A"/>
    <w:rsid w:val="00655993"/>
    <w:rsid w:val="00717DA9"/>
    <w:rsid w:val="00735D96"/>
    <w:rsid w:val="0078527E"/>
    <w:rsid w:val="007C17CC"/>
    <w:rsid w:val="007D0855"/>
    <w:rsid w:val="007E15D9"/>
    <w:rsid w:val="007F7DC9"/>
    <w:rsid w:val="008B0EA2"/>
    <w:rsid w:val="008F6B83"/>
    <w:rsid w:val="0099194A"/>
    <w:rsid w:val="009D3E3F"/>
    <w:rsid w:val="00AB0C70"/>
    <w:rsid w:val="00B80271"/>
    <w:rsid w:val="00B82798"/>
    <w:rsid w:val="00BC7734"/>
    <w:rsid w:val="00C24687"/>
    <w:rsid w:val="00C5236C"/>
    <w:rsid w:val="00C6398A"/>
    <w:rsid w:val="00C966AD"/>
    <w:rsid w:val="00DA5E97"/>
    <w:rsid w:val="00DE244C"/>
    <w:rsid w:val="00E024B9"/>
    <w:rsid w:val="00E73131"/>
    <w:rsid w:val="00EB6567"/>
    <w:rsid w:val="00EB752C"/>
    <w:rsid w:val="00F0363D"/>
    <w:rsid w:val="00F151FF"/>
    <w:rsid w:val="00F65A9E"/>
    <w:rsid w:val="0BD95DCF"/>
    <w:rsid w:val="21BA6055"/>
    <w:rsid w:val="261010DD"/>
    <w:rsid w:val="2BE555B9"/>
    <w:rsid w:val="5D17EF61"/>
    <w:rsid w:val="7EA137CD"/>
    <w:rsid w:val="FFE7F74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spacing w:beforeAutospacing="1" w:afterAutospacing="1"/>
      <w:outlineLvl w:val="0"/>
    </w:pPr>
    <w:rPr>
      <w:rFonts w:hint="eastAsia" w:ascii="宋体" w:hAnsi="宋体" w:eastAsia="宋体" w:cs="Times New Roman"/>
      <w:b/>
      <w:kern w:val="44"/>
      <w:sz w:val="48"/>
      <w:szCs w:val="48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qFormat/>
    <w:uiPriority w:val="0"/>
    <w:pPr>
      <w:widowControl w:val="0"/>
      <w:spacing w:beforeAutospacing="1" w:afterAutospacing="1"/>
    </w:pPr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  <w:style w:type="character" w:customStyle="1" w:styleId="9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784</Words>
  <Characters>4469</Characters>
  <Lines>37</Lines>
  <Paragraphs>10</Paragraphs>
  <TotalTime>0</TotalTime>
  <ScaleCrop>false</ScaleCrop>
  <LinksUpToDate>false</LinksUpToDate>
  <CharactersWithSpaces>5243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2021-09-02T18:08:00Z</dcterms:created>
  <dc:creator>xjkp</dc:creator>
  <cp:lastModifiedBy>陈琳</cp:lastModifiedBy>
  <dcterms:modified xsi:type="dcterms:W3CDTF">2023-09-26T09:20:37Z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C565DD5D2A6F47B795D835551EAA940A_12</vt:lpwstr>
  </property>
</Properties>
</file>