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left"/>
        <w:rPr>
          <w:rFonts w:eastAsia="仿宋_GB2312"/>
          <w:bCs/>
          <w:kern w:val="0"/>
          <w:sz w:val="32"/>
          <w:szCs w:val="32"/>
        </w:rPr>
      </w:pPr>
    </w:p>
    <w:p>
      <w:pPr>
        <w:widowControl/>
        <w:spacing w:line="600" w:lineRule="exact"/>
        <w:jc w:val="center"/>
        <w:rPr>
          <w:rFonts w:eastAsia="方正小标宋_GBK"/>
          <w:bCs/>
          <w:kern w:val="0"/>
          <w:sz w:val="44"/>
          <w:szCs w:val="44"/>
        </w:rPr>
      </w:pPr>
      <w:r>
        <w:rPr>
          <w:rFonts w:eastAsia="黑体"/>
          <w:sz w:val="32"/>
          <w:szCs w:val="32"/>
        </w:rPr>
        <w:t xml:space="preserve"> </w:t>
      </w:r>
      <w:r>
        <w:rPr>
          <w:rFonts w:eastAsia="方正小标宋_GBK"/>
          <w:bCs/>
          <w:kern w:val="0"/>
          <w:sz w:val="44"/>
          <w:szCs w:val="44"/>
        </w:rPr>
        <w:t>2021年</w:t>
      </w:r>
      <w:r>
        <w:rPr>
          <w:rFonts w:hint="eastAsia" w:eastAsia="方正小标宋_GBK"/>
          <w:bCs/>
          <w:kern w:val="0"/>
          <w:sz w:val="44"/>
          <w:szCs w:val="44"/>
        </w:rPr>
        <w:t>湖南省教育厅</w:t>
      </w:r>
      <w:r>
        <w:rPr>
          <w:rFonts w:eastAsia="方正小标宋_GBK"/>
          <w:bCs/>
          <w:kern w:val="0"/>
          <w:sz w:val="44"/>
          <w:szCs w:val="44"/>
        </w:rPr>
        <w:t>部门预算</w:t>
      </w: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36" w:firstLineChars="200"/>
        <w:rPr>
          <w:rFonts w:eastAsia="方正小标宋_GBK"/>
          <w:bCs/>
          <w:kern w:val="0"/>
          <w:sz w:val="32"/>
          <w:szCs w:val="32"/>
        </w:rPr>
      </w:pPr>
      <w:r>
        <w:rPr>
          <w:rFonts w:eastAsia="仿宋_GB2312"/>
          <w:b/>
          <w:bCs/>
          <w:kern w:val="0"/>
          <w:sz w:val="32"/>
          <w:szCs w:val="32"/>
        </w:rPr>
        <w:t xml:space="preserve">第一部分 </w:t>
      </w:r>
      <w:r>
        <w:rPr>
          <w:rFonts w:eastAsia="方正小标宋_GBK"/>
          <w:b/>
          <w:bCs/>
          <w:kern w:val="0"/>
          <w:sz w:val="32"/>
          <w:szCs w:val="32"/>
        </w:rPr>
        <w:t>2</w:t>
      </w:r>
      <w:r>
        <w:rPr>
          <w:rFonts w:eastAsia="仿宋_GB2312"/>
          <w:b/>
          <w:bCs/>
          <w:kern w:val="0"/>
          <w:sz w:val="32"/>
          <w:szCs w:val="32"/>
        </w:rPr>
        <w:t>021年部门预算说明</w:t>
      </w:r>
    </w:p>
    <w:p>
      <w:pPr>
        <w:widowControl/>
        <w:spacing w:line="600" w:lineRule="exact"/>
        <w:ind w:firstLine="636" w:firstLineChars="200"/>
        <w:jc w:val="left"/>
        <w:rPr>
          <w:rFonts w:eastAsia="仿宋_GB2312"/>
          <w:b/>
          <w:bCs/>
          <w:kern w:val="0"/>
          <w:sz w:val="32"/>
          <w:szCs w:val="32"/>
        </w:rPr>
      </w:pPr>
      <w:r>
        <w:rPr>
          <w:rFonts w:eastAsia="仿宋_GB2312"/>
          <w:b/>
          <w:bCs/>
          <w:kern w:val="0"/>
          <w:sz w:val="32"/>
          <w:szCs w:val="32"/>
        </w:rPr>
        <w:t>第二部分 2021年部门预算表</w:t>
      </w:r>
    </w:p>
    <w:p>
      <w:pPr>
        <w:widowControl/>
        <w:spacing w:line="600" w:lineRule="exact"/>
        <w:ind w:firstLine="636" w:firstLineChars="200"/>
        <w:jc w:val="left"/>
        <w:rPr>
          <w:rFonts w:eastAsia="仿宋_GB2312"/>
          <w:sz w:val="32"/>
          <w:szCs w:val="32"/>
        </w:rPr>
      </w:pPr>
      <w:r>
        <w:rPr>
          <w:rFonts w:eastAsia="仿宋_GB2312"/>
          <w:sz w:val="32"/>
          <w:szCs w:val="32"/>
        </w:rPr>
        <w:t>1、收支总表</w:t>
      </w:r>
    </w:p>
    <w:p>
      <w:pPr>
        <w:widowControl/>
        <w:spacing w:line="600" w:lineRule="exact"/>
        <w:ind w:firstLine="636" w:firstLineChars="200"/>
        <w:jc w:val="left"/>
        <w:rPr>
          <w:rFonts w:eastAsia="仿宋_GB2312"/>
          <w:sz w:val="32"/>
          <w:szCs w:val="32"/>
        </w:rPr>
      </w:pPr>
      <w:r>
        <w:rPr>
          <w:rFonts w:eastAsia="仿宋_GB2312"/>
          <w:sz w:val="32"/>
          <w:szCs w:val="32"/>
        </w:rPr>
        <w:t>2、收入总表</w:t>
      </w:r>
    </w:p>
    <w:p>
      <w:pPr>
        <w:widowControl/>
        <w:spacing w:line="600" w:lineRule="exact"/>
        <w:ind w:firstLine="636" w:firstLineChars="200"/>
        <w:jc w:val="left"/>
        <w:rPr>
          <w:rFonts w:eastAsia="仿宋_GB2312"/>
          <w:sz w:val="32"/>
          <w:szCs w:val="32"/>
        </w:rPr>
      </w:pPr>
      <w:r>
        <w:rPr>
          <w:rFonts w:eastAsia="仿宋_GB2312"/>
          <w:sz w:val="32"/>
          <w:szCs w:val="32"/>
        </w:rPr>
        <w:t>3、支出总表</w:t>
      </w:r>
    </w:p>
    <w:p>
      <w:pPr>
        <w:widowControl/>
        <w:spacing w:line="600" w:lineRule="exact"/>
        <w:ind w:firstLine="636"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6、财政拨款收支总表</w:t>
      </w:r>
    </w:p>
    <w:p>
      <w:pPr>
        <w:widowControl/>
        <w:spacing w:line="600" w:lineRule="exact"/>
        <w:ind w:firstLine="636"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36"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36"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36"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18、国有资本经营预算支出表</w:t>
      </w:r>
    </w:p>
    <w:p>
      <w:pPr>
        <w:widowControl/>
        <w:spacing w:line="600" w:lineRule="exact"/>
        <w:ind w:firstLine="636" w:firstLineChars="200"/>
        <w:jc w:val="left"/>
        <w:rPr>
          <w:rFonts w:eastAsia="仿宋_GB2312"/>
          <w:sz w:val="32"/>
          <w:szCs w:val="32"/>
        </w:rPr>
      </w:pPr>
      <w:r>
        <w:rPr>
          <w:rFonts w:eastAsia="仿宋_GB2312"/>
          <w:sz w:val="32"/>
          <w:szCs w:val="32"/>
        </w:rPr>
        <w:t>19、财政专户管理资金预算支出表</w:t>
      </w:r>
    </w:p>
    <w:p>
      <w:pPr>
        <w:widowControl/>
        <w:spacing w:line="600" w:lineRule="exact"/>
        <w:ind w:firstLine="636" w:firstLineChars="200"/>
        <w:jc w:val="left"/>
        <w:rPr>
          <w:rFonts w:eastAsia="仿宋_GB2312"/>
          <w:sz w:val="32"/>
          <w:szCs w:val="32"/>
        </w:rPr>
      </w:pPr>
      <w:r>
        <w:rPr>
          <w:rFonts w:eastAsia="仿宋_GB2312"/>
          <w:sz w:val="32"/>
          <w:szCs w:val="32"/>
        </w:rPr>
        <w:t>20、省级专项资金预算汇总表</w:t>
      </w:r>
    </w:p>
    <w:p>
      <w:pPr>
        <w:widowControl/>
        <w:spacing w:line="600" w:lineRule="exact"/>
        <w:ind w:firstLine="636" w:firstLineChars="200"/>
        <w:jc w:val="left"/>
        <w:rPr>
          <w:rFonts w:eastAsia="仿宋_GB2312"/>
          <w:sz w:val="32"/>
          <w:szCs w:val="32"/>
        </w:rPr>
      </w:pPr>
      <w:r>
        <w:rPr>
          <w:rFonts w:eastAsia="仿宋_GB2312"/>
          <w:sz w:val="32"/>
          <w:szCs w:val="32"/>
        </w:rPr>
        <w:t>21、省级专项资金绩效目标表</w:t>
      </w:r>
    </w:p>
    <w:p>
      <w:pPr>
        <w:widowControl/>
        <w:spacing w:line="600" w:lineRule="exact"/>
        <w:ind w:firstLine="636" w:firstLineChars="200"/>
        <w:jc w:val="left"/>
        <w:rPr>
          <w:rFonts w:eastAsia="仿宋_GB2312"/>
          <w:sz w:val="32"/>
          <w:szCs w:val="32"/>
        </w:rPr>
      </w:pPr>
      <w:r>
        <w:rPr>
          <w:rFonts w:eastAsia="仿宋_GB2312"/>
          <w:sz w:val="32"/>
          <w:szCs w:val="32"/>
        </w:rPr>
        <w:t>22、其他项目支出绩效目标表</w:t>
      </w:r>
    </w:p>
    <w:p>
      <w:pPr>
        <w:widowControl/>
        <w:spacing w:line="600" w:lineRule="exact"/>
        <w:ind w:firstLine="636" w:firstLineChars="200"/>
        <w:jc w:val="left"/>
        <w:rPr>
          <w:rFonts w:eastAsia="仿宋_GB2312"/>
          <w:sz w:val="32"/>
          <w:szCs w:val="32"/>
        </w:rPr>
      </w:pPr>
      <w:r>
        <w:rPr>
          <w:rFonts w:eastAsia="仿宋_GB2312"/>
          <w:sz w:val="32"/>
          <w:szCs w:val="32"/>
        </w:rPr>
        <w:t>23、部门整体支出绩效目标表</w:t>
      </w:r>
    </w:p>
    <w:p>
      <w:pPr>
        <w:widowControl/>
        <w:spacing w:line="600" w:lineRule="exact"/>
        <w:ind w:firstLine="636"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widowControl/>
        <w:spacing w:line="600" w:lineRule="exact"/>
        <w:ind w:firstLine="636"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eastAsia="方正小标宋_GBK"/>
          <w:bCs/>
          <w:kern w:val="0"/>
          <w:sz w:val="36"/>
          <w:szCs w:val="36"/>
        </w:rPr>
      </w:pPr>
      <w:r>
        <w:rPr>
          <w:rFonts w:eastAsia="方正小标宋_GBK"/>
          <w:bCs/>
          <w:kern w:val="0"/>
          <w:sz w:val="36"/>
          <w:szCs w:val="36"/>
        </w:rPr>
        <w:t>第一部分 2021年部门预算说明</w:t>
      </w:r>
    </w:p>
    <w:p>
      <w:pPr>
        <w:widowControl/>
        <w:spacing w:line="600" w:lineRule="exact"/>
        <w:jc w:val="left"/>
        <w:rPr>
          <w:rFonts w:eastAsia="仿宋_GB2312"/>
          <w:b/>
          <w:bCs/>
          <w:kern w:val="0"/>
          <w:sz w:val="32"/>
          <w:szCs w:val="32"/>
        </w:rPr>
      </w:pPr>
    </w:p>
    <w:p>
      <w:pPr>
        <w:widowControl/>
        <w:spacing w:line="600" w:lineRule="exact"/>
        <w:ind w:firstLine="624"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24" w:firstLineChars="196"/>
        <w:jc w:val="left"/>
        <w:rPr>
          <w:rFonts w:eastAsia="楷体_GB2312"/>
          <w:b/>
          <w:sz w:val="32"/>
          <w:szCs w:val="32"/>
        </w:rPr>
      </w:pPr>
      <w:r>
        <w:rPr>
          <w:rFonts w:eastAsia="楷体_GB2312"/>
          <w:b/>
          <w:sz w:val="32"/>
          <w:szCs w:val="32"/>
        </w:rPr>
        <w:t>（一）职能职责。</w:t>
      </w:r>
    </w:p>
    <w:p>
      <w:pPr>
        <w:widowControl/>
        <w:spacing w:line="600" w:lineRule="exact"/>
        <w:ind w:firstLine="624" w:firstLineChars="196"/>
        <w:jc w:val="left"/>
        <w:rPr>
          <w:rFonts w:eastAsia="仿宋_GB2312"/>
          <w:sz w:val="32"/>
          <w:szCs w:val="32"/>
        </w:rPr>
      </w:pPr>
      <w:r>
        <w:rPr>
          <w:rFonts w:hint="eastAsia" w:eastAsia="仿宋_GB2312"/>
          <w:sz w:val="32"/>
          <w:szCs w:val="32"/>
        </w:rPr>
        <w:t>1.贯彻落实国家关于教育工作的法律、法规,起草地方性教育法规草案,拟订全省教育改革与发展战略、方针、政策和规划,并组织实施。</w:t>
      </w:r>
    </w:p>
    <w:p>
      <w:pPr>
        <w:widowControl/>
        <w:spacing w:line="600" w:lineRule="exact"/>
        <w:ind w:firstLine="624" w:firstLineChars="196"/>
        <w:jc w:val="left"/>
        <w:rPr>
          <w:rFonts w:eastAsia="仿宋_GB2312"/>
          <w:sz w:val="32"/>
          <w:szCs w:val="32"/>
        </w:rPr>
      </w:pPr>
      <w:r>
        <w:rPr>
          <w:rFonts w:hint="eastAsia" w:eastAsia="仿宋_GB2312"/>
          <w:sz w:val="32"/>
          <w:szCs w:val="32"/>
        </w:rPr>
        <w:t>2.承担省委教育工作领导小组具体工作,组织研究全省教育领域党的建设和思想政治建设政策、教育发展战略规划、重大改革方案,协调督促落实省委教育工作领导小组决定事项、工作部署和要求等。</w:t>
      </w:r>
    </w:p>
    <w:p>
      <w:pPr>
        <w:widowControl/>
        <w:spacing w:line="600" w:lineRule="exact"/>
        <w:ind w:firstLine="624" w:firstLineChars="196"/>
        <w:jc w:val="left"/>
        <w:rPr>
          <w:rFonts w:eastAsia="仿宋_GB2312"/>
          <w:sz w:val="32"/>
          <w:szCs w:val="32"/>
        </w:rPr>
      </w:pPr>
      <w:r>
        <w:rPr>
          <w:rFonts w:hint="eastAsia" w:eastAsia="仿宋_GB2312"/>
          <w:sz w:val="32"/>
          <w:szCs w:val="32"/>
        </w:rPr>
        <w:t>3.负责各级各类教育的统筹规划和协调管理,会同有关部门制定各级各类学校的设置标准,指导各级各类学校的教育教学改革,负责教育基本信息的统计、分析和发布。</w:t>
      </w:r>
    </w:p>
    <w:p>
      <w:pPr>
        <w:widowControl/>
        <w:spacing w:line="600" w:lineRule="exact"/>
        <w:ind w:firstLine="624" w:firstLineChars="196"/>
        <w:jc w:val="left"/>
        <w:rPr>
          <w:rFonts w:eastAsia="仿宋_GB2312"/>
          <w:sz w:val="32"/>
          <w:szCs w:val="32"/>
        </w:rPr>
      </w:pPr>
      <w:r>
        <w:rPr>
          <w:rFonts w:hint="eastAsia" w:eastAsia="仿宋_GB2312"/>
          <w:sz w:val="32"/>
          <w:szCs w:val="32"/>
        </w:rPr>
        <w:t>4.负责推进义务教育均衡发展和促进教育公平,负责义务教育的宏观指导与协调;指导普通高中教育、幼儿教育和特殊教育工作。制定基础教育教学基本要求和教学基本文件,组织审定基础教育地方教材和受委托的国家教材,全面实施素质教育。</w:t>
      </w:r>
    </w:p>
    <w:p>
      <w:pPr>
        <w:widowControl/>
        <w:spacing w:line="600" w:lineRule="exact"/>
        <w:ind w:firstLine="624" w:firstLineChars="196"/>
        <w:jc w:val="left"/>
        <w:rPr>
          <w:rFonts w:eastAsia="仿宋_GB2312"/>
          <w:sz w:val="32"/>
          <w:szCs w:val="32"/>
        </w:rPr>
      </w:pPr>
      <w:r>
        <w:rPr>
          <w:rFonts w:hint="eastAsia" w:eastAsia="仿宋_GB2312"/>
          <w:sz w:val="32"/>
          <w:szCs w:val="32"/>
        </w:rPr>
        <w:t>5.指导以就业为导向的职业教育的发展与改革,制定教学指导文件和教学评估标准,指导中等职业教育教材建设和职业指导工作。</w:t>
      </w:r>
    </w:p>
    <w:p>
      <w:pPr>
        <w:widowControl/>
        <w:spacing w:line="600" w:lineRule="exact"/>
        <w:ind w:firstLine="624" w:firstLineChars="196"/>
        <w:jc w:val="left"/>
        <w:rPr>
          <w:rFonts w:eastAsia="仿宋_GB2312"/>
          <w:sz w:val="32"/>
          <w:szCs w:val="32"/>
        </w:rPr>
      </w:pPr>
      <w:r>
        <w:rPr>
          <w:rFonts w:hint="eastAsia" w:eastAsia="仿宋_GB2312"/>
          <w:sz w:val="32"/>
          <w:szCs w:val="32"/>
        </w:rPr>
        <w:t>6.统筹指导普通高等教育、成人高等教育、高等教育自学考试和继续教育等工作,研究提出各类高等教育办学标准、教学基本文件和评估标准并组织实施,按有关规定承办普通高等学校的设置、调整、更名的审核、报批工作。</w:t>
      </w:r>
    </w:p>
    <w:p>
      <w:pPr>
        <w:widowControl/>
        <w:spacing w:line="600" w:lineRule="exact"/>
        <w:ind w:firstLine="624" w:firstLineChars="196"/>
        <w:jc w:val="left"/>
        <w:rPr>
          <w:rFonts w:eastAsia="仿宋_GB2312"/>
          <w:sz w:val="32"/>
          <w:szCs w:val="32"/>
        </w:rPr>
      </w:pPr>
      <w:r>
        <w:rPr>
          <w:rFonts w:hint="eastAsia" w:eastAsia="仿宋_GB2312"/>
          <w:sz w:val="32"/>
          <w:szCs w:val="32"/>
        </w:rPr>
        <w:t>7.统筹管理本部门教育经费;参与拟订全省教育经费筹措、教育拨款、教育基建投资政策;负责统计和监测全省教育经费的投入和使用情况;按有关规定管理港澳台以及国外政府和组织对我省的教育援助和教育贷款;指导、管理全省资助经济困难学生工作;指导和组织实施教育系统内部审计工作。</w:t>
      </w:r>
    </w:p>
    <w:p>
      <w:pPr>
        <w:widowControl/>
        <w:spacing w:line="600" w:lineRule="exact"/>
        <w:ind w:firstLine="624" w:firstLineChars="196"/>
        <w:jc w:val="left"/>
        <w:rPr>
          <w:rFonts w:eastAsia="仿宋_GB2312"/>
          <w:sz w:val="32"/>
          <w:szCs w:val="32"/>
        </w:rPr>
      </w:pPr>
      <w:r>
        <w:rPr>
          <w:rFonts w:hint="eastAsia" w:eastAsia="仿宋_GB2312"/>
          <w:sz w:val="32"/>
          <w:szCs w:val="32"/>
        </w:rPr>
        <w:t>8.统筹和指导少数民族教育工作,协调对少数民族和少数民族地区及贫困地区的教育援助。</w:t>
      </w:r>
    </w:p>
    <w:p>
      <w:pPr>
        <w:widowControl/>
        <w:spacing w:line="600" w:lineRule="exact"/>
        <w:ind w:firstLine="624" w:firstLineChars="196"/>
        <w:jc w:val="left"/>
        <w:rPr>
          <w:rFonts w:eastAsia="仿宋_GB2312"/>
          <w:sz w:val="32"/>
          <w:szCs w:val="32"/>
        </w:rPr>
      </w:pPr>
      <w:r>
        <w:rPr>
          <w:rFonts w:hint="eastAsia" w:eastAsia="仿宋_GB2312"/>
          <w:sz w:val="32"/>
          <w:szCs w:val="32"/>
        </w:rPr>
        <w:t>9.指导各级各类学校的思想政治工作、德育工作、精神文明建设、体育卫生与艺术教育以及国防教育工作,指导高等学校的党建、宣传、统战和群团工作,指导和协调教育系统的稳定工作。</w:t>
      </w:r>
    </w:p>
    <w:p>
      <w:pPr>
        <w:widowControl/>
        <w:spacing w:line="600" w:lineRule="exact"/>
        <w:ind w:firstLine="624" w:firstLineChars="196"/>
        <w:jc w:val="left"/>
        <w:rPr>
          <w:rFonts w:eastAsia="仿宋_GB2312"/>
          <w:sz w:val="32"/>
          <w:szCs w:val="32"/>
        </w:rPr>
      </w:pPr>
      <w:r>
        <w:rPr>
          <w:rFonts w:hint="eastAsia" w:eastAsia="仿宋_GB2312"/>
          <w:sz w:val="32"/>
          <w:szCs w:val="32"/>
        </w:rPr>
        <w:t>10.依据《教师法》规定,在职责范围内,主管全省教师工作;贯彻实施各级各类教师资格标准,会同有关部门研究制定省内各级各类学校编制标准;指导教育系统人才队伍建设。</w:t>
      </w:r>
    </w:p>
    <w:p>
      <w:pPr>
        <w:widowControl/>
        <w:spacing w:line="600" w:lineRule="exact"/>
        <w:ind w:firstLine="624" w:firstLineChars="196"/>
        <w:jc w:val="left"/>
        <w:rPr>
          <w:rFonts w:eastAsia="仿宋_GB2312"/>
          <w:sz w:val="32"/>
          <w:szCs w:val="32"/>
        </w:rPr>
      </w:pPr>
      <w:r>
        <w:rPr>
          <w:rFonts w:hint="eastAsia" w:eastAsia="仿宋_GB2312"/>
          <w:sz w:val="32"/>
          <w:szCs w:val="32"/>
        </w:rPr>
        <w:t>11.统筹管理各类高等、中等学历教育的招生考试和学籍工作、学历工作;会同有关部门制定各类高等学校招生计划;参与拟订高等学校毕业生就业政策,指导普通高等学校开展大学生就业创业工作。</w:t>
      </w:r>
    </w:p>
    <w:p>
      <w:pPr>
        <w:widowControl/>
        <w:spacing w:line="600" w:lineRule="exact"/>
        <w:ind w:firstLine="624" w:firstLineChars="196"/>
        <w:jc w:val="left"/>
        <w:rPr>
          <w:rFonts w:eastAsia="仿宋_GB2312"/>
          <w:sz w:val="32"/>
          <w:szCs w:val="32"/>
        </w:rPr>
      </w:pPr>
      <w:r>
        <w:rPr>
          <w:rFonts w:hint="eastAsia" w:eastAsia="仿宋_GB2312"/>
          <w:sz w:val="32"/>
          <w:szCs w:val="32"/>
        </w:rPr>
        <w:t>12.规划、指导高等学校的自然科学和哲学社会科学研究,协调、指导高等学校参与国家、省创新体系建设和承担国家、省科技重大专项等各类科技计划的实施工作,指导高等学校科技创新平台的发展建设,指导教育信息化和产学研结合等工作。</w:t>
      </w:r>
    </w:p>
    <w:p>
      <w:pPr>
        <w:widowControl/>
        <w:spacing w:line="600" w:lineRule="exact"/>
        <w:ind w:firstLine="624" w:firstLineChars="196"/>
        <w:jc w:val="left"/>
        <w:rPr>
          <w:rFonts w:eastAsia="仿宋_GB2312"/>
          <w:sz w:val="32"/>
          <w:szCs w:val="32"/>
        </w:rPr>
      </w:pPr>
      <w:r>
        <w:rPr>
          <w:rFonts w:hint="eastAsia" w:eastAsia="仿宋_GB2312"/>
          <w:sz w:val="32"/>
          <w:szCs w:val="32"/>
        </w:rPr>
        <w:t>13.组织指导教育方面的国际交流与合作,统筹管理出国留学、来湘留学、中外合作办学和外籍人员子女学校,规划、协调、指导汉语国际推广工作,开展与港澳台的教育合作与交流。</w:t>
      </w:r>
    </w:p>
    <w:p>
      <w:pPr>
        <w:widowControl/>
        <w:spacing w:line="600" w:lineRule="exact"/>
        <w:ind w:firstLine="624" w:firstLineChars="196"/>
        <w:jc w:val="left"/>
        <w:rPr>
          <w:rFonts w:eastAsia="仿宋_GB2312"/>
          <w:sz w:val="32"/>
          <w:szCs w:val="32"/>
        </w:rPr>
      </w:pPr>
      <w:r>
        <w:rPr>
          <w:rFonts w:hint="eastAsia" w:eastAsia="仿宋_GB2312"/>
          <w:sz w:val="32"/>
          <w:szCs w:val="32"/>
        </w:rPr>
        <w:t>14.组织、指导全省教育督导工作。</w:t>
      </w:r>
    </w:p>
    <w:p>
      <w:pPr>
        <w:widowControl/>
        <w:spacing w:line="600" w:lineRule="exact"/>
        <w:ind w:firstLine="624" w:firstLineChars="196"/>
        <w:jc w:val="left"/>
        <w:rPr>
          <w:rFonts w:eastAsia="仿宋_GB2312"/>
          <w:sz w:val="32"/>
          <w:szCs w:val="32"/>
        </w:rPr>
      </w:pPr>
      <w:r>
        <w:rPr>
          <w:rFonts w:hint="eastAsia" w:eastAsia="仿宋_GB2312"/>
          <w:sz w:val="32"/>
          <w:szCs w:val="32"/>
        </w:rPr>
        <w:t>15.统筹管理全省语言文字工作,制定全省语言文字规划并组织实施,指导推广普通话和规范字及普通话师资培训工作。</w:t>
      </w:r>
    </w:p>
    <w:p>
      <w:pPr>
        <w:widowControl/>
        <w:spacing w:line="600" w:lineRule="exact"/>
        <w:ind w:firstLine="624" w:firstLineChars="196"/>
        <w:jc w:val="left"/>
        <w:rPr>
          <w:rFonts w:eastAsia="仿宋_GB2312"/>
          <w:sz w:val="32"/>
          <w:szCs w:val="32"/>
        </w:rPr>
      </w:pPr>
      <w:r>
        <w:rPr>
          <w:rFonts w:hint="eastAsia" w:eastAsia="仿宋_GB2312"/>
          <w:sz w:val="32"/>
          <w:szCs w:val="32"/>
        </w:rPr>
        <w:t>16.负责全省学位授予工作,实施国家的学位制度。</w:t>
      </w:r>
    </w:p>
    <w:p>
      <w:pPr>
        <w:widowControl/>
        <w:spacing w:line="600" w:lineRule="exact"/>
        <w:ind w:firstLine="624" w:firstLineChars="196"/>
        <w:jc w:val="left"/>
        <w:rPr>
          <w:rFonts w:eastAsia="仿宋_GB2312"/>
          <w:sz w:val="32"/>
          <w:szCs w:val="32"/>
        </w:rPr>
      </w:pPr>
      <w:r>
        <w:rPr>
          <w:rFonts w:hint="eastAsia" w:eastAsia="仿宋_GB2312"/>
          <w:sz w:val="32"/>
          <w:szCs w:val="32"/>
        </w:rPr>
        <w:t>17.协助省委组织部考察和管理学校领导班子和领导干部,指导高等学校干部思想教育及有关培训工作。</w:t>
      </w:r>
    </w:p>
    <w:p>
      <w:pPr>
        <w:widowControl/>
        <w:spacing w:line="600" w:lineRule="exact"/>
        <w:ind w:firstLine="624" w:firstLineChars="196"/>
        <w:jc w:val="left"/>
        <w:rPr>
          <w:rFonts w:eastAsia="仿宋_GB2312"/>
          <w:sz w:val="32"/>
          <w:szCs w:val="32"/>
        </w:rPr>
      </w:pPr>
      <w:r>
        <w:rPr>
          <w:rFonts w:hint="eastAsia" w:eastAsia="仿宋_GB2312"/>
          <w:sz w:val="32"/>
          <w:szCs w:val="32"/>
        </w:rPr>
        <w:t>18承办省委、省人民政府交办的其他事项。</w:t>
      </w:r>
    </w:p>
    <w:p>
      <w:pPr>
        <w:widowControl/>
        <w:spacing w:line="600" w:lineRule="exact"/>
        <w:ind w:firstLine="624" w:firstLineChars="196"/>
        <w:jc w:val="left"/>
        <w:rPr>
          <w:rFonts w:eastAsia="楷体_GB2312"/>
          <w:b/>
          <w:sz w:val="32"/>
          <w:szCs w:val="32"/>
        </w:rPr>
      </w:pPr>
      <w:r>
        <w:rPr>
          <w:rFonts w:eastAsia="楷体_GB2312"/>
          <w:b/>
          <w:sz w:val="32"/>
          <w:szCs w:val="32"/>
        </w:rPr>
        <w:t>（二）机构设置。</w:t>
      </w:r>
    </w:p>
    <w:p>
      <w:pPr>
        <w:snapToGrid w:val="0"/>
        <w:spacing w:line="620" w:lineRule="exact"/>
        <w:ind w:firstLine="624" w:firstLineChars="196"/>
        <w:jc w:val="left"/>
        <w:rPr>
          <w:rFonts w:eastAsia="仿宋_GB2312"/>
          <w:sz w:val="32"/>
          <w:szCs w:val="32"/>
        </w:rPr>
      </w:pPr>
      <w:r>
        <w:rPr>
          <w:rFonts w:eastAsia="仿宋_GB2312"/>
          <w:sz w:val="32"/>
          <w:szCs w:val="32"/>
        </w:rPr>
        <w:t>省教育厅与省委教育工委合署办公，现设有办公室、</w:t>
      </w:r>
      <w:r>
        <w:rPr>
          <w:rFonts w:hint="eastAsia" w:eastAsia="仿宋_GB2312"/>
          <w:sz w:val="32"/>
          <w:szCs w:val="32"/>
        </w:rPr>
        <w:t>省委教育工作领导小组秘书组秘书处、</w:t>
      </w:r>
      <w:r>
        <w:rPr>
          <w:rFonts w:eastAsia="仿宋_GB2312"/>
          <w:sz w:val="32"/>
          <w:szCs w:val="32"/>
        </w:rPr>
        <w:t>政策法规处、人事处、财务建设处、发展规划处、高等教育处、科学技术处、学生处、国际交流处、基础教育处、教师工作与师范教育处、民族教育处、体育卫生与艺术教育处、职业教育与成人教育处、民办教育处、教育督导处、机关党委、省委教育工委组织部、省委教育工委宣传部、</w:t>
      </w:r>
      <w:r>
        <w:rPr>
          <w:rFonts w:hint="eastAsia" w:eastAsia="仿宋_GB2312"/>
          <w:sz w:val="32"/>
          <w:szCs w:val="32"/>
        </w:rPr>
        <w:t>省委教育工委维护稳定工作办公室</w:t>
      </w:r>
      <w:r>
        <w:rPr>
          <w:rFonts w:eastAsia="仿宋_GB2312"/>
          <w:sz w:val="32"/>
          <w:szCs w:val="32"/>
        </w:rPr>
        <w:t>、学位管理与研究生教育处、省委教育工委</w:t>
      </w:r>
      <w:r>
        <w:rPr>
          <w:rFonts w:hint="eastAsia" w:eastAsia="仿宋_GB2312"/>
          <w:sz w:val="32"/>
          <w:szCs w:val="32"/>
        </w:rPr>
        <w:t>巡查办公室、</w:t>
      </w:r>
      <w:r>
        <w:rPr>
          <w:rFonts w:eastAsia="仿宋_GB2312"/>
          <w:sz w:val="32"/>
          <w:szCs w:val="32"/>
        </w:rPr>
        <w:t>离退休人员管理服务处等2</w:t>
      </w:r>
      <w:r>
        <w:rPr>
          <w:rFonts w:hint="eastAsia" w:eastAsia="仿宋_GB2312"/>
          <w:sz w:val="32"/>
          <w:szCs w:val="32"/>
        </w:rPr>
        <w:t>4</w:t>
      </w:r>
      <w:r>
        <w:rPr>
          <w:rFonts w:eastAsia="仿宋_GB2312"/>
          <w:sz w:val="32"/>
          <w:szCs w:val="32"/>
        </w:rPr>
        <w:t>个内设处室。另外，根据统一规定，省教育厅机关还包含省纪委驻省教育厅纪检组的经费预算。</w:t>
      </w:r>
    </w:p>
    <w:p>
      <w:pPr>
        <w:widowControl/>
        <w:spacing w:line="600" w:lineRule="exact"/>
        <w:ind w:firstLine="624" w:firstLineChars="196"/>
        <w:jc w:val="left"/>
        <w:rPr>
          <w:rFonts w:eastAsia="黑体"/>
          <w:kern w:val="0"/>
          <w:sz w:val="32"/>
          <w:szCs w:val="32"/>
        </w:rPr>
      </w:pPr>
      <w:r>
        <w:rPr>
          <w:rFonts w:eastAsia="黑体"/>
          <w:kern w:val="0"/>
          <w:sz w:val="32"/>
          <w:szCs w:val="32"/>
        </w:rPr>
        <w:t>二、部门预算单位构成</w:t>
      </w:r>
    </w:p>
    <w:p>
      <w:pPr>
        <w:widowControl/>
        <w:spacing w:line="600" w:lineRule="exact"/>
        <w:ind w:firstLine="624" w:firstLineChars="196"/>
        <w:jc w:val="left"/>
        <w:rPr>
          <w:rFonts w:eastAsia="仿宋_GB2312"/>
          <w:sz w:val="32"/>
          <w:szCs w:val="32"/>
        </w:rPr>
      </w:pPr>
      <w:r>
        <w:rPr>
          <w:rFonts w:eastAsia="仿宋_GB2312"/>
          <w:sz w:val="32"/>
          <w:szCs w:val="32"/>
        </w:rPr>
        <w:t>本部门预算为汇总预算，纳入</w:t>
      </w:r>
      <w:r>
        <w:rPr>
          <w:rFonts w:hint="eastAsia" w:eastAsia="仿宋_GB2312"/>
          <w:sz w:val="32"/>
          <w:szCs w:val="32"/>
        </w:rPr>
        <w:t>2021</w:t>
      </w:r>
      <w:r>
        <w:rPr>
          <w:rFonts w:eastAsia="仿宋_GB2312"/>
          <w:sz w:val="32"/>
          <w:szCs w:val="32"/>
        </w:rPr>
        <w:t>年省教育厅部门预算编制范围的二级预算单位包括省教育厅机关、41所高等院校和1</w:t>
      </w:r>
      <w:r>
        <w:rPr>
          <w:rFonts w:hint="eastAsia" w:eastAsia="仿宋_GB2312"/>
          <w:sz w:val="32"/>
          <w:szCs w:val="32"/>
        </w:rPr>
        <w:t>5</w:t>
      </w:r>
      <w:r>
        <w:rPr>
          <w:rFonts w:eastAsia="仿宋_GB2312"/>
          <w:sz w:val="32"/>
          <w:szCs w:val="32"/>
        </w:rPr>
        <w:t>个厅委直属事业单位等5</w:t>
      </w:r>
      <w:r>
        <w:rPr>
          <w:rFonts w:hint="eastAsia" w:eastAsia="仿宋_GB2312"/>
          <w:sz w:val="32"/>
          <w:szCs w:val="32"/>
        </w:rPr>
        <w:t>7</w:t>
      </w:r>
      <w:r>
        <w:rPr>
          <w:rFonts w:eastAsia="仿宋_GB2312"/>
          <w:sz w:val="32"/>
          <w:szCs w:val="32"/>
        </w:rPr>
        <w:t>个单位(含中南大学和湖南大学省级预算收支)。</w:t>
      </w:r>
    </w:p>
    <w:p>
      <w:pPr>
        <w:snapToGrid w:val="0"/>
        <w:spacing w:line="620" w:lineRule="exact"/>
        <w:ind w:firstLine="636" w:firstLineChars="200"/>
        <w:rPr>
          <w:rFonts w:eastAsia="仿宋_GB2312"/>
          <w:b/>
          <w:sz w:val="32"/>
          <w:szCs w:val="32"/>
        </w:rPr>
      </w:pPr>
      <w:r>
        <w:rPr>
          <w:rFonts w:hint="eastAsia" w:eastAsia="仿宋_GB2312"/>
          <w:sz w:val="32"/>
          <w:szCs w:val="32"/>
        </w:rPr>
        <w:t>2021</w:t>
      </w:r>
      <w:r>
        <w:rPr>
          <w:rFonts w:eastAsia="仿宋_GB2312"/>
          <w:sz w:val="32"/>
          <w:szCs w:val="32"/>
        </w:rPr>
        <w:t>年省教育厅预算编制单位范围详细情况如下：</w:t>
      </w:r>
    </w:p>
    <w:tbl>
      <w:tblPr>
        <w:tblStyle w:val="6"/>
        <w:tblW w:w="8135" w:type="dxa"/>
        <w:jc w:val="center"/>
        <w:tblLayout w:type="fixed"/>
        <w:tblCellMar>
          <w:top w:w="0" w:type="dxa"/>
          <w:left w:w="108" w:type="dxa"/>
          <w:bottom w:w="0" w:type="dxa"/>
          <w:right w:w="108" w:type="dxa"/>
        </w:tblCellMar>
      </w:tblPr>
      <w:tblGrid>
        <w:gridCol w:w="820"/>
        <w:gridCol w:w="2795"/>
        <w:gridCol w:w="820"/>
        <w:gridCol w:w="3700"/>
      </w:tblGrid>
      <w:tr>
        <w:tblPrEx>
          <w:tblCellMar>
            <w:top w:w="0" w:type="dxa"/>
            <w:left w:w="108" w:type="dxa"/>
            <w:bottom w:w="0" w:type="dxa"/>
            <w:right w:w="108" w:type="dxa"/>
          </w:tblCellMar>
        </w:tblPrEx>
        <w:trPr>
          <w:trHeight w:val="406" w:hRule="atLeast"/>
          <w:tblHeader/>
          <w:jc w:val="center"/>
        </w:trPr>
        <w:tc>
          <w:tcPr>
            <w:tcW w:w="82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2795" w:type="dxa"/>
            <w:tcBorders>
              <w:top w:val="single" w:color="auto" w:sz="4" w:space="0"/>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单位名称</w:t>
            </w:r>
          </w:p>
        </w:tc>
        <w:tc>
          <w:tcPr>
            <w:tcW w:w="820" w:type="dxa"/>
            <w:tcBorders>
              <w:top w:val="single" w:color="auto" w:sz="4" w:space="0"/>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700" w:type="dxa"/>
            <w:tcBorders>
              <w:top w:val="single" w:color="auto" w:sz="4" w:space="0"/>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单位名称</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795" w:type="dxa"/>
            <w:tcBorders>
              <w:top w:val="nil"/>
              <w:left w:val="nil"/>
              <w:bottom w:val="single" w:color="auto" w:sz="4" w:space="0"/>
              <w:right w:val="single" w:color="auto" w:sz="4" w:space="0"/>
            </w:tcBorders>
            <w:shd w:val="clear" w:color="auto" w:fill="FFFFFF"/>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省教育厅机关</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湖南科技职业学院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湘潭大学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31</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湖南铁道职业技术学院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吉首大学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湖南环境生物职业技术学院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湖南科技大学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33</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湖南大众传媒职业技术学院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长沙理工大学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湖南工业职业技术学院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湖南农业大学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湖南广播电视大学</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中南林业科技大学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36</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湖南机电职业技术学院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湖南中医药大学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37</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湖南工艺美术职业学院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湖南师范大学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湖南化工职业技术学院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南华大学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39</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湖南石油化工职业技术学院</w:t>
            </w:r>
          </w:p>
        </w:tc>
      </w:tr>
      <w:tr>
        <w:tblPrEx>
          <w:tblCellMar>
            <w:top w:w="0" w:type="dxa"/>
            <w:left w:w="108" w:type="dxa"/>
            <w:bottom w:w="0" w:type="dxa"/>
            <w:right w:w="108" w:type="dxa"/>
          </w:tblCellMar>
        </w:tblPrEx>
        <w:trPr>
          <w:trHeight w:val="406"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湖南工业大学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湖南国防工业职业技术学院</w:t>
            </w:r>
          </w:p>
        </w:tc>
      </w:tr>
      <w:tr>
        <w:tblPrEx>
          <w:tblCellMar>
            <w:top w:w="0" w:type="dxa"/>
            <w:left w:w="108" w:type="dxa"/>
            <w:bottom w:w="0" w:type="dxa"/>
            <w:right w:w="108" w:type="dxa"/>
          </w:tblCellMar>
        </w:tblPrEx>
        <w:trPr>
          <w:trHeight w:val="360"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湖南工商大学</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41</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湖南省教育考试院</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湖南工程学院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42</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湖南省教育科学研究院</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湖南理工学院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43</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长沙市第一中学</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湘南学院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44</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湖南师范大学附属中学</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衡阳师范学院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45</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湖南省教育厅机关后勤服务中心</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邵阳学院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46</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湖南教育电视台</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怀化学院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47</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湖南省教育生产装备处</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湖南文理学院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48</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湖南省电化教育馆</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湖南科技学院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49</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湖南省教育厅信息中心</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湖南人文科技学院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湖南省高等学校干部培训中心</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湖南第一师范学院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51</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湖南省中小学教师发展中心</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湖南城市学院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52</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湖南省大中专学校学生信息咨询与就业指导中心</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湖南工学院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53</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湖南省学生资助管理中心</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湖南财政经济学院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54</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湖南省语言文字培训测试中心</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湖南女子学院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55</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湖南省教育基金会秘书处</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长沙师范学院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56</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中南大学(省级预算收支)</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湖南医药学院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57</w:t>
            </w: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湖南大学(省级预算收支)</w:t>
            </w:r>
          </w:p>
        </w:tc>
      </w:tr>
      <w:tr>
        <w:tblPrEx>
          <w:tblCellMar>
            <w:top w:w="0" w:type="dxa"/>
            <w:left w:w="108" w:type="dxa"/>
            <w:bottom w:w="0" w:type="dxa"/>
            <w:right w:w="108" w:type="dxa"/>
          </w:tblCellMar>
        </w:tblPrEx>
        <w:trPr>
          <w:trHeight w:val="418" w:hRule="atLeast"/>
          <w:jc w:val="center"/>
        </w:trPr>
        <w:tc>
          <w:tcPr>
            <w:tcW w:w="820" w:type="dxa"/>
            <w:tcBorders>
              <w:top w:val="nil"/>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2795" w:type="dxa"/>
            <w:tcBorders>
              <w:top w:val="nil"/>
              <w:left w:val="nil"/>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长沙民政职业技术学院</w:t>
            </w:r>
          </w:p>
        </w:tc>
        <w:tc>
          <w:tcPr>
            <w:tcW w:w="820" w:type="dxa"/>
            <w:tcBorders>
              <w:top w:val="nil"/>
              <w:left w:val="nil"/>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kern w:val="0"/>
                <w:sz w:val="24"/>
              </w:rPr>
            </w:pPr>
          </w:p>
        </w:tc>
        <w:tc>
          <w:tcPr>
            <w:tcW w:w="3700" w:type="dxa"/>
            <w:tcBorders>
              <w:top w:val="nil"/>
              <w:left w:val="nil"/>
              <w:bottom w:val="single" w:color="auto" w:sz="4" w:space="0"/>
              <w:right w:val="single" w:color="auto" w:sz="4" w:space="0"/>
            </w:tcBorders>
            <w:vAlign w:val="center"/>
          </w:tcPr>
          <w:p>
            <w:pPr>
              <w:snapToGrid w:val="0"/>
              <w:jc w:val="left"/>
              <w:rPr>
                <w:rFonts w:ascii="仿宋_GB2312" w:hAnsi="仿宋_GB2312" w:eastAsia="仿宋_GB2312" w:cs="仿宋_GB2312"/>
                <w:kern w:val="0"/>
                <w:sz w:val="24"/>
              </w:rPr>
            </w:pPr>
          </w:p>
        </w:tc>
      </w:tr>
    </w:tbl>
    <w:p>
      <w:pPr>
        <w:widowControl/>
        <w:spacing w:line="600" w:lineRule="exact"/>
        <w:ind w:firstLine="624" w:firstLineChars="196"/>
        <w:jc w:val="left"/>
        <w:rPr>
          <w:rFonts w:eastAsia="黑体"/>
          <w:bCs/>
          <w:kern w:val="0"/>
          <w:sz w:val="32"/>
          <w:szCs w:val="32"/>
        </w:rPr>
      </w:pPr>
      <w:r>
        <w:rPr>
          <w:rFonts w:eastAsia="黑体"/>
          <w:bCs/>
          <w:kern w:val="0"/>
          <w:sz w:val="32"/>
          <w:szCs w:val="32"/>
        </w:rPr>
        <w:t>三、部门收支总体情况</w:t>
      </w:r>
    </w:p>
    <w:p>
      <w:pPr>
        <w:widowControl/>
        <w:spacing w:line="600" w:lineRule="exact"/>
        <w:ind w:firstLine="624" w:firstLineChars="196"/>
        <w:rPr>
          <w:rFonts w:eastAsia="仿宋_GB2312"/>
          <w:bCs/>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包括一般公共预算、政府性基金、国有资本经营预算等财政拨款收入，以及经营收入、事业收入等单位资金。2021年本部门收入预算</w:t>
      </w:r>
      <w:r>
        <w:rPr>
          <w:rFonts w:hint="eastAsia" w:eastAsia="仿宋_GB2312"/>
          <w:sz w:val="32"/>
          <w:szCs w:val="32"/>
        </w:rPr>
        <w:t>2,012,367.63</w:t>
      </w:r>
      <w:r>
        <w:rPr>
          <w:rFonts w:eastAsia="仿宋_GB2312"/>
          <w:sz w:val="32"/>
          <w:szCs w:val="32"/>
        </w:rPr>
        <w:t>万元，其中，一般公共预算拨款</w:t>
      </w:r>
      <w:r>
        <w:rPr>
          <w:rFonts w:hint="eastAsia" w:eastAsia="仿宋_GB2312"/>
          <w:sz w:val="32"/>
          <w:szCs w:val="32"/>
        </w:rPr>
        <w:t>729,734.61</w:t>
      </w:r>
      <w:r>
        <w:rPr>
          <w:rFonts w:eastAsia="仿宋_GB2312"/>
          <w:sz w:val="32"/>
          <w:szCs w:val="32"/>
        </w:rPr>
        <w:t>万元，纳入专户管理的非税收入</w:t>
      </w:r>
      <w:r>
        <w:rPr>
          <w:rFonts w:hint="eastAsia" w:eastAsia="仿宋_GB2312"/>
          <w:sz w:val="32"/>
          <w:szCs w:val="32"/>
        </w:rPr>
        <w:t>623,400.80</w:t>
      </w:r>
      <w:r>
        <w:rPr>
          <w:rFonts w:eastAsia="仿宋_GB2312"/>
          <w:sz w:val="32"/>
          <w:szCs w:val="32"/>
        </w:rPr>
        <w:t>万元，</w:t>
      </w:r>
      <w:r>
        <w:rPr>
          <w:rFonts w:hint="eastAsia" w:eastAsia="仿宋_GB2312"/>
          <w:sz w:val="32"/>
          <w:szCs w:val="32"/>
        </w:rPr>
        <w:t>上级财政补助收入179,076.00万元，事业收入94,756.00万元，事业单位经营收入</w:t>
      </w:r>
      <w:r>
        <w:rPr>
          <w:rFonts w:hint="eastAsia" w:eastAsia="仿宋_GB2312"/>
          <w:sz w:val="32"/>
          <w:szCs w:val="32"/>
        </w:rPr>
        <w:tab/>
      </w:r>
      <w:r>
        <w:rPr>
          <w:rFonts w:hint="eastAsia" w:eastAsia="仿宋_GB2312"/>
          <w:sz w:val="32"/>
          <w:szCs w:val="32"/>
        </w:rPr>
        <w:t>6,100.00万元，其他收入162,665.54万元，上年结转结余</w:t>
      </w:r>
      <w:r>
        <w:rPr>
          <w:rFonts w:hint="eastAsia" w:eastAsia="仿宋_GB2312"/>
          <w:sz w:val="32"/>
          <w:szCs w:val="32"/>
        </w:rPr>
        <w:tab/>
      </w:r>
      <w:r>
        <w:rPr>
          <w:rFonts w:hint="eastAsia" w:eastAsia="仿宋_GB2312"/>
          <w:sz w:val="32"/>
          <w:szCs w:val="32"/>
        </w:rPr>
        <w:t>216,634.68万元</w:t>
      </w:r>
      <w:r>
        <w:rPr>
          <w:rFonts w:eastAsia="仿宋_GB2312"/>
          <w:sz w:val="32"/>
          <w:szCs w:val="32"/>
        </w:rPr>
        <w:t>。</w:t>
      </w:r>
      <w:r>
        <w:rPr>
          <w:rFonts w:eastAsia="仿宋_GB2312"/>
          <w:bCs/>
          <w:sz w:val="32"/>
          <w:szCs w:val="32"/>
        </w:rPr>
        <w:t>收入较去年增加</w:t>
      </w:r>
      <w:r>
        <w:rPr>
          <w:rFonts w:hint="eastAsia" w:eastAsia="仿宋_GB2312"/>
          <w:bCs/>
          <w:sz w:val="32"/>
          <w:szCs w:val="32"/>
        </w:rPr>
        <w:t>176263.68</w:t>
      </w:r>
      <w:r>
        <w:rPr>
          <w:rFonts w:eastAsia="仿宋_GB2312"/>
          <w:bCs/>
          <w:sz w:val="32"/>
          <w:szCs w:val="32"/>
        </w:rPr>
        <w:t>万元，</w:t>
      </w:r>
      <w:r>
        <w:rPr>
          <w:rFonts w:hint="eastAsia" w:eastAsia="仿宋_GB2312"/>
          <w:sz w:val="32"/>
          <w:szCs w:val="32"/>
        </w:rPr>
        <w:t>主要是从</w:t>
      </w:r>
      <w:r>
        <w:rPr>
          <w:rFonts w:eastAsia="仿宋_GB2312"/>
          <w:sz w:val="32"/>
          <w:szCs w:val="32"/>
        </w:rPr>
        <w:t>2021</w:t>
      </w:r>
      <w:r>
        <w:rPr>
          <w:rFonts w:hint="eastAsia" w:eastAsia="仿宋_GB2312"/>
          <w:sz w:val="32"/>
          <w:szCs w:val="32"/>
        </w:rPr>
        <w:t>年起上年结转资金纳入了年初部门预算。</w:t>
      </w:r>
    </w:p>
    <w:p>
      <w:pPr>
        <w:widowControl/>
        <w:spacing w:line="600" w:lineRule="exact"/>
        <w:ind w:firstLine="624" w:firstLineChars="196"/>
        <w:rPr>
          <w:rFonts w:eastAsia="仿宋_GB2312"/>
          <w:sz w:val="32"/>
          <w:szCs w:val="32"/>
        </w:rPr>
      </w:pPr>
      <w:r>
        <w:rPr>
          <w:rFonts w:eastAsia="楷体_GB2312"/>
          <w:b/>
          <w:sz w:val="32"/>
          <w:szCs w:val="32"/>
        </w:rPr>
        <w:t>（二）支出预算：</w:t>
      </w:r>
      <w:r>
        <w:rPr>
          <w:rFonts w:eastAsia="仿宋_GB2312"/>
          <w:sz w:val="32"/>
          <w:szCs w:val="32"/>
        </w:rPr>
        <w:t>2021年本部门支出预算</w:t>
      </w:r>
      <w:r>
        <w:rPr>
          <w:rFonts w:hint="eastAsia" w:eastAsia="仿宋_GB2312"/>
          <w:sz w:val="32"/>
          <w:szCs w:val="32"/>
        </w:rPr>
        <w:t>2,012,367.63</w:t>
      </w:r>
      <w:r>
        <w:rPr>
          <w:rFonts w:eastAsia="仿宋_GB2312"/>
          <w:sz w:val="32"/>
          <w:szCs w:val="32"/>
        </w:rPr>
        <w:t>万元，其中，</w:t>
      </w:r>
      <w:r>
        <w:rPr>
          <w:rFonts w:hint="eastAsia" w:eastAsia="仿宋_GB2312"/>
          <w:sz w:val="32"/>
          <w:szCs w:val="32"/>
        </w:rPr>
        <w:t>一般公共服务支出</w:t>
      </w:r>
      <w:r>
        <w:rPr>
          <w:rFonts w:hint="eastAsia" w:eastAsia="仿宋_GB2312"/>
          <w:sz w:val="32"/>
          <w:szCs w:val="32"/>
        </w:rPr>
        <w:tab/>
      </w:r>
      <w:r>
        <w:rPr>
          <w:rFonts w:hint="eastAsia" w:eastAsia="仿宋_GB2312"/>
          <w:sz w:val="32"/>
          <w:szCs w:val="32"/>
        </w:rPr>
        <w:t>468.20万元，教育支出1,799,693.78万元，科学技术支出</w:t>
      </w:r>
      <w:r>
        <w:rPr>
          <w:rFonts w:hint="eastAsia" w:eastAsia="仿宋_GB2312"/>
          <w:sz w:val="32"/>
          <w:szCs w:val="32"/>
        </w:rPr>
        <w:tab/>
      </w:r>
      <w:r>
        <w:rPr>
          <w:rFonts w:hint="eastAsia" w:eastAsia="仿宋_GB2312"/>
          <w:sz w:val="32"/>
          <w:szCs w:val="32"/>
        </w:rPr>
        <w:t>33,705.30万元，文化旅游体育与传媒支出365.30万元，社会保障和就业支出97,477.09万元，卫生健康支出</w:t>
      </w:r>
      <w:r>
        <w:rPr>
          <w:rFonts w:hint="eastAsia" w:eastAsia="仿宋_GB2312"/>
          <w:sz w:val="32"/>
          <w:szCs w:val="32"/>
        </w:rPr>
        <w:tab/>
      </w:r>
      <w:r>
        <w:rPr>
          <w:rFonts w:hint="eastAsia" w:eastAsia="仿宋_GB2312"/>
          <w:sz w:val="32"/>
          <w:szCs w:val="32"/>
        </w:rPr>
        <w:t>834.60万元，节能环保支出140.00万元，城乡社区支出132.30万元，农林水支出2,492.60万元，资源勘探工业信息等支出</w:t>
      </w:r>
      <w:r>
        <w:rPr>
          <w:rFonts w:hint="eastAsia" w:eastAsia="仿宋_GB2312"/>
          <w:sz w:val="32"/>
          <w:szCs w:val="32"/>
        </w:rPr>
        <w:tab/>
      </w:r>
      <w:r>
        <w:rPr>
          <w:rFonts w:hint="eastAsia" w:eastAsia="仿宋_GB2312"/>
          <w:sz w:val="32"/>
          <w:szCs w:val="32"/>
        </w:rPr>
        <w:t>500.00万元，商业服务业等支出153.80万元，自然资源海洋气象等支出70.00万元，住房保障支出76,294.26万元，灾害防治及应急管理支出</w:t>
      </w:r>
      <w:r>
        <w:rPr>
          <w:rFonts w:hint="eastAsia" w:eastAsia="仿宋_GB2312"/>
          <w:sz w:val="32"/>
          <w:szCs w:val="32"/>
        </w:rPr>
        <w:tab/>
      </w:r>
      <w:r>
        <w:rPr>
          <w:rFonts w:hint="eastAsia" w:eastAsia="仿宋_GB2312"/>
          <w:sz w:val="32"/>
          <w:szCs w:val="32"/>
        </w:rPr>
        <w:t>40.40万元</w:t>
      </w:r>
      <w:r>
        <w:rPr>
          <w:rFonts w:eastAsia="仿宋_GB2312"/>
          <w:sz w:val="32"/>
          <w:szCs w:val="32"/>
        </w:rPr>
        <w:t>。支出较去年增加</w:t>
      </w:r>
      <w:r>
        <w:rPr>
          <w:rFonts w:hint="eastAsia" w:eastAsia="仿宋_GB2312"/>
          <w:sz w:val="32"/>
          <w:szCs w:val="32"/>
        </w:rPr>
        <w:t>176263.68</w:t>
      </w:r>
      <w:r>
        <w:rPr>
          <w:rFonts w:eastAsia="仿宋_GB2312"/>
          <w:sz w:val="32"/>
          <w:szCs w:val="32"/>
        </w:rPr>
        <w:t>万元</w:t>
      </w:r>
      <w:r>
        <w:rPr>
          <w:rFonts w:hint="eastAsia" w:eastAsia="仿宋_GB2312"/>
          <w:sz w:val="32"/>
          <w:szCs w:val="32"/>
        </w:rPr>
        <w:t>，主要是从</w:t>
      </w:r>
      <w:r>
        <w:rPr>
          <w:rFonts w:eastAsia="仿宋_GB2312"/>
          <w:sz w:val="32"/>
          <w:szCs w:val="32"/>
        </w:rPr>
        <w:t>2021</w:t>
      </w:r>
      <w:r>
        <w:rPr>
          <w:rFonts w:hint="eastAsia" w:eastAsia="仿宋_GB2312"/>
          <w:sz w:val="32"/>
          <w:szCs w:val="32"/>
        </w:rPr>
        <w:t>年起上年结转资金纳入了年初部门预算。</w:t>
      </w:r>
    </w:p>
    <w:p>
      <w:pPr>
        <w:widowControl/>
        <w:spacing w:line="600" w:lineRule="exact"/>
        <w:ind w:firstLine="660"/>
        <w:jc w:val="left"/>
        <w:rPr>
          <w:rFonts w:eastAsia="黑体"/>
          <w:sz w:val="32"/>
          <w:szCs w:val="32"/>
        </w:rPr>
      </w:pPr>
      <w:r>
        <w:rPr>
          <w:rFonts w:eastAsia="黑体"/>
          <w:sz w:val="32"/>
          <w:szCs w:val="32"/>
        </w:rPr>
        <w:t>四、一般公共预算拨款支出</w:t>
      </w:r>
    </w:p>
    <w:p>
      <w:pPr>
        <w:widowControl/>
        <w:spacing w:line="600" w:lineRule="exact"/>
        <w:ind w:firstLine="660"/>
        <w:jc w:val="left"/>
        <w:rPr>
          <w:rFonts w:eastAsia="黑体"/>
          <w:sz w:val="32"/>
          <w:szCs w:val="32"/>
        </w:rPr>
      </w:pPr>
      <w:r>
        <w:rPr>
          <w:rFonts w:eastAsia="仿宋_GB2312"/>
          <w:sz w:val="32"/>
          <w:szCs w:val="32"/>
        </w:rPr>
        <w:t>2021年本部门一般公共预算拨款支出预算</w:t>
      </w:r>
      <w:r>
        <w:rPr>
          <w:rFonts w:hint="eastAsia" w:eastAsia="仿宋_GB2312"/>
          <w:sz w:val="32"/>
          <w:szCs w:val="32"/>
        </w:rPr>
        <w:t>1,023,207.31</w:t>
      </w:r>
      <w:r>
        <w:rPr>
          <w:rFonts w:eastAsia="仿宋_GB2312"/>
          <w:sz w:val="32"/>
          <w:szCs w:val="32"/>
        </w:rPr>
        <w:t>万元，其中，</w:t>
      </w:r>
      <w:r>
        <w:rPr>
          <w:rFonts w:hint="eastAsia" w:eastAsia="仿宋_GB2312"/>
          <w:sz w:val="32"/>
          <w:szCs w:val="32"/>
        </w:rPr>
        <w:t>一般公共服务支出468.20万元，占0.05%；教育支出881,660.96万元，占86.16%；科学技术支出33,705.30万元，占3.29%；文化旅游体育与传媒支出365.30万元，占0.04%；社会保障和就业支出60,742.72万元，占5.94%；卫生健康支出834.60万元，占0.08%；节能环保支出140.00万元，占0.01%；城乡社区支出132.30万元，占0.01%；农林水支出2,492.60万元，占0.24%；资源勘探工业信息等支出500.00万元，占0.05%；商业服务业等支出153.80万元，占0.02%；自然资源海洋气象等支出70.00万元，占0.01%；住房保障支出41,901.13万元，占4.10%；灾害防治及应急管理支出40.40万元</w:t>
      </w:r>
      <w:r>
        <w:rPr>
          <w:rFonts w:eastAsia="仿宋_GB2312"/>
          <w:sz w:val="32"/>
          <w:szCs w:val="32"/>
        </w:rPr>
        <w:t>。具体安排情况如下：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eastAsia="仿宋_GB2312"/>
          <w:sz w:val="32"/>
          <w:szCs w:val="32"/>
        </w:rPr>
        <w:t>2021年本部门基本支出预算数</w:t>
      </w:r>
      <w:r>
        <w:rPr>
          <w:rFonts w:hint="eastAsia" w:eastAsia="仿宋_GB2312"/>
          <w:sz w:val="32"/>
          <w:szCs w:val="32"/>
        </w:rPr>
        <w:t>739,388.18</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rPr>
      </w:pPr>
      <w:r>
        <w:rPr>
          <w:rFonts w:eastAsia="楷体_GB2312"/>
          <w:b/>
          <w:sz w:val="32"/>
          <w:szCs w:val="32"/>
        </w:rPr>
        <w:t>（二）项目支出：</w:t>
      </w:r>
      <w:r>
        <w:rPr>
          <w:rFonts w:eastAsia="仿宋_GB2312"/>
          <w:sz w:val="32"/>
          <w:szCs w:val="32"/>
        </w:rPr>
        <w:t>2021年本部门项目支出预算</w:t>
      </w:r>
      <w:r>
        <w:rPr>
          <w:rFonts w:hint="eastAsia" w:eastAsia="仿宋_GB2312"/>
          <w:sz w:val="32"/>
          <w:szCs w:val="32"/>
        </w:rPr>
        <w:t>283,819.13</w:t>
      </w:r>
      <w:r>
        <w:rPr>
          <w:rFonts w:eastAsia="仿宋_GB2312"/>
          <w:sz w:val="32"/>
          <w:szCs w:val="32"/>
        </w:rPr>
        <w:t>万元，主要是部门为完成特定行政工作任务或事业发展目标而发生的支出，包括有关事业发展专项、专项业务费、基本建设支出等，其中：</w:t>
      </w:r>
      <w:r>
        <w:rPr>
          <w:rFonts w:hint="eastAsia" w:eastAsia="仿宋_GB2312"/>
          <w:sz w:val="32"/>
          <w:szCs w:val="32"/>
        </w:rPr>
        <w:t>教育支出244,502.03万元，主要用于教学、科研相关的商品和服务支出、发放学生奖助学金、对单位个人和家庭的补助、学校基建维修、设备购置等方面；一般公共服务支出468.2万元，科学技术支出33705.3万元，文化旅游体育与传媒支出365.3万元，社会保障和就业支出414.6万元，卫生健康支出834.6万元，节能环保支出140万元，城乡社区支出132.3万元，农林水支出2492.6万元，资源勘探工业信息等支出500万元，商业服务业等支出153.8万元，自然资源海洋气象等支出70万元，灾害防治及应急管理支出40.4万元，主要用于上年结转的项目支出等方面。</w:t>
      </w:r>
    </w:p>
    <w:p>
      <w:pPr>
        <w:widowControl/>
        <w:spacing w:line="600" w:lineRule="exact"/>
        <w:ind w:firstLine="660"/>
        <w:jc w:val="left"/>
        <w:rPr>
          <w:rFonts w:eastAsia="黑体"/>
          <w:sz w:val="32"/>
          <w:szCs w:val="32"/>
        </w:rPr>
      </w:pPr>
      <w:r>
        <w:rPr>
          <w:rFonts w:eastAsia="黑体"/>
          <w:sz w:val="32"/>
          <w:szCs w:val="32"/>
        </w:rPr>
        <w:t>五、政府性基金预算支出</w:t>
      </w:r>
    </w:p>
    <w:p>
      <w:pPr>
        <w:widowControl/>
        <w:spacing w:line="600" w:lineRule="exact"/>
        <w:ind w:firstLine="660"/>
        <w:jc w:val="left"/>
        <w:rPr>
          <w:rFonts w:eastAsia="仿宋_GB2312"/>
          <w:sz w:val="32"/>
          <w:szCs w:val="32"/>
        </w:rPr>
      </w:pPr>
      <w:r>
        <w:rPr>
          <w:rFonts w:hint="eastAsia" w:eastAsia="仿宋_GB2312"/>
          <w:sz w:val="32"/>
          <w:szCs w:val="32"/>
        </w:rPr>
        <w:t>本部门无政府性基金安排的支出。</w:t>
      </w:r>
    </w:p>
    <w:p>
      <w:pPr>
        <w:widowControl/>
        <w:spacing w:line="600" w:lineRule="exact"/>
        <w:ind w:firstLine="660"/>
        <w:jc w:val="left"/>
        <w:rPr>
          <w:rFonts w:eastAsia="黑体"/>
          <w:sz w:val="32"/>
          <w:szCs w:val="32"/>
        </w:rPr>
      </w:pPr>
      <w:r>
        <w:rPr>
          <w:rFonts w:eastAsia="黑体"/>
          <w:sz w:val="32"/>
          <w:szCs w:val="32"/>
        </w:rPr>
        <w:t>六、其他重要事项的情况说明</w:t>
      </w:r>
    </w:p>
    <w:p>
      <w:pPr>
        <w:widowControl/>
        <w:spacing w:line="600" w:lineRule="exact"/>
        <w:ind w:firstLine="660"/>
        <w:jc w:val="left"/>
        <w:rPr>
          <w:rFonts w:eastAsia="仿宋_GB2312"/>
          <w:sz w:val="32"/>
          <w:szCs w:val="32"/>
        </w:rPr>
      </w:pPr>
      <w:r>
        <w:rPr>
          <w:rFonts w:eastAsia="楷体_GB2312"/>
          <w:b/>
          <w:sz w:val="32"/>
          <w:szCs w:val="32"/>
        </w:rPr>
        <w:t>（一）机关运行经费：</w:t>
      </w:r>
      <w:r>
        <w:rPr>
          <w:rFonts w:eastAsia="仿宋_GB2312"/>
          <w:sz w:val="32"/>
          <w:szCs w:val="32"/>
        </w:rPr>
        <w:t>2021年</w:t>
      </w:r>
      <w:r>
        <w:rPr>
          <w:rFonts w:hint="eastAsia" w:eastAsia="仿宋_GB2312"/>
          <w:sz w:val="32"/>
          <w:szCs w:val="32"/>
        </w:rPr>
        <w:t>省教育厅</w:t>
      </w:r>
      <w:r>
        <w:rPr>
          <w:rFonts w:eastAsia="仿宋_GB2312"/>
          <w:sz w:val="32"/>
          <w:szCs w:val="32"/>
        </w:rPr>
        <w:t>机关本级</w:t>
      </w:r>
      <w:r>
        <w:rPr>
          <w:rFonts w:hint="eastAsia" w:eastAsia="仿宋_GB2312"/>
          <w:sz w:val="32"/>
          <w:szCs w:val="32"/>
        </w:rPr>
        <w:t>及湖南省大中专学校信息咨询与就业指导中心和湖南省学生资助管理中心两个参照公务员法管理的事业单位的</w:t>
      </w:r>
      <w:r>
        <w:rPr>
          <w:rFonts w:eastAsia="仿宋_GB2312"/>
          <w:sz w:val="32"/>
          <w:szCs w:val="32"/>
        </w:rPr>
        <w:t>机关运行经费</w:t>
      </w:r>
      <w:r>
        <w:rPr>
          <w:rFonts w:hint="eastAsia" w:eastAsia="仿宋_GB2312"/>
          <w:sz w:val="32"/>
          <w:szCs w:val="32"/>
        </w:rPr>
        <w:t>872.25</w:t>
      </w:r>
      <w:r>
        <w:rPr>
          <w:rFonts w:eastAsia="仿宋_GB2312"/>
          <w:sz w:val="32"/>
          <w:szCs w:val="32"/>
        </w:rPr>
        <w:t>万元，比上年预算减少</w:t>
      </w:r>
      <w:r>
        <w:rPr>
          <w:rFonts w:hint="eastAsia" w:eastAsia="仿宋_GB2312"/>
          <w:sz w:val="32"/>
          <w:szCs w:val="32"/>
        </w:rPr>
        <w:t>46.29</w:t>
      </w:r>
      <w:r>
        <w:rPr>
          <w:rFonts w:eastAsia="仿宋_GB2312"/>
          <w:sz w:val="32"/>
          <w:szCs w:val="32"/>
        </w:rPr>
        <w:t>万元，下降</w:t>
      </w:r>
      <w:r>
        <w:rPr>
          <w:rFonts w:hint="eastAsia" w:eastAsia="仿宋_GB2312"/>
          <w:sz w:val="32"/>
          <w:szCs w:val="32"/>
        </w:rPr>
        <w:t>5.04</w:t>
      </w:r>
      <w:r>
        <w:rPr>
          <w:rFonts w:eastAsia="仿宋_GB2312"/>
          <w:sz w:val="32"/>
          <w:szCs w:val="32"/>
        </w:rPr>
        <w:t>%，主要是</w:t>
      </w:r>
      <w:r>
        <w:rPr>
          <w:rFonts w:hint="eastAsia" w:eastAsia="仿宋_GB2312"/>
          <w:sz w:val="32"/>
          <w:szCs w:val="32"/>
        </w:rPr>
        <w:t>按照压减一般性支出要求，减少机关运行经费。</w:t>
      </w:r>
    </w:p>
    <w:p>
      <w:pPr>
        <w:widowControl/>
        <w:spacing w:line="600" w:lineRule="exact"/>
        <w:ind w:firstLine="660"/>
        <w:rPr>
          <w:rFonts w:eastAsia="仿宋_GB2312"/>
          <w:sz w:val="32"/>
          <w:szCs w:val="32"/>
        </w:rPr>
      </w:pPr>
      <w:r>
        <w:rPr>
          <w:rFonts w:eastAsia="楷体_GB2312"/>
          <w:b/>
          <w:sz w:val="32"/>
          <w:szCs w:val="32"/>
        </w:rPr>
        <w:t>（二） “</w:t>
      </w:r>
      <w:r>
        <w:rPr>
          <w:rFonts w:hint="eastAsia" w:eastAsia="楷体_GB2312"/>
          <w:b/>
          <w:sz w:val="32"/>
          <w:szCs w:val="32"/>
        </w:rPr>
        <w:t>三公</w:t>
      </w:r>
      <w:r>
        <w:rPr>
          <w:rFonts w:eastAsia="楷体_GB2312"/>
          <w:b/>
          <w:sz w:val="32"/>
          <w:szCs w:val="32"/>
        </w:rPr>
        <w:t>”</w:t>
      </w:r>
      <w:r>
        <w:rPr>
          <w:rFonts w:hint="eastAsia" w:eastAsia="楷体_GB2312"/>
          <w:b/>
          <w:sz w:val="32"/>
          <w:szCs w:val="32"/>
        </w:rPr>
        <w:t>经费预算：</w:t>
      </w:r>
      <w:r>
        <w:rPr>
          <w:rFonts w:eastAsia="仿宋_GB2312"/>
          <w:sz w:val="32"/>
          <w:szCs w:val="32"/>
        </w:rPr>
        <w:t>2021</w:t>
      </w:r>
      <w:r>
        <w:rPr>
          <w:rFonts w:hint="eastAsia" w:eastAsia="仿宋_GB2312"/>
          <w:sz w:val="32"/>
          <w:szCs w:val="32"/>
        </w:rPr>
        <w:t>年省教育厅机关本级、吉首大学、湖南省教育科学研究院等</w:t>
      </w:r>
      <w:r>
        <w:rPr>
          <w:rFonts w:eastAsia="仿宋_GB2312"/>
          <w:sz w:val="32"/>
          <w:szCs w:val="32"/>
        </w:rPr>
        <w:t>14</w:t>
      </w:r>
      <w:r>
        <w:rPr>
          <w:rFonts w:hint="eastAsia" w:eastAsia="仿宋_GB2312"/>
          <w:sz w:val="32"/>
          <w:szCs w:val="32"/>
        </w:rPr>
        <w:t>家行政事业单位一般公共预算安排的</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经费预算数为</w:t>
      </w:r>
      <w:r>
        <w:rPr>
          <w:rFonts w:eastAsia="仿宋_GB2312"/>
          <w:sz w:val="32"/>
          <w:szCs w:val="32"/>
        </w:rPr>
        <w:t>329.45</w:t>
      </w:r>
      <w:r>
        <w:rPr>
          <w:rFonts w:hint="eastAsia" w:eastAsia="仿宋_GB2312"/>
          <w:sz w:val="32"/>
          <w:szCs w:val="32"/>
        </w:rPr>
        <w:t>万元，其中，公务接待费</w:t>
      </w:r>
      <w:r>
        <w:rPr>
          <w:rFonts w:eastAsia="仿宋_GB2312"/>
          <w:sz w:val="32"/>
          <w:szCs w:val="32"/>
        </w:rPr>
        <w:t>108.15</w:t>
      </w:r>
      <w:r>
        <w:rPr>
          <w:rFonts w:hint="eastAsia" w:eastAsia="仿宋_GB2312"/>
          <w:sz w:val="32"/>
          <w:szCs w:val="32"/>
        </w:rPr>
        <w:t>万元，公务用车购置及运行费</w:t>
      </w:r>
      <w:r>
        <w:rPr>
          <w:rFonts w:eastAsia="仿宋_GB2312"/>
          <w:sz w:val="32"/>
          <w:szCs w:val="32"/>
        </w:rPr>
        <w:t>149.30</w:t>
      </w:r>
      <w:r>
        <w:rPr>
          <w:rFonts w:hint="eastAsia" w:eastAsia="仿宋_GB2312"/>
          <w:sz w:val="32"/>
          <w:szCs w:val="32"/>
        </w:rPr>
        <w:t>万元（其中，公务用车购置费</w:t>
      </w:r>
      <w:r>
        <w:rPr>
          <w:rFonts w:eastAsia="仿宋_GB2312"/>
          <w:sz w:val="32"/>
          <w:szCs w:val="32"/>
        </w:rPr>
        <w:t>0</w:t>
      </w:r>
      <w:r>
        <w:rPr>
          <w:rFonts w:hint="eastAsia" w:eastAsia="仿宋_GB2312"/>
          <w:sz w:val="32"/>
          <w:szCs w:val="32"/>
        </w:rPr>
        <w:t>万元，公务用车运行费</w:t>
      </w:r>
      <w:r>
        <w:rPr>
          <w:rFonts w:eastAsia="仿宋_GB2312"/>
          <w:sz w:val="32"/>
          <w:szCs w:val="32"/>
        </w:rPr>
        <w:t xml:space="preserve"> 149.30</w:t>
      </w:r>
      <w:r>
        <w:rPr>
          <w:rFonts w:hint="eastAsia" w:eastAsia="仿宋_GB2312"/>
          <w:sz w:val="32"/>
          <w:szCs w:val="32"/>
        </w:rPr>
        <w:t>万元），因公出国（境）费</w:t>
      </w:r>
      <w:r>
        <w:rPr>
          <w:rFonts w:eastAsia="仿宋_GB2312"/>
          <w:sz w:val="32"/>
          <w:szCs w:val="32"/>
        </w:rPr>
        <w:t>72.00</w:t>
      </w:r>
      <w:r>
        <w:rPr>
          <w:rFonts w:hint="eastAsia" w:eastAsia="仿宋_GB2312"/>
          <w:sz w:val="32"/>
          <w:szCs w:val="32"/>
        </w:rPr>
        <w:t>万元。</w:t>
      </w:r>
      <w:r>
        <w:rPr>
          <w:rFonts w:eastAsia="仿宋_GB2312"/>
          <w:sz w:val="32"/>
          <w:szCs w:val="32"/>
        </w:rPr>
        <w:t>2021</w:t>
      </w:r>
      <w:r>
        <w:rPr>
          <w:rFonts w:hint="eastAsia" w:eastAsia="仿宋_GB2312"/>
          <w:sz w:val="32"/>
          <w:szCs w:val="32"/>
        </w:rPr>
        <w:t>年一般公共预算安排的</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经费预算较</w:t>
      </w:r>
      <w:r>
        <w:rPr>
          <w:rFonts w:eastAsia="仿宋_GB2312"/>
          <w:sz w:val="32"/>
          <w:szCs w:val="32"/>
        </w:rPr>
        <w:t>2020</w:t>
      </w:r>
      <w:r>
        <w:rPr>
          <w:rFonts w:hint="eastAsia" w:eastAsia="仿宋_GB2312"/>
          <w:sz w:val="32"/>
          <w:szCs w:val="32"/>
        </w:rPr>
        <w:t>年减少</w:t>
      </w:r>
      <w:r>
        <w:rPr>
          <w:rFonts w:eastAsia="仿宋_GB2312"/>
          <w:sz w:val="32"/>
          <w:szCs w:val="32"/>
        </w:rPr>
        <w:t>56.05</w:t>
      </w:r>
      <w:r>
        <w:rPr>
          <w:rFonts w:hint="eastAsia" w:eastAsia="仿宋_GB2312"/>
          <w:sz w:val="32"/>
          <w:szCs w:val="32"/>
        </w:rPr>
        <w:t>万元，主要是按照厉行节约的要求，减少了一般公共预算安排的公务接待费。</w:t>
      </w:r>
    </w:p>
    <w:p>
      <w:pPr>
        <w:widowControl/>
        <w:spacing w:line="600" w:lineRule="exact"/>
        <w:ind w:firstLine="660"/>
        <w:rPr>
          <w:rFonts w:eastAsia="仿宋_GB2312"/>
          <w:kern w:val="0"/>
          <w:sz w:val="32"/>
          <w:szCs w:val="32"/>
        </w:rPr>
      </w:pPr>
      <w:r>
        <w:rPr>
          <w:rFonts w:eastAsia="楷体_GB2312"/>
          <w:b/>
          <w:sz w:val="32"/>
          <w:szCs w:val="32"/>
        </w:rPr>
        <w:t>（三）</w:t>
      </w:r>
      <w:r>
        <w:rPr>
          <w:rFonts w:hint="eastAsia" w:eastAsia="楷体_GB2312"/>
          <w:b/>
          <w:sz w:val="32"/>
          <w:szCs w:val="32"/>
        </w:rPr>
        <w:t>一般性支出情况</w:t>
      </w:r>
      <w:r>
        <w:rPr>
          <w:rFonts w:eastAsia="楷体_GB2312"/>
          <w:b/>
          <w:sz w:val="32"/>
          <w:szCs w:val="32"/>
        </w:rPr>
        <w:t>：</w:t>
      </w:r>
      <w:r>
        <w:rPr>
          <w:rFonts w:eastAsia="仿宋_GB2312"/>
          <w:kern w:val="0"/>
          <w:sz w:val="32"/>
          <w:szCs w:val="32"/>
        </w:rPr>
        <w:t>2021</w:t>
      </w:r>
      <w:r>
        <w:rPr>
          <w:rFonts w:hint="eastAsia" w:eastAsia="仿宋_GB2312"/>
          <w:kern w:val="0"/>
          <w:sz w:val="32"/>
          <w:szCs w:val="32"/>
        </w:rPr>
        <w:t>年本部门一般公共预算会议费预算</w:t>
      </w:r>
      <w:r>
        <w:rPr>
          <w:rFonts w:hint="eastAsia" w:eastAsia="仿宋_GB2312"/>
          <w:sz w:val="32"/>
          <w:szCs w:val="32"/>
        </w:rPr>
        <w:t>704.99</w:t>
      </w:r>
      <w:r>
        <w:rPr>
          <w:rFonts w:hint="eastAsia" w:eastAsia="仿宋_GB2312"/>
          <w:kern w:val="0"/>
          <w:sz w:val="32"/>
          <w:szCs w:val="32"/>
        </w:rPr>
        <w:t>万元，拟召</w:t>
      </w:r>
      <w:r>
        <w:rPr>
          <w:rFonts w:eastAsia="仿宋_GB2312"/>
          <w:kern w:val="0"/>
          <w:sz w:val="32"/>
          <w:szCs w:val="32"/>
        </w:rPr>
        <w:t>开</w:t>
      </w:r>
      <w:r>
        <w:rPr>
          <w:rFonts w:hint="eastAsia" w:eastAsia="仿宋_GB2312"/>
          <w:kern w:val="0"/>
          <w:sz w:val="32"/>
          <w:szCs w:val="32"/>
        </w:rPr>
        <w:t>：</w:t>
      </w:r>
      <w:r>
        <w:rPr>
          <w:rFonts w:eastAsia="仿宋_GB2312"/>
          <w:kern w:val="0"/>
          <w:sz w:val="32"/>
          <w:szCs w:val="32"/>
        </w:rPr>
        <w:t>全省教育工作会议，主会场约70人，</w:t>
      </w:r>
      <w:r>
        <w:rPr>
          <w:rFonts w:hint="eastAsia" w:eastAsia="仿宋_GB2312"/>
          <w:kern w:val="0"/>
          <w:sz w:val="32"/>
          <w:szCs w:val="32"/>
        </w:rPr>
        <w:t>内容为</w:t>
      </w:r>
      <w:r>
        <w:rPr>
          <w:rFonts w:eastAsia="仿宋_GB2312"/>
          <w:kern w:val="0"/>
          <w:sz w:val="32"/>
          <w:szCs w:val="32"/>
        </w:rPr>
        <w:t>贯彻落实中央、省委经济工作会议、省两会和全国教育工作会议精神；深化新时代教育评价改革专题推进会，主会场约50人，内容为推动各地各校贯彻落实《深化新时代教育评价改革总体方案》各项任务；芙蓉学校建设和增加公办幼儿园学位工作调度会视频会议，人数约80人，内容为调度重点民生实事项目芙蓉学校建设和增加公办幼儿园学位工作；全省高校所属企业体制改革工作调度会，人数约160人，内容为部署加快推进高校所属企业体制改革，加快清理关闭、依法转让和保留企业建立现代管理制度等工作；全省高校科技工作会议，人数约150人，内容为传达2020年全国高校科技工作会议精神，</w:t>
      </w:r>
      <w:r>
        <w:rPr>
          <w:rFonts w:hint="eastAsia" w:eastAsia="仿宋_GB2312"/>
          <w:kern w:val="0"/>
          <w:sz w:val="32"/>
          <w:szCs w:val="32"/>
        </w:rPr>
        <w:t>部</w:t>
      </w:r>
      <w:r>
        <w:rPr>
          <w:rFonts w:eastAsia="仿宋_GB2312"/>
          <w:kern w:val="0"/>
          <w:sz w:val="32"/>
          <w:szCs w:val="32"/>
        </w:rPr>
        <w:t>署2021年我省高校科技工作；全省中小学党建工作视频会议，主会场约45人，内容为进一步落实《关于加强中小学校党的建设意见》，坚持和完善党对中小学校的领导，分析形势任务，部署推进全省中小学校党建重点工作</w:t>
      </w:r>
      <w:r>
        <w:rPr>
          <w:rFonts w:hint="eastAsia" w:eastAsia="仿宋_GB2312"/>
          <w:kern w:val="0"/>
          <w:sz w:val="32"/>
          <w:szCs w:val="32"/>
        </w:rPr>
        <w:t>；以及高校召开的教学、科研会议等。一般公共预算培训费预算</w:t>
      </w:r>
      <w:r>
        <w:rPr>
          <w:rFonts w:hint="eastAsia" w:eastAsia="仿宋_GB2312"/>
          <w:sz w:val="32"/>
          <w:szCs w:val="32"/>
        </w:rPr>
        <w:t>894.16</w:t>
      </w:r>
      <w:r>
        <w:rPr>
          <w:rFonts w:hint="eastAsia" w:eastAsia="仿宋_GB2312"/>
          <w:kern w:val="0"/>
          <w:sz w:val="32"/>
          <w:szCs w:val="32"/>
        </w:rPr>
        <w:t>万元，</w:t>
      </w:r>
      <w:r>
        <w:rPr>
          <w:rFonts w:eastAsia="仿宋_GB2312"/>
          <w:kern w:val="0"/>
          <w:sz w:val="32"/>
          <w:szCs w:val="32"/>
        </w:rPr>
        <w:t>拟开展</w:t>
      </w:r>
      <w:r>
        <w:rPr>
          <w:rFonts w:hint="eastAsia" w:eastAsia="仿宋_GB2312"/>
          <w:kern w:val="0"/>
          <w:sz w:val="32"/>
          <w:szCs w:val="32"/>
        </w:rPr>
        <w:t>：</w:t>
      </w:r>
      <w:r>
        <w:rPr>
          <w:rFonts w:eastAsia="仿宋_GB2312"/>
          <w:kern w:val="0"/>
          <w:sz w:val="32"/>
          <w:szCs w:val="32"/>
        </w:rPr>
        <w:t>省教育厅直属单位干部人事工作业务培训，</w:t>
      </w:r>
      <w:r>
        <w:rPr>
          <w:rFonts w:hint="eastAsia" w:eastAsia="仿宋_GB2312"/>
          <w:kern w:val="0"/>
          <w:sz w:val="32"/>
          <w:szCs w:val="32"/>
        </w:rPr>
        <w:t>人数</w:t>
      </w:r>
      <w:r>
        <w:rPr>
          <w:rFonts w:hint="eastAsia" w:eastAsia="仿宋_GB2312"/>
          <w:sz w:val="32"/>
          <w:szCs w:val="32"/>
        </w:rPr>
        <w:t>约</w:t>
      </w:r>
      <w:r>
        <w:rPr>
          <w:rFonts w:eastAsia="仿宋_GB2312"/>
          <w:kern w:val="0"/>
          <w:sz w:val="32"/>
          <w:szCs w:val="32"/>
        </w:rPr>
        <w:t>8</w:t>
      </w:r>
      <w:r>
        <w:rPr>
          <w:rFonts w:eastAsia="仿宋_GB2312"/>
          <w:sz w:val="32"/>
          <w:szCs w:val="32"/>
        </w:rPr>
        <w:t>0</w:t>
      </w:r>
      <w:r>
        <w:rPr>
          <w:rFonts w:hint="eastAsia" w:eastAsia="仿宋_GB2312"/>
          <w:kern w:val="0"/>
          <w:sz w:val="32"/>
          <w:szCs w:val="32"/>
        </w:rPr>
        <w:t>人</w:t>
      </w:r>
      <w:r>
        <w:rPr>
          <w:rFonts w:eastAsia="仿宋_GB2312"/>
          <w:kern w:val="0"/>
          <w:sz w:val="32"/>
          <w:szCs w:val="32"/>
        </w:rPr>
        <w:t>；职业院校治理</w:t>
      </w:r>
      <w:r>
        <w:rPr>
          <w:rFonts w:hint="eastAsia" w:eastAsia="仿宋_GB2312"/>
          <w:kern w:val="0"/>
          <w:sz w:val="32"/>
          <w:szCs w:val="32"/>
          <w:lang w:eastAsia="zh-CN"/>
        </w:rPr>
        <w:t>体系</w:t>
      </w:r>
      <w:r>
        <w:rPr>
          <w:rFonts w:eastAsia="仿宋_GB2312"/>
          <w:kern w:val="0"/>
          <w:sz w:val="32"/>
          <w:szCs w:val="32"/>
        </w:rPr>
        <w:t>和治理</w:t>
      </w:r>
      <w:r>
        <w:rPr>
          <w:rFonts w:hint="eastAsia" w:eastAsia="仿宋_GB2312"/>
          <w:kern w:val="0"/>
          <w:sz w:val="32"/>
          <w:szCs w:val="32"/>
          <w:lang w:eastAsia="zh-CN"/>
        </w:rPr>
        <w:t>能力</w:t>
      </w:r>
      <w:bookmarkStart w:id="0" w:name="_GoBack"/>
      <w:bookmarkEnd w:id="0"/>
      <w:r>
        <w:rPr>
          <w:rFonts w:eastAsia="仿宋_GB2312"/>
          <w:kern w:val="0"/>
          <w:sz w:val="32"/>
          <w:szCs w:val="32"/>
        </w:rPr>
        <w:t>现代化建设管理培训，人数约240人；教育经费统计培训，人数约150人；省本级教育部门预算、决算培训，人数约150人；湖南省普通高等教育“专升本”信息管理平台操作培训，人数约260人；高校科技、社科统计培训，人数约150人；学位与研究生教育管理人员培训，人数约100人</w:t>
      </w:r>
      <w:r>
        <w:rPr>
          <w:rFonts w:hint="eastAsia" w:eastAsia="仿宋_GB2312"/>
          <w:kern w:val="0"/>
          <w:sz w:val="32"/>
          <w:szCs w:val="32"/>
        </w:rPr>
        <w:t>。</w:t>
      </w:r>
      <w:r>
        <w:rPr>
          <w:rFonts w:eastAsia="仿宋_GB2312"/>
          <w:kern w:val="0"/>
          <w:sz w:val="32"/>
          <w:szCs w:val="32"/>
        </w:rPr>
        <w:t>拟举办第七届中国国际“互联网+”大学生创新创业大赛、“湘教关爱行”志愿者服务活动、“学党史、听党话、跟党走”主题党建活动、大学生网络文化节和优秀网络文化作品评选活动、中华经典诵写讲系列活动等，经费预算约300万元</w:t>
      </w:r>
      <w:r>
        <w:rPr>
          <w:rFonts w:hint="eastAsia" w:eastAsia="仿宋_GB2312"/>
          <w:kern w:val="0"/>
          <w:sz w:val="32"/>
          <w:szCs w:val="32"/>
        </w:rPr>
        <w:t>。</w:t>
      </w:r>
    </w:p>
    <w:p>
      <w:pPr>
        <w:widowControl/>
        <w:spacing w:line="600" w:lineRule="exact"/>
        <w:ind w:firstLine="660"/>
        <w:rPr>
          <w:rFonts w:eastAsia="仿宋_GB2312"/>
          <w:sz w:val="32"/>
          <w:szCs w:val="32"/>
        </w:rPr>
      </w:pPr>
      <w:r>
        <w:rPr>
          <w:rFonts w:eastAsia="楷体_GB2312"/>
          <w:b/>
          <w:sz w:val="32"/>
          <w:szCs w:val="32"/>
        </w:rPr>
        <w:t>（四）政府采购情况：</w:t>
      </w:r>
      <w:r>
        <w:rPr>
          <w:rFonts w:eastAsia="仿宋_GB2312"/>
          <w:sz w:val="32"/>
          <w:szCs w:val="32"/>
        </w:rPr>
        <w:t>2021年本部门政府采购预算总额</w:t>
      </w:r>
      <w:r>
        <w:rPr>
          <w:rFonts w:hint="eastAsia" w:eastAsia="仿宋_GB2312"/>
          <w:sz w:val="32"/>
          <w:szCs w:val="32"/>
        </w:rPr>
        <w:t>160,286.22</w:t>
      </w:r>
      <w:r>
        <w:rPr>
          <w:rFonts w:eastAsia="仿宋_GB2312"/>
          <w:sz w:val="32"/>
          <w:szCs w:val="32"/>
        </w:rPr>
        <w:t>万元，其中，货物类采购预算</w:t>
      </w:r>
      <w:r>
        <w:rPr>
          <w:rFonts w:hint="eastAsia" w:eastAsia="仿宋_GB2312"/>
          <w:sz w:val="32"/>
          <w:szCs w:val="32"/>
        </w:rPr>
        <w:t>81596.26</w:t>
      </w:r>
      <w:r>
        <w:rPr>
          <w:rFonts w:eastAsia="仿宋_GB2312"/>
          <w:sz w:val="32"/>
          <w:szCs w:val="32"/>
        </w:rPr>
        <w:t>万元；工程类采购预算</w:t>
      </w:r>
      <w:r>
        <w:rPr>
          <w:rFonts w:hint="eastAsia" w:eastAsia="仿宋_GB2312"/>
          <w:sz w:val="32"/>
          <w:szCs w:val="32"/>
        </w:rPr>
        <w:t>62695.9</w:t>
      </w:r>
      <w:r>
        <w:rPr>
          <w:rFonts w:eastAsia="仿宋_GB2312"/>
          <w:sz w:val="32"/>
          <w:szCs w:val="32"/>
        </w:rPr>
        <w:t>万元；服务类采购预算</w:t>
      </w:r>
      <w:r>
        <w:rPr>
          <w:rFonts w:hint="eastAsia" w:eastAsia="仿宋_GB2312"/>
          <w:sz w:val="32"/>
          <w:szCs w:val="32"/>
        </w:rPr>
        <w:t>15994.06</w:t>
      </w:r>
      <w:r>
        <w:rPr>
          <w:rFonts w:eastAsia="仿宋_GB2312"/>
          <w:sz w:val="32"/>
          <w:szCs w:val="32"/>
        </w:rPr>
        <w:t>万元。</w:t>
      </w:r>
    </w:p>
    <w:p>
      <w:pPr>
        <w:widowControl/>
        <w:spacing w:line="600" w:lineRule="exact"/>
        <w:ind w:firstLine="660"/>
        <w:jc w:val="left"/>
        <w:rPr>
          <w:rFonts w:eastAsia="仿宋_GB2312"/>
          <w:bCs/>
          <w:kern w:val="0"/>
          <w:sz w:val="32"/>
          <w:szCs w:val="32"/>
        </w:rPr>
      </w:pPr>
      <w:r>
        <w:rPr>
          <w:rFonts w:hint="eastAsia" w:eastAsia="楷体_GB2312"/>
          <w:b/>
          <w:sz w:val="32"/>
          <w:szCs w:val="32"/>
        </w:rPr>
        <w:t>（五）国有资产占用使用及新增资产配置情况：</w:t>
      </w:r>
      <w:r>
        <w:rPr>
          <w:rFonts w:hint="eastAsia" w:eastAsia="仿宋_GB2312"/>
          <w:sz w:val="32"/>
          <w:szCs w:val="32"/>
        </w:rPr>
        <w:t>截至</w:t>
      </w:r>
      <w:r>
        <w:rPr>
          <w:rFonts w:eastAsia="仿宋_GB2312"/>
          <w:sz w:val="32"/>
          <w:szCs w:val="32"/>
        </w:rPr>
        <w:t>2020</w:t>
      </w:r>
      <w:r>
        <w:rPr>
          <w:rFonts w:hint="eastAsia" w:eastAsia="仿宋_GB2312"/>
          <w:sz w:val="32"/>
          <w:szCs w:val="32"/>
        </w:rPr>
        <w:t>年</w:t>
      </w:r>
      <w:r>
        <w:rPr>
          <w:rFonts w:eastAsia="仿宋_GB2312"/>
          <w:sz w:val="32"/>
          <w:szCs w:val="32"/>
        </w:rPr>
        <w:t>12</w:t>
      </w:r>
      <w:r>
        <w:rPr>
          <w:rFonts w:hint="eastAsia" w:eastAsia="仿宋_GB2312"/>
          <w:sz w:val="32"/>
          <w:szCs w:val="32"/>
        </w:rPr>
        <w:t>月底，省教育厅及湘潭大学等</w:t>
      </w:r>
      <w:r>
        <w:rPr>
          <w:rFonts w:eastAsia="仿宋_GB2312"/>
          <w:sz w:val="32"/>
          <w:szCs w:val="32"/>
        </w:rPr>
        <w:t>57</w:t>
      </w:r>
      <w:r>
        <w:rPr>
          <w:rFonts w:hint="eastAsia" w:eastAsia="仿宋_GB2312"/>
          <w:sz w:val="32"/>
          <w:szCs w:val="32"/>
        </w:rPr>
        <w:t>个预算单位共有车辆596辆，</w:t>
      </w:r>
      <w:r>
        <w:rPr>
          <w:rFonts w:eastAsia="仿宋_GB2312"/>
          <w:bCs/>
          <w:kern w:val="0"/>
          <w:sz w:val="32"/>
          <w:szCs w:val="32"/>
        </w:rPr>
        <w:t>其中，机要通信用车</w:t>
      </w:r>
      <w:r>
        <w:rPr>
          <w:rFonts w:hint="eastAsia" w:eastAsia="仿宋_GB2312"/>
          <w:bCs/>
          <w:kern w:val="0"/>
          <w:sz w:val="32"/>
          <w:szCs w:val="32"/>
        </w:rPr>
        <w:t>10</w:t>
      </w:r>
      <w:r>
        <w:rPr>
          <w:rFonts w:eastAsia="仿宋_GB2312"/>
          <w:bCs/>
          <w:kern w:val="0"/>
          <w:sz w:val="32"/>
          <w:szCs w:val="32"/>
        </w:rPr>
        <w:t>辆，应急保障用车</w:t>
      </w:r>
      <w:r>
        <w:rPr>
          <w:rFonts w:hint="eastAsia" w:eastAsia="仿宋_GB2312"/>
          <w:bCs/>
          <w:kern w:val="0"/>
          <w:sz w:val="32"/>
          <w:szCs w:val="32"/>
        </w:rPr>
        <w:t>21</w:t>
      </w:r>
      <w:r>
        <w:rPr>
          <w:rFonts w:eastAsia="仿宋_GB2312"/>
          <w:bCs/>
          <w:kern w:val="0"/>
          <w:sz w:val="32"/>
          <w:szCs w:val="32"/>
        </w:rPr>
        <w:t>辆，执法执勤用车</w:t>
      </w:r>
      <w:r>
        <w:rPr>
          <w:rFonts w:hint="eastAsia" w:eastAsia="仿宋_GB2312"/>
          <w:bCs/>
          <w:kern w:val="0"/>
          <w:sz w:val="32"/>
          <w:szCs w:val="32"/>
        </w:rPr>
        <w:t>18</w:t>
      </w:r>
      <w:r>
        <w:rPr>
          <w:rFonts w:eastAsia="仿宋_GB2312"/>
          <w:bCs/>
          <w:kern w:val="0"/>
          <w:sz w:val="32"/>
          <w:szCs w:val="32"/>
        </w:rPr>
        <w:t>辆，特种专业技术用车</w:t>
      </w:r>
      <w:r>
        <w:rPr>
          <w:rFonts w:hint="eastAsia" w:eastAsia="仿宋_GB2312"/>
          <w:bCs/>
          <w:kern w:val="0"/>
          <w:sz w:val="32"/>
          <w:szCs w:val="32"/>
        </w:rPr>
        <w:t>22</w:t>
      </w:r>
      <w:r>
        <w:rPr>
          <w:rFonts w:eastAsia="仿宋_GB2312"/>
          <w:bCs/>
          <w:kern w:val="0"/>
          <w:sz w:val="32"/>
          <w:szCs w:val="32"/>
        </w:rPr>
        <w:t>辆，其他按照规定配备的公务用车</w:t>
      </w:r>
      <w:r>
        <w:rPr>
          <w:rFonts w:hint="eastAsia" w:eastAsia="仿宋_GB2312"/>
          <w:bCs/>
          <w:kern w:val="0"/>
          <w:sz w:val="32"/>
          <w:szCs w:val="32"/>
        </w:rPr>
        <w:t>525</w:t>
      </w:r>
      <w:r>
        <w:rPr>
          <w:rFonts w:eastAsia="仿宋_GB2312"/>
          <w:bCs/>
          <w:kern w:val="0"/>
          <w:sz w:val="32"/>
          <w:szCs w:val="32"/>
        </w:rPr>
        <w:t>辆；单位价值50万元以上通用设备</w:t>
      </w:r>
      <w:r>
        <w:rPr>
          <w:rFonts w:hint="eastAsia" w:eastAsia="仿宋_GB2312"/>
          <w:bCs/>
          <w:kern w:val="0"/>
          <w:sz w:val="32"/>
          <w:szCs w:val="32"/>
        </w:rPr>
        <w:t>1036</w:t>
      </w:r>
      <w:r>
        <w:rPr>
          <w:rFonts w:eastAsia="仿宋_GB2312"/>
          <w:bCs/>
          <w:kern w:val="0"/>
          <w:sz w:val="32"/>
          <w:szCs w:val="32"/>
        </w:rPr>
        <w:t>台，单位价值100万元以上专用设备</w:t>
      </w:r>
      <w:r>
        <w:rPr>
          <w:rFonts w:hint="eastAsia" w:eastAsia="仿宋_GB2312"/>
          <w:bCs/>
          <w:kern w:val="0"/>
          <w:sz w:val="32"/>
          <w:szCs w:val="32"/>
        </w:rPr>
        <w:t>118</w:t>
      </w:r>
      <w:r>
        <w:rPr>
          <w:rFonts w:eastAsia="仿宋_GB2312"/>
          <w:bCs/>
          <w:kern w:val="0"/>
          <w:sz w:val="32"/>
          <w:szCs w:val="32"/>
        </w:rPr>
        <w:t>台。2021</w:t>
      </w:r>
      <w:r>
        <w:rPr>
          <w:rFonts w:hint="eastAsia" w:eastAsia="仿宋_GB2312"/>
          <w:bCs/>
          <w:kern w:val="0"/>
          <w:sz w:val="32"/>
          <w:szCs w:val="32"/>
        </w:rPr>
        <w:t>年，高校和厅直属单位根据省里规定并按程序报批，新增公务用车</w:t>
      </w:r>
      <w:r>
        <w:rPr>
          <w:rFonts w:eastAsia="仿宋_GB2312"/>
          <w:bCs/>
          <w:kern w:val="0"/>
          <w:sz w:val="32"/>
          <w:szCs w:val="32"/>
        </w:rPr>
        <w:t>17</w:t>
      </w:r>
      <w:r>
        <w:rPr>
          <w:rFonts w:hint="eastAsia" w:eastAsia="仿宋_GB2312"/>
          <w:bCs/>
          <w:kern w:val="0"/>
          <w:sz w:val="32"/>
          <w:szCs w:val="32"/>
        </w:rPr>
        <w:t>辆（所需资金从专户非税收入中安排）；新增配备单位价值</w:t>
      </w:r>
      <w:r>
        <w:rPr>
          <w:rFonts w:eastAsia="仿宋_GB2312"/>
          <w:bCs/>
          <w:kern w:val="0"/>
          <w:sz w:val="32"/>
          <w:szCs w:val="32"/>
        </w:rPr>
        <w:t>50</w:t>
      </w:r>
      <w:r>
        <w:rPr>
          <w:rFonts w:hint="eastAsia" w:eastAsia="仿宋_GB2312"/>
          <w:bCs/>
          <w:kern w:val="0"/>
          <w:sz w:val="32"/>
          <w:szCs w:val="32"/>
        </w:rPr>
        <w:t>万元以上通用设备</w:t>
      </w:r>
      <w:r>
        <w:rPr>
          <w:rFonts w:eastAsia="仿宋_GB2312"/>
          <w:bCs/>
          <w:kern w:val="0"/>
          <w:sz w:val="32"/>
          <w:szCs w:val="32"/>
        </w:rPr>
        <w:t>20</w:t>
      </w:r>
      <w:r>
        <w:rPr>
          <w:rFonts w:hint="eastAsia" w:eastAsia="仿宋_GB2312"/>
          <w:bCs/>
          <w:kern w:val="0"/>
          <w:sz w:val="32"/>
          <w:szCs w:val="32"/>
        </w:rPr>
        <w:t>台，新增单位价值</w:t>
      </w:r>
      <w:r>
        <w:rPr>
          <w:rFonts w:eastAsia="仿宋_GB2312"/>
          <w:bCs/>
          <w:kern w:val="0"/>
          <w:sz w:val="32"/>
          <w:szCs w:val="32"/>
        </w:rPr>
        <w:t>100</w:t>
      </w:r>
      <w:r>
        <w:rPr>
          <w:rFonts w:hint="eastAsia" w:eastAsia="仿宋_GB2312"/>
          <w:bCs/>
          <w:kern w:val="0"/>
          <w:sz w:val="32"/>
          <w:szCs w:val="32"/>
        </w:rPr>
        <w:t>万元以上专用设备</w:t>
      </w:r>
      <w:r>
        <w:rPr>
          <w:rFonts w:eastAsia="仿宋_GB2312"/>
          <w:bCs/>
          <w:kern w:val="0"/>
          <w:sz w:val="32"/>
          <w:szCs w:val="32"/>
        </w:rPr>
        <w:t>3</w:t>
      </w:r>
      <w:r>
        <w:rPr>
          <w:rFonts w:hint="eastAsia" w:eastAsia="仿宋_GB2312"/>
          <w:bCs/>
          <w:kern w:val="0"/>
          <w:sz w:val="32"/>
          <w:szCs w:val="32"/>
        </w:rPr>
        <w:t>台。</w:t>
      </w:r>
    </w:p>
    <w:p>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本部门所有支出实行绩效目标管理。纳入2021年部门整体支出绩效目标的金额为</w:t>
      </w:r>
      <w:r>
        <w:rPr>
          <w:rFonts w:hint="eastAsia" w:eastAsia="仿宋_GB2312"/>
          <w:sz w:val="32"/>
          <w:szCs w:val="32"/>
        </w:rPr>
        <w:t>2,012,367.63</w:t>
      </w:r>
      <w:r>
        <w:rPr>
          <w:rFonts w:eastAsia="仿宋_GB2312"/>
          <w:bCs/>
          <w:kern w:val="0"/>
          <w:sz w:val="32"/>
          <w:szCs w:val="32"/>
        </w:rPr>
        <w:t>万元，其中，基本支出</w:t>
      </w:r>
      <w:r>
        <w:rPr>
          <w:rFonts w:hint="eastAsia" w:eastAsia="仿宋_GB2312"/>
          <w:sz w:val="32"/>
          <w:szCs w:val="32"/>
        </w:rPr>
        <w:t>1,227,742.09</w:t>
      </w:r>
      <w:r>
        <w:rPr>
          <w:rFonts w:eastAsia="仿宋_GB2312"/>
          <w:bCs/>
          <w:kern w:val="0"/>
          <w:sz w:val="32"/>
          <w:szCs w:val="32"/>
        </w:rPr>
        <w:t>万元，项目支出</w:t>
      </w:r>
      <w:r>
        <w:rPr>
          <w:rFonts w:hint="eastAsia" w:eastAsia="仿宋_GB2312"/>
          <w:sz w:val="32"/>
          <w:szCs w:val="32"/>
        </w:rPr>
        <w:t>784,625.54</w:t>
      </w:r>
      <w:r>
        <w:rPr>
          <w:rFonts w:eastAsia="仿宋_GB2312"/>
          <w:bCs/>
          <w:kern w:val="0"/>
          <w:sz w:val="32"/>
          <w:szCs w:val="32"/>
        </w:rPr>
        <w:t>万元，具体绩效目标详见报表。</w:t>
      </w:r>
    </w:p>
    <w:p>
      <w:pPr>
        <w:widowControl/>
        <w:spacing w:line="600" w:lineRule="exact"/>
        <w:ind w:firstLine="660"/>
        <w:rPr>
          <w:rFonts w:eastAsia="黑体"/>
          <w:sz w:val="32"/>
          <w:szCs w:val="32"/>
        </w:rPr>
      </w:pPr>
      <w:r>
        <w:rPr>
          <w:rFonts w:eastAsia="黑体"/>
          <w:sz w:val="32"/>
          <w:szCs w:val="32"/>
        </w:rPr>
        <w:t>七、名词解释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ind w:firstLine="716" w:firstLineChars="200"/>
        <w:jc w:val="center"/>
        <w:rPr>
          <w:rFonts w:eastAsia="方正小标宋_GBK"/>
          <w:bCs/>
          <w:kern w:val="0"/>
          <w:sz w:val="36"/>
          <w:szCs w:val="36"/>
        </w:rPr>
      </w:pPr>
      <w:r>
        <w:rPr>
          <w:rFonts w:eastAsia="方正小标宋_GBK"/>
          <w:bCs/>
          <w:kern w:val="0"/>
          <w:sz w:val="36"/>
          <w:szCs w:val="36"/>
        </w:rPr>
        <w:t>第二部分 2021年部门预算表</w:t>
      </w:r>
    </w:p>
    <w:p>
      <w:pPr>
        <w:widowControl/>
        <w:spacing w:line="600" w:lineRule="exact"/>
        <w:rPr>
          <w:rFonts w:eastAsia="仿宋_GB2312"/>
          <w:sz w:val="32"/>
          <w:szCs w:val="32"/>
        </w:rPr>
      </w:pPr>
    </w:p>
    <w:sectPr>
      <w:footerReference r:id="rId3" w:type="default"/>
      <w:footerReference r:id="rId4" w:type="even"/>
      <w:pgSz w:w="11907" w:h="16840"/>
      <w:pgMar w:top="1134" w:right="1797" w:bottom="1304" w:left="1797" w:header="851" w:footer="992" w:gutter="0"/>
      <w:cols w:space="720" w:num="1"/>
      <w:docGrid w:type="linesAndChars" w:linePitch="495" w:charSpace="-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FhOWVkYjg0MzczNjllNmVmYWUxNmQyMjgxNjgifQ=="/>
  </w:docVars>
  <w:rsids>
    <w:rsidRoot w:val="00F947F0"/>
    <w:rsid w:val="00001712"/>
    <w:rsid w:val="000153CF"/>
    <w:rsid w:val="00053CAC"/>
    <w:rsid w:val="0005772A"/>
    <w:rsid w:val="00092386"/>
    <w:rsid w:val="000C169D"/>
    <w:rsid w:val="000C34A8"/>
    <w:rsid w:val="000D52F7"/>
    <w:rsid w:val="000E4464"/>
    <w:rsid w:val="000E7E83"/>
    <w:rsid w:val="000F122D"/>
    <w:rsid w:val="000F1AE6"/>
    <w:rsid w:val="00103A0A"/>
    <w:rsid w:val="0011067B"/>
    <w:rsid w:val="00112564"/>
    <w:rsid w:val="0012612A"/>
    <w:rsid w:val="001277DB"/>
    <w:rsid w:val="0014469F"/>
    <w:rsid w:val="00151067"/>
    <w:rsid w:val="00194281"/>
    <w:rsid w:val="001A722D"/>
    <w:rsid w:val="001B2201"/>
    <w:rsid w:val="001B40A6"/>
    <w:rsid w:val="001D3ECE"/>
    <w:rsid w:val="001D5D9C"/>
    <w:rsid w:val="00202517"/>
    <w:rsid w:val="00204DF7"/>
    <w:rsid w:val="00211A10"/>
    <w:rsid w:val="002375EE"/>
    <w:rsid w:val="002473FE"/>
    <w:rsid w:val="0025695B"/>
    <w:rsid w:val="00261A74"/>
    <w:rsid w:val="002907B7"/>
    <w:rsid w:val="00291581"/>
    <w:rsid w:val="002A3A1B"/>
    <w:rsid w:val="002C2F37"/>
    <w:rsid w:val="002C31A6"/>
    <w:rsid w:val="002C6EDD"/>
    <w:rsid w:val="002F4545"/>
    <w:rsid w:val="00305B43"/>
    <w:rsid w:val="00321952"/>
    <w:rsid w:val="00334CF4"/>
    <w:rsid w:val="00350B2A"/>
    <w:rsid w:val="00352C7A"/>
    <w:rsid w:val="00360DDA"/>
    <w:rsid w:val="00363566"/>
    <w:rsid w:val="00373263"/>
    <w:rsid w:val="003734B2"/>
    <w:rsid w:val="003750F2"/>
    <w:rsid w:val="00376202"/>
    <w:rsid w:val="00394547"/>
    <w:rsid w:val="003A09E0"/>
    <w:rsid w:val="003D1692"/>
    <w:rsid w:val="003D29EF"/>
    <w:rsid w:val="004133F4"/>
    <w:rsid w:val="00414270"/>
    <w:rsid w:val="00422990"/>
    <w:rsid w:val="00425148"/>
    <w:rsid w:val="00427396"/>
    <w:rsid w:val="0048232E"/>
    <w:rsid w:val="004A4B5F"/>
    <w:rsid w:val="004A7A20"/>
    <w:rsid w:val="004A7DE6"/>
    <w:rsid w:val="004C2937"/>
    <w:rsid w:val="004C3EA3"/>
    <w:rsid w:val="004D0BA6"/>
    <w:rsid w:val="004F2317"/>
    <w:rsid w:val="005264EC"/>
    <w:rsid w:val="005373FA"/>
    <w:rsid w:val="00540119"/>
    <w:rsid w:val="00556D03"/>
    <w:rsid w:val="00557F16"/>
    <w:rsid w:val="00572C36"/>
    <w:rsid w:val="00581DA2"/>
    <w:rsid w:val="0058338E"/>
    <w:rsid w:val="00584FFD"/>
    <w:rsid w:val="00586F08"/>
    <w:rsid w:val="00594F66"/>
    <w:rsid w:val="00597E81"/>
    <w:rsid w:val="005C0793"/>
    <w:rsid w:val="005C2DBA"/>
    <w:rsid w:val="005D1447"/>
    <w:rsid w:val="005D6732"/>
    <w:rsid w:val="005E0995"/>
    <w:rsid w:val="005F4481"/>
    <w:rsid w:val="006013D3"/>
    <w:rsid w:val="006024B3"/>
    <w:rsid w:val="00670418"/>
    <w:rsid w:val="0067368B"/>
    <w:rsid w:val="006902FF"/>
    <w:rsid w:val="006920CE"/>
    <w:rsid w:val="00697524"/>
    <w:rsid w:val="006976C0"/>
    <w:rsid w:val="006A2A72"/>
    <w:rsid w:val="006A42A1"/>
    <w:rsid w:val="006B17B0"/>
    <w:rsid w:val="006B1D11"/>
    <w:rsid w:val="006C051D"/>
    <w:rsid w:val="006D0E53"/>
    <w:rsid w:val="006F10C6"/>
    <w:rsid w:val="006F5F4B"/>
    <w:rsid w:val="006F6CEF"/>
    <w:rsid w:val="00721FB1"/>
    <w:rsid w:val="007258EF"/>
    <w:rsid w:val="00746291"/>
    <w:rsid w:val="007504E7"/>
    <w:rsid w:val="00766703"/>
    <w:rsid w:val="00771697"/>
    <w:rsid w:val="00775E79"/>
    <w:rsid w:val="00781DAB"/>
    <w:rsid w:val="007831DC"/>
    <w:rsid w:val="007868AB"/>
    <w:rsid w:val="00787BDE"/>
    <w:rsid w:val="00790E30"/>
    <w:rsid w:val="007A09E3"/>
    <w:rsid w:val="007B02E6"/>
    <w:rsid w:val="007D2A19"/>
    <w:rsid w:val="007E0B48"/>
    <w:rsid w:val="008442F7"/>
    <w:rsid w:val="00844EE7"/>
    <w:rsid w:val="008546B4"/>
    <w:rsid w:val="008606C3"/>
    <w:rsid w:val="008A1A21"/>
    <w:rsid w:val="008A4A56"/>
    <w:rsid w:val="008C150B"/>
    <w:rsid w:val="008D036A"/>
    <w:rsid w:val="008E64EB"/>
    <w:rsid w:val="008F4A7E"/>
    <w:rsid w:val="00915B45"/>
    <w:rsid w:val="00916F4D"/>
    <w:rsid w:val="0094364E"/>
    <w:rsid w:val="0095690B"/>
    <w:rsid w:val="00957690"/>
    <w:rsid w:val="009616BF"/>
    <w:rsid w:val="00965491"/>
    <w:rsid w:val="00986BE9"/>
    <w:rsid w:val="00990355"/>
    <w:rsid w:val="009B55F2"/>
    <w:rsid w:val="009D6CDD"/>
    <w:rsid w:val="009E74EC"/>
    <w:rsid w:val="009F7EFC"/>
    <w:rsid w:val="00A04236"/>
    <w:rsid w:val="00A15EE9"/>
    <w:rsid w:val="00A26331"/>
    <w:rsid w:val="00A26F91"/>
    <w:rsid w:val="00A7228A"/>
    <w:rsid w:val="00AD1617"/>
    <w:rsid w:val="00AD223D"/>
    <w:rsid w:val="00AD3446"/>
    <w:rsid w:val="00AD682D"/>
    <w:rsid w:val="00AD7CAD"/>
    <w:rsid w:val="00AF4EDE"/>
    <w:rsid w:val="00AF57FD"/>
    <w:rsid w:val="00AF66CB"/>
    <w:rsid w:val="00B07380"/>
    <w:rsid w:val="00B15BF1"/>
    <w:rsid w:val="00B23414"/>
    <w:rsid w:val="00B308A3"/>
    <w:rsid w:val="00B340A2"/>
    <w:rsid w:val="00B44F99"/>
    <w:rsid w:val="00B55CF0"/>
    <w:rsid w:val="00B61CE3"/>
    <w:rsid w:val="00B81DAF"/>
    <w:rsid w:val="00B83106"/>
    <w:rsid w:val="00B944D8"/>
    <w:rsid w:val="00B95545"/>
    <w:rsid w:val="00BA23B1"/>
    <w:rsid w:val="00BC09F3"/>
    <w:rsid w:val="00BC19FC"/>
    <w:rsid w:val="00BE4839"/>
    <w:rsid w:val="00C06F22"/>
    <w:rsid w:val="00C10046"/>
    <w:rsid w:val="00C145C2"/>
    <w:rsid w:val="00C1788F"/>
    <w:rsid w:val="00C22FF2"/>
    <w:rsid w:val="00C2380B"/>
    <w:rsid w:val="00C31834"/>
    <w:rsid w:val="00C4194A"/>
    <w:rsid w:val="00C51028"/>
    <w:rsid w:val="00C56F1B"/>
    <w:rsid w:val="00C6274C"/>
    <w:rsid w:val="00C710F0"/>
    <w:rsid w:val="00C7161B"/>
    <w:rsid w:val="00C72B2E"/>
    <w:rsid w:val="00C803CA"/>
    <w:rsid w:val="00C826ED"/>
    <w:rsid w:val="00C91AB3"/>
    <w:rsid w:val="00C97BCB"/>
    <w:rsid w:val="00CB162E"/>
    <w:rsid w:val="00CB596D"/>
    <w:rsid w:val="00CD0B53"/>
    <w:rsid w:val="00CD5B66"/>
    <w:rsid w:val="00CF380C"/>
    <w:rsid w:val="00D0321A"/>
    <w:rsid w:val="00D15A9D"/>
    <w:rsid w:val="00D16F40"/>
    <w:rsid w:val="00D265B7"/>
    <w:rsid w:val="00D27554"/>
    <w:rsid w:val="00D35C74"/>
    <w:rsid w:val="00D4092B"/>
    <w:rsid w:val="00D521AE"/>
    <w:rsid w:val="00D66585"/>
    <w:rsid w:val="00D86B62"/>
    <w:rsid w:val="00D878A5"/>
    <w:rsid w:val="00DA3F53"/>
    <w:rsid w:val="00DA4B82"/>
    <w:rsid w:val="00DC4C91"/>
    <w:rsid w:val="00DE2296"/>
    <w:rsid w:val="00E02D16"/>
    <w:rsid w:val="00E12EA4"/>
    <w:rsid w:val="00E21E42"/>
    <w:rsid w:val="00E31169"/>
    <w:rsid w:val="00E3772E"/>
    <w:rsid w:val="00E37F88"/>
    <w:rsid w:val="00E4277D"/>
    <w:rsid w:val="00E43455"/>
    <w:rsid w:val="00E53026"/>
    <w:rsid w:val="00E605C0"/>
    <w:rsid w:val="00E7072E"/>
    <w:rsid w:val="00E93464"/>
    <w:rsid w:val="00E97AE6"/>
    <w:rsid w:val="00EA4B43"/>
    <w:rsid w:val="00EC4502"/>
    <w:rsid w:val="00EE0784"/>
    <w:rsid w:val="00EE27BE"/>
    <w:rsid w:val="00EF78CC"/>
    <w:rsid w:val="00F00CF3"/>
    <w:rsid w:val="00F046B7"/>
    <w:rsid w:val="00F07E45"/>
    <w:rsid w:val="00F15D25"/>
    <w:rsid w:val="00F203EB"/>
    <w:rsid w:val="00F20835"/>
    <w:rsid w:val="00F545D6"/>
    <w:rsid w:val="00F56BB7"/>
    <w:rsid w:val="00F947F0"/>
    <w:rsid w:val="00F97083"/>
    <w:rsid w:val="00FA1FCF"/>
    <w:rsid w:val="00FD4B9B"/>
    <w:rsid w:val="00FD5E2E"/>
    <w:rsid w:val="00FD6E33"/>
    <w:rsid w:val="00FF3E4D"/>
    <w:rsid w:val="00FF6EED"/>
    <w:rsid w:val="20415863"/>
    <w:rsid w:val="25224BF6"/>
    <w:rsid w:val="2642521A"/>
    <w:rsid w:val="28C31FAD"/>
    <w:rsid w:val="381170AA"/>
    <w:rsid w:val="38DB68A0"/>
    <w:rsid w:val="3D3E74EB"/>
    <w:rsid w:val="3FEE5861"/>
    <w:rsid w:val="487227F3"/>
    <w:rsid w:val="490E595F"/>
    <w:rsid w:val="4CA12CB1"/>
    <w:rsid w:val="4FFD5445"/>
    <w:rsid w:val="56005AEA"/>
    <w:rsid w:val="62416A77"/>
    <w:rsid w:val="655C7CBE"/>
    <w:rsid w:val="73F93C5F"/>
    <w:rsid w:val="74F8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34"/>
    </w:pPr>
    <w:rPr>
      <w:rFonts w:eastAsia="仿宋_GB2312"/>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0">
    <w:name w:val="Char Char Char Char Char Char1"/>
    <w:basedOn w:val="1"/>
    <w:qFormat/>
    <w:uiPriority w:val="0"/>
    <w:rPr>
      <w:rFonts w:ascii="Tahoma" w:hAnsi="Tahoma"/>
      <w:sz w:val="24"/>
    </w:rPr>
  </w:style>
  <w:style w:type="character" w:customStyle="1" w:styleId="11">
    <w:name w:val="页眉 Char"/>
    <w:link w:val="5"/>
    <w:qFormat/>
    <w:uiPriority w:val="0"/>
    <w:rPr>
      <w:kern w:val="2"/>
      <w:sz w:val="18"/>
      <w:szCs w:val="18"/>
    </w:rPr>
  </w:style>
  <w:style w:type="character" w:customStyle="1" w:styleId="12">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5573</Words>
  <Characters>6299</Characters>
  <Lines>8</Lines>
  <Paragraphs>13</Paragraphs>
  <TotalTime>89</TotalTime>
  <ScaleCrop>false</ScaleCrop>
  <LinksUpToDate>false</LinksUpToDate>
  <CharactersWithSpaces>6314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2021-03-08T00:19:00Z</dcterms:created>
  <dc:creator>朱娜</dc:creator>
  <cp:lastModifiedBy>Administrator</cp:lastModifiedBy>
  <cp:lastPrinted>2021-02-22T02:16:00Z</cp:lastPrinted>
  <dcterms:modified xsi:type="dcterms:W3CDTF">2022-07-13T08:20:57Z</dcterms:modified>
  <dc:title>湖南省财政厅处室便函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DABC0304EA6B4DB8B691F032A3A85904</vt:lpwstr>
  </property>
</Properties>
</file>