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outlineLvl w:val="0"/>
        <w:rPr>
          <w:rFonts w:ascii="新宋体" w:hAnsi="新宋体" w:eastAsia="新宋体"/>
          <w:b/>
          <w:bCs/>
          <w:kern w:val="0"/>
          <w:sz w:val="44"/>
          <w:szCs w:val="44"/>
        </w:rPr>
      </w:pPr>
      <w:r>
        <w:rPr>
          <w:rFonts w:ascii="新宋体" w:hAnsi="新宋体" w:eastAsia="新宋体"/>
          <w:b/>
          <w:bCs/>
          <w:kern w:val="0"/>
          <w:sz w:val="44"/>
          <w:szCs w:val="44"/>
        </w:rPr>
        <w:t>202</w:t>
      </w:r>
      <w:r>
        <w:rPr>
          <w:rFonts w:hint="eastAsia" w:ascii="新宋体" w:hAnsi="新宋体" w:eastAsia="新宋体"/>
          <w:b/>
          <w:bCs/>
          <w:kern w:val="0"/>
          <w:sz w:val="44"/>
          <w:szCs w:val="44"/>
        </w:rPr>
        <w:t>2</w:t>
      </w:r>
      <w:r>
        <w:rPr>
          <w:rFonts w:ascii="新宋体" w:hAnsi="新宋体" w:eastAsia="新宋体"/>
          <w:b/>
          <w:bCs/>
          <w:kern w:val="0"/>
          <w:sz w:val="44"/>
          <w:szCs w:val="44"/>
        </w:rPr>
        <w:t>年</w:t>
      </w:r>
      <w:r>
        <w:rPr>
          <w:rFonts w:hint="eastAsia" w:ascii="新宋体" w:hAnsi="新宋体" w:eastAsia="新宋体"/>
          <w:b/>
          <w:bCs/>
          <w:kern w:val="0"/>
          <w:sz w:val="44"/>
          <w:szCs w:val="44"/>
        </w:rPr>
        <w:t>湖南省军粮</w:t>
      </w:r>
    </w:p>
    <w:p>
      <w:pPr>
        <w:widowControl/>
        <w:spacing w:line="600" w:lineRule="exact"/>
        <w:jc w:val="center"/>
        <w:outlineLvl w:val="0"/>
        <w:rPr>
          <w:rFonts w:ascii="新宋体" w:hAnsi="新宋体" w:eastAsia="新宋体"/>
          <w:b/>
          <w:bCs/>
          <w:kern w:val="0"/>
          <w:sz w:val="44"/>
          <w:szCs w:val="44"/>
        </w:rPr>
      </w:pPr>
      <w:r>
        <w:rPr>
          <w:rFonts w:hint="eastAsia" w:ascii="新宋体" w:hAnsi="新宋体" w:eastAsia="新宋体"/>
          <w:b/>
          <w:bCs/>
          <w:kern w:val="0"/>
          <w:sz w:val="44"/>
          <w:szCs w:val="44"/>
        </w:rPr>
        <w:t>供应管理中心</w:t>
      </w:r>
      <w:r>
        <w:rPr>
          <w:rFonts w:ascii="新宋体" w:hAnsi="新宋体" w:eastAsia="新宋体"/>
          <w:b/>
          <w:bCs/>
          <w:kern w:val="0"/>
          <w:sz w:val="44"/>
          <w:szCs w:val="44"/>
        </w:rPr>
        <w:t>单位预算</w:t>
      </w:r>
    </w:p>
    <w:p>
      <w:pPr>
        <w:widowControl/>
        <w:spacing w:line="600" w:lineRule="exact"/>
        <w:jc w:val="center"/>
        <w:rPr>
          <w:rFonts w:ascii="新宋体" w:hAnsi="新宋体" w:eastAsia="新宋体"/>
          <w:bCs/>
          <w:kern w:val="0"/>
          <w:sz w:val="32"/>
          <w:szCs w:val="32"/>
        </w:rPr>
      </w:pPr>
    </w:p>
    <w:p>
      <w:pPr>
        <w:widowControl/>
        <w:spacing w:line="600" w:lineRule="exact"/>
        <w:jc w:val="center"/>
        <w:rPr>
          <w:rFonts w:ascii="新宋体" w:hAnsi="新宋体" w:eastAsia="新宋体"/>
          <w:bCs/>
          <w:kern w:val="0"/>
          <w:sz w:val="32"/>
          <w:szCs w:val="32"/>
        </w:rPr>
      </w:pPr>
      <w:r>
        <w:rPr>
          <w:rFonts w:ascii="新宋体" w:hAnsi="新宋体" w:eastAsia="新宋体"/>
          <w:bCs/>
          <w:kern w:val="0"/>
          <w:sz w:val="32"/>
          <w:szCs w:val="32"/>
        </w:rPr>
        <w:t>目 录</w:t>
      </w:r>
    </w:p>
    <w:p>
      <w:pPr>
        <w:widowControl/>
        <w:spacing w:line="600" w:lineRule="exact"/>
        <w:jc w:val="left"/>
        <w:rPr>
          <w:rFonts w:ascii="新宋体" w:hAnsi="新宋体" w:eastAsia="新宋体"/>
          <w:bCs/>
          <w:kern w:val="0"/>
          <w:sz w:val="32"/>
          <w:szCs w:val="32"/>
        </w:rPr>
      </w:pPr>
    </w:p>
    <w:p>
      <w:pPr>
        <w:widowControl/>
        <w:spacing w:line="600" w:lineRule="exact"/>
        <w:ind w:firstLine="642" w:firstLineChars="200"/>
        <w:rPr>
          <w:rFonts w:ascii="新宋体" w:hAnsi="新宋体" w:eastAsia="新宋体"/>
          <w:b/>
          <w:bCs/>
          <w:kern w:val="0"/>
          <w:sz w:val="32"/>
          <w:szCs w:val="32"/>
        </w:rPr>
      </w:pPr>
      <w:r>
        <w:rPr>
          <w:rFonts w:ascii="新宋体" w:hAnsi="新宋体" w:eastAsia="新宋体"/>
          <w:b/>
          <w:bCs/>
          <w:kern w:val="0"/>
          <w:sz w:val="32"/>
          <w:szCs w:val="32"/>
        </w:rPr>
        <w:t>第一部分 202</w:t>
      </w:r>
      <w:r>
        <w:rPr>
          <w:rFonts w:hint="eastAsia" w:ascii="新宋体" w:hAnsi="新宋体" w:eastAsia="新宋体"/>
          <w:b/>
          <w:bCs/>
          <w:kern w:val="0"/>
          <w:sz w:val="32"/>
          <w:szCs w:val="32"/>
        </w:rPr>
        <w:t>2</w:t>
      </w:r>
      <w:r>
        <w:rPr>
          <w:rFonts w:ascii="新宋体" w:hAnsi="新宋体" w:eastAsia="新宋体"/>
          <w:b/>
          <w:bCs/>
          <w:kern w:val="0"/>
          <w:sz w:val="32"/>
          <w:szCs w:val="32"/>
        </w:rPr>
        <w:t>年单位预算说明</w:t>
      </w:r>
    </w:p>
    <w:p>
      <w:pPr>
        <w:widowControl/>
        <w:spacing w:line="600" w:lineRule="exact"/>
        <w:ind w:firstLine="642" w:firstLineChars="200"/>
        <w:jc w:val="left"/>
        <w:rPr>
          <w:rFonts w:ascii="新宋体" w:hAnsi="新宋体" w:eastAsia="新宋体"/>
          <w:b/>
          <w:bCs/>
          <w:kern w:val="0"/>
          <w:sz w:val="32"/>
          <w:szCs w:val="32"/>
        </w:rPr>
      </w:pPr>
      <w:r>
        <w:rPr>
          <w:rFonts w:ascii="新宋体" w:hAnsi="新宋体" w:eastAsia="新宋体"/>
          <w:b/>
          <w:bCs/>
          <w:kern w:val="0"/>
          <w:sz w:val="32"/>
          <w:szCs w:val="32"/>
        </w:rPr>
        <w:t>第二部分 202</w:t>
      </w:r>
      <w:r>
        <w:rPr>
          <w:rFonts w:hint="eastAsia" w:ascii="新宋体" w:hAnsi="新宋体" w:eastAsia="新宋体"/>
          <w:b/>
          <w:bCs/>
          <w:kern w:val="0"/>
          <w:sz w:val="32"/>
          <w:szCs w:val="32"/>
        </w:rPr>
        <w:t>2</w:t>
      </w:r>
      <w:r>
        <w:rPr>
          <w:rFonts w:ascii="新宋体" w:hAnsi="新宋体" w:eastAsia="新宋体"/>
          <w:b/>
          <w:bCs/>
          <w:kern w:val="0"/>
          <w:sz w:val="32"/>
          <w:szCs w:val="32"/>
        </w:rPr>
        <w:t>年单位预算表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1、收支总表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2、收入总表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3、支出总表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4、支出预算分类汇总表（按政府预算经济分类）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5、支出预算分类汇总表（按部门预算经济分类）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6、财政拨款收支总表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7、一般公共预算支出表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8、一般公共预算基本支出表-人员经费（工资福利支出）（按政府预算经济分类）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9、一般公共预算基本支出表-人员经费（工资福利支出）（按部门预算经济分类）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10、一般公共预算基本支出表-人员经费（对个人和家庭的补助）（按政府预算经济分类）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11、一般公共预算基本支出表-人员经费（对个人和家庭的补助）（按部门预算经济分类）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12、一般公共预算基本支出表-</w:t>
      </w:r>
      <w:r>
        <w:rPr>
          <w:rFonts w:hint="eastAsia" w:ascii="新宋体" w:hAnsi="新宋体" w:eastAsia="新宋体"/>
          <w:sz w:val="32"/>
          <w:szCs w:val="32"/>
        </w:rPr>
        <w:t>公用</w:t>
      </w:r>
      <w:r>
        <w:rPr>
          <w:rFonts w:ascii="新宋体" w:hAnsi="新宋体" w:eastAsia="新宋体"/>
          <w:sz w:val="32"/>
          <w:szCs w:val="32"/>
        </w:rPr>
        <w:t>经费（商品和服务支出）（按政府预算经济分类）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13、一般公共预算基本支出表-</w:t>
      </w:r>
      <w:r>
        <w:rPr>
          <w:rFonts w:hint="eastAsia" w:ascii="新宋体" w:hAnsi="新宋体" w:eastAsia="新宋体"/>
          <w:sz w:val="32"/>
          <w:szCs w:val="32"/>
        </w:rPr>
        <w:t>公用</w:t>
      </w:r>
      <w:r>
        <w:rPr>
          <w:rFonts w:ascii="新宋体" w:hAnsi="新宋体" w:eastAsia="新宋体"/>
          <w:sz w:val="32"/>
          <w:szCs w:val="32"/>
        </w:rPr>
        <w:t>经费（商品和服务支出）（按部门预算经济分类）</w:t>
      </w:r>
    </w:p>
    <w:p>
      <w:pPr>
        <w:widowControl/>
        <w:spacing w:line="600" w:lineRule="exact"/>
        <w:ind w:firstLine="640" w:firstLineChars="200"/>
        <w:jc w:val="left"/>
        <w:outlineLvl w:val="0"/>
        <w:rPr>
          <w:rFonts w:ascii="新宋体" w:hAnsi="新宋体" w:eastAsia="新宋体"/>
          <w:sz w:val="32"/>
          <w:szCs w:val="32"/>
        </w:rPr>
      </w:pPr>
      <w:r>
        <w:rPr>
          <w:rFonts w:ascii="新宋体" w:hAnsi="新宋体" w:eastAsia="新宋体"/>
          <w:sz w:val="32"/>
          <w:szCs w:val="32"/>
        </w:rPr>
        <w:t>14、一般公共预算“三公”经费支出表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15、政府性基金预算支出表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16、政府性基金预算支出分类汇总表（按政府预算经济分类）</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17、政府性基金预算支出分类汇总表（按部门预算经济分类）</w:t>
      </w:r>
    </w:p>
    <w:p>
      <w:pPr>
        <w:widowControl/>
        <w:spacing w:line="600" w:lineRule="exact"/>
        <w:ind w:firstLine="640" w:firstLineChars="200"/>
        <w:jc w:val="left"/>
        <w:outlineLvl w:val="0"/>
        <w:rPr>
          <w:rFonts w:ascii="新宋体" w:hAnsi="新宋体" w:eastAsia="新宋体"/>
          <w:sz w:val="32"/>
          <w:szCs w:val="32"/>
        </w:rPr>
      </w:pPr>
      <w:r>
        <w:rPr>
          <w:rFonts w:ascii="新宋体" w:hAnsi="新宋体" w:eastAsia="新宋体"/>
          <w:sz w:val="32"/>
          <w:szCs w:val="32"/>
        </w:rPr>
        <w:t>18、国有资本经营预算支出表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19、财政专户管理资金预算支出表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20、省级专项资金预算汇总表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21、省级专项资金绩效目标表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22、其他项目支出绩效目标表</w:t>
      </w:r>
    </w:p>
    <w:p>
      <w:pPr>
        <w:widowControl/>
        <w:spacing w:line="600" w:lineRule="exact"/>
        <w:ind w:firstLine="640" w:firstLineChars="200"/>
        <w:jc w:val="left"/>
        <w:rPr>
          <w:rFonts w:ascii="新宋体" w:hAnsi="新宋体" w:eastAsia="新宋体"/>
          <w:sz w:val="32"/>
          <w:szCs w:val="32"/>
        </w:rPr>
      </w:pPr>
      <w:r>
        <w:rPr>
          <w:rFonts w:ascii="新宋体" w:hAnsi="新宋体" w:eastAsia="新宋体"/>
          <w:sz w:val="32"/>
          <w:szCs w:val="32"/>
        </w:rPr>
        <w:t>23、部门整体支出绩效目标表</w:t>
      </w:r>
    </w:p>
    <w:p>
      <w:pPr>
        <w:widowControl/>
        <w:spacing w:line="600" w:lineRule="exact"/>
        <w:ind w:firstLine="640" w:firstLineChars="200"/>
        <w:rPr>
          <w:rFonts w:ascii="新宋体" w:hAnsi="新宋体" w:eastAsia="新宋体"/>
          <w:bCs/>
          <w:kern w:val="0"/>
          <w:sz w:val="32"/>
          <w:szCs w:val="32"/>
        </w:rPr>
      </w:pPr>
      <w:r>
        <w:rPr>
          <w:rFonts w:ascii="新宋体" w:hAnsi="新宋体" w:eastAsia="新宋体"/>
          <w:bCs/>
          <w:kern w:val="0"/>
          <w:sz w:val="32"/>
          <w:szCs w:val="32"/>
        </w:rPr>
        <w:t>注：以上</w:t>
      </w:r>
      <w:r>
        <w:rPr>
          <w:rFonts w:hint="eastAsia" w:ascii="新宋体" w:hAnsi="新宋体" w:eastAsia="新宋体"/>
          <w:bCs/>
          <w:kern w:val="0"/>
          <w:sz w:val="32"/>
          <w:szCs w:val="32"/>
        </w:rPr>
        <w:t>单位</w:t>
      </w:r>
      <w:r>
        <w:rPr>
          <w:rFonts w:ascii="新宋体" w:hAnsi="新宋体" w:eastAsia="新宋体"/>
          <w:bCs/>
          <w:kern w:val="0"/>
          <w:sz w:val="32"/>
          <w:szCs w:val="32"/>
        </w:rPr>
        <w:t>预算报表中，空表表示本单位无相关收支情况。</w:t>
      </w:r>
    </w:p>
    <w:p>
      <w:pPr>
        <w:widowControl/>
        <w:spacing w:line="600" w:lineRule="exact"/>
        <w:ind w:firstLine="640" w:firstLineChars="200"/>
        <w:rPr>
          <w:rFonts w:ascii="新宋体" w:hAnsi="新宋体" w:eastAsia="新宋体"/>
          <w:bCs/>
          <w:kern w:val="0"/>
          <w:sz w:val="32"/>
          <w:szCs w:val="32"/>
        </w:rPr>
      </w:pPr>
    </w:p>
    <w:p>
      <w:pPr>
        <w:widowControl/>
        <w:spacing w:line="600" w:lineRule="exact"/>
        <w:rPr>
          <w:rFonts w:ascii="新宋体" w:hAnsi="新宋体" w:eastAsia="新宋体"/>
          <w:bCs/>
          <w:kern w:val="0"/>
          <w:sz w:val="32"/>
          <w:szCs w:val="32"/>
        </w:rPr>
      </w:pPr>
    </w:p>
    <w:p>
      <w:pPr>
        <w:widowControl/>
        <w:spacing w:line="600" w:lineRule="exact"/>
        <w:rPr>
          <w:rFonts w:ascii="新宋体" w:hAnsi="新宋体" w:eastAsia="新宋体"/>
          <w:bCs/>
          <w:kern w:val="0"/>
          <w:sz w:val="32"/>
          <w:szCs w:val="32"/>
        </w:rPr>
      </w:pPr>
    </w:p>
    <w:p>
      <w:pPr>
        <w:widowControl/>
        <w:spacing w:line="600" w:lineRule="exact"/>
        <w:jc w:val="center"/>
        <w:rPr>
          <w:rFonts w:ascii="新宋体" w:hAnsi="新宋体" w:eastAsia="新宋体"/>
          <w:bCs/>
          <w:kern w:val="0"/>
          <w:sz w:val="44"/>
          <w:szCs w:val="44"/>
        </w:rPr>
      </w:pPr>
    </w:p>
    <w:p>
      <w:pPr>
        <w:widowControl/>
        <w:spacing w:line="600" w:lineRule="exact"/>
        <w:jc w:val="center"/>
        <w:rPr>
          <w:rFonts w:ascii="新宋体" w:hAnsi="新宋体" w:eastAsia="新宋体"/>
          <w:bCs/>
          <w:kern w:val="0"/>
          <w:sz w:val="44"/>
          <w:szCs w:val="44"/>
        </w:rPr>
      </w:pPr>
    </w:p>
    <w:p>
      <w:pPr>
        <w:widowControl/>
        <w:spacing w:line="600" w:lineRule="exact"/>
        <w:jc w:val="center"/>
        <w:rPr>
          <w:rFonts w:ascii="新宋体" w:hAnsi="新宋体" w:eastAsia="新宋体"/>
          <w:bCs/>
          <w:kern w:val="0"/>
          <w:sz w:val="36"/>
          <w:szCs w:val="36"/>
        </w:rPr>
      </w:pPr>
    </w:p>
    <w:p>
      <w:pPr>
        <w:widowControl/>
        <w:spacing w:line="600" w:lineRule="exact"/>
        <w:jc w:val="center"/>
        <w:rPr>
          <w:rFonts w:ascii="新宋体" w:hAnsi="新宋体" w:eastAsia="新宋体"/>
          <w:bCs/>
          <w:kern w:val="0"/>
          <w:sz w:val="44"/>
          <w:szCs w:val="44"/>
        </w:rPr>
      </w:pPr>
      <w:r>
        <w:rPr>
          <w:rFonts w:hint="eastAsia" w:ascii="新宋体" w:hAnsi="新宋体" w:eastAsia="新宋体"/>
          <w:bCs/>
          <w:kern w:val="0"/>
          <w:sz w:val="44"/>
          <w:szCs w:val="44"/>
        </w:rPr>
        <w:t>第一部分 2022年单位预算说明</w:t>
      </w:r>
    </w:p>
    <w:p>
      <w:pPr>
        <w:widowControl/>
        <w:spacing w:line="600" w:lineRule="exact"/>
        <w:ind w:firstLine="627" w:firstLineChars="196"/>
        <w:jc w:val="left"/>
        <w:rPr>
          <w:rFonts w:ascii="新宋体" w:hAnsi="新宋体" w:eastAsia="新宋体"/>
          <w:bCs/>
          <w:kern w:val="0"/>
          <w:sz w:val="32"/>
          <w:szCs w:val="32"/>
        </w:rPr>
      </w:pPr>
    </w:p>
    <w:p>
      <w:pPr>
        <w:widowControl/>
        <w:spacing w:line="600" w:lineRule="exact"/>
        <w:ind w:firstLine="629" w:firstLineChars="196"/>
        <w:jc w:val="left"/>
        <w:outlineLvl w:val="0"/>
        <w:rPr>
          <w:rFonts w:ascii="新宋体" w:hAnsi="新宋体" w:eastAsia="新宋体"/>
          <w:b/>
          <w:bCs/>
          <w:kern w:val="0"/>
          <w:sz w:val="32"/>
          <w:szCs w:val="32"/>
        </w:rPr>
      </w:pPr>
      <w:r>
        <w:rPr>
          <w:rFonts w:ascii="新宋体" w:hAnsi="新宋体" w:eastAsia="新宋体"/>
          <w:b/>
          <w:bCs/>
          <w:kern w:val="0"/>
          <w:sz w:val="32"/>
          <w:szCs w:val="32"/>
        </w:rPr>
        <w:t>一、</w:t>
      </w:r>
      <w:r>
        <w:rPr>
          <w:rFonts w:hint="eastAsia" w:ascii="新宋体" w:hAnsi="新宋体" w:eastAsia="新宋体"/>
          <w:b/>
          <w:bCs/>
          <w:kern w:val="0"/>
          <w:sz w:val="32"/>
          <w:szCs w:val="32"/>
        </w:rPr>
        <w:t>单位</w:t>
      </w:r>
      <w:r>
        <w:rPr>
          <w:rFonts w:ascii="新宋体" w:hAnsi="新宋体" w:eastAsia="新宋体"/>
          <w:b/>
          <w:bCs/>
          <w:kern w:val="0"/>
          <w:sz w:val="32"/>
          <w:szCs w:val="32"/>
        </w:rPr>
        <w:t>基本概况</w:t>
      </w:r>
    </w:p>
    <w:p>
      <w:pPr>
        <w:widowControl/>
        <w:spacing w:line="600" w:lineRule="exact"/>
        <w:ind w:firstLine="629" w:firstLineChars="196"/>
        <w:jc w:val="left"/>
        <w:outlineLvl w:val="0"/>
        <w:rPr>
          <w:rFonts w:ascii="新宋体" w:hAnsi="新宋体" w:eastAsia="新宋体"/>
          <w:b/>
          <w:sz w:val="32"/>
          <w:szCs w:val="32"/>
        </w:rPr>
      </w:pPr>
      <w:r>
        <w:rPr>
          <w:rFonts w:ascii="新宋体" w:hAnsi="新宋体" w:eastAsia="新宋体"/>
          <w:b/>
          <w:sz w:val="32"/>
          <w:szCs w:val="32"/>
        </w:rPr>
        <w:t>（</w:t>
      </w:r>
      <w:r>
        <w:rPr>
          <w:rFonts w:hint="eastAsia" w:ascii="新宋体" w:hAnsi="新宋体" w:eastAsia="新宋体"/>
          <w:b/>
          <w:sz w:val="32"/>
          <w:szCs w:val="32"/>
        </w:rPr>
        <w:t>一）职能职责。</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本单位是湖南省粮食和物资储备局直属参照公务员法管理的正处级单位，负责人民解放军驻省部队和省武警部队粮食供应管理方面的业务工作。主要职能职责有：</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1、研究省粮食和物资储备军粮供应系统军民融合相关政策，拟订全省军供系统军民融合发展规划，落实军民融合相关工作。</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2、构建华中地区（湖南）军粮食品动员中心，指导军供系统对接国民经济动员体系相关工作主；指导全省军供系统应急、应战和远洋、远程等野战条件下的军需物资动员能力建设，推动军供系统军粮供应单位专业保障队伍建设。</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3、构建湖南军供系统统一的军需物资供应平台和平战结合的军民保障体系，负责全省政策性军供粮油、副食品质量监管，对接军队供应需求，指导军供系统服务部队。</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4、拟订军粮供应相关政策、制度和办法并组织实施、下达全省军粮供应计划并组织实施，办理全省军供应差价补贴款预决算。</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5、拟订全省军粮供应应急保障预案，指导市州建立健全军粮应急保障机制，指导优化全省军粮供应网点布局，完善网络体系、提升保障能力。</w:t>
      </w:r>
    </w:p>
    <w:p>
      <w:pPr>
        <w:widowControl/>
        <w:spacing w:line="600" w:lineRule="exact"/>
        <w:ind w:firstLine="629" w:firstLineChars="196"/>
        <w:jc w:val="left"/>
        <w:outlineLvl w:val="0"/>
        <w:rPr>
          <w:rFonts w:ascii="新宋体" w:hAnsi="新宋体" w:eastAsia="新宋体"/>
          <w:b/>
          <w:sz w:val="32"/>
          <w:szCs w:val="32"/>
        </w:rPr>
      </w:pPr>
      <w:r>
        <w:rPr>
          <w:rFonts w:hint="eastAsia" w:ascii="新宋体" w:hAnsi="新宋体" w:eastAsia="新宋体"/>
          <w:b/>
          <w:sz w:val="32"/>
          <w:szCs w:val="32"/>
        </w:rPr>
        <w:t>（二）机构设置。</w:t>
      </w:r>
    </w:p>
    <w:p>
      <w:pPr>
        <w:widowControl/>
        <w:spacing w:line="600" w:lineRule="exact"/>
        <w:ind w:firstLine="627" w:firstLineChars="196"/>
        <w:jc w:val="left"/>
        <w:rPr>
          <w:rFonts w:ascii="新宋体" w:hAnsi="新宋体" w:eastAsia="新宋体" w:cs="仿宋_GB2312"/>
          <w:bCs/>
          <w:sz w:val="32"/>
          <w:szCs w:val="32"/>
        </w:rPr>
      </w:pPr>
      <w:r>
        <w:rPr>
          <w:rFonts w:hint="eastAsia" w:ascii="新宋体" w:hAnsi="新宋体" w:eastAsia="新宋体" w:cs="仿宋_GB2312"/>
          <w:bCs/>
          <w:sz w:val="32"/>
          <w:szCs w:val="32"/>
        </w:rPr>
        <w:t>本单位内设业务科、财务科、综合科三个科室，单位核定编制8人，实有在职在编8人，退休1人。</w:t>
      </w:r>
    </w:p>
    <w:p>
      <w:pPr>
        <w:widowControl/>
        <w:spacing w:line="600" w:lineRule="exact"/>
        <w:ind w:firstLine="627" w:firstLineChars="196"/>
        <w:jc w:val="left"/>
        <w:rPr>
          <w:rFonts w:hint="default" w:ascii="新宋体" w:hAnsi="新宋体" w:eastAsia="新宋体" w:cs="仿宋_GB2312"/>
          <w:bCs/>
          <w:sz w:val="32"/>
          <w:szCs w:val="32"/>
          <w:lang w:val="en"/>
        </w:rPr>
      </w:pPr>
      <w:r>
        <w:rPr>
          <w:rFonts w:hint="eastAsia" w:ascii="新宋体" w:hAnsi="新宋体" w:eastAsia="新宋体" w:cs="仿宋_GB2312"/>
          <w:bCs/>
          <w:sz w:val="32"/>
          <w:szCs w:val="32"/>
        </w:rPr>
        <w:t>本单位为2022年新增纳入财政二级预算管理的单位</w:t>
      </w:r>
      <w:r>
        <w:rPr>
          <w:rFonts w:hint="default" w:ascii="新宋体" w:hAnsi="新宋体" w:eastAsia="新宋体" w:cs="仿宋_GB2312"/>
          <w:bCs/>
          <w:sz w:val="32"/>
          <w:szCs w:val="32"/>
          <w:lang w:val="en"/>
        </w:rPr>
        <w:t>，单位只有本级，没有其他预算单位，因此本年预算仅含本级预算。</w:t>
      </w:r>
    </w:p>
    <w:p>
      <w:pPr>
        <w:widowControl/>
        <w:spacing w:line="600" w:lineRule="exact"/>
        <w:ind w:firstLine="629" w:firstLineChars="196"/>
        <w:jc w:val="left"/>
        <w:outlineLvl w:val="0"/>
        <w:rPr>
          <w:rFonts w:ascii="新宋体" w:hAnsi="新宋体" w:eastAsia="新宋体"/>
          <w:b/>
          <w:bCs/>
          <w:kern w:val="0"/>
          <w:sz w:val="32"/>
          <w:szCs w:val="32"/>
        </w:rPr>
      </w:pPr>
      <w:r>
        <w:rPr>
          <w:rFonts w:hint="eastAsia" w:ascii="新宋体" w:hAnsi="新宋体" w:eastAsia="新宋体"/>
          <w:b/>
          <w:bCs/>
          <w:kern w:val="0"/>
          <w:sz w:val="32"/>
          <w:szCs w:val="32"/>
        </w:rPr>
        <w:t>二、单位收支总体情况</w:t>
      </w:r>
    </w:p>
    <w:p>
      <w:pPr>
        <w:widowControl/>
        <w:spacing w:line="600" w:lineRule="exact"/>
        <w:ind w:firstLine="629" w:firstLineChars="196"/>
        <w:rPr>
          <w:rFonts w:hint="eastAsia" w:ascii="新宋体" w:hAnsi="新宋体" w:eastAsia="新宋体"/>
          <w:sz w:val="32"/>
          <w:szCs w:val="32"/>
        </w:rPr>
      </w:pPr>
      <w:r>
        <w:rPr>
          <w:rFonts w:hint="eastAsia" w:ascii="新宋体" w:hAnsi="新宋体" w:eastAsia="新宋体"/>
          <w:b/>
          <w:sz w:val="32"/>
          <w:szCs w:val="32"/>
        </w:rPr>
        <w:t>（一）收入预算：</w:t>
      </w:r>
      <w:r>
        <w:rPr>
          <w:rFonts w:hint="eastAsia" w:ascii="新宋体" w:hAnsi="新宋体" w:eastAsia="新宋体"/>
          <w:sz w:val="32"/>
          <w:szCs w:val="32"/>
        </w:rPr>
        <w:t xml:space="preserve"> 2022年本单位收入预算 200万元，其中，一般公共预算拨款200万元。</w:t>
      </w:r>
      <w:r>
        <w:rPr>
          <w:rFonts w:hint="eastAsia" w:ascii="新宋体" w:hAnsi="新宋体" w:eastAsia="新宋体"/>
          <w:sz w:val="32"/>
          <w:szCs w:val="32"/>
          <w:lang w:eastAsia="zh-CN"/>
        </w:rPr>
        <w:t>本单位为今年新增纳入预算管理单位，收入预算无上年增减变化情况。</w:t>
      </w:r>
    </w:p>
    <w:p>
      <w:pPr>
        <w:widowControl/>
        <w:spacing w:line="600" w:lineRule="exact"/>
        <w:ind w:firstLine="629" w:firstLineChars="196"/>
        <w:jc w:val="left"/>
        <w:rPr>
          <w:rFonts w:hint="eastAsia" w:ascii="新宋体" w:hAnsi="新宋体" w:eastAsia="新宋体"/>
          <w:sz w:val="32"/>
          <w:szCs w:val="32"/>
        </w:rPr>
      </w:pPr>
      <w:r>
        <w:rPr>
          <w:rFonts w:hint="eastAsia" w:ascii="新宋体" w:hAnsi="新宋体" w:eastAsia="新宋体"/>
          <w:b/>
          <w:sz w:val="32"/>
          <w:szCs w:val="32"/>
        </w:rPr>
        <w:t>（二）支出预算：</w:t>
      </w:r>
      <w:r>
        <w:rPr>
          <w:rFonts w:hint="eastAsia" w:ascii="新宋体" w:hAnsi="新宋体" w:eastAsia="新宋体"/>
          <w:sz w:val="32"/>
          <w:szCs w:val="32"/>
        </w:rPr>
        <w:t>2022年本单位支出预算 200万元，其中，社会保障和就业支出13万元，住房保障支出16万元，粮油物资储备支出171万元。</w:t>
      </w:r>
      <w:r>
        <w:rPr>
          <w:rFonts w:hint="eastAsia" w:ascii="新宋体" w:hAnsi="新宋体" w:eastAsia="新宋体"/>
          <w:sz w:val="32"/>
          <w:szCs w:val="32"/>
          <w:lang w:eastAsia="zh-CN"/>
        </w:rPr>
        <w:t>本单位为今年新增纳入预算管理单位，支出预算无上年增减变化情况。</w:t>
      </w:r>
    </w:p>
    <w:p>
      <w:pPr>
        <w:widowControl/>
        <w:spacing w:line="600" w:lineRule="exact"/>
        <w:ind w:firstLine="660"/>
        <w:jc w:val="left"/>
        <w:rPr>
          <w:rFonts w:ascii="新宋体" w:hAnsi="新宋体" w:eastAsia="新宋体"/>
          <w:b/>
          <w:sz w:val="32"/>
          <w:szCs w:val="32"/>
        </w:rPr>
      </w:pPr>
      <w:r>
        <w:rPr>
          <w:rFonts w:hint="eastAsia" w:ascii="新宋体" w:hAnsi="新宋体" w:eastAsia="新宋体"/>
          <w:b/>
          <w:sz w:val="32"/>
          <w:szCs w:val="32"/>
        </w:rPr>
        <w:t>三、一般公共预算拨款支出</w:t>
      </w:r>
    </w:p>
    <w:p>
      <w:pPr>
        <w:widowControl/>
        <w:spacing w:line="600" w:lineRule="exact"/>
        <w:ind w:firstLine="627" w:firstLineChars="196"/>
        <w:jc w:val="left"/>
        <w:rPr>
          <w:rFonts w:ascii="新宋体" w:hAnsi="新宋体" w:eastAsia="新宋体"/>
          <w:b/>
          <w:sz w:val="32"/>
          <w:szCs w:val="32"/>
        </w:rPr>
      </w:pPr>
      <w:r>
        <w:rPr>
          <w:rFonts w:hint="eastAsia" w:ascii="新宋体" w:hAnsi="新宋体" w:eastAsia="新宋体"/>
          <w:sz w:val="32"/>
          <w:szCs w:val="32"/>
        </w:rPr>
        <w:t>2022年本单位一般公共预算拨款支出预算 200万元，其中，社会保障和就业支出13万元，占6.5%；住房保障支出16万元，占8%；粮油物资储备支出171万元，占85.5%。</w:t>
      </w:r>
    </w:p>
    <w:p>
      <w:pPr>
        <w:widowControl/>
        <w:spacing w:line="600" w:lineRule="exact"/>
        <w:jc w:val="left"/>
        <w:rPr>
          <w:rFonts w:ascii="新宋体" w:hAnsi="新宋体" w:eastAsia="新宋体"/>
          <w:sz w:val="32"/>
          <w:szCs w:val="32"/>
        </w:rPr>
      </w:pPr>
      <w:r>
        <w:rPr>
          <w:rFonts w:hint="eastAsia" w:ascii="新宋体" w:hAnsi="新宋体" w:eastAsia="新宋体"/>
          <w:sz w:val="32"/>
          <w:szCs w:val="32"/>
        </w:rPr>
        <w:t>具体安排情况如下：</w:t>
      </w:r>
    </w:p>
    <w:p>
      <w:pPr>
        <w:widowControl/>
        <w:spacing w:line="600" w:lineRule="exact"/>
        <w:ind w:firstLine="660"/>
        <w:jc w:val="left"/>
        <w:rPr>
          <w:rFonts w:ascii="新宋体" w:hAnsi="新宋体" w:eastAsia="新宋体"/>
          <w:sz w:val="32"/>
          <w:szCs w:val="32"/>
        </w:rPr>
      </w:pPr>
      <w:r>
        <w:rPr>
          <w:rFonts w:hint="eastAsia" w:ascii="新宋体" w:hAnsi="新宋体" w:eastAsia="新宋体"/>
          <w:b/>
          <w:sz w:val="32"/>
          <w:szCs w:val="32"/>
        </w:rPr>
        <w:t>（一）基本支出：</w:t>
      </w:r>
      <w:r>
        <w:rPr>
          <w:rFonts w:hint="eastAsia" w:ascii="新宋体" w:hAnsi="新宋体" w:eastAsia="新宋体"/>
          <w:sz w:val="32"/>
          <w:szCs w:val="32"/>
        </w:rPr>
        <w:t>2022年本单位基本支出预算数 200万元，主要是为保障单位机构正常运转、完成日常工作任务而发生的各项支出，包括用于基本工资、津贴补贴等人员经费以及办公费、印刷费、水电费、办公设备购置等公用经费。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ascii="新宋体" w:hAnsi="新宋体" w:eastAsia="新宋体"/>
          <w:sz w:val="32"/>
          <w:szCs w:val="32"/>
        </w:rPr>
      </w:pPr>
      <w:r>
        <w:rPr>
          <w:rFonts w:hint="eastAsia" w:ascii="新宋体" w:hAnsi="新宋体" w:eastAsia="新宋体"/>
          <w:b/>
          <w:sz w:val="32"/>
          <w:szCs w:val="32"/>
        </w:rPr>
        <w:t>（二）项目支出。2022年</w:t>
      </w:r>
      <w:r>
        <w:rPr>
          <w:rFonts w:hint="eastAsia" w:ascii="新宋体" w:hAnsi="新宋体" w:eastAsia="新宋体"/>
          <w:sz w:val="32"/>
          <w:szCs w:val="32"/>
        </w:rPr>
        <w:t>本单位无项目支出预算 。</w:t>
      </w:r>
    </w:p>
    <w:p>
      <w:pPr>
        <w:widowControl/>
        <w:spacing w:line="600" w:lineRule="exact"/>
        <w:ind w:firstLine="660"/>
        <w:jc w:val="left"/>
        <w:rPr>
          <w:rFonts w:ascii="新宋体" w:hAnsi="新宋体" w:eastAsia="新宋体"/>
          <w:b/>
          <w:sz w:val="32"/>
          <w:szCs w:val="32"/>
        </w:rPr>
      </w:pPr>
      <w:r>
        <w:rPr>
          <w:rFonts w:hint="eastAsia" w:ascii="新宋体" w:hAnsi="新宋体" w:eastAsia="新宋体"/>
          <w:b/>
          <w:sz w:val="32"/>
          <w:szCs w:val="32"/>
        </w:rPr>
        <w:t>四、政府性基金预算支出</w:t>
      </w:r>
    </w:p>
    <w:p>
      <w:pPr>
        <w:widowControl/>
        <w:spacing w:line="600" w:lineRule="exact"/>
        <w:ind w:firstLine="660"/>
        <w:jc w:val="left"/>
        <w:rPr>
          <w:rFonts w:ascii="新宋体" w:hAnsi="新宋体" w:eastAsia="新宋体"/>
          <w:sz w:val="32"/>
          <w:szCs w:val="32"/>
        </w:rPr>
      </w:pPr>
      <w:r>
        <w:rPr>
          <w:rFonts w:hint="eastAsia" w:ascii="新宋体" w:hAnsi="新宋体" w:eastAsia="新宋体"/>
          <w:sz w:val="32"/>
          <w:szCs w:val="32"/>
        </w:rPr>
        <w:t>2022年本单位无政府性基金安排的支出</w:t>
      </w:r>
    </w:p>
    <w:p>
      <w:pPr>
        <w:widowControl/>
        <w:spacing w:line="600" w:lineRule="exact"/>
        <w:ind w:firstLine="660"/>
        <w:jc w:val="left"/>
        <w:rPr>
          <w:rFonts w:ascii="新宋体" w:hAnsi="新宋体" w:eastAsia="新宋体"/>
          <w:b/>
          <w:sz w:val="32"/>
          <w:szCs w:val="32"/>
        </w:rPr>
      </w:pPr>
      <w:r>
        <w:rPr>
          <w:rFonts w:hint="eastAsia" w:ascii="新宋体" w:hAnsi="新宋体" w:eastAsia="新宋体"/>
          <w:b/>
          <w:sz w:val="32"/>
          <w:szCs w:val="32"/>
        </w:rPr>
        <w:t>五、其他重要事项的情况说明</w:t>
      </w:r>
    </w:p>
    <w:p>
      <w:pPr>
        <w:widowControl/>
        <w:spacing w:line="600" w:lineRule="exact"/>
        <w:ind w:firstLine="660"/>
        <w:jc w:val="left"/>
        <w:rPr>
          <w:rFonts w:ascii="新宋体" w:hAnsi="新宋体" w:eastAsia="新宋体"/>
          <w:sz w:val="32"/>
          <w:szCs w:val="32"/>
        </w:rPr>
      </w:pPr>
      <w:r>
        <w:rPr>
          <w:rFonts w:hint="eastAsia" w:ascii="新宋体" w:hAnsi="新宋体" w:eastAsia="新宋体"/>
          <w:b/>
          <w:sz w:val="32"/>
          <w:szCs w:val="32"/>
        </w:rPr>
        <w:t>（一）机关运行经费：</w:t>
      </w:r>
      <w:r>
        <w:rPr>
          <w:rFonts w:hint="eastAsia" w:ascii="新宋体" w:hAnsi="新宋体" w:eastAsia="新宋体"/>
          <w:sz w:val="32"/>
          <w:szCs w:val="32"/>
        </w:rPr>
        <w:t>2022年本单位机关运行经费51万元。</w:t>
      </w:r>
    </w:p>
    <w:p>
      <w:pPr>
        <w:widowControl/>
        <w:spacing w:line="600" w:lineRule="exact"/>
        <w:ind w:firstLine="660"/>
        <w:rPr>
          <w:rFonts w:hint="eastAsia" w:ascii="新宋体" w:hAnsi="新宋体" w:eastAsia="新宋体"/>
          <w:sz w:val="32"/>
          <w:szCs w:val="32"/>
        </w:rPr>
      </w:pPr>
      <w:r>
        <w:rPr>
          <w:rFonts w:hint="eastAsia" w:ascii="新宋体" w:hAnsi="新宋体" w:eastAsia="新宋体"/>
          <w:b/>
          <w:sz w:val="32"/>
          <w:szCs w:val="32"/>
        </w:rPr>
        <w:t>（二）“三公”经费预算：</w:t>
      </w:r>
      <w:r>
        <w:rPr>
          <w:rFonts w:hint="eastAsia" w:ascii="新宋体" w:hAnsi="新宋体" w:eastAsia="新宋体"/>
          <w:sz w:val="32"/>
          <w:szCs w:val="32"/>
        </w:rPr>
        <w:t>2022年本单位 “三公”经费预算数为1.5万元，其中，公务接待费 1.5万元</w:t>
      </w:r>
      <w:r>
        <w:rPr>
          <w:rFonts w:ascii="宋体" w:hAnsi="宋体"/>
          <w:sz w:val="32"/>
          <w:szCs w:val="32"/>
        </w:rPr>
        <w:t>公务用车购置及运行费</w:t>
      </w:r>
      <w:r>
        <w:rPr>
          <w:rFonts w:hint="eastAsia" w:asciiTheme="minorEastAsia" w:hAnsiTheme="minorEastAsia" w:eastAsiaTheme="minorEastAsia"/>
          <w:sz w:val="32"/>
          <w:szCs w:val="32"/>
          <w:u w:val="single"/>
        </w:rPr>
        <w:t>0</w:t>
      </w:r>
      <w:r>
        <w:rPr>
          <w:rFonts w:ascii="宋体" w:hAnsi="宋体"/>
          <w:sz w:val="32"/>
          <w:szCs w:val="32"/>
        </w:rPr>
        <w:t>万元（其中，公务用车购置费</w:t>
      </w:r>
      <w:r>
        <w:rPr>
          <w:rFonts w:hint="eastAsia" w:asciiTheme="minorEastAsia" w:hAnsiTheme="minorEastAsia" w:eastAsiaTheme="minorEastAsia"/>
          <w:sz w:val="32"/>
          <w:szCs w:val="32"/>
        </w:rPr>
        <w:t>0</w:t>
      </w:r>
      <w:r>
        <w:rPr>
          <w:rFonts w:ascii="宋体" w:hAnsi="宋体"/>
          <w:sz w:val="32"/>
          <w:szCs w:val="32"/>
        </w:rPr>
        <w:t xml:space="preserve"> 万元，公务用车运行费 </w:t>
      </w:r>
      <w:r>
        <w:rPr>
          <w:rFonts w:hint="eastAsia" w:asciiTheme="minorEastAsia" w:hAnsiTheme="minorEastAsia" w:eastAsiaTheme="minorEastAsia"/>
          <w:sz w:val="32"/>
          <w:szCs w:val="32"/>
        </w:rPr>
        <w:t>0</w:t>
      </w:r>
      <w:r>
        <w:rPr>
          <w:rFonts w:ascii="宋体" w:hAnsi="宋体"/>
          <w:sz w:val="32"/>
          <w:szCs w:val="32"/>
        </w:rPr>
        <w:t>万元），因公出国（境）费</w:t>
      </w:r>
      <w:r>
        <w:rPr>
          <w:rFonts w:ascii="宋体" w:hAnsi="宋体"/>
          <w:sz w:val="32"/>
          <w:szCs w:val="32"/>
          <w:u w:val="single"/>
        </w:rPr>
        <w:t xml:space="preserve"> </w:t>
      </w:r>
      <w:r>
        <w:rPr>
          <w:rFonts w:hint="eastAsia" w:asciiTheme="minorEastAsia" w:hAnsiTheme="minorEastAsia" w:eastAsiaTheme="minorEastAsia"/>
          <w:sz w:val="32"/>
          <w:szCs w:val="32"/>
          <w:u w:val="single"/>
        </w:rPr>
        <w:t>0</w:t>
      </w:r>
      <w:r>
        <w:rPr>
          <w:rFonts w:ascii="宋体" w:hAnsi="宋体"/>
          <w:sz w:val="32"/>
          <w:szCs w:val="32"/>
          <w:u w:val="single"/>
        </w:rPr>
        <w:t xml:space="preserve">   </w:t>
      </w:r>
      <w:r>
        <w:rPr>
          <w:rFonts w:ascii="宋体" w:hAnsi="宋体"/>
          <w:sz w:val="32"/>
          <w:szCs w:val="32"/>
        </w:rPr>
        <w:t>万元。</w:t>
      </w:r>
      <w:r>
        <w:rPr>
          <w:rFonts w:hint="eastAsia" w:ascii="新宋体" w:hAnsi="新宋体" w:eastAsia="新宋体"/>
          <w:sz w:val="32"/>
          <w:szCs w:val="32"/>
          <w:lang w:eastAsia="zh-CN"/>
        </w:rPr>
        <w:t>本单位为今年新增纳入预算管理单位，“三公”经费预算无上年增减变化情况。</w:t>
      </w:r>
    </w:p>
    <w:p>
      <w:pPr>
        <w:widowControl/>
        <w:spacing w:line="600" w:lineRule="exact"/>
        <w:ind w:firstLine="660"/>
        <w:rPr>
          <w:rFonts w:ascii="新宋体" w:hAnsi="新宋体" w:eastAsia="新宋体"/>
          <w:kern w:val="0"/>
          <w:sz w:val="32"/>
          <w:szCs w:val="32"/>
        </w:rPr>
      </w:pPr>
      <w:r>
        <w:rPr>
          <w:rFonts w:hint="eastAsia" w:ascii="新宋体" w:hAnsi="新宋体" w:eastAsia="新宋体"/>
          <w:b/>
          <w:sz w:val="32"/>
          <w:szCs w:val="32"/>
        </w:rPr>
        <w:t>（三）一般性支出情况：</w:t>
      </w:r>
      <w:r>
        <w:rPr>
          <w:rFonts w:hint="eastAsia" w:ascii="新宋体" w:hAnsi="新宋体" w:eastAsia="新宋体"/>
          <w:kern w:val="0"/>
          <w:sz w:val="32"/>
          <w:szCs w:val="32"/>
        </w:rPr>
        <w:t>2022年本单位会议费预算</w:t>
      </w:r>
      <w:r>
        <w:rPr>
          <w:rFonts w:hint="eastAsia" w:ascii="新宋体" w:hAnsi="新宋体" w:eastAsia="新宋体"/>
          <w:sz w:val="32"/>
          <w:szCs w:val="32"/>
        </w:rPr>
        <w:t xml:space="preserve"> 5  </w:t>
      </w:r>
      <w:r>
        <w:rPr>
          <w:rFonts w:hint="eastAsia" w:ascii="新宋体" w:hAnsi="新宋体" w:eastAsia="新宋体"/>
          <w:kern w:val="0"/>
          <w:sz w:val="32"/>
          <w:szCs w:val="32"/>
        </w:rPr>
        <w:t>万元，</w:t>
      </w:r>
      <w:r>
        <w:rPr>
          <w:rFonts w:hint="eastAsia" w:ascii="新宋体" w:hAnsi="新宋体" w:eastAsia="新宋体"/>
          <w:b/>
          <w:kern w:val="0"/>
          <w:sz w:val="32"/>
          <w:szCs w:val="32"/>
        </w:rPr>
        <w:t>拟召开全省军粮供应工作会议、南部六省联席会议、统筹合同签订会议，</w:t>
      </w:r>
      <w:r>
        <w:rPr>
          <w:rFonts w:hint="eastAsia" w:ascii="新宋体" w:hAnsi="新宋体" w:eastAsia="新宋体"/>
          <w:kern w:val="0"/>
          <w:sz w:val="32"/>
          <w:szCs w:val="32"/>
        </w:rPr>
        <w:t>人数100人，内容为部署全年军粮供应工作、南部六省军地座谈、统筹招标后签订合同。培训费预算5万元，</w:t>
      </w:r>
      <w:r>
        <w:rPr>
          <w:rFonts w:hint="eastAsia" w:ascii="新宋体" w:hAnsi="新宋体" w:eastAsia="新宋体"/>
          <w:b/>
          <w:kern w:val="0"/>
          <w:sz w:val="32"/>
          <w:szCs w:val="32"/>
        </w:rPr>
        <w:t>拟开展全省军粮供应系统业务、财务、信息系统软件培训，</w:t>
      </w:r>
      <w:r>
        <w:rPr>
          <w:rFonts w:hint="eastAsia" w:ascii="新宋体" w:hAnsi="新宋体" w:eastAsia="新宋体"/>
          <w:kern w:val="0"/>
          <w:sz w:val="32"/>
          <w:szCs w:val="32"/>
        </w:rPr>
        <w:t xml:space="preserve">人数100人，内容为军粮政策、业务、财务、软件等内容培训。 </w:t>
      </w:r>
    </w:p>
    <w:p>
      <w:pPr>
        <w:widowControl/>
        <w:spacing w:line="600" w:lineRule="exact"/>
        <w:ind w:firstLine="660"/>
        <w:rPr>
          <w:rFonts w:ascii="宋体" w:hAnsi="宋体"/>
          <w:sz w:val="32"/>
          <w:szCs w:val="32"/>
        </w:rPr>
      </w:pPr>
      <w:r>
        <w:rPr>
          <w:rFonts w:hint="eastAsia" w:ascii="新宋体" w:hAnsi="新宋体" w:eastAsia="新宋体"/>
          <w:b/>
          <w:sz w:val="32"/>
          <w:szCs w:val="32"/>
        </w:rPr>
        <w:t>（四）政府采购情况：</w:t>
      </w:r>
      <w:r>
        <w:rPr>
          <w:rFonts w:ascii="宋体" w:hAnsi="宋体"/>
          <w:sz w:val="32"/>
          <w:szCs w:val="32"/>
        </w:rPr>
        <w:t>202</w:t>
      </w:r>
      <w:r>
        <w:rPr>
          <w:rFonts w:hint="eastAsia" w:ascii="宋体" w:hAnsi="宋体"/>
          <w:sz w:val="32"/>
          <w:szCs w:val="32"/>
        </w:rPr>
        <w:t>2</w:t>
      </w:r>
      <w:r>
        <w:rPr>
          <w:rFonts w:ascii="宋体" w:hAnsi="宋体"/>
          <w:sz w:val="32"/>
          <w:szCs w:val="32"/>
        </w:rPr>
        <w:t>年本部门政府采购预算总额</w:t>
      </w:r>
      <w:r>
        <w:rPr>
          <w:rFonts w:ascii="宋体" w:hAnsi="宋体"/>
          <w:sz w:val="32"/>
          <w:szCs w:val="32"/>
          <w:u w:val="single"/>
        </w:rPr>
        <w:t xml:space="preserve">   </w:t>
      </w:r>
      <w:r>
        <w:rPr>
          <w:rFonts w:hint="eastAsia" w:asciiTheme="minorEastAsia" w:hAnsiTheme="minorEastAsia" w:eastAsiaTheme="minorEastAsia"/>
          <w:sz w:val="32"/>
          <w:szCs w:val="32"/>
          <w:u w:val="single"/>
        </w:rPr>
        <w:t>0</w:t>
      </w:r>
      <w:r>
        <w:rPr>
          <w:rFonts w:ascii="宋体" w:hAnsi="宋体"/>
          <w:sz w:val="32"/>
          <w:szCs w:val="32"/>
        </w:rPr>
        <w:t>万元，其中，货物类采购预算</w:t>
      </w:r>
      <w:r>
        <w:rPr>
          <w:rFonts w:ascii="宋体" w:hAnsi="宋体"/>
          <w:sz w:val="32"/>
          <w:szCs w:val="32"/>
          <w:u w:val="single"/>
        </w:rPr>
        <w:t xml:space="preserve"> </w:t>
      </w:r>
      <w:r>
        <w:rPr>
          <w:rFonts w:hint="eastAsia" w:asciiTheme="minorEastAsia" w:hAnsiTheme="minorEastAsia" w:eastAsiaTheme="minorEastAsia"/>
          <w:sz w:val="32"/>
          <w:szCs w:val="32"/>
          <w:u w:val="single"/>
        </w:rPr>
        <w:t>0</w:t>
      </w:r>
      <w:r>
        <w:rPr>
          <w:rFonts w:ascii="宋体" w:hAnsi="宋体"/>
          <w:sz w:val="32"/>
          <w:szCs w:val="32"/>
          <w:u w:val="single"/>
        </w:rPr>
        <w:t xml:space="preserve">  </w:t>
      </w:r>
      <w:r>
        <w:rPr>
          <w:rFonts w:ascii="宋体" w:hAnsi="宋体"/>
          <w:sz w:val="32"/>
          <w:szCs w:val="32"/>
        </w:rPr>
        <w:t>万元；工程类采购预算</w:t>
      </w:r>
      <w:r>
        <w:rPr>
          <w:rFonts w:hint="eastAsia" w:asciiTheme="minorEastAsia" w:hAnsiTheme="minorEastAsia" w:eastAsiaTheme="minorEastAsia"/>
          <w:sz w:val="32"/>
          <w:szCs w:val="32"/>
        </w:rPr>
        <w:t>0</w:t>
      </w:r>
      <w:r>
        <w:rPr>
          <w:rFonts w:ascii="宋体" w:hAnsi="宋体"/>
          <w:sz w:val="32"/>
          <w:szCs w:val="32"/>
          <w:u w:val="single"/>
        </w:rPr>
        <w:t xml:space="preserve">   </w:t>
      </w:r>
      <w:r>
        <w:rPr>
          <w:rFonts w:ascii="宋体" w:hAnsi="宋体"/>
          <w:sz w:val="32"/>
          <w:szCs w:val="32"/>
        </w:rPr>
        <w:t>万元；服务类采购预算</w:t>
      </w:r>
      <w:r>
        <w:rPr>
          <w:rFonts w:ascii="宋体" w:hAnsi="宋体"/>
          <w:sz w:val="32"/>
          <w:szCs w:val="32"/>
          <w:u w:val="single"/>
        </w:rPr>
        <w:t xml:space="preserve"> </w:t>
      </w:r>
      <w:r>
        <w:rPr>
          <w:rFonts w:hint="eastAsia" w:asciiTheme="minorEastAsia" w:hAnsiTheme="minorEastAsia" w:eastAsiaTheme="minorEastAsia"/>
          <w:sz w:val="32"/>
          <w:szCs w:val="32"/>
          <w:u w:val="single"/>
        </w:rPr>
        <w:t>0</w:t>
      </w:r>
      <w:r>
        <w:rPr>
          <w:rFonts w:ascii="宋体" w:hAnsi="宋体"/>
          <w:sz w:val="32"/>
          <w:szCs w:val="32"/>
          <w:u w:val="single"/>
        </w:rPr>
        <w:t xml:space="preserve">  </w:t>
      </w:r>
      <w:r>
        <w:rPr>
          <w:rFonts w:ascii="宋体" w:hAnsi="宋体"/>
          <w:sz w:val="32"/>
          <w:szCs w:val="32"/>
        </w:rPr>
        <w:t>万元。</w:t>
      </w:r>
    </w:p>
    <w:p>
      <w:pPr>
        <w:widowControl/>
        <w:spacing w:line="600" w:lineRule="exact"/>
        <w:ind w:firstLine="660"/>
        <w:jc w:val="left"/>
        <w:rPr>
          <w:rFonts w:ascii="宋体" w:hAnsi="宋体"/>
          <w:bCs/>
          <w:kern w:val="0"/>
          <w:sz w:val="32"/>
          <w:szCs w:val="32"/>
        </w:rPr>
      </w:pPr>
      <w:r>
        <w:rPr>
          <w:rFonts w:hint="eastAsia" w:ascii="新宋体" w:hAnsi="新宋体" w:eastAsia="新宋体"/>
          <w:b/>
          <w:sz w:val="32"/>
          <w:szCs w:val="32"/>
        </w:rPr>
        <w:t>（五）国有资产占用使用及新增资产配置情况：</w:t>
      </w:r>
      <w:r>
        <w:rPr>
          <w:rFonts w:ascii="宋体" w:hAnsi="宋体"/>
          <w:sz w:val="32"/>
          <w:szCs w:val="32"/>
        </w:rPr>
        <w:t>截至202</w:t>
      </w:r>
      <w:r>
        <w:rPr>
          <w:rFonts w:hint="eastAsia" w:ascii="宋体" w:hAnsi="宋体"/>
          <w:sz w:val="32"/>
          <w:szCs w:val="32"/>
        </w:rPr>
        <w:t>1</w:t>
      </w:r>
      <w:r>
        <w:rPr>
          <w:rFonts w:ascii="宋体" w:hAnsi="宋体"/>
          <w:sz w:val="32"/>
          <w:szCs w:val="32"/>
        </w:rPr>
        <w:t>年12月底，本部门</w:t>
      </w:r>
      <w:r>
        <w:rPr>
          <w:rFonts w:ascii="宋体" w:hAnsi="宋体"/>
          <w:bCs/>
          <w:kern w:val="0"/>
          <w:sz w:val="32"/>
          <w:szCs w:val="32"/>
        </w:rPr>
        <w:t>共有公务用车</w:t>
      </w:r>
      <w:r>
        <w:rPr>
          <w:rFonts w:hint="eastAsia" w:asciiTheme="minorEastAsia" w:hAnsiTheme="minorEastAsia" w:eastAsiaTheme="minorEastAsia"/>
          <w:bCs/>
          <w:kern w:val="0"/>
          <w:sz w:val="32"/>
          <w:szCs w:val="32"/>
        </w:rPr>
        <w:t>0</w:t>
      </w:r>
      <w:r>
        <w:rPr>
          <w:rFonts w:ascii="宋体" w:hAnsi="宋体"/>
          <w:bCs/>
          <w:kern w:val="0"/>
          <w:sz w:val="32"/>
          <w:szCs w:val="32"/>
          <w:u w:val="single"/>
        </w:rPr>
        <w:t xml:space="preserve"> </w:t>
      </w:r>
      <w:r>
        <w:rPr>
          <w:rFonts w:ascii="宋体" w:hAnsi="宋体"/>
          <w:bCs/>
          <w:kern w:val="0"/>
          <w:sz w:val="32"/>
          <w:szCs w:val="32"/>
        </w:rPr>
        <w:t>辆，其中，机要通信用车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辆，应急保障用车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辆，执法执勤用车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辆，特种专业技术用车</w:t>
      </w:r>
      <w:r>
        <w:rPr>
          <w:rFonts w:hint="eastAsia" w:asciiTheme="minorEastAsia" w:hAnsiTheme="minorEastAsia" w:eastAsiaTheme="minorEastAsia"/>
          <w:bCs/>
          <w:kern w:val="0"/>
          <w:sz w:val="32"/>
          <w:szCs w:val="32"/>
        </w:rPr>
        <w:t>0</w:t>
      </w:r>
      <w:r>
        <w:rPr>
          <w:rFonts w:ascii="宋体" w:hAnsi="宋体"/>
          <w:bCs/>
          <w:kern w:val="0"/>
          <w:sz w:val="32"/>
          <w:szCs w:val="32"/>
          <w:u w:val="single"/>
        </w:rPr>
        <w:t xml:space="preserve">  </w:t>
      </w:r>
      <w:r>
        <w:rPr>
          <w:rFonts w:ascii="宋体" w:hAnsi="宋体"/>
          <w:bCs/>
          <w:kern w:val="0"/>
          <w:sz w:val="32"/>
          <w:szCs w:val="32"/>
        </w:rPr>
        <w:t>辆，其他按照规定配备的公务用车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辆；单位价值50万元以上通用设备</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台，单位价值100万元以上专用设备</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台。202</w:t>
      </w:r>
      <w:r>
        <w:rPr>
          <w:rFonts w:hint="eastAsia" w:ascii="宋体" w:hAnsi="宋体"/>
          <w:bCs/>
          <w:kern w:val="0"/>
          <w:sz w:val="32"/>
          <w:szCs w:val="32"/>
        </w:rPr>
        <w:t>2</w:t>
      </w:r>
      <w:r>
        <w:rPr>
          <w:rFonts w:ascii="宋体" w:hAnsi="宋体"/>
          <w:bCs/>
          <w:kern w:val="0"/>
          <w:sz w:val="32"/>
          <w:szCs w:val="32"/>
        </w:rPr>
        <w:t>年拟新增配置公务用车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辆，其中，机要通信用车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辆，应急保障用车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辆，执法执勤用车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辆，特种专业技术用车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辆，其他按照规定配备的公务用车</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辆；新增配备单位价值50万元以上通用设备</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rPr>
        <w:t>台，单位价值100万元以上专用设备</w:t>
      </w:r>
      <w:r>
        <w:rPr>
          <w:rFonts w:ascii="宋体" w:hAnsi="宋体"/>
          <w:bCs/>
          <w:kern w:val="0"/>
          <w:sz w:val="32"/>
          <w:szCs w:val="32"/>
          <w:u w:val="single"/>
        </w:rPr>
        <w:t xml:space="preserve"> </w:t>
      </w:r>
      <w:r>
        <w:rPr>
          <w:rFonts w:hint="eastAsia" w:asciiTheme="minorEastAsia" w:hAnsiTheme="minorEastAsia" w:eastAsiaTheme="minorEastAsia"/>
          <w:bCs/>
          <w:kern w:val="0"/>
          <w:sz w:val="32"/>
          <w:szCs w:val="32"/>
          <w:u w:val="single"/>
        </w:rPr>
        <w:t>0</w:t>
      </w:r>
      <w:r>
        <w:rPr>
          <w:rFonts w:ascii="宋体" w:hAnsi="宋体"/>
          <w:bCs/>
          <w:kern w:val="0"/>
          <w:sz w:val="32"/>
          <w:szCs w:val="32"/>
          <w:u w:val="single"/>
        </w:rPr>
        <w:t xml:space="preserve">  </w:t>
      </w:r>
      <w:r>
        <w:rPr>
          <w:rFonts w:ascii="宋体" w:hAnsi="宋体"/>
          <w:bCs/>
          <w:kern w:val="0"/>
          <w:sz w:val="32"/>
          <w:szCs w:val="32"/>
        </w:rPr>
        <w:t>台。</w:t>
      </w:r>
    </w:p>
    <w:p>
      <w:pPr>
        <w:widowControl/>
        <w:spacing w:line="600" w:lineRule="exact"/>
        <w:ind w:firstLine="660"/>
        <w:rPr>
          <w:rFonts w:ascii="新宋体" w:hAnsi="新宋体" w:eastAsia="新宋体"/>
          <w:bCs/>
          <w:kern w:val="0"/>
          <w:sz w:val="32"/>
          <w:szCs w:val="32"/>
        </w:rPr>
      </w:pPr>
      <w:r>
        <w:rPr>
          <w:rFonts w:hint="eastAsia" w:ascii="新宋体" w:hAnsi="新宋体" w:eastAsia="新宋体"/>
          <w:b/>
          <w:bCs/>
          <w:kern w:val="0"/>
          <w:sz w:val="32"/>
          <w:szCs w:val="32"/>
        </w:rPr>
        <w:t>（六）预算绩效目标说明：</w:t>
      </w:r>
      <w:r>
        <w:rPr>
          <w:rFonts w:hint="eastAsia" w:ascii="新宋体" w:hAnsi="新宋体" w:eastAsia="新宋体"/>
          <w:bCs/>
          <w:kern w:val="0"/>
          <w:sz w:val="32"/>
          <w:szCs w:val="32"/>
        </w:rPr>
        <w:t>本单位所有支出实行绩效目标管理。纳入2022年部门整体支出绩效目标的金额为</w:t>
      </w:r>
      <w:r>
        <w:rPr>
          <w:rFonts w:hint="eastAsia" w:ascii="新宋体" w:hAnsi="新宋体" w:eastAsia="新宋体"/>
          <w:sz w:val="32"/>
          <w:szCs w:val="32"/>
        </w:rPr>
        <w:t xml:space="preserve"> 200  </w:t>
      </w:r>
      <w:r>
        <w:rPr>
          <w:rFonts w:hint="eastAsia" w:ascii="新宋体" w:hAnsi="新宋体" w:eastAsia="新宋体"/>
          <w:bCs/>
          <w:kern w:val="0"/>
          <w:sz w:val="32"/>
          <w:szCs w:val="32"/>
        </w:rPr>
        <w:t>万元，其中，基本支出</w:t>
      </w:r>
      <w:r>
        <w:rPr>
          <w:rFonts w:hint="eastAsia" w:ascii="新宋体" w:hAnsi="新宋体" w:eastAsia="新宋体"/>
          <w:sz w:val="32"/>
          <w:szCs w:val="32"/>
        </w:rPr>
        <w:t xml:space="preserve"> 200</w:t>
      </w:r>
      <w:r>
        <w:rPr>
          <w:rFonts w:hint="eastAsia" w:ascii="新宋体" w:hAnsi="新宋体" w:eastAsia="新宋体"/>
          <w:bCs/>
          <w:kern w:val="0"/>
          <w:sz w:val="32"/>
          <w:szCs w:val="32"/>
        </w:rPr>
        <w:t>万元具体绩效目标详见报表。</w:t>
      </w:r>
    </w:p>
    <w:p>
      <w:pPr>
        <w:widowControl/>
        <w:spacing w:line="600" w:lineRule="exact"/>
        <w:ind w:firstLine="642" w:firstLineChars="200"/>
        <w:jc w:val="left"/>
        <w:rPr>
          <w:rFonts w:ascii="新宋体" w:hAnsi="新宋体" w:eastAsia="新宋体"/>
          <w:b/>
          <w:bCs/>
          <w:kern w:val="0"/>
          <w:sz w:val="32"/>
          <w:szCs w:val="32"/>
        </w:rPr>
      </w:pP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ascii="宋体" w:hAnsi="宋体" w:eastAsia="宋体"/>
          <w:sz w:val="32"/>
          <w:szCs w:val="32"/>
        </w:rPr>
      </w:pPr>
      <w:r>
        <w:rPr>
          <w:rFonts w:ascii="宋体" w:hAnsi="宋体" w:eastAsia="宋体"/>
          <w:sz w:val="32"/>
          <w:szCs w:val="32"/>
        </w:rPr>
        <w:t>1、机关运行经费：是指各</w:t>
      </w:r>
      <w:r>
        <w:rPr>
          <w:rFonts w:hint="eastAsia" w:ascii="宋体" w:hAnsi="宋体" w:eastAsia="宋体"/>
          <w:sz w:val="32"/>
          <w:szCs w:val="32"/>
        </w:rPr>
        <w:t>单位</w:t>
      </w:r>
      <w:r>
        <w:rPr>
          <w:rFonts w:ascii="宋体" w:hAnsi="宋体" w:eastAsia="宋体"/>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宋体" w:hAnsi="宋体" w:eastAsia="宋体"/>
          <w:sz w:val="32"/>
          <w:szCs w:val="32"/>
        </w:rPr>
      </w:pPr>
      <w:r>
        <w:rPr>
          <w:rFonts w:ascii="宋体" w:hAnsi="宋体" w:eastAsia="宋体"/>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ind w:firstLine="660"/>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p>
    <w:p>
      <w:pPr>
        <w:widowControl/>
        <w:spacing w:line="600" w:lineRule="exact"/>
        <w:rPr>
          <w:rFonts w:ascii="宋体" w:hAnsi="宋体" w:eastAsia="宋体"/>
          <w:sz w:val="32"/>
          <w:szCs w:val="32"/>
        </w:rPr>
      </w:pPr>
      <w:bookmarkStart w:id="0" w:name="_GoBack"/>
      <w:bookmarkEnd w:id="0"/>
    </w:p>
    <w:p>
      <w:pPr>
        <w:widowControl/>
        <w:spacing w:line="600" w:lineRule="exact"/>
        <w:ind w:firstLine="660"/>
        <w:rPr>
          <w:rFonts w:ascii="宋体" w:hAnsi="宋体" w:eastAsia="宋体"/>
          <w:sz w:val="32"/>
          <w:szCs w:val="32"/>
        </w:rPr>
      </w:pPr>
    </w:p>
    <w:p>
      <w:pPr>
        <w:widowControl/>
        <w:spacing w:line="600" w:lineRule="exact"/>
        <w:ind w:firstLine="642" w:firstLineChars="200"/>
        <w:jc w:val="left"/>
        <w:rPr>
          <w:rFonts w:ascii="新宋体" w:hAnsi="新宋体" w:eastAsia="新宋体"/>
          <w:b/>
          <w:bCs/>
          <w:kern w:val="0"/>
          <w:sz w:val="32"/>
          <w:szCs w:val="32"/>
        </w:rPr>
      </w:pPr>
    </w:p>
    <w:p>
      <w:pPr>
        <w:widowControl/>
        <w:spacing w:line="600" w:lineRule="exact"/>
        <w:ind w:firstLine="642" w:firstLineChars="200"/>
        <w:jc w:val="left"/>
        <w:rPr>
          <w:rFonts w:ascii="新宋体" w:hAnsi="新宋体" w:eastAsia="新宋体"/>
          <w:b/>
          <w:bCs/>
          <w:kern w:val="0"/>
          <w:sz w:val="32"/>
          <w:szCs w:val="32"/>
        </w:rPr>
      </w:pPr>
    </w:p>
    <w:p>
      <w:pPr>
        <w:widowControl/>
        <w:spacing w:line="600" w:lineRule="exact"/>
        <w:ind w:firstLine="642" w:firstLineChars="200"/>
        <w:jc w:val="left"/>
        <w:rPr>
          <w:rFonts w:ascii="新宋体" w:hAnsi="新宋体" w:eastAsia="新宋体"/>
          <w:b/>
          <w:bCs/>
          <w:kern w:val="0"/>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widowControl/>
        <w:spacing w:line="600" w:lineRule="exact"/>
        <w:ind w:firstLine="642" w:firstLineChars="200"/>
        <w:jc w:val="left"/>
        <w:rPr>
          <w:rFonts w:ascii="新宋体" w:hAnsi="新宋体" w:eastAsia="新宋体"/>
          <w:b/>
          <w:bCs/>
          <w:kern w:val="0"/>
          <w:sz w:val="32"/>
          <w:szCs w:val="32"/>
        </w:rPr>
      </w:pPr>
    </w:p>
    <w:p>
      <w:pPr>
        <w:rPr>
          <w:rFonts w:ascii="新宋体" w:hAnsi="新宋体" w:eastAsia="新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新宋体">
    <w:altName w:val="方正书宋_GBK"/>
    <w:panose1 w:val="0201060903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3CFF"/>
    <w:rsid w:val="0011085F"/>
    <w:rsid w:val="002768A9"/>
    <w:rsid w:val="00307A85"/>
    <w:rsid w:val="00337685"/>
    <w:rsid w:val="004F5072"/>
    <w:rsid w:val="00520C49"/>
    <w:rsid w:val="005B3BED"/>
    <w:rsid w:val="00670110"/>
    <w:rsid w:val="00695D9B"/>
    <w:rsid w:val="006A1FB0"/>
    <w:rsid w:val="0071694F"/>
    <w:rsid w:val="00793086"/>
    <w:rsid w:val="0086083E"/>
    <w:rsid w:val="00873CFF"/>
    <w:rsid w:val="00957828"/>
    <w:rsid w:val="009878BF"/>
    <w:rsid w:val="009A7FF9"/>
    <w:rsid w:val="009C79C1"/>
    <w:rsid w:val="00A875AB"/>
    <w:rsid w:val="00B253F1"/>
    <w:rsid w:val="00BA44AB"/>
    <w:rsid w:val="00BD63D7"/>
    <w:rsid w:val="00E85D60"/>
    <w:rsid w:val="00F366A8"/>
    <w:rsid w:val="00F76AA9"/>
    <w:rsid w:val="2B040DF3"/>
    <w:rsid w:val="78AB04AB"/>
    <w:rsid w:val="B7C51A17"/>
    <w:rsid w:val="DB6AB3B9"/>
    <w:rsid w:val="FDF32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1"/>
    <w:semiHidden/>
    <w:unhideWhenUsed/>
    <w:qFormat/>
    <w:uiPriority w:val="99"/>
    <w:rPr>
      <w:rFonts w:ascii="宋体"/>
      <w:sz w:val="18"/>
      <w:szCs w:val="18"/>
    </w:rPr>
  </w:style>
  <w:style w:type="paragraph" w:styleId="3">
    <w:name w:val="Balloon Text"/>
    <w:basedOn w:val="1"/>
    <w:link w:val="8"/>
    <w:semiHidden/>
    <w:unhideWhenUsed/>
    <w:qFormat/>
    <w:uiPriority w:val="99"/>
    <w:rPr>
      <w:sz w:val="18"/>
      <w:szCs w:val="18"/>
    </w:r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Char"/>
    <w:basedOn w:val="7"/>
    <w:link w:val="3"/>
    <w:semiHidden/>
    <w:qFormat/>
    <w:uiPriority w:val="99"/>
    <w:rPr>
      <w:kern w:val="2"/>
      <w:sz w:val="18"/>
      <w:szCs w:val="18"/>
    </w:rPr>
  </w:style>
  <w:style w:type="character" w:customStyle="1" w:styleId="9">
    <w:name w:val="页眉 Char"/>
    <w:basedOn w:val="7"/>
    <w:link w:val="5"/>
    <w:semiHidden/>
    <w:qFormat/>
    <w:uiPriority w:val="99"/>
    <w:rPr>
      <w:kern w:val="2"/>
      <w:sz w:val="18"/>
      <w:szCs w:val="18"/>
    </w:rPr>
  </w:style>
  <w:style w:type="character" w:customStyle="1" w:styleId="10">
    <w:name w:val="页脚 Char"/>
    <w:basedOn w:val="7"/>
    <w:link w:val="4"/>
    <w:semiHidden/>
    <w:qFormat/>
    <w:uiPriority w:val="99"/>
    <w:rPr>
      <w:kern w:val="2"/>
      <w:sz w:val="18"/>
      <w:szCs w:val="18"/>
    </w:rPr>
  </w:style>
  <w:style w:type="character" w:customStyle="1" w:styleId="11">
    <w:name w:val="文档结构图 Char"/>
    <w:basedOn w:val="7"/>
    <w:link w:val="2"/>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2425</Words>
  <Characters>2542</Characters>
  <Lines>18</Lines>
  <Paragraphs>5</Paragraphs>
  <TotalTime>1</TotalTime>
  <ScaleCrop>false</ScaleCrop>
  <LinksUpToDate>false</LinksUpToDate>
  <CharactersWithSpaces>2618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2022-02-26T00:50:00Z</dcterms:created>
  <dc:creator>Ghost</dc:creator>
  <cp:lastModifiedBy>xjkp</cp:lastModifiedBy>
  <dcterms:modified xsi:type="dcterms:W3CDTF">2023-10-27T07:40:12Z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