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10.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
        <w:jc w:val="center"/>
        <w:rPr>
          <w:sz w:val="56"/>
          <w:szCs w:val="56"/>
        </w:rPr>
      </w:pPr>
    </w:p>
    <w:p>
      <w:pPr>
        <w:pStyle w:val="12"/>
        <w:jc w:val="center"/>
        <w:rPr>
          <w:sz w:val="56"/>
          <w:szCs w:val="56"/>
        </w:rPr>
      </w:pPr>
    </w:p>
    <w:p>
      <w:pPr>
        <w:pStyle w:val="12"/>
        <w:jc w:val="center"/>
        <w:rPr>
          <w:sz w:val="84"/>
          <w:szCs w:val="84"/>
        </w:rPr>
      </w:pPr>
    </w:p>
    <w:p>
      <w:pPr>
        <w:pStyle w:val="12"/>
        <w:jc w:val="center"/>
        <w:rPr>
          <w:rFonts w:hint="eastAsia" w:ascii="方正小标宋_GBK" w:hAnsi="方正小标宋_GBK" w:eastAsia="方正小标宋_GBK" w:cs="方正小标宋_GBK"/>
          <w:sz w:val="84"/>
          <w:szCs w:val="84"/>
        </w:rPr>
      </w:pPr>
      <w:r>
        <w:rPr>
          <w:rFonts w:hint="eastAsia" w:ascii="方正小标宋_GBK" w:hAnsi="方正小标宋_GBK" w:eastAsia="方正小标宋_GBK" w:cs="方正小标宋_GBK"/>
          <w:sz w:val="84"/>
          <w:szCs w:val="84"/>
        </w:rPr>
        <w:t>202</w:t>
      </w:r>
      <w:r>
        <w:rPr>
          <w:rFonts w:hint="eastAsia" w:ascii="方正小标宋_GBK" w:hAnsi="方正小标宋_GBK" w:eastAsia="方正小标宋_GBK" w:cs="方正小标宋_GBK"/>
          <w:sz w:val="84"/>
          <w:szCs w:val="84"/>
          <w:lang w:val="en-US" w:eastAsia="zh-CN"/>
        </w:rPr>
        <w:t>2</w:t>
      </w:r>
      <w:r>
        <w:rPr>
          <w:rFonts w:hint="eastAsia" w:ascii="方正小标宋_GBK" w:hAnsi="方正小标宋_GBK" w:eastAsia="方正小标宋_GBK" w:cs="方正小标宋_GBK"/>
          <w:sz w:val="84"/>
          <w:szCs w:val="84"/>
        </w:rPr>
        <w:t>年度</w:t>
      </w:r>
    </w:p>
    <w:p>
      <w:pPr>
        <w:pStyle w:val="12"/>
        <w:jc w:val="center"/>
        <w:rPr>
          <w:rFonts w:hint="eastAsia" w:ascii="方正小标宋_GBK" w:hAnsi="方正小标宋_GBK" w:eastAsia="方正小标宋_GBK" w:cs="方正小标宋_GBK"/>
          <w:sz w:val="84"/>
          <w:szCs w:val="84"/>
          <w:lang w:eastAsia="zh-CN"/>
        </w:rPr>
      </w:pPr>
      <w:r>
        <w:rPr>
          <w:rFonts w:hint="eastAsia" w:ascii="方正小标宋_GBK" w:hAnsi="方正小标宋_GBK" w:eastAsia="方正小标宋_GBK" w:cs="方正小标宋_GBK"/>
          <w:sz w:val="84"/>
          <w:szCs w:val="84"/>
          <w:lang w:eastAsia="zh-CN"/>
        </w:rPr>
        <w:t>湖南省畜牧水产事务中心</w:t>
      </w:r>
    </w:p>
    <w:p>
      <w:pPr>
        <w:pStyle w:val="12"/>
        <w:jc w:val="center"/>
        <w:rPr>
          <w:rFonts w:hint="eastAsia" w:ascii="方正小标宋_GBK" w:hAnsi="方正小标宋_GBK" w:eastAsia="方正小标宋_GBK" w:cs="方正小标宋_GBK"/>
          <w:sz w:val="84"/>
          <w:szCs w:val="84"/>
        </w:rPr>
      </w:pPr>
      <w:r>
        <w:rPr>
          <w:rFonts w:hint="eastAsia" w:ascii="方正小标宋_GBK" w:hAnsi="方正小标宋_GBK" w:eastAsia="方正小标宋_GBK" w:cs="方正小标宋_GBK"/>
          <w:sz w:val="84"/>
          <w:szCs w:val="84"/>
        </w:rPr>
        <w:t>部门决算</w:t>
      </w:r>
    </w:p>
    <w:p>
      <w:pPr>
        <w:pStyle w:val="12"/>
        <w:jc w:val="center"/>
        <w:rPr>
          <w:rFonts w:hint="eastAsia" w:ascii="方正小标宋_GBK" w:hAnsi="方正小标宋_GBK" w:eastAsia="方正小标宋_GBK" w:cs="方正小标宋_GBK"/>
          <w:sz w:val="56"/>
          <w:szCs w:val="56"/>
        </w:rPr>
      </w:pPr>
    </w:p>
    <w:p>
      <w:pPr>
        <w:pStyle w:val="12"/>
        <w:jc w:val="center"/>
        <w:rPr>
          <w:sz w:val="56"/>
          <w:szCs w:val="56"/>
        </w:rPr>
      </w:pPr>
    </w:p>
    <w:p>
      <w:pPr>
        <w:pStyle w:val="12"/>
        <w:jc w:val="center"/>
        <w:rPr>
          <w:sz w:val="56"/>
          <w:szCs w:val="56"/>
        </w:rPr>
      </w:pPr>
    </w:p>
    <w:p>
      <w:pPr>
        <w:pStyle w:val="12"/>
        <w:jc w:val="center"/>
        <w:rPr>
          <w:sz w:val="56"/>
          <w:szCs w:val="56"/>
        </w:rPr>
      </w:pPr>
    </w:p>
    <w:p>
      <w:pPr>
        <w:pStyle w:val="12"/>
        <w:jc w:val="center"/>
        <w:rPr>
          <w:sz w:val="56"/>
          <w:szCs w:val="56"/>
        </w:rPr>
      </w:pPr>
    </w:p>
    <w:p>
      <w:pPr>
        <w:pStyle w:val="12"/>
        <w:jc w:val="center"/>
        <w:rPr>
          <w:sz w:val="32"/>
          <w:szCs w:val="32"/>
        </w:rPr>
      </w:pPr>
    </w:p>
    <w:p>
      <w:pPr>
        <w:pStyle w:val="12"/>
        <w:jc w:val="center"/>
        <w:rPr>
          <w:sz w:val="32"/>
          <w:szCs w:val="32"/>
        </w:rPr>
      </w:pPr>
    </w:p>
    <w:p>
      <w:pPr>
        <w:pStyle w:val="12"/>
        <w:jc w:val="center"/>
        <w:rPr>
          <w:sz w:val="32"/>
          <w:szCs w:val="32"/>
        </w:rPr>
      </w:pPr>
    </w:p>
    <w:p>
      <w:pPr>
        <w:pStyle w:val="12"/>
        <w:jc w:val="center"/>
        <w:rPr>
          <w:sz w:val="32"/>
          <w:szCs w:val="32"/>
        </w:rPr>
      </w:pPr>
    </w:p>
    <w:p>
      <w:pPr>
        <w:pStyle w:val="12"/>
        <w:jc w:val="center"/>
        <w:rPr>
          <w:sz w:val="32"/>
          <w:szCs w:val="32"/>
        </w:rPr>
      </w:pPr>
    </w:p>
    <w:p>
      <w:pPr>
        <w:pStyle w:val="12"/>
        <w:spacing w:line="500" w:lineRule="exact"/>
        <w:jc w:val="center"/>
        <w:rPr>
          <w:b/>
          <w:sz w:val="36"/>
          <w:szCs w:val="28"/>
        </w:rPr>
      </w:pPr>
      <w:r>
        <w:rPr>
          <w:rFonts w:hint="eastAsia"/>
          <w:b/>
          <w:sz w:val="36"/>
          <w:szCs w:val="28"/>
        </w:rPr>
        <w:t>目录</w:t>
      </w:r>
    </w:p>
    <w:p>
      <w:pPr>
        <w:pStyle w:val="12"/>
        <w:spacing w:line="500" w:lineRule="exact"/>
        <w:rPr>
          <w:rFonts w:hint="eastAsia" w:ascii="黑体" w:hAnsi="黑体" w:eastAsia="黑体" w:cs="黑体"/>
          <w:b w:val="0"/>
          <w:bCs/>
          <w:sz w:val="28"/>
          <w:szCs w:val="28"/>
        </w:rPr>
      </w:pPr>
      <w:r>
        <w:rPr>
          <w:rFonts w:hint="eastAsia" w:ascii="黑体" w:hAnsi="黑体" w:eastAsia="黑体" w:cs="黑体"/>
          <w:b w:val="0"/>
          <w:bCs/>
          <w:sz w:val="28"/>
          <w:szCs w:val="28"/>
        </w:rPr>
        <w:t>第一部分</w:t>
      </w:r>
      <w:r>
        <w:rPr>
          <w:rFonts w:hint="eastAsia" w:ascii="黑体" w:hAnsi="黑体" w:eastAsia="黑体" w:cs="黑体"/>
          <w:b w:val="0"/>
          <w:bCs/>
          <w:sz w:val="28"/>
          <w:szCs w:val="28"/>
          <w:lang w:val="en-US" w:eastAsia="zh-CN"/>
        </w:rPr>
        <w:t xml:space="preserve"> </w:t>
      </w:r>
      <w:r>
        <w:rPr>
          <w:rFonts w:hint="eastAsia" w:hAnsi="黑体" w:cs="黑体"/>
          <w:b w:val="0"/>
          <w:bCs/>
          <w:sz w:val="28"/>
          <w:szCs w:val="28"/>
          <w:lang w:eastAsia="zh-CN"/>
        </w:rPr>
        <w:t>湖南省畜牧水产事务中心</w:t>
      </w:r>
      <w:r>
        <w:rPr>
          <w:rFonts w:hint="eastAsia" w:ascii="黑体" w:hAnsi="黑体" w:eastAsia="黑体" w:cs="黑体"/>
          <w:b w:val="0"/>
          <w:bCs/>
          <w:sz w:val="28"/>
          <w:szCs w:val="28"/>
        </w:rPr>
        <w:t>概况</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一、部门职责</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二、机构设置</w:t>
      </w:r>
    </w:p>
    <w:p>
      <w:pPr>
        <w:pStyle w:val="12"/>
        <w:spacing w:line="500" w:lineRule="exact"/>
        <w:rPr>
          <w:rFonts w:hint="eastAsia" w:ascii="黑体" w:hAnsi="黑体" w:eastAsia="黑体" w:cs="黑体"/>
          <w:b w:val="0"/>
          <w:bCs/>
          <w:sz w:val="28"/>
          <w:szCs w:val="28"/>
        </w:rPr>
      </w:pPr>
      <w:r>
        <w:rPr>
          <w:rFonts w:hint="eastAsia" w:ascii="黑体" w:hAnsi="黑体" w:eastAsia="黑体" w:cs="黑体"/>
          <w:b w:val="0"/>
          <w:bCs/>
          <w:sz w:val="28"/>
          <w:szCs w:val="28"/>
        </w:rPr>
        <w:t>第二部分</w:t>
      </w:r>
      <w:r>
        <w:rPr>
          <w:rFonts w:hint="eastAsia" w:ascii="黑体" w:hAnsi="黑体" w:eastAsia="黑体" w:cs="黑体"/>
          <w:b w:val="0"/>
          <w:bCs/>
          <w:sz w:val="28"/>
          <w:szCs w:val="28"/>
          <w:lang w:val="en-US" w:eastAsia="zh-CN"/>
        </w:rPr>
        <w:t xml:space="preserve"> </w:t>
      </w:r>
      <w:r>
        <w:rPr>
          <w:rFonts w:hint="eastAsia" w:ascii="黑体" w:hAnsi="黑体" w:eastAsia="黑体" w:cs="黑体"/>
          <w:b w:val="0"/>
          <w:bCs/>
          <w:sz w:val="28"/>
          <w:szCs w:val="28"/>
        </w:rPr>
        <w:t>部门决算表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一、收入支出决算总表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二、收入决算表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三、支出决算表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四、财政拨款收入支出决算总表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五、一般公共预算财政拨款支出决算表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六、一般公共预算财政拨款基本支出决算明细表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七、政府性基金预算财政拨款收入支出决算表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八、国有资本经营预算财政拨款支出决算表</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九、财政拨款“三公”经费支出决算表</w:t>
      </w:r>
    </w:p>
    <w:p>
      <w:pPr>
        <w:pStyle w:val="12"/>
        <w:spacing w:line="500" w:lineRule="exact"/>
        <w:rPr>
          <w:rFonts w:hint="eastAsia" w:ascii="黑体" w:hAnsi="黑体" w:eastAsia="黑体" w:cs="黑体"/>
          <w:b w:val="0"/>
          <w:bCs/>
          <w:sz w:val="28"/>
          <w:szCs w:val="28"/>
        </w:rPr>
      </w:pPr>
      <w:r>
        <w:rPr>
          <w:rFonts w:hint="eastAsia" w:ascii="黑体" w:hAnsi="黑体" w:eastAsia="黑体" w:cs="黑体"/>
          <w:b w:val="0"/>
          <w:bCs/>
          <w:sz w:val="28"/>
          <w:szCs w:val="28"/>
        </w:rPr>
        <w:t>第三部分</w:t>
      </w:r>
      <w:r>
        <w:rPr>
          <w:rFonts w:hint="eastAsia" w:ascii="黑体" w:hAnsi="黑体" w:eastAsia="黑体" w:cs="黑体"/>
          <w:b w:val="0"/>
          <w:bCs/>
          <w:sz w:val="28"/>
          <w:szCs w:val="28"/>
          <w:lang w:val="en-US" w:eastAsia="zh-CN"/>
        </w:rPr>
        <w:t xml:space="preserve"> </w:t>
      </w:r>
      <w:r>
        <w:rPr>
          <w:rFonts w:hint="eastAsia" w:ascii="黑体" w:hAnsi="黑体" w:eastAsia="黑体" w:cs="黑体"/>
          <w:b w:val="0"/>
          <w:bCs/>
          <w:sz w:val="28"/>
          <w:szCs w:val="28"/>
        </w:rPr>
        <w:t>部门决算情况说明</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一、收入支出决算总体情况说明</w:t>
      </w:r>
    </w:p>
    <w:p>
      <w:pPr>
        <w:spacing w:line="500" w:lineRule="exact"/>
        <w:ind w:firstLine="700" w:firstLineChars="250"/>
        <w:jc w:val="lef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二、收入决算情况说明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三、支出决算情况说明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四、财政拨款收入支出决算总体情况说明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五、一般公共预算财政拨款支出决算情况说明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六、一般公共预算财政拨款基本支出决算情况说明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七、一般公共预算财政拨款三公经费支出决算情况说明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八、政府性基金预算收入支出决算情况</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九、关于机关运行经费支出说明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十、一般性支出情况说明</w:t>
      </w:r>
    </w:p>
    <w:p>
      <w:pPr>
        <w:autoSpaceDE w:val="0"/>
        <w:autoSpaceDN w:val="0"/>
        <w:adjustRightInd w:val="0"/>
        <w:spacing w:line="500" w:lineRule="exact"/>
        <w:ind w:firstLine="700" w:firstLineChars="250"/>
        <w:jc w:val="left"/>
        <w:rPr>
          <w:rFonts w:hint="eastAsia" w:ascii="仿宋_GB2312" w:hAnsi="仿宋_GB2312" w:eastAsia="仿宋_GB2312" w:cs="仿宋_GB2312"/>
          <w:color w:val="000000"/>
          <w:kern w:val="0"/>
          <w:sz w:val="28"/>
          <w:szCs w:val="28"/>
        </w:rPr>
      </w:pPr>
      <w:r>
        <w:rPr>
          <w:rFonts w:hint="eastAsia" w:ascii="仿宋_GB2312" w:hAnsi="仿宋_GB2312" w:eastAsia="仿宋_GB2312" w:cs="仿宋_GB2312"/>
          <w:color w:val="000000"/>
          <w:kern w:val="0"/>
          <w:sz w:val="28"/>
          <w:szCs w:val="28"/>
        </w:rPr>
        <w:t>十一、关于政府采购支出说明</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十二、关于国有资产占用情况说明</w:t>
      </w:r>
    </w:p>
    <w:p>
      <w:pPr>
        <w:pStyle w:val="12"/>
        <w:spacing w:line="500" w:lineRule="exact"/>
        <w:ind w:firstLine="700" w:firstLineChars="2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十三、关于预算绩效情况的说明</w:t>
      </w:r>
    </w:p>
    <w:p>
      <w:pPr>
        <w:pStyle w:val="12"/>
        <w:spacing w:line="500" w:lineRule="exact"/>
        <w:rPr>
          <w:rFonts w:hint="eastAsia" w:ascii="黑体" w:hAnsi="黑体" w:eastAsia="黑体" w:cs="黑体"/>
          <w:b w:val="0"/>
          <w:bCs/>
          <w:sz w:val="28"/>
          <w:szCs w:val="28"/>
        </w:rPr>
      </w:pPr>
      <w:r>
        <w:rPr>
          <w:rFonts w:hint="eastAsia" w:ascii="黑体" w:hAnsi="黑体" w:eastAsia="黑体" w:cs="黑体"/>
          <w:b w:val="0"/>
          <w:bCs/>
          <w:sz w:val="28"/>
          <w:szCs w:val="28"/>
        </w:rPr>
        <w:t>第四部分</w:t>
      </w:r>
      <w:r>
        <w:rPr>
          <w:rFonts w:hint="eastAsia" w:ascii="黑体" w:hAnsi="黑体" w:eastAsia="黑体" w:cs="黑体"/>
          <w:b w:val="0"/>
          <w:bCs/>
          <w:sz w:val="28"/>
          <w:szCs w:val="28"/>
          <w:lang w:val="en-US" w:eastAsia="zh-CN"/>
        </w:rPr>
        <w:t xml:space="preserve"> </w:t>
      </w:r>
      <w:r>
        <w:rPr>
          <w:rFonts w:hint="eastAsia" w:ascii="黑体" w:hAnsi="黑体" w:eastAsia="黑体" w:cs="黑体"/>
          <w:b w:val="0"/>
          <w:bCs/>
          <w:sz w:val="28"/>
          <w:szCs w:val="28"/>
        </w:rPr>
        <w:t>名词解释</w:t>
      </w:r>
    </w:p>
    <w:p>
      <w:pPr>
        <w:jc w:val="center"/>
        <w:rPr>
          <w:sz w:val="72"/>
          <w:szCs w:val="72"/>
        </w:rPr>
      </w:pPr>
    </w:p>
    <w:p>
      <w:pPr>
        <w:rPr>
          <w:rFonts w:hint="eastAsia" w:ascii="方正小标宋_GBK" w:hAnsi="方正小标宋_GBK" w:eastAsia="方正小标宋_GBK" w:cs="方正小标宋_GBK"/>
          <w:sz w:val="72"/>
          <w:szCs w:val="72"/>
        </w:rPr>
      </w:pPr>
    </w:p>
    <w:p>
      <w:pPr>
        <w:rPr>
          <w:rFonts w:hint="eastAsia" w:ascii="方正小标宋_GBK" w:hAnsi="方正小标宋_GBK" w:eastAsia="方正小标宋_GBK" w:cs="方正小标宋_GBK"/>
          <w:sz w:val="72"/>
          <w:szCs w:val="72"/>
        </w:rPr>
      </w:pPr>
    </w:p>
    <w:p>
      <w:pPr>
        <w:pStyle w:val="12"/>
        <w:jc w:val="center"/>
        <w:rPr>
          <w:rFonts w:hint="eastAsia" w:ascii="方正小标宋_GBK" w:hAnsi="方正小标宋_GBK" w:eastAsia="方正小标宋_GBK" w:cs="方正小标宋_GBK"/>
          <w:sz w:val="84"/>
          <w:szCs w:val="84"/>
        </w:rPr>
      </w:pPr>
      <w:r>
        <w:rPr>
          <w:rFonts w:hint="eastAsia" w:ascii="方正小标宋_GBK" w:hAnsi="方正小标宋_GBK" w:eastAsia="方正小标宋_GBK" w:cs="方正小标宋_GBK"/>
          <w:sz w:val="84"/>
          <w:szCs w:val="84"/>
        </w:rPr>
        <w:t xml:space="preserve">第一部分 </w:t>
      </w:r>
    </w:p>
    <w:p>
      <w:pPr>
        <w:pStyle w:val="12"/>
        <w:jc w:val="center"/>
        <w:rPr>
          <w:rFonts w:hint="eastAsia" w:ascii="方正小标宋_GBK" w:hAnsi="方正小标宋_GBK" w:eastAsia="方正小标宋_GBK" w:cs="方正小标宋_GBK"/>
          <w:sz w:val="84"/>
          <w:szCs w:val="84"/>
        </w:rPr>
      </w:pPr>
    </w:p>
    <w:p>
      <w:pPr>
        <w:pStyle w:val="12"/>
        <w:jc w:val="center"/>
        <w:rPr>
          <w:rFonts w:hint="eastAsia" w:ascii="方正小标宋_GBK" w:hAnsi="方正小标宋_GBK" w:eastAsia="方正小标宋_GBK" w:cs="方正小标宋_GBK"/>
          <w:sz w:val="84"/>
          <w:szCs w:val="84"/>
          <w:lang w:eastAsia="zh-CN"/>
        </w:rPr>
      </w:pPr>
      <w:r>
        <w:rPr>
          <w:rFonts w:hint="eastAsia" w:ascii="方正小标宋_GBK" w:hAnsi="方正小标宋_GBK" w:eastAsia="方正小标宋_GBK" w:cs="方正小标宋_GBK"/>
          <w:sz w:val="84"/>
          <w:szCs w:val="84"/>
          <w:lang w:eastAsia="zh-CN"/>
        </w:rPr>
        <w:t>湖南省畜牧水产事务中心</w:t>
      </w:r>
    </w:p>
    <w:p>
      <w:pPr>
        <w:pStyle w:val="12"/>
        <w:jc w:val="center"/>
        <w:rPr>
          <w:rFonts w:hint="eastAsia" w:ascii="方正小标宋_GBK" w:hAnsi="方正小标宋_GBK" w:eastAsia="方正小标宋_GBK" w:cs="方正小标宋_GBK"/>
          <w:sz w:val="84"/>
          <w:szCs w:val="84"/>
        </w:rPr>
      </w:pPr>
      <w:r>
        <w:rPr>
          <w:rFonts w:hint="eastAsia" w:ascii="方正小标宋_GBK" w:hAnsi="方正小标宋_GBK" w:eastAsia="方正小标宋_GBK" w:cs="方正小标宋_GBK"/>
          <w:sz w:val="84"/>
          <w:szCs w:val="84"/>
        </w:rPr>
        <w:t>概况</w:t>
      </w:r>
    </w:p>
    <w:p>
      <w:pPr>
        <w:jc w:val="center"/>
        <w:rPr>
          <w:rFonts w:hint="eastAsia" w:ascii="方正小标宋_GBK" w:hAnsi="方正小标宋_GBK" w:eastAsia="方正小标宋_GBK" w:cs="方正小标宋_GBK"/>
          <w:sz w:val="72"/>
          <w:szCs w:val="72"/>
        </w:rPr>
      </w:pPr>
    </w:p>
    <w:p>
      <w:pPr>
        <w:jc w:val="center"/>
        <w:rPr>
          <w:rFonts w:hint="eastAsia" w:ascii="方正小标宋_GBK" w:hAnsi="方正小标宋_GBK" w:eastAsia="方正小标宋_GBK" w:cs="方正小标宋_GBK"/>
          <w:sz w:val="72"/>
          <w:szCs w:val="72"/>
        </w:rPr>
      </w:pPr>
    </w:p>
    <w:p>
      <w:pPr>
        <w:jc w:val="center"/>
        <w:rPr>
          <w:sz w:val="72"/>
          <w:szCs w:val="72"/>
        </w:rPr>
      </w:pPr>
    </w:p>
    <w:p>
      <w:pPr>
        <w:jc w:val="center"/>
        <w:rPr>
          <w:sz w:val="72"/>
          <w:szCs w:val="72"/>
        </w:rPr>
      </w:pPr>
    </w:p>
    <w:p>
      <w:pPr>
        <w:jc w:val="center"/>
        <w:rPr>
          <w:sz w:val="72"/>
          <w:szCs w:val="72"/>
        </w:rPr>
      </w:pPr>
    </w:p>
    <w:p>
      <w:pPr>
        <w:pStyle w:val="13"/>
        <w:numPr>
          <w:ilvl w:val="0"/>
          <w:numId w:val="1"/>
        </w:numPr>
        <w:ind w:firstLineChars="0"/>
        <w:jc w:val="left"/>
        <w:rPr>
          <w:rFonts w:hint="eastAsia" w:ascii="黑体" w:hAnsi="黑体" w:eastAsia="黑体" w:cs="黑体"/>
          <w:b w:val="0"/>
          <w:bCs w:val="0"/>
          <w:sz w:val="32"/>
          <w:szCs w:val="32"/>
        </w:rPr>
      </w:pPr>
      <w:r>
        <w:rPr>
          <w:rFonts w:hint="eastAsia" w:ascii="黑体" w:hAnsi="黑体" w:eastAsia="黑体" w:cs="黑体"/>
          <w:b w:val="0"/>
          <w:bCs w:val="0"/>
          <w:sz w:val="32"/>
          <w:szCs w:val="32"/>
        </w:rPr>
        <w:t>部门职责</w:t>
      </w:r>
    </w:p>
    <w:p>
      <w:pPr>
        <w:widowControl/>
        <w:spacing w:line="600" w:lineRule="exact"/>
        <w:ind w:firstLine="640" w:firstLineChars="200"/>
        <w:rPr>
          <w:rFonts w:hint="eastAsia" w:ascii="Times New Roman" w:hAnsi="Times New Roman" w:eastAsia="仿宋_GB2312" w:cs="仿宋_GB2312"/>
          <w:sz w:val="32"/>
          <w:szCs w:val="32"/>
        </w:rPr>
      </w:pPr>
      <w:r>
        <w:rPr>
          <w:rFonts w:hint="eastAsia" w:ascii="Times New Roman" w:hAnsi="Times New Roman" w:eastAsia="仿宋_GB2312" w:cs="仿宋_GB2312"/>
          <w:sz w:val="32"/>
          <w:szCs w:val="32"/>
        </w:rPr>
        <w:t>湖南省畜牧水产事务中心是湖南省农业农村厅管理的副厅级公益一类事业单位，统一社会信用代码：124300004448787034。主要承担畜牧业、渔业地方标准体系建设相关事务性工作；畜禽水产品质量安全风险评估工作；畜牧业、渔业生产、市场信息监测和统计分析工作；动物疫病（包括人畜共患病）防控、动物和动物产品检疫及动物血防相关事务性工作；为全省畜禽屠宰行业管理提供服务保障，对市县畜牧水产事务中心进行业务指导；承担省农业农村厅交办的其他工作。</w:t>
      </w:r>
    </w:p>
    <w:p>
      <w:pPr>
        <w:widowControl/>
        <w:spacing w:line="600" w:lineRule="exact"/>
        <w:rPr>
          <w:rFonts w:hint="eastAsia" w:ascii="黑体" w:hAnsi="黑体" w:eastAsia="黑体" w:cs="黑体"/>
          <w:b w:val="0"/>
          <w:bCs/>
          <w:kern w:val="0"/>
          <w:sz w:val="32"/>
          <w:szCs w:val="32"/>
        </w:rPr>
      </w:pPr>
      <w:r>
        <w:rPr>
          <w:rFonts w:hint="eastAsia" w:ascii="黑体" w:hAnsi="黑体" w:eastAsia="黑体" w:cs="黑体"/>
          <w:b w:val="0"/>
          <w:bCs/>
          <w:kern w:val="0"/>
          <w:sz w:val="32"/>
          <w:szCs w:val="32"/>
        </w:rPr>
        <w:t>二、机构设置及决算单位构成</w:t>
      </w:r>
    </w:p>
    <w:p>
      <w:pPr>
        <w:widowControl/>
        <w:spacing w:line="600" w:lineRule="exact"/>
        <w:ind w:firstLine="640" w:firstLineChars="200"/>
        <w:rPr>
          <w:rFonts w:hint="eastAsia" w:ascii="Times New Roman" w:hAnsi="Times New Roman" w:eastAsia="仿宋_GB2312" w:cs="仿宋_GB2312"/>
          <w:bCs/>
          <w:kern w:val="0"/>
          <w:sz w:val="32"/>
          <w:szCs w:val="32"/>
        </w:rPr>
      </w:pPr>
      <w:r>
        <w:rPr>
          <w:rFonts w:hint="eastAsia" w:ascii="Times New Roman" w:hAnsi="Times New Roman" w:eastAsia="仿宋_GB2312" w:cs="仿宋_GB2312"/>
          <w:bCs/>
          <w:kern w:val="0"/>
          <w:sz w:val="32"/>
          <w:szCs w:val="32"/>
        </w:rPr>
        <w:t>（一）内设机构设置。湖南省畜牧水产事务中心内设机构包括：综合部、财务部、科技推广部、质量安全与兽药部、畜牧业发展部、渔业发展部（省水生动物防疫检疫站）、兽医与屠宰行业事务部、动物检疫部（省动物血防工作站）等八个部门。</w:t>
      </w:r>
    </w:p>
    <w:p>
      <w:pPr>
        <w:widowControl/>
        <w:spacing w:line="600" w:lineRule="exact"/>
        <w:ind w:firstLine="640" w:firstLineChars="200"/>
        <w:rPr>
          <w:rFonts w:hint="eastAsia" w:ascii="Times New Roman" w:hAnsi="Times New Roman" w:eastAsia="仿宋_GB2312" w:cs="仿宋_GB2312"/>
          <w:bCs/>
          <w:kern w:val="0"/>
          <w:sz w:val="32"/>
          <w:szCs w:val="32"/>
          <w:lang w:eastAsia="zh-CN"/>
        </w:rPr>
      </w:pPr>
      <w:r>
        <w:rPr>
          <w:rFonts w:hint="eastAsia" w:ascii="Times New Roman" w:hAnsi="Times New Roman" w:eastAsia="仿宋_GB2312" w:cs="仿宋_GB2312"/>
          <w:bCs/>
          <w:kern w:val="0"/>
          <w:sz w:val="32"/>
          <w:szCs w:val="32"/>
        </w:rPr>
        <w:t>（二）决算单位构成。湖南省畜牧水产事务中心202</w:t>
      </w:r>
      <w:r>
        <w:rPr>
          <w:rFonts w:hint="eastAsia" w:ascii="Times New Roman" w:hAnsi="Times New Roman" w:eastAsia="仿宋_GB2312" w:cs="仿宋_GB2312"/>
          <w:bCs/>
          <w:kern w:val="0"/>
          <w:sz w:val="32"/>
          <w:szCs w:val="32"/>
          <w:lang w:val="en-US" w:eastAsia="zh-CN"/>
        </w:rPr>
        <w:t>2</w:t>
      </w:r>
      <w:r>
        <w:rPr>
          <w:rFonts w:hint="eastAsia" w:ascii="Times New Roman" w:hAnsi="Times New Roman" w:eastAsia="仿宋_GB2312" w:cs="仿宋_GB2312"/>
          <w:bCs/>
          <w:kern w:val="0"/>
          <w:sz w:val="32"/>
          <w:szCs w:val="32"/>
        </w:rPr>
        <w:t>年部门决算汇总公开单位构成包括：湖南省畜牧水产事务中心本级</w:t>
      </w:r>
      <w:r>
        <w:rPr>
          <w:rFonts w:hint="eastAsia" w:ascii="Times New Roman" w:hAnsi="Times New Roman" w:eastAsia="仿宋_GB2312" w:cs="仿宋_GB2312"/>
          <w:bCs/>
          <w:kern w:val="0"/>
          <w:sz w:val="32"/>
          <w:szCs w:val="32"/>
          <w:lang w:eastAsia="zh-CN"/>
        </w:rPr>
        <w:t>。</w:t>
      </w:r>
    </w:p>
    <w:p>
      <w:pPr>
        <w:jc w:val="left"/>
        <w:rPr>
          <w:rFonts w:ascii="仿宋_GB2312" w:eastAsia="仿宋_GB2312" w:hAnsiTheme="minorEastAsia"/>
          <w:sz w:val="28"/>
          <w:szCs w:val="32"/>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rFonts w:ascii="黑体" w:hAnsi="黑体" w:eastAsia="黑体"/>
          <w:sz w:val="28"/>
          <w:szCs w:val="28"/>
        </w:rPr>
      </w:pPr>
    </w:p>
    <w:p>
      <w:pPr>
        <w:jc w:val="center"/>
        <w:rPr>
          <w:sz w:val="72"/>
          <w:szCs w:val="72"/>
        </w:rPr>
      </w:pPr>
    </w:p>
    <w:p>
      <w:pPr>
        <w:jc w:val="center"/>
        <w:rPr>
          <w:sz w:val="72"/>
          <w:szCs w:val="72"/>
        </w:rPr>
      </w:pPr>
    </w:p>
    <w:p>
      <w:pPr>
        <w:pStyle w:val="12"/>
        <w:jc w:val="center"/>
        <w:rPr>
          <w:rFonts w:hint="eastAsia" w:ascii="方正小标宋_GBK" w:hAnsi="方正小标宋_GBK" w:eastAsia="方正小标宋_GBK" w:cs="方正小标宋_GBK"/>
          <w:sz w:val="84"/>
          <w:szCs w:val="84"/>
        </w:rPr>
      </w:pPr>
      <w:r>
        <w:rPr>
          <w:rFonts w:hint="eastAsia" w:ascii="方正小标宋_GBK" w:hAnsi="方正小标宋_GBK" w:eastAsia="方正小标宋_GBK" w:cs="方正小标宋_GBK"/>
          <w:sz w:val="84"/>
          <w:szCs w:val="84"/>
        </w:rPr>
        <w:t>第二部分</w:t>
      </w:r>
    </w:p>
    <w:p>
      <w:pPr>
        <w:pStyle w:val="12"/>
        <w:jc w:val="center"/>
        <w:rPr>
          <w:rFonts w:hint="eastAsia" w:ascii="方正小标宋_GBK" w:hAnsi="方正小标宋_GBK" w:eastAsia="方正小标宋_GBK" w:cs="方正小标宋_GBK"/>
          <w:sz w:val="84"/>
          <w:szCs w:val="84"/>
        </w:rPr>
      </w:pPr>
    </w:p>
    <w:p>
      <w:pPr>
        <w:pStyle w:val="12"/>
        <w:jc w:val="center"/>
        <w:rPr>
          <w:sz w:val="72"/>
          <w:szCs w:val="72"/>
        </w:rPr>
      </w:pPr>
      <w:r>
        <w:rPr>
          <w:rFonts w:hint="eastAsia" w:ascii="方正小标宋_GBK" w:hAnsi="方正小标宋_GBK" w:eastAsia="方正小标宋_GBK" w:cs="方正小标宋_GBK"/>
          <w:sz w:val="84"/>
          <w:szCs w:val="84"/>
        </w:rPr>
        <w:t>部门决算表</w:t>
      </w:r>
    </w:p>
    <w:p>
      <w:pPr>
        <w:jc w:val="center"/>
        <w:rPr>
          <w:sz w:val="72"/>
          <w:szCs w:val="72"/>
        </w:rPr>
      </w:pPr>
    </w:p>
    <w:p>
      <w:pPr>
        <w:jc w:val="center"/>
        <w:rPr>
          <w:sz w:val="72"/>
          <w:szCs w:val="72"/>
        </w:rPr>
      </w:pPr>
    </w:p>
    <w:p>
      <w:pPr>
        <w:jc w:val="center"/>
        <w:rPr>
          <w:sz w:val="72"/>
          <w:szCs w:val="72"/>
        </w:rPr>
      </w:pPr>
    </w:p>
    <w:p>
      <w:pPr>
        <w:jc w:val="center"/>
        <w:rPr>
          <w:sz w:val="72"/>
          <w:szCs w:val="72"/>
        </w:rPr>
      </w:pPr>
    </w:p>
    <w:p>
      <w:pPr>
        <w:jc w:val="center"/>
        <w:rPr>
          <w:sz w:val="72"/>
          <w:szCs w:val="72"/>
        </w:rPr>
      </w:pPr>
    </w:p>
    <w:p>
      <w:pPr>
        <w:jc w:val="left"/>
        <w:rPr>
          <w:sz w:val="32"/>
          <w:szCs w:val="32"/>
        </w:rPr>
      </w:pPr>
    </w:p>
    <w:p>
      <w:pPr>
        <w:jc w:val="left"/>
        <w:rPr>
          <w:rFonts w:asciiTheme="minorEastAsia" w:hAnsiTheme="minorEastAsia"/>
          <w:sz w:val="32"/>
          <w:szCs w:val="32"/>
        </w:rPr>
        <w:sectPr>
          <w:pgSz w:w="11906" w:h="16838"/>
          <w:pgMar w:top="720" w:right="720" w:bottom="720" w:left="720" w:header="851" w:footer="992" w:gutter="0"/>
          <w:cols w:space="425" w:num="1"/>
          <w:docGrid w:type="lines" w:linePitch="312" w:charSpace="0"/>
        </w:sectPr>
      </w:pPr>
    </w:p>
    <w:p>
      <w:pPr>
        <w:widowControl/>
        <w:jc w:val="left"/>
        <w:rPr>
          <w:rFonts w:ascii="Times New Roman" w:hAnsi="Times New Roman" w:eastAsia="黑体" w:cs="Times New Roman"/>
          <w:bCs/>
          <w:kern w:val="0"/>
          <w:sz w:val="32"/>
          <w:szCs w:val="32"/>
        </w:rPr>
      </w:pPr>
      <w:r>
        <w:rPr>
          <w:rFonts w:ascii="Times New Roman" w:hAnsi="Times New Roman" w:eastAsia="黑体" w:cs="Times New Roman"/>
          <w:bCs/>
          <w:kern w:val="0"/>
          <w:sz w:val="32"/>
          <w:szCs w:val="32"/>
        </w:rPr>
        <w:t xml:space="preserve"> </w:t>
      </w:r>
      <w:r>
        <w:drawing>
          <wp:inline distT="0" distB="0" distL="114300" distR="114300">
            <wp:extent cx="9767570" cy="6153150"/>
            <wp:effectExtent l="0" t="0" r="11430" b="635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
                    <a:stretch>
                      <a:fillRect/>
                    </a:stretch>
                  </pic:blipFill>
                  <pic:spPr>
                    <a:xfrm>
                      <a:off x="0" y="0"/>
                      <a:ext cx="9767570" cy="6153150"/>
                    </a:xfrm>
                    <a:prstGeom prst="rect">
                      <a:avLst/>
                    </a:prstGeom>
                    <a:noFill/>
                    <a:ln>
                      <a:noFill/>
                    </a:ln>
                  </pic:spPr>
                </pic:pic>
              </a:graphicData>
            </a:graphic>
          </wp:inline>
        </w:drawing>
      </w:r>
      <w:r>
        <w:br w:type="page"/>
      </w:r>
    </w:p>
    <w:p>
      <w:pPr>
        <w:widowControl/>
        <w:rPr>
          <w:rFonts w:ascii="Times New Roman" w:hAnsi="Times New Roman" w:eastAsia="方正小标宋_GBK" w:cs="Times New Roman"/>
          <w:color w:val="000000"/>
          <w:kern w:val="0"/>
          <w:sz w:val="36"/>
          <w:szCs w:val="36"/>
        </w:rPr>
      </w:pPr>
      <w:r>
        <w:drawing>
          <wp:inline distT="0" distB="0" distL="114300" distR="114300">
            <wp:extent cx="9768205" cy="4712335"/>
            <wp:effectExtent l="0" t="0" r="1079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9768205" cy="4712335"/>
                    </a:xfrm>
                    <a:prstGeom prst="rect">
                      <a:avLst/>
                    </a:prstGeom>
                    <a:noFill/>
                    <a:ln>
                      <a:noFill/>
                    </a:ln>
                  </pic:spPr>
                </pic:pic>
              </a:graphicData>
            </a:graphic>
          </wp:inline>
        </w:drawing>
      </w:r>
    </w:p>
    <w:p>
      <w:pPr>
        <w:widowControl/>
        <w:jc w:val="both"/>
        <w:rPr>
          <w:rFonts w:ascii="Times New Roman" w:hAnsi="Times New Roman" w:eastAsia="方正小标宋_GBK" w:cs="Times New Roman"/>
          <w:color w:val="000000"/>
          <w:kern w:val="0"/>
          <w:sz w:val="36"/>
          <w:szCs w:val="21"/>
        </w:rPr>
      </w:pPr>
      <w:r>
        <w:drawing>
          <wp:inline distT="0" distB="0" distL="114300" distR="114300">
            <wp:extent cx="9150350" cy="4965700"/>
            <wp:effectExtent l="0" t="0" r="635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9150350" cy="4965700"/>
                    </a:xfrm>
                    <a:prstGeom prst="rect">
                      <a:avLst/>
                    </a:prstGeom>
                    <a:noFill/>
                    <a:ln>
                      <a:noFill/>
                    </a:ln>
                  </pic:spPr>
                </pic:pic>
              </a:graphicData>
            </a:graphic>
          </wp:inline>
        </w:drawing>
      </w:r>
      <w:r>
        <w:drawing>
          <wp:inline distT="0" distB="0" distL="114300" distR="114300">
            <wp:extent cx="9266555" cy="6353810"/>
            <wp:effectExtent l="0" t="0" r="10795"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9266555" cy="6353810"/>
                    </a:xfrm>
                    <a:prstGeom prst="rect">
                      <a:avLst/>
                    </a:prstGeom>
                    <a:noFill/>
                    <a:ln>
                      <a:noFill/>
                    </a:ln>
                  </pic:spPr>
                </pic:pic>
              </a:graphicData>
            </a:graphic>
          </wp:inline>
        </w:drawing>
      </w:r>
      <w:r>
        <w:drawing>
          <wp:inline distT="0" distB="0" distL="114300" distR="114300">
            <wp:extent cx="9709150" cy="5137150"/>
            <wp:effectExtent l="0" t="0" r="635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9709150" cy="5137150"/>
                    </a:xfrm>
                    <a:prstGeom prst="rect">
                      <a:avLst/>
                    </a:prstGeom>
                    <a:noFill/>
                    <a:ln>
                      <a:noFill/>
                    </a:ln>
                  </pic:spPr>
                </pic:pic>
              </a:graphicData>
            </a:graphic>
          </wp:inline>
        </w:drawing>
      </w:r>
    </w:p>
    <w:p>
      <w:pPr>
        <w:widowControl/>
        <w:jc w:val="center"/>
        <w:rPr>
          <w:rFonts w:ascii="Times New Roman" w:hAnsi="Times New Roman" w:eastAsia="方正小标宋_GBK" w:cs="Times New Roman"/>
          <w:kern w:val="0"/>
          <w:sz w:val="36"/>
          <w:szCs w:val="36"/>
        </w:rPr>
      </w:pPr>
      <w:bookmarkStart w:id="0" w:name="RANGE!A1:I22"/>
      <w:bookmarkEnd w:id="0"/>
      <w:bookmarkStart w:id="1" w:name="RANGE!A1:F16"/>
    </w:p>
    <w:p>
      <w:pPr>
        <w:widowControl/>
        <w:jc w:val="center"/>
        <w:rPr>
          <w:rFonts w:ascii="Times New Roman" w:hAnsi="Times New Roman" w:eastAsia="方正小标宋_GBK" w:cs="Times New Roman"/>
          <w:kern w:val="0"/>
          <w:sz w:val="36"/>
          <w:szCs w:val="36"/>
        </w:rPr>
      </w:pPr>
      <w:r>
        <w:drawing>
          <wp:inline distT="0" distB="0" distL="114300" distR="114300">
            <wp:extent cx="9776460" cy="5164455"/>
            <wp:effectExtent l="0" t="0" r="2540" b="44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stretch>
                      <a:fillRect/>
                    </a:stretch>
                  </pic:blipFill>
                  <pic:spPr>
                    <a:xfrm>
                      <a:off x="0" y="0"/>
                      <a:ext cx="9776460" cy="5164455"/>
                    </a:xfrm>
                    <a:prstGeom prst="rect">
                      <a:avLst/>
                    </a:prstGeom>
                    <a:noFill/>
                    <a:ln>
                      <a:noFill/>
                    </a:ln>
                  </pic:spPr>
                </pic:pic>
              </a:graphicData>
            </a:graphic>
          </wp:inline>
        </w:drawing>
      </w:r>
    </w:p>
    <w:bookmarkEnd w:id="1"/>
    <w:p>
      <w:pPr>
        <w:widowControl/>
        <w:jc w:val="left"/>
        <w:rPr>
          <w:rFonts w:ascii="Times New Roman" w:hAnsi="Times New Roman" w:eastAsia="仿宋_GB2312" w:cs="Times New Roman"/>
          <w:bCs/>
          <w:kern w:val="0"/>
          <w:szCs w:val="21"/>
        </w:rPr>
      </w:pPr>
    </w:p>
    <w:p>
      <w:pPr>
        <w:widowControl/>
        <w:jc w:val="left"/>
        <w:rPr>
          <w:rFonts w:ascii="Times New Roman" w:hAnsi="Times New Roman" w:eastAsia="仿宋_GB2312" w:cs="Times New Roman"/>
          <w:bCs/>
          <w:kern w:val="0"/>
          <w:szCs w:val="21"/>
        </w:rPr>
      </w:pPr>
      <w:r>
        <w:br w:type="page"/>
      </w:r>
    </w:p>
    <w:tbl>
      <w:tblPr>
        <w:tblStyle w:val="7"/>
        <w:tblW w:w="1536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03"/>
        <w:gridCol w:w="240"/>
        <w:gridCol w:w="1402"/>
        <w:gridCol w:w="2119"/>
        <w:gridCol w:w="2119"/>
        <w:gridCol w:w="2119"/>
        <w:gridCol w:w="2119"/>
        <w:gridCol w:w="2119"/>
        <w:gridCol w:w="21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690" w:hRule="atLeast"/>
        </w:trPr>
        <w:tc>
          <w:tcPr>
            <w:tcW w:w="15360" w:type="dxa"/>
            <w:gridSpan w:val="9"/>
            <w:tcBorders>
              <w:top w:val="nil"/>
              <w:left w:val="nil"/>
              <w:bottom w:val="nil"/>
              <w:right w:val="nil"/>
            </w:tcBorders>
            <w:shd w:val="clear" w:color="auto" w:fill="FFFFFF"/>
            <w:vAlign w:val="center"/>
          </w:tcPr>
          <w:p>
            <w:pPr>
              <w:keepNext w:val="0"/>
              <w:keepLines w:val="0"/>
              <w:widowControl/>
              <w:suppressLineNumbers w:val="0"/>
              <w:jc w:val="center"/>
              <w:textAlignment w:val="center"/>
              <w:rPr>
                <w:rFonts w:hint="eastAsia" w:ascii="华文中宋" w:hAnsi="华文中宋" w:eastAsia="华文中宋" w:cs="华文中宋"/>
                <w:i w:val="0"/>
                <w:color w:val="000000"/>
                <w:kern w:val="0"/>
                <w:sz w:val="32"/>
                <w:szCs w:val="32"/>
                <w:u w:val="none"/>
                <w:lang w:val="en-US" w:eastAsia="zh-CN"/>
              </w:rPr>
            </w:pPr>
          </w:p>
          <w:p>
            <w:pPr>
              <w:keepNext w:val="0"/>
              <w:keepLines w:val="0"/>
              <w:widowControl/>
              <w:suppressLineNumbers w:val="0"/>
              <w:jc w:val="center"/>
              <w:textAlignment w:val="center"/>
              <w:rPr>
                <w:rFonts w:ascii="华文中宋" w:hAnsi="华文中宋" w:eastAsia="华文中宋" w:cs="华文中宋"/>
                <w:i w:val="0"/>
                <w:color w:val="000000"/>
                <w:sz w:val="32"/>
                <w:szCs w:val="32"/>
                <w:u w:val="none"/>
              </w:rPr>
            </w:pPr>
            <w:r>
              <w:rPr>
                <w:rFonts w:hint="eastAsia" w:ascii="华文中宋" w:hAnsi="华文中宋" w:eastAsia="华文中宋" w:cs="华文中宋"/>
                <w:i w:val="0"/>
                <w:color w:val="000000"/>
                <w:kern w:val="0"/>
                <w:sz w:val="32"/>
                <w:szCs w:val="32"/>
                <w:u w:val="none"/>
                <w:lang w:val="en-US" w:eastAsia="zh-CN"/>
              </w:rPr>
              <w:t>政府性基金预算财政拨款收入支出决算表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5" w:hRule="atLeast"/>
        </w:trPr>
        <w:tc>
          <w:tcPr>
            <w:tcW w:w="1003"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240"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1402"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20"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公开07表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90" w:hRule="atLeast"/>
        </w:trPr>
        <w:tc>
          <w:tcPr>
            <w:tcW w:w="4764" w:type="dxa"/>
            <w:gridSpan w:val="4"/>
            <w:tcBorders>
              <w:top w:val="nil"/>
              <w:left w:val="nil"/>
              <w:bottom w:val="nil"/>
              <w:right w:val="nil"/>
            </w:tcBorders>
            <w:shd w:val="clear" w:color="auto" w:fill="FFFFFF"/>
            <w:noWrap/>
            <w:vAlign w:val="center"/>
          </w:tcPr>
          <w:p>
            <w:pP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部门：湖南省畜牧水产事务中心</w:t>
            </w: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19"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2120"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9" w:hRule="atLeast"/>
        </w:trPr>
        <w:tc>
          <w:tcPr>
            <w:tcW w:w="264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 xml:space="preserve">项 </w:t>
            </w:r>
            <w:r>
              <w:rPr>
                <w:rStyle w:val="15"/>
                <w:lang w:val="en-US" w:eastAsia="zh-CN"/>
              </w:rPr>
              <w:t xml:space="preserve">   </w:t>
            </w:r>
            <w:r>
              <w:rPr>
                <w:rStyle w:val="16"/>
                <w:lang w:val="en-US" w:eastAsia="zh-CN"/>
              </w:rPr>
              <w:t>目</w:t>
            </w:r>
          </w:p>
        </w:tc>
        <w:tc>
          <w:tcPr>
            <w:tcW w:w="2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年初结转和结余</w:t>
            </w:r>
          </w:p>
        </w:tc>
        <w:tc>
          <w:tcPr>
            <w:tcW w:w="2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本年收入</w:t>
            </w:r>
          </w:p>
        </w:tc>
        <w:tc>
          <w:tcPr>
            <w:tcW w:w="63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本年支出</w:t>
            </w:r>
          </w:p>
        </w:tc>
        <w:tc>
          <w:tcPr>
            <w:tcW w:w="21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年末结转和结余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609" w:hRule="atLeast"/>
        </w:trPr>
        <w:tc>
          <w:tcPr>
            <w:tcW w:w="1243"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科目代码</w:t>
            </w:r>
          </w:p>
        </w:tc>
        <w:tc>
          <w:tcPr>
            <w:tcW w:w="14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科目名称</w:t>
            </w: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小计</w:t>
            </w:r>
          </w:p>
        </w:tc>
        <w:tc>
          <w:tcPr>
            <w:tcW w:w="2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 xml:space="preserve">基本支出  </w:t>
            </w:r>
          </w:p>
        </w:tc>
        <w:tc>
          <w:tcPr>
            <w:tcW w:w="2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项目支出</w:t>
            </w:r>
          </w:p>
        </w:tc>
        <w:tc>
          <w:tcPr>
            <w:tcW w:w="21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9" w:hRule="atLeast"/>
        </w:trPr>
        <w:tc>
          <w:tcPr>
            <w:tcW w:w="1243"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1243"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264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栏次</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1</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2</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3</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4</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5</w:t>
            </w: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264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合计</w:t>
            </w: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0"/>
                <w:szCs w:val="20"/>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0"/>
                <w:szCs w:val="20"/>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9" w:hRule="atLeast"/>
        </w:trPr>
        <w:tc>
          <w:tcPr>
            <w:tcW w:w="12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1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21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725" w:hRule="atLeast"/>
        </w:trPr>
        <w:tc>
          <w:tcPr>
            <w:tcW w:w="15360" w:type="dxa"/>
            <w:gridSpan w:val="9"/>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r>
              <w:rPr>
                <w:rFonts w:hint="eastAsia" w:ascii="宋体" w:hAnsi="宋体" w:eastAsia="宋体" w:cs="宋体"/>
                <w:i w:val="0"/>
                <w:color w:val="000000"/>
                <w:kern w:val="0"/>
                <w:sz w:val="24"/>
                <w:szCs w:val="24"/>
                <w:u w:val="none"/>
                <w:lang w:val="en-US" w:eastAsia="zh-CN"/>
              </w:rPr>
              <w:t>注：本表反映部门本年度政府性基金预算财政拨款收入、支出及结转和结余情况。</w:t>
            </w:r>
          </w:p>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p>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r>
              <w:rPr>
                <w:rFonts w:hint="eastAsia" w:ascii="楷体" w:hAnsi="楷体" w:eastAsia="楷体" w:cs="楷体"/>
                <w:b/>
                <w:bCs/>
                <w:i w:val="0"/>
                <w:color w:val="auto"/>
                <w:kern w:val="0"/>
                <w:sz w:val="24"/>
                <w:szCs w:val="24"/>
                <w:u w:val="none"/>
                <w:lang w:val="en-US" w:eastAsia="zh-CN"/>
              </w:rPr>
              <w:t>说明：我单位没有政府性基金收入，也没有使用政府性基金安排的支出，故本表无数据。</w:t>
            </w:r>
          </w:p>
        </w:tc>
      </w:tr>
    </w:tbl>
    <w:p>
      <w:pPr>
        <w:widowControl/>
        <w:jc w:val="center"/>
        <w:rPr>
          <w:rFonts w:hint="eastAsia" w:ascii="Times New Roman" w:hAnsi="Times New Roman" w:eastAsia="方正小标宋_GBK" w:cs="Times New Roman"/>
          <w:color w:val="000000"/>
          <w:kern w:val="0"/>
          <w:sz w:val="36"/>
          <w:szCs w:val="36"/>
        </w:rPr>
      </w:pPr>
    </w:p>
    <w:p>
      <w:pPr>
        <w:widowControl/>
        <w:jc w:val="center"/>
        <w:rPr>
          <w:rFonts w:hint="eastAsia" w:ascii="Times New Roman" w:hAnsi="Times New Roman" w:eastAsia="方正小标宋_GBK" w:cs="Times New Roman"/>
          <w:color w:val="000000"/>
          <w:kern w:val="0"/>
          <w:sz w:val="36"/>
          <w:szCs w:val="36"/>
        </w:rPr>
      </w:pPr>
    </w:p>
    <w:tbl>
      <w:tblPr>
        <w:tblStyle w:val="7"/>
        <w:tblW w:w="1512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26"/>
        <w:gridCol w:w="701"/>
        <w:gridCol w:w="2292"/>
        <w:gridCol w:w="3315"/>
        <w:gridCol w:w="3315"/>
        <w:gridCol w:w="41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63" w:hRule="atLeast"/>
        </w:trPr>
        <w:tc>
          <w:tcPr>
            <w:tcW w:w="15120" w:type="dxa"/>
            <w:gridSpan w:val="6"/>
            <w:tcBorders>
              <w:top w:val="nil"/>
              <w:left w:val="nil"/>
              <w:bottom w:val="nil"/>
              <w:right w:val="nil"/>
            </w:tcBorders>
            <w:shd w:val="clear" w:color="auto" w:fill="FFFFFF"/>
            <w:vAlign w:val="center"/>
          </w:tcPr>
          <w:p>
            <w:pPr>
              <w:keepNext w:val="0"/>
              <w:keepLines w:val="0"/>
              <w:widowControl/>
              <w:suppressLineNumbers w:val="0"/>
              <w:jc w:val="center"/>
              <w:textAlignment w:val="center"/>
              <w:rPr>
                <w:rFonts w:ascii="华文中宋" w:hAnsi="华文中宋" w:eastAsia="华文中宋" w:cs="华文中宋"/>
                <w:i w:val="0"/>
                <w:color w:val="000000"/>
                <w:sz w:val="32"/>
                <w:szCs w:val="32"/>
                <w:u w:val="none"/>
              </w:rPr>
            </w:pPr>
            <w:r>
              <w:rPr>
                <w:rFonts w:hint="eastAsia" w:ascii="华文中宋" w:hAnsi="华文中宋" w:eastAsia="华文中宋" w:cs="华文中宋"/>
                <w:i w:val="0"/>
                <w:color w:val="000000"/>
                <w:kern w:val="0"/>
                <w:sz w:val="32"/>
                <w:szCs w:val="32"/>
                <w:u w:val="none"/>
                <w:lang w:val="en-US" w:eastAsia="zh-CN"/>
              </w:rPr>
              <w:t>国有资本经营预算财政拨款支出决算表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17" w:hRule="atLeast"/>
        </w:trPr>
        <w:tc>
          <w:tcPr>
            <w:tcW w:w="1326"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701"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2292" w:type="dxa"/>
            <w:tcBorders>
              <w:top w:val="nil"/>
              <w:left w:val="nil"/>
              <w:bottom w:val="nil"/>
              <w:right w:val="nil"/>
            </w:tcBorders>
            <w:shd w:val="clear" w:color="auto" w:fill="FFFFFF"/>
            <w:vAlign w:val="center"/>
          </w:tcPr>
          <w:p>
            <w:pPr>
              <w:jc w:val="center"/>
              <w:rPr>
                <w:rFonts w:hint="eastAsia" w:ascii="宋体" w:hAnsi="宋体" w:eastAsia="宋体" w:cs="宋体"/>
                <w:i w:val="0"/>
                <w:color w:val="000000"/>
                <w:sz w:val="20"/>
                <w:szCs w:val="20"/>
                <w:u w:val="none"/>
              </w:rPr>
            </w:pPr>
          </w:p>
        </w:tc>
        <w:tc>
          <w:tcPr>
            <w:tcW w:w="3315"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3315"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4171"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公开08表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17" w:hRule="atLeast"/>
        </w:trPr>
        <w:tc>
          <w:tcPr>
            <w:tcW w:w="4319" w:type="dxa"/>
            <w:gridSpan w:val="3"/>
            <w:tcBorders>
              <w:top w:val="nil"/>
              <w:left w:val="nil"/>
              <w:bottom w:val="nil"/>
              <w:right w:val="nil"/>
            </w:tcBorders>
            <w:shd w:val="clear" w:color="auto" w:fill="FFFFFF"/>
            <w:noWrap/>
            <w:vAlign w:val="center"/>
          </w:tcPr>
          <w:p>
            <w:pPr>
              <w:jc w:val="left"/>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部门：湖南省畜牧水产事务中心</w:t>
            </w:r>
          </w:p>
        </w:tc>
        <w:tc>
          <w:tcPr>
            <w:tcW w:w="3315"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3315"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4171"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 xml:space="preserve">项 </w:t>
            </w:r>
            <w:r>
              <w:rPr>
                <w:rFonts w:hint="eastAsia" w:ascii="宋体" w:hAnsi="宋体" w:eastAsia="宋体" w:cs="宋体"/>
                <w:i w:val="0"/>
                <w:color w:val="000000"/>
                <w:kern w:val="0"/>
                <w:sz w:val="22"/>
                <w:szCs w:val="22"/>
                <w:u w:val="none"/>
                <w:lang w:val="en-US" w:eastAsia="zh-CN"/>
              </w:rPr>
              <w:t xml:space="preserve">   </w:t>
            </w:r>
            <w:r>
              <w:rPr>
                <w:rStyle w:val="17"/>
                <w:lang w:val="en-US" w:eastAsia="zh-CN"/>
              </w:rPr>
              <w:t>目</w:t>
            </w:r>
          </w:p>
        </w:tc>
        <w:tc>
          <w:tcPr>
            <w:tcW w:w="1080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本年支出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科目代码</w:t>
            </w:r>
          </w:p>
        </w:tc>
        <w:tc>
          <w:tcPr>
            <w:tcW w:w="22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科目名称</w:t>
            </w:r>
          </w:p>
        </w:tc>
        <w:tc>
          <w:tcPr>
            <w:tcW w:w="33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合计</w:t>
            </w:r>
          </w:p>
        </w:tc>
        <w:tc>
          <w:tcPr>
            <w:tcW w:w="33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 xml:space="preserve">基本支出  </w:t>
            </w:r>
          </w:p>
        </w:tc>
        <w:tc>
          <w:tcPr>
            <w:tcW w:w="41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项目支出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3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3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1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3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3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1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栏次</w:t>
            </w: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1</w:t>
            </w: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2</w:t>
            </w: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431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合计</w:t>
            </w: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0"/>
                <w:szCs w:val="20"/>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0"/>
                <w:szCs w:val="20"/>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48" w:hRule="atLeast"/>
        </w:trPr>
        <w:tc>
          <w:tcPr>
            <w:tcW w:w="20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229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33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c>
          <w:tcPr>
            <w:tcW w:w="417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76" w:hRule="atLeast"/>
        </w:trPr>
        <w:tc>
          <w:tcPr>
            <w:tcW w:w="15120" w:type="dxa"/>
            <w:gridSpan w:val="6"/>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r>
              <w:rPr>
                <w:rFonts w:hint="eastAsia" w:ascii="宋体" w:hAnsi="宋体" w:eastAsia="宋体" w:cs="宋体"/>
                <w:i w:val="0"/>
                <w:color w:val="000000"/>
                <w:kern w:val="0"/>
                <w:sz w:val="24"/>
                <w:szCs w:val="24"/>
                <w:u w:val="none"/>
                <w:lang w:val="en-US" w:eastAsia="zh-CN"/>
              </w:rPr>
              <w:t>注：本表反映部门本年度国有资本经营预算财政拨款支出情况。</w:t>
            </w:r>
          </w:p>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p>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rPr>
            </w:pPr>
            <w:r>
              <w:rPr>
                <w:rFonts w:hint="eastAsia" w:ascii="楷体" w:hAnsi="楷体" w:eastAsia="楷体" w:cs="楷体"/>
                <w:b/>
                <w:bCs/>
                <w:i w:val="0"/>
                <w:color w:val="auto"/>
                <w:kern w:val="0"/>
                <w:sz w:val="24"/>
                <w:szCs w:val="24"/>
                <w:u w:val="none"/>
                <w:lang w:val="en-US" w:eastAsia="zh-CN"/>
              </w:rPr>
              <w:t>说明：我单位没有使用国有资本经营预算安排的支出，故本表无数据。（当表格数据为空时，应有此说明）</w:t>
            </w:r>
          </w:p>
        </w:tc>
      </w:tr>
    </w:tbl>
    <w:p>
      <w:pPr>
        <w:widowControl/>
        <w:jc w:val="center"/>
        <w:rPr>
          <w:rFonts w:hint="eastAsia" w:ascii="Times New Roman" w:hAnsi="Times New Roman" w:eastAsia="方正小标宋_GBK" w:cs="Times New Roman"/>
          <w:color w:val="000000"/>
          <w:kern w:val="0"/>
          <w:sz w:val="36"/>
          <w:szCs w:val="36"/>
        </w:rPr>
      </w:pPr>
    </w:p>
    <w:tbl>
      <w:tblPr>
        <w:tblStyle w:val="7"/>
        <w:tblW w:w="1514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60"/>
        <w:gridCol w:w="1261"/>
        <w:gridCol w:w="1261"/>
        <w:gridCol w:w="1261"/>
        <w:gridCol w:w="1261"/>
        <w:gridCol w:w="1261"/>
        <w:gridCol w:w="1261"/>
        <w:gridCol w:w="1261"/>
        <w:gridCol w:w="1261"/>
        <w:gridCol w:w="1261"/>
        <w:gridCol w:w="1261"/>
        <w:gridCol w:w="12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40" w:hRule="atLeast"/>
        </w:trPr>
        <w:tc>
          <w:tcPr>
            <w:tcW w:w="15140" w:type="dxa"/>
            <w:gridSpan w:val="12"/>
            <w:tcBorders>
              <w:top w:val="nil"/>
              <w:left w:val="nil"/>
              <w:bottom w:val="nil"/>
              <w:right w:val="nil"/>
            </w:tcBorders>
            <w:shd w:val="clear" w:color="auto" w:fill="FFFFFF"/>
            <w:vAlign w:val="center"/>
          </w:tcPr>
          <w:p>
            <w:pPr>
              <w:keepNext w:val="0"/>
              <w:keepLines w:val="0"/>
              <w:widowControl/>
              <w:suppressLineNumbers w:val="0"/>
              <w:jc w:val="center"/>
              <w:textAlignment w:val="center"/>
              <w:rPr>
                <w:rFonts w:hint="eastAsia" w:ascii="华文中宋" w:hAnsi="华文中宋" w:eastAsia="华文中宋" w:cs="华文中宋"/>
                <w:i w:val="0"/>
                <w:color w:val="000000"/>
                <w:kern w:val="0"/>
                <w:sz w:val="32"/>
                <w:szCs w:val="32"/>
                <w:u w:val="none"/>
                <w:lang w:val="en-US" w:eastAsia="zh-CN"/>
              </w:rPr>
            </w:pPr>
          </w:p>
          <w:p>
            <w:pPr>
              <w:keepNext w:val="0"/>
              <w:keepLines w:val="0"/>
              <w:widowControl/>
              <w:suppressLineNumbers w:val="0"/>
              <w:jc w:val="center"/>
              <w:textAlignment w:val="center"/>
              <w:rPr>
                <w:rFonts w:ascii="华文中宋" w:hAnsi="华文中宋" w:eastAsia="华文中宋" w:cs="华文中宋"/>
                <w:i w:val="0"/>
                <w:color w:val="000000"/>
                <w:sz w:val="32"/>
                <w:szCs w:val="32"/>
                <w:u w:val="none"/>
              </w:rPr>
            </w:pPr>
            <w:r>
              <w:rPr>
                <w:rFonts w:hint="eastAsia" w:ascii="华文中宋" w:hAnsi="华文中宋" w:eastAsia="华文中宋" w:cs="华文中宋"/>
                <w:i w:val="0"/>
                <w:color w:val="000000"/>
                <w:kern w:val="0"/>
                <w:sz w:val="32"/>
                <w:szCs w:val="32"/>
                <w:u w:val="none"/>
                <w:lang w:val="en-US" w:eastAsia="zh-CN"/>
              </w:rPr>
              <w:t>财政拨款“三公”经费支出决算表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1260"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70"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公开09表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3782" w:type="dxa"/>
            <w:gridSpan w:val="3"/>
            <w:tcBorders>
              <w:top w:val="nil"/>
              <w:left w:val="nil"/>
              <w:bottom w:val="nil"/>
              <w:right w:val="nil"/>
            </w:tcBorders>
            <w:shd w:val="clear" w:color="auto" w:fill="FFFFFF"/>
            <w:noWrap/>
            <w:vAlign w:val="center"/>
          </w:tcPr>
          <w:p>
            <w:pP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部门：湖南省畜牧水产事务中心</w:t>
            </w: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61" w:type="dxa"/>
            <w:tcBorders>
              <w:top w:val="nil"/>
              <w:left w:val="nil"/>
              <w:bottom w:val="nil"/>
              <w:right w:val="nil"/>
            </w:tcBorders>
            <w:shd w:val="clear" w:color="auto" w:fill="FFFFFF"/>
            <w:vAlign w:val="center"/>
          </w:tcPr>
          <w:p>
            <w:pPr>
              <w:rPr>
                <w:rFonts w:hint="eastAsia" w:ascii="宋体" w:hAnsi="宋体" w:eastAsia="宋体" w:cs="宋体"/>
                <w:i w:val="0"/>
                <w:color w:val="000000"/>
                <w:sz w:val="20"/>
                <w:szCs w:val="20"/>
                <w:u w:val="none"/>
              </w:rPr>
            </w:pPr>
          </w:p>
        </w:tc>
        <w:tc>
          <w:tcPr>
            <w:tcW w:w="1270" w:type="dxa"/>
            <w:tcBorders>
              <w:top w:val="nil"/>
              <w:left w:val="nil"/>
              <w:bottom w:val="nil"/>
              <w:right w:val="nil"/>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766" w:hRule="atLeast"/>
        </w:trPr>
        <w:tc>
          <w:tcPr>
            <w:tcW w:w="7565"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预算数</w:t>
            </w:r>
          </w:p>
        </w:tc>
        <w:tc>
          <w:tcPr>
            <w:tcW w:w="7575"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决算数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822" w:hRule="atLeast"/>
        </w:trPr>
        <w:tc>
          <w:tcPr>
            <w:tcW w:w="12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合计</w:t>
            </w:r>
          </w:p>
        </w:tc>
        <w:tc>
          <w:tcPr>
            <w:tcW w:w="12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因公出国（境）费</w:t>
            </w:r>
          </w:p>
        </w:tc>
        <w:tc>
          <w:tcPr>
            <w:tcW w:w="378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公务用车购置及运行维护费</w:t>
            </w:r>
          </w:p>
        </w:tc>
        <w:tc>
          <w:tcPr>
            <w:tcW w:w="12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公务接待费</w:t>
            </w:r>
          </w:p>
        </w:tc>
        <w:tc>
          <w:tcPr>
            <w:tcW w:w="12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合计</w:t>
            </w:r>
          </w:p>
        </w:tc>
        <w:tc>
          <w:tcPr>
            <w:tcW w:w="12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因公出国（境）费</w:t>
            </w:r>
          </w:p>
        </w:tc>
        <w:tc>
          <w:tcPr>
            <w:tcW w:w="378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公务用车购置及运行维护费</w:t>
            </w:r>
          </w:p>
        </w:tc>
        <w:tc>
          <w:tcPr>
            <w:tcW w:w="12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公务接待费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74" w:hRule="atLeast"/>
        </w:trPr>
        <w:tc>
          <w:tcPr>
            <w:tcW w:w="12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小计</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w:t>
            </w:r>
            <w:r>
              <w:rPr>
                <w:rFonts w:hint="eastAsia" w:ascii="宋体" w:hAnsi="宋体" w:eastAsia="宋体" w:cs="宋体"/>
                <w:i w:val="0"/>
                <w:color w:val="000000"/>
                <w:kern w:val="0"/>
                <w:sz w:val="22"/>
                <w:szCs w:val="22"/>
                <w:u w:val="none"/>
                <w:lang w:val="en-US" w:eastAsia="zh-CN"/>
              </w:rPr>
              <w:br w:type="textWrapping"/>
            </w:r>
            <w:r>
              <w:rPr>
                <w:rFonts w:hint="eastAsia" w:ascii="宋体" w:hAnsi="宋体" w:eastAsia="宋体" w:cs="宋体"/>
                <w:i w:val="0"/>
                <w:color w:val="000000"/>
                <w:kern w:val="0"/>
                <w:sz w:val="22"/>
                <w:szCs w:val="22"/>
                <w:u w:val="none"/>
                <w:lang w:val="en-US" w:eastAsia="zh-CN"/>
              </w:rPr>
              <w:t>购置费</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w:t>
            </w:r>
            <w:r>
              <w:rPr>
                <w:rFonts w:hint="eastAsia" w:ascii="宋体" w:hAnsi="宋体" w:eastAsia="宋体" w:cs="宋体"/>
                <w:i w:val="0"/>
                <w:color w:val="000000"/>
                <w:kern w:val="0"/>
                <w:sz w:val="22"/>
                <w:szCs w:val="22"/>
                <w:u w:val="none"/>
                <w:lang w:val="en-US" w:eastAsia="zh-CN"/>
              </w:rPr>
              <w:br w:type="textWrapping"/>
            </w:r>
            <w:r>
              <w:rPr>
                <w:rFonts w:hint="eastAsia" w:ascii="宋体" w:hAnsi="宋体" w:eastAsia="宋体" w:cs="宋体"/>
                <w:i w:val="0"/>
                <w:color w:val="000000"/>
                <w:kern w:val="0"/>
                <w:sz w:val="22"/>
                <w:szCs w:val="22"/>
                <w:u w:val="none"/>
                <w:lang w:val="en-US" w:eastAsia="zh-CN"/>
              </w:rPr>
              <w:t>运行维护费</w:t>
            </w:r>
          </w:p>
        </w:tc>
        <w:tc>
          <w:tcPr>
            <w:tcW w:w="12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小计</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w:t>
            </w:r>
            <w:r>
              <w:rPr>
                <w:rFonts w:hint="eastAsia" w:ascii="宋体" w:hAnsi="宋体" w:eastAsia="宋体" w:cs="宋体"/>
                <w:i w:val="0"/>
                <w:color w:val="000000"/>
                <w:kern w:val="0"/>
                <w:sz w:val="22"/>
                <w:szCs w:val="22"/>
                <w:u w:val="none"/>
                <w:lang w:val="en-US" w:eastAsia="zh-CN"/>
              </w:rPr>
              <w:br w:type="textWrapping"/>
            </w:r>
            <w:r>
              <w:rPr>
                <w:rFonts w:hint="eastAsia" w:ascii="宋体" w:hAnsi="宋体" w:eastAsia="宋体" w:cs="宋体"/>
                <w:i w:val="0"/>
                <w:color w:val="000000"/>
                <w:kern w:val="0"/>
                <w:sz w:val="22"/>
                <w:szCs w:val="22"/>
                <w:u w:val="none"/>
                <w:lang w:val="en-US" w:eastAsia="zh-CN"/>
              </w:rPr>
              <w:t>购置费</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公务用车</w:t>
            </w:r>
            <w:r>
              <w:rPr>
                <w:rFonts w:hint="eastAsia" w:ascii="宋体" w:hAnsi="宋体" w:eastAsia="宋体" w:cs="宋体"/>
                <w:i w:val="0"/>
                <w:color w:val="000000"/>
                <w:kern w:val="0"/>
                <w:sz w:val="22"/>
                <w:szCs w:val="22"/>
                <w:u w:val="none"/>
                <w:lang w:val="en-US" w:eastAsia="zh-CN"/>
              </w:rPr>
              <w:br w:type="textWrapping"/>
            </w:r>
            <w:r>
              <w:rPr>
                <w:rFonts w:hint="eastAsia" w:ascii="宋体" w:hAnsi="宋体" w:eastAsia="宋体" w:cs="宋体"/>
                <w:i w:val="0"/>
                <w:color w:val="000000"/>
                <w:kern w:val="0"/>
                <w:sz w:val="22"/>
                <w:szCs w:val="22"/>
                <w:u w:val="none"/>
                <w:lang w:val="en-US" w:eastAsia="zh-CN"/>
              </w:rPr>
              <w:t>运行维护费</w:t>
            </w:r>
          </w:p>
        </w:tc>
        <w:tc>
          <w:tcPr>
            <w:tcW w:w="12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766" w:hRule="atLeast"/>
        </w:trPr>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1</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2</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3</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4</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5</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6</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7</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8</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9</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10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11</w:t>
            </w:r>
          </w:p>
        </w:tc>
        <w:tc>
          <w:tcPr>
            <w:tcW w:w="12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65" w:hRule="atLeast"/>
        </w:trPr>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113.00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13.00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70.00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30.00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32.04</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31.17</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0.00</w:t>
            </w:r>
          </w:p>
        </w:tc>
        <w:tc>
          <w:tcPr>
            <w:tcW w:w="12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31.17</w:t>
            </w:r>
          </w:p>
        </w:tc>
        <w:tc>
          <w:tcPr>
            <w:tcW w:w="12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righ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0.87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226" w:hRule="atLeast"/>
        </w:trPr>
        <w:tc>
          <w:tcPr>
            <w:tcW w:w="15140" w:type="dxa"/>
            <w:gridSpan w:val="12"/>
            <w:tcBorders>
              <w:top w:val="nil"/>
              <w:left w:val="nil"/>
              <w:bottom w:val="nil"/>
              <w:right w:val="nil"/>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rPr>
              <w:t>注：本表反映部门本年度财政拨款“三公”经费支出预决算情况。其中，预算数为“三公”经费全年预算数，反映按规定程序调整后的预算数；决算数是包括当年财政拨款和以前年度结转资金安排的实际支出。</w:t>
            </w:r>
          </w:p>
        </w:tc>
      </w:tr>
    </w:tbl>
    <w:p>
      <w:pPr>
        <w:autoSpaceDE w:val="0"/>
        <w:autoSpaceDN w:val="0"/>
        <w:adjustRightInd w:val="0"/>
        <w:ind w:left="315" w:leftChars="150"/>
        <w:jc w:val="left"/>
        <w:rPr>
          <w:rFonts w:ascii="宋体" w:eastAsia="宋体" w:cs="宋体"/>
          <w:kern w:val="0"/>
          <w:sz w:val="24"/>
          <w:szCs w:val="24"/>
        </w:rPr>
      </w:pPr>
    </w:p>
    <w:p>
      <w:pPr>
        <w:autoSpaceDE w:val="0"/>
        <w:autoSpaceDN w:val="0"/>
        <w:adjustRightInd w:val="0"/>
        <w:ind w:left="315" w:leftChars="150"/>
        <w:jc w:val="left"/>
        <w:rPr>
          <w:rFonts w:ascii="宋体" w:eastAsia="宋体" w:cs="宋体"/>
          <w:kern w:val="0"/>
          <w:sz w:val="24"/>
          <w:szCs w:val="24"/>
        </w:rPr>
      </w:pPr>
    </w:p>
    <w:p>
      <w:pPr>
        <w:autoSpaceDE w:val="0"/>
        <w:autoSpaceDN w:val="0"/>
        <w:adjustRightInd w:val="0"/>
        <w:ind w:left="315" w:leftChars="150"/>
        <w:jc w:val="left"/>
        <w:rPr>
          <w:rFonts w:ascii="宋体" w:eastAsia="宋体" w:cs="宋体"/>
          <w:kern w:val="0"/>
          <w:sz w:val="24"/>
          <w:szCs w:val="24"/>
        </w:rPr>
      </w:pPr>
    </w:p>
    <w:p>
      <w:pPr>
        <w:autoSpaceDE w:val="0"/>
        <w:autoSpaceDN w:val="0"/>
        <w:adjustRightInd w:val="0"/>
        <w:ind w:left="315" w:leftChars="150"/>
        <w:jc w:val="left"/>
        <w:rPr>
          <w:rFonts w:ascii="宋体" w:eastAsia="宋体" w:cs="宋体"/>
          <w:kern w:val="0"/>
          <w:sz w:val="24"/>
          <w:szCs w:val="24"/>
        </w:rPr>
      </w:pPr>
    </w:p>
    <w:p>
      <w:pPr>
        <w:autoSpaceDE w:val="0"/>
        <w:autoSpaceDN w:val="0"/>
        <w:adjustRightInd w:val="0"/>
        <w:ind w:left="315" w:leftChars="150"/>
        <w:jc w:val="left"/>
        <w:rPr>
          <w:rFonts w:ascii="宋体" w:eastAsia="宋体" w:cs="宋体"/>
          <w:kern w:val="0"/>
          <w:sz w:val="24"/>
          <w:szCs w:val="24"/>
        </w:rPr>
      </w:pPr>
    </w:p>
    <w:p>
      <w:pPr>
        <w:widowControl/>
        <w:jc w:val="both"/>
        <w:rPr>
          <w:sz w:val="72"/>
          <w:szCs w:val="72"/>
        </w:rPr>
        <w:sectPr>
          <w:pgSz w:w="16838" w:h="11906" w:orient="landscape"/>
          <w:pgMar w:top="720" w:right="720" w:bottom="720" w:left="720" w:header="851" w:footer="992" w:gutter="0"/>
          <w:cols w:space="425" w:num="1"/>
          <w:docGrid w:type="lines" w:linePitch="312" w:charSpace="0"/>
        </w:sectPr>
      </w:pPr>
      <w:r>
        <w:br w:type="page"/>
      </w:r>
    </w:p>
    <w:p>
      <w:pPr>
        <w:pStyle w:val="12"/>
        <w:rPr>
          <w:sz w:val="72"/>
          <w:szCs w:val="72"/>
        </w:rPr>
      </w:pPr>
    </w:p>
    <w:p>
      <w:pPr>
        <w:pStyle w:val="12"/>
        <w:rPr>
          <w:sz w:val="72"/>
          <w:szCs w:val="72"/>
        </w:rPr>
      </w:pPr>
    </w:p>
    <w:p>
      <w:pPr>
        <w:pStyle w:val="12"/>
        <w:rPr>
          <w:sz w:val="72"/>
          <w:szCs w:val="72"/>
        </w:rPr>
      </w:pPr>
    </w:p>
    <w:p>
      <w:pPr>
        <w:pStyle w:val="12"/>
        <w:rPr>
          <w:sz w:val="72"/>
          <w:szCs w:val="72"/>
        </w:rPr>
      </w:pPr>
    </w:p>
    <w:p>
      <w:pPr>
        <w:pStyle w:val="12"/>
        <w:jc w:val="center"/>
        <w:rPr>
          <w:sz w:val="72"/>
          <w:szCs w:val="72"/>
        </w:rPr>
      </w:pPr>
    </w:p>
    <w:p>
      <w:pPr>
        <w:pStyle w:val="12"/>
        <w:jc w:val="center"/>
        <w:rPr>
          <w:rFonts w:hint="eastAsia" w:ascii="方正小标宋_GBK" w:hAnsi="方正小标宋_GBK" w:eastAsia="方正小标宋_GBK" w:cs="方正小标宋_GBK"/>
          <w:sz w:val="72"/>
          <w:szCs w:val="72"/>
        </w:rPr>
      </w:pPr>
    </w:p>
    <w:p>
      <w:pPr>
        <w:pStyle w:val="12"/>
        <w:jc w:val="center"/>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第三部分</w:t>
      </w:r>
    </w:p>
    <w:p>
      <w:pPr>
        <w:pStyle w:val="12"/>
        <w:jc w:val="center"/>
        <w:rPr>
          <w:rFonts w:hint="eastAsia" w:ascii="方正小标宋_GBK" w:hAnsi="方正小标宋_GBK" w:eastAsia="方正小标宋_GBK" w:cs="方正小标宋_GBK"/>
          <w:sz w:val="70"/>
          <w:szCs w:val="70"/>
        </w:rPr>
      </w:pPr>
    </w:p>
    <w:p>
      <w:pPr>
        <w:pStyle w:val="12"/>
        <w:jc w:val="center"/>
        <w:rPr>
          <w:rFonts w:hint="eastAsia" w:ascii="方正小标宋_GBK" w:hAnsi="方正小标宋_GBK" w:eastAsia="方正小标宋_GBK" w:cs="方正小标宋_GBK"/>
          <w:sz w:val="70"/>
          <w:szCs w:val="70"/>
        </w:rPr>
      </w:pPr>
      <w:r>
        <w:rPr>
          <w:rFonts w:hint="eastAsia" w:ascii="方正小标宋_GBK" w:hAnsi="方正小标宋_GBK" w:eastAsia="方正小标宋_GBK" w:cs="方正小标宋_GBK"/>
          <w:sz w:val="70"/>
          <w:szCs w:val="70"/>
        </w:rPr>
        <w:t>202</w:t>
      </w:r>
      <w:r>
        <w:rPr>
          <w:rFonts w:hint="eastAsia" w:ascii="方正小标宋_GBK" w:hAnsi="方正小标宋_GBK" w:eastAsia="方正小标宋_GBK" w:cs="方正小标宋_GBK"/>
          <w:sz w:val="70"/>
          <w:szCs w:val="70"/>
          <w:lang w:val="en-US" w:eastAsia="zh-CN"/>
        </w:rPr>
        <w:t>2</w:t>
      </w:r>
      <w:r>
        <w:rPr>
          <w:rFonts w:hint="eastAsia" w:ascii="方正小标宋_GBK" w:hAnsi="方正小标宋_GBK" w:eastAsia="方正小标宋_GBK" w:cs="方正小标宋_GBK"/>
          <w:sz w:val="70"/>
          <w:szCs w:val="70"/>
        </w:rPr>
        <w:t>年度部门决算情况说明</w:t>
      </w:r>
    </w:p>
    <w:p>
      <w:pPr>
        <w:widowControl/>
        <w:jc w:val="left"/>
        <w:rPr>
          <w:rFonts w:asciiTheme="minorEastAsia" w:hAnsiTheme="minorEastAsia" w:eastAsiaTheme="minorEastAsia"/>
          <w:sz w:val="32"/>
          <w:szCs w:val="32"/>
        </w:rPr>
      </w:pPr>
      <w:r>
        <w:br w:type="page"/>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一、收入支出决算总体情况说明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年度收、支总计</w:t>
      </w:r>
      <w:r>
        <w:rPr>
          <w:rFonts w:hint="eastAsia" w:ascii="Times New Roman" w:hAnsi="Times New Roman" w:eastAsia="仿宋_GB2312"/>
          <w:sz w:val="32"/>
          <w:szCs w:val="32"/>
          <w:lang w:val="en-US" w:eastAsia="zh-CN"/>
        </w:rPr>
        <w:t>14675.35</w:t>
      </w:r>
      <w:r>
        <w:rPr>
          <w:rFonts w:hint="eastAsia" w:ascii="Times New Roman" w:hAnsi="Times New Roman" w:eastAsia="仿宋_GB2312"/>
          <w:sz w:val="32"/>
          <w:szCs w:val="32"/>
        </w:rPr>
        <w:t>万元。与上年相比，减少</w:t>
      </w:r>
      <w:r>
        <w:rPr>
          <w:rFonts w:hint="eastAsia" w:ascii="Times New Roman" w:hAnsi="Times New Roman" w:eastAsia="仿宋_GB2312"/>
          <w:sz w:val="32"/>
          <w:szCs w:val="32"/>
          <w:lang w:val="en-US" w:eastAsia="zh-CN"/>
        </w:rPr>
        <w:t>2671.41</w:t>
      </w:r>
      <w:r>
        <w:rPr>
          <w:rFonts w:hint="eastAsia" w:ascii="Times New Roman" w:hAnsi="Times New Roman" w:eastAsia="仿宋_GB2312"/>
          <w:sz w:val="32"/>
          <w:szCs w:val="32"/>
        </w:rPr>
        <w:t>万元，减少</w:t>
      </w:r>
      <w:r>
        <w:rPr>
          <w:rFonts w:hint="eastAsia" w:ascii="Times New Roman" w:hAnsi="Times New Roman" w:eastAsia="仿宋_GB2312"/>
          <w:sz w:val="32"/>
          <w:szCs w:val="32"/>
          <w:lang w:val="en-US" w:eastAsia="zh-CN"/>
        </w:rPr>
        <w:t>15.40</w:t>
      </w:r>
      <w:r>
        <w:rPr>
          <w:rFonts w:hint="eastAsia" w:ascii="Times New Roman" w:hAnsi="Times New Roman" w:eastAsia="仿宋_GB2312"/>
          <w:sz w:val="32"/>
          <w:szCs w:val="32"/>
        </w:rPr>
        <w:t>%，主要是</w:t>
      </w:r>
      <w:r>
        <w:rPr>
          <w:rFonts w:hint="eastAsia" w:ascii="Times New Roman" w:hAnsi="Times New Roman" w:eastAsia="仿宋_GB2312"/>
          <w:sz w:val="32"/>
          <w:szCs w:val="32"/>
          <w:lang w:val="en-US" w:eastAsia="zh-CN"/>
        </w:rPr>
        <w:t>因为动物强制免疫疫苗“</w:t>
      </w:r>
      <w:r>
        <w:rPr>
          <w:rFonts w:hint="eastAsia" w:ascii="Times New Roman" w:hAnsi="Times New Roman" w:eastAsia="仿宋_GB2312"/>
          <w:sz w:val="32"/>
          <w:szCs w:val="32"/>
        </w:rPr>
        <w:t>先打后补</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政策推行</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省级集中采购</w:t>
      </w:r>
      <w:r>
        <w:rPr>
          <w:rFonts w:hint="eastAsia" w:ascii="Times New Roman" w:hAnsi="Times New Roman" w:eastAsia="仿宋_GB2312"/>
          <w:sz w:val="32"/>
          <w:szCs w:val="32"/>
        </w:rPr>
        <w:t>疫苗经费减少</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二、收入决算情况说明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年度收入合计</w:t>
      </w:r>
      <w:r>
        <w:rPr>
          <w:rFonts w:hint="eastAsia" w:ascii="Times New Roman" w:hAnsi="Times New Roman" w:eastAsia="仿宋_GB2312"/>
          <w:sz w:val="32"/>
          <w:szCs w:val="32"/>
          <w:lang w:val="en-US" w:eastAsia="zh-CN"/>
        </w:rPr>
        <w:t>14204.07</w:t>
      </w:r>
      <w:r>
        <w:rPr>
          <w:rFonts w:hint="eastAsia" w:ascii="Times New Roman" w:hAnsi="Times New Roman" w:eastAsia="仿宋_GB2312"/>
          <w:sz w:val="32"/>
          <w:szCs w:val="32"/>
        </w:rPr>
        <w:t>万元，其中：财政拨款收入</w:t>
      </w:r>
      <w:r>
        <w:rPr>
          <w:rFonts w:hint="eastAsia" w:ascii="Times New Roman" w:hAnsi="Times New Roman" w:eastAsia="仿宋_GB2312"/>
          <w:sz w:val="32"/>
          <w:szCs w:val="32"/>
          <w:lang w:val="en-US" w:eastAsia="zh-CN"/>
        </w:rPr>
        <w:t>14198.28</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99.96</w:t>
      </w:r>
      <w:r>
        <w:rPr>
          <w:rFonts w:hint="eastAsia" w:ascii="Times New Roman" w:hAnsi="Times New Roman" w:eastAsia="仿宋_GB2312"/>
          <w:sz w:val="32"/>
          <w:szCs w:val="32"/>
        </w:rPr>
        <w:t>%；上级补助收入</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%；事业收入</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%；经营收入</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%；附属单位上缴收入</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%；其他收入</w:t>
      </w:r>
      <w:r>
        <w:rPr>
          <w:rFonts w:hint="eastAsia" w:ascii="Times New Roman" w:hAnsi="Times New Roman" w:eastAsia="仿宋_GB2312"/>
          <w:sz w:val="32"/>
          <w:szCs w:val="32"/>
          <w:lang w:val="en-US" w:eastAsia="zh-CN"/>
        </w:rPr>
        <w:t>5.79</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0.04</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三、支出决算情况说明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年度支出合计</w:t>
      </w:r>
      <w:r>
        <w:rPr>
          <w:rFonts w:hint="eastAsia" w:ascii="Times New Roman" w:hAnsi="Times New Roman" w:eastAsia="仿宋_GB2312"/>
          <w:sz w:val="32"/>
          <w:szCs w:val="32"/>
          <w:lang w:val="en-US" w:eastAsia="zh-CN"/>
        </w:rPr>
        <w:t>13037.73</w:t>
      </w:r>
      <w:r>
        <w:rPr>
          <w:rFonts w:hint="eastAsia" w:ascii="Times New Roman" w:hAnsi="Times New Roman" w:eastAsia="仿宋_GB2312"/>
          <w:sz w:val="32"/>
          <w:szCs w:val="32"/>
        </w:rPr>
        <w:t>万元，其中：基本支出</w:t>
      </w:r>
      <w:r>
        <w:rPr>
          <w:rFonts w:hint="eastAsia" w:ascii="Times New Roman" w:hAnsi="Times New Roman" w:eastAsia="仿宋_GB2312"/>
          <w:sz w:val="32"/>
          <w:szCs w:val="32"/>
          <w:lang w:val="en-US" w:eastAsia="zh-CN"/>
        </w:rPr>
        <w:t>4108.55</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31.51</w:t>
      </w:r>
      <w:r>
        <w:rPr>
          <w:rFonts w:hint="eastAsia" w:ascii="Times New Roman" w:hAnsi="Times New Roman" w:eastAsia="仿宋_GB2312"/>
          <w:sz w:val="32"/>
          <w:szCs w:val="32"/>
        </w:rPr>
        <w:t>%；项目支出</w:t>
      </w:r>
      <w:r>
        <w:rPr>
          <w:rFonts w:hint="eastAsia" w:ascii="Times New Roman" w:hAnsi="Times New Roman" w:eastAsia="仿宋_GB2312"/>
          <w:sz w:val="32"/>
          <w:szCs w:val="32"/>
          <w:lang w:val="en-US" w:eastAsia="zh-CN"/>
        </w:rPr>
        <w:t>8929.18</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68.49</w:t>
      </w:r>
      <w:r>
        <w:rPr>
          <w:rFonts w:hint="eastAsia" w:ascii="Times New Roman" w:hAnsi="Times New Roman" w:eastAsia="仿宋_GB2312"/>
          <w:sz w:val="32"/>
          <w:szCs w:val="32"/>
        </w:rPr>
        <w:t>%；上缴上级支出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%；经营支出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%；对附属单位补助支出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四、财政拨款收入支出决算总体情况说明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年度财政拨款收、支总计</w:t>
      </w:r>
      <w:r>
        <w:rPr>
          <w:rFonts w:hint="eastAsia" w:ascii="Times New Roman" w:hAnsi="Times New Roman" w:eastAsia="仿宋_GB2312"/>
          <w:sz w:val="32"/>
          <w:szCs w:val="32"/>
          <w:lang w:val="en-US" w:eastAsia="zh-CN"/>
        </w:rPr>
        <w:t>14336.81</w:t>
      </w:r>
      <w:r>
        <w:rPr>
          <w:rFonts w:hint="eastAsia" w:ascii="Times New Roman" w:hAnsi="Times New Roman" w:eastAsia="仿宋_GB2312"/>
          <w:sz w:val="32"/>
          <w:szCs w:val="32"/>
        </w:rPr>
        <w:t>万元，与上年相比，减少</w:t>
      </w:r>
      <w:r>
        <w:rPr>
          <w:rFonts w:hint="eastAsia" w:ascii="Times New Roman" w:hAnsi="Times New Roman" w:eastAsia="仿宋_GB2312"/>
          <w:sz w:val="32"/>
          <w:szCs w:val="32"/>
          <w:lang w:val="en-US" w:eastAsia="zh-CN"/>
        </w:rPr>
        <w:t>2664.16</w:t>
      </w:r>
      <w:r>
        <w:rPr>
          <w:rFonts w:hint="eastAsia" w:ascii="Times New Roman" w:hAnsi="Times New Roman" w:eastAsia="仿宋_GB2312"/>
          <w:sz w:val="32"/>
          <w:szCs w:val="32"/>
        </w:rPr>
        <w:t>万元,减少</w:t>
      </w:r>
      <w:r>
        <w:rPr>
          <w:rFonts w:hint="eastAsia" w:ascii="Times New Roman" w:hAnsi="Times New Roman" w:eastAsia="仿宋_GB2312"/>
          <w:sz w:val="32"/>
          <w:szCs w:val="32"/>
          <w:lang w:val="en-US" w:eastAsia="zh-CN"/>
        </w:rPr>
        <w:t>15.67</w:t>
      </w:r>
      <w:r>
        <w:rPr>
          <w:rFonts w:hint="eastAsia" w:ascii="Times New Roman" w:hAnsi="Times New Roman" w:eastAsia="仿宋_GB2312"/>
          <w:sz w:val="32"/>
          <w:szCs w:val="32"/>
        </w:rPr>
        <w:t>%，主要是</w:t>
      </w:r>
      <w:r>
        <w:rPr>
          <w:rFonts w:hint="eastAsia" w:ascii="Times New Roman" w:hAnsi="Times New Roman" w:eastAsia="仿宋_GB2312"/>
          <w:sz w:val="32"/>
          <w:szCs w:val="32"/>
          <w:lang w:val="en-US" w:eastAsia="zh-CN"/>
        </w:rPr>
        <w:t>因为动物强制免疫疫苗“</w:t>
      </w:r>
      <w:r>
        <w:rPr>
          <w:rFonts w:hint="eastAsia" w:ascii="Times New Roman" w:hAnsi="Times New Roman" w:eastAsia="仿宋_GB2312"/>
          <w:sz w:val="32"/>
          <w:szCs w:val="32"/>
        </w:rPr>
        <w:t>先打后补</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政策推行</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省级集中采购</w:t>
      </w:r>
      <w:r>
        <w:rPr>
          <w:rFonts w:hint="eastAsia" w:ascii="Times New Roman" w:hAnsi="Times New Roman" w:eastAsia="仿宋_GB2312"/>
          <w:sz w:val="32"/>
          <w:szCs w:val="32"/>
        </w:rPr>
        <w:t>疫苗经费减少</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五、一般公共预算财政拨款支出决算情况说明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楷体" w:hAnsi="楷体" w:eastAsia="楷体" w:cs="楷体"/>
          <w:b w:val="0"/>
          <w:bCs/>
          <w:sz w:val="32"/>
          <w:szCs w:val="32"/>
        </w:rPr>
      </w:pPr>
      <w:r>
        <w:rPr>
          <w:rFonts w:hint="eastAsia" w:ascii="楷体" w:hAnsi="楷体" w:eastAsia="楷体" w:cs="楷体"/>
          <w:b w:val="0"/>
          <w:bCs/>
          <w:sz w:val="32"/>
          <w:szCs w:val="32"/>
        </w:rPr>
        <w:t>（一）财政拨款支出决算总体情况</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年度财政拨款支出</w:t>
      </w:r>
      <w:r>
        <w:rPr>
          <w:rFonts w:hint="eastAsia" w:ascii="Times New Roman" w:hAnsi="Times New Roman" w:eastAsia="仿宋_GB2312"/>
          <w:sz w:val="32"/>
          <w:szCs w:val="32"/>
          <w:lang w:val="en-US" w:eastAsia="zh-CN"/>
        </w:rPr>
        <w:t>13037.73</w:t>
      </w:r>
      <w:r>
        <w:rPr>
          <w:rFonts w:hint="eastAsia" w:ascii="Times New Roman" w:hAnsi="Times New Roman" w:eastAsia="仿宋_GB2312"/>
          <w:sz w:val="32"/>
          <w:szCs w:val="32"/>
        </w:rPr>
        <w:t>万元，占本年支出合计的</w:t>
      </w:r>
      <w:r>
        <w:rPr>
          <w:rFonts w:hint="eastAsia" w:ascii="Times New Roman" w:hAnsi="Times New Roman" w:eastAsia="仿宋_GB2312"/>
          <w:sz w:val="32"/>
          <w:szCs w:val="32"/>
          <w:lang w:val="en-US" w:eastAsia="zh-CN"/>
        </w:rPr>
        <w:t>100</w:t>
      </w:r>
      <w:r>
        <w:rPr>
          <w:rFonts w:hint="eastAsia" w:ascii="Times New Roman" w:hAnsi="Times New Roman" w:eastAsia="仿宋_GB2312"/>
          <w:sz w:val="32"/>
          <w:szCs w:val="32"/>
        </w:rPr>
        <w:t>%，与上年相比，财政拨款支出减少</w:t>
      </w:r>
      <w:r>
        <w:rPr>
          <w:rFonts w:hint="eastAsia" w:ascii="Times New Roman" w:hAnsi="Times New Roman" w:eastAsia="仿宋_GB2312"/>
          <w:sz w:val="32"/>
          <w:szCs w:val="32"/>
          <w:lang w:val="en-US" w:eastAsia="zh-CN"/>
        </w:rPr>
        <w:t>2005.23</w:t>
      </w:r>
      <w:r>
        <w:rPr>
          <w:rFonts w:hint="eastAsia" w:ascii="Times New Roman" w:hAnsi="Times New Roman" w:eastAsia="仿宋_GB2312"/>
          <w:sz w:val="32"/>
          <w:szCs w:val="32"/>
        </w:rPr>
        <w:t>万元，减少</w:t>
      </w:r>
      <w:r>
        <w:rPr>
          <w:rFonts w:hint="eastAsia" w:ascii="Times New Roman" w:hAnsi="Times New Roman" w:eastAsia="仿宋_GB2312"/>
          <w:sz w:val="32"/>
          <w:szCs w:val="32"/>
          <w:lang w:val="en-US" w:eastAsia="zh-CN"/>
        </w:rPr>
        <w:t>13.33</w:t>
      </w:r>
      <w:r>
        <w:rPr>
          <w:rFonts w:hint="eastAsia" w:ascii="Times New Roman" w:hAnsi="Times New Roman" w:eastAsia="仿宋_GB2312"/>
          <w:sz w:val="32"/>
          <w:szCs w:val="32"/>
        </w:rPr>
        <w:t>%，主要是</w:t>
      </w:r>
      <w:r>
        <w:rPr>
          <w:rFonts w:hint="eastAsia" w:ascii="Times New Roman" w:hAnsi="Times New Roman" w:eastAsia="仿宋_GB2312"/>
          <w:sz w:val="32"/>
          <w:szCs w:val="32"/>
          <w:lang w:val="en-US" w:eastAsia="zh-CN"/>
        </w:rPr>
        <w:t>因为动物强制免疫疫苗“</w:t>
      </w:r>
      <w:r>
        <w:rPr>
          <w:rFonts w:hint="eastAsia" w:ascii="Times New Roman" w:hAnsi="Times New Roman" w:eastAsia="仿宋_GB2312"/>
          <w:sz w:val="32"/>
          <w:szCs w:val="32"/>
        </w:rPr>
        <w:t>先打后补</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政策推行</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省级集中采购</w:t>
      </w:r>
      <w:r>
        <w:rPr>
          <w:rFonts w:hint="eastAsia" w:ascii="Times New Roman" w:hAnsi="Times New Roman" w:eastAsia="仿宋_GB2312"/>
          <w:sz w:val="32"/>
          <w:szCs w:val="32"/>
        </w:rPr>
        <w:t>疫苗经费减少</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480" w:firstLineChars="150"/>
        <w:textAlignment w:val="auto"/>
        <w:rPr>
          <w:rFonts w:hint="eastAsia" w:ascii="楷体" w:hAnsi="楷体" w:eastAsia="楷体" w:cs="楷体"/>
          <w:b w:val="0"/>
          <w:bCs/>
          <w:sz w:val="32"/>
          <w:szCs w:val="32"/>
        </w:rPr>
      </w:pPr>
      <w:r>
        <w:rPr>
          <w:rFonts w:hint="eastAsia" w:ascii="楷体" w:hAnsi="楷体" w:eastAsia="楷体" w:cs="楷体"/>
          <w:b w:val="0"/>
          <w:bCs/>
          <w:sz w:val="32"/>
          <w:szCs w:val="32"/>
        </w:rPr>
        <w:t>（二）财政拨款支出决算结构情况</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年度财政拨款支出</w:t>
      </w:r>
      <w:r>
        <w:rPr>
          <w:rFonts w:hint="eastAsia" w:ascii="Times New Roman" w:hAnsi="Times New Roman" w:eastAsia="仿宋_GB2312"/>
          <w:sz w:val="32"/>
          <w:szCs w:val="32"/>
          <w:lang w:val="en-US" w:eastAsia="zh-CN"/>
        </w:rPr>
        <w:t>13037.73</w:t>
      </w:r>
      <w:r>
        <w:rPr>
          <w:rFonts w:hint="eastAsia" w:ascii="Times New Roman" w:hAnsi="Times New Roman" w:eastAsia="仿宋_GB2312"/>
          <w:sz w:val="32"/>
          <w:szCs w:val="32"/>
        </w:rPr>
        <w:t>万元，主要用于以下方面：卫生健康（类）支出</w:t>
      </w:r>
      <w:r>
        <w:rPr>
          <w:rFonts w:hint="eastAsia" w:ascii="Times New Roman" w:hAnsi="Times New Roman" w:eastAsia="仿宋_GB2312"/>
          <w:sz w:val="32"/>
          <w:szCs w:val="32"/>
          <w:lang w:val="en-US" w:eastAsia="zh-CN"/>
        </w:rPr>
        <w:t>10.00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0.08</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（类）支出</w:t>
      </w:r>
      <w:r>
        <w:rPr>
          <w:rFonts w:hint="eastAsia" w:ascii="Times New Roman" w:hAnsi="Times New Roman" w:eastAsia="仿宋_GB2312"/>
          <w:sz w:val="32"/>
          <w:szCs w:val="32"/>
          <w:lang w:val="en-US" w:eastAsia="zh-CN"/>
        </w:rPr>
        <w:t>13027.74</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99.92</w:t>
      </w:r>
      <w:r>
        <w:rPr>
          <w:rFonts w:hint="eastAsia" w:ascii="Times New Roman" w:hAnsi="Times New Roman" w:eastAsia="仿宋_GB2312"/>
          <w:sz w:val="32"/>
          <w:szCs w:val="32"/>
        </w:rPr>
        <w:t>%</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楷体" w:hAnsi="楷体" w:eastAsia="楷体" w:cs="楷体"/>
          <w:b w:val="0"/>
          <w:bCs/>
          <w:sz w:val="32"/>
          <w:szCs w:val="32"/>
        </w:rPr>
      </w:pPr>
      <w:r>
        <w:rPr>
          <w:rFonts w:hint="eastAsia" w:ascii="楷体" w:hAnsi="楷体" w:eastAsia="楷体" w:cs="楷体"/>
          <w:b w:val="0"/>
          <w:bCs/>
          <w:sz w:val="32"/>
          <w:szCs w:val="32"/>
        </w:rPr>
        <w:t>（三）财政拨款支出决算具体情况</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年度财政拨款支出年初预算数为</w:t>
      </w:r>
      <w:r>
        <w:rPr>
          <w:rFonts w:hint="eastAsia" w:ascii="Times New Roman" w:hAnsi="Times New Roman" w:eastAsia="仿宋_GB2312"/>
          <w:sz w:val="32"/>
          <w:szCs w:val="32"/>
          <w:lang w:val="en-US" w:eastAsia="zh-CN"/>
        </w:rPr>
        <w:t>11871.44</w:t>
      </w:r>
      <w:r>
        <w:rPr>
          <w:rFonts w:hint="eastAsia" w:ascii="Times New Roman" w:hAnsi="Times New Roman" w:eastAsia="仿宋_GB2312"/>
          <w:sz w:val="32"/>
          <w:szCs w:val="32"/>
        </w:rPr>
        <w:t>万元，支出决算数为</w:t>
      </w:r>
      <w:r>
        <w:rPr>
          <w:rFonts w:hint="eastAsia" w:ascii="Times New Roman" w:hAnsi="Times New Roman" w:eastAsia="仿宋_GB2312"/>
          <w:sz w:val="32"/>
          <w:szCs w:val="32"/>
          <w:lang w:val="en-US" w:eastAsia="zh-CN"/>
        </w:rPr>
        <w:t>13037.73</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109.82</w:t>
      </w:r>
      <w:r>
        <w:rPr>
          <w:rFonts w:hint="eastAsia" w:ascii="Times New Roman" w:hAnsi="Times New Roman" w:eastAsia="仿宋_GB2312"/>
          <w:sz w:val="32"/>
          <w:szCs w:val="32"/>
        </w:rPr>
        <w:t>%，其中：</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rPr>
        <w:t>1、卫生健康（类）公共卫生（款）重大公共卫生服务（项）。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10.00</w:t>
      </w:r>
      <w:r>
        <w:rPr>
          <w:rFonts w:hint="eastAsia" w:ascii="Times New Roman" w:hAnsi="Times New Roman" w:eastAsia="仿宋_GB2312"/>
          <w:sz w:val="32"/>
          <w:szCs w:val="32"/>
        </w:rPr>
        <w:t>万元，决算数大于年初预算数的主要原因是：</w:t>
      </w:r>
      <w:r>
        <w:rPr>
          <w:rFonts w:hint="eastAsia" w:ascii="Times New Roman" w:hAnsi="Times New Roman" w:eastAsia="仿宋_GB2312"/>
          <w:sz w:val="32"/>
          <w:szCs w:val="32"/>
          <w:lang w:val="en-US" w:eastAsia="zh-CN"/>
        </w:rPr>
        <w:t>年中追加中央补助重大传染病防控项目经费。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rPr>
        <w:t>2、</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（类）农业农村（款）行政运行（项）。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3005.69</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3327.82</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110.72</w:t>
      </w:r>
      <w:r>
        <w:rPr>
          <w:rFonts w:hint="eastAsia" w:ascii="Times New Roman" w:hAnsi="Times New Roman" w:eastAsia="仿宋_GB2312"/>
          <w:sz w:val="32"/>
          <w:szCs w:val="32"/>
        </w:rPr>
        <w:t>%，决算数大于年初预算数的主要原因是：</w:t>
      </w:r>
      <w:r>
        <w:rPr>
          <w:rFonts w:hint="eastAsia" w:ascii="Times New Roman" w:hAnsi="Times New Roman" w:eastAsia="仿宋_GB2312"/>
          <w:sz w:val="32"/>
          <w:szCs w:val="32"/>
          <w:lang w:val="en-US" w:eastAsia="zh-CN"/>
        </w:rPr>
        <w:t>年中追加绩效奖金。</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3</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（类）农业农村（款）科技转化与推广服务（项）。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388.04</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297.88</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76.76</w:t>
      </w:r>
      <w:r>
        <w:rPr>
          <w:rFonts w:hint="eastAsia" w:ascii="Times New Roman" w:hAnsi="Times New Roman" w:eastAsia="仿宋_GB2312"/>
          <w:sz w:val="32"/>
          <w:szCs w:val="32"/>
        </w:rPr>
        <w:t>%，决算数小于年初预算数的主要原因是：部分培训会议因疫情取消，</w:t>
      </w:r>
      <w:r>
        <w:rPr>
          <w:rFonts w:hint="eastAsia" w:ascii="Times New Roman" w:hAnsi="Times New Roman" w:eastAsia="仿宋_GB2312"/>
          <w:sz w:val="32"/>
          <w:szCs w:val="32"/>
          <w:lang w:val="en-US" w:eastAsia="zh-CN"/>
        </w:rPr>
        <w:t>其中信息化项目</w:t>
      </w:r>
      <w:r>
        <w:rPr>
          <w:rFonts w:hint="eastAsia" w:ascii="Times New Roman" w:hAnsi="Times New Roman" w:eastAsia="仿宋_GB2312"/>
          <w:sz w:val="32"/>
          <w:szCs w:val="32"/>
        </w:rPr>
        <w:t>前置审查暂未执行</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4</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（类）农业农村（款）病虫害控制（项）。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7740.66</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7486.04</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89.71</w:t>
      </w:r>
      <w:r>
        <w:rPr>
          <w:rFonts w:hint="eastAsia" w:ascii="Times New Roman" w:hAnsi="Times New Roman" w:eastAsia="仿宋_GB2312"/>
          <w:sz w:val="32"/>
          <w:szCs w:val="32"/>
        </w:rPr>
        <w:t>%，决算数小于年初预算数的主要原因是：</w:t>
      </w:r>
      <w:r>
        <w:rPr>
          <w:rFonts w:hint="eastAsia" w:ascii="Times New Roman" w:hAnsi="Times New Roman" w:eastAsia="仿宋_GB2312"/>
          <w:sz w:val="32"/>
          <w:szCs w:val="32"/>
          <w:lang w:val="en-US" w:eastAsia="zh-CN"/>
        </w:rPr>
        <w:t>预留</w:t>
      </w:r>
      <w:r>
        <w:rPr>
          <w:rFonts w:hint="eastAsia" w:ascii="Times New Roman" w:hAnsi="Times New Roman" w:eastAsia="仿宋_GB2312"/>
          <w:sz w:val="32"/>
          <w:szCs w:val="32"/>
        </w:rPr>
        <w:t>疫苗采购质保金</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5</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（类）农业农村（款）农产品质量安全（项）。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455.99</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500.15</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10.68</w:t>
      </w:r>
      <w:r>
        <w:rPr>
          <w:rFonts w:hint="eastAsia" w:ascii="Times New Roman" w:hAnsi="Times New Roman" w:eastAsia="仿宋_GB2312"/>
          <w:sz w:val="32"/>
          <w:szCs w:val="32"/>
        </w:rPr>
        <w:t>%，决算数大于年初预算数的主要原因是：</w:t>
      </w:r>
      <w:r>
        <w:rPr>
          <w:rFonts w:hint="eastAsia" w:ascii="Times New Roman" w:hAnsi="Times New Roman" w:eastAsia="仿宋_GB2312"/>
          <w:sz w:val="32"/>
          <w:szCs w:val="32"/>
          <w:lang w:val="en-US" w:eastAsia="zh-CN"/>
        </w:rPr>
        <w:t>年中追加</w:t>
      </w:r>
      <w:r>
        <w:rPr>
          <w:rFonts w:hint="eastAsia" w:ascii="Times New Roman" w:hAnsi="Times New Roman" w:eastAsia="仿宋_GB2312"/>
          <w:sz w:val="32"/>
          <w:szCs w:val="32"/>
        </w:rPr>
        <w:t>农作物、畜禽种业安全监管</w:t>
      </w:r>
      <w:r>
        <w:rPr>
          <w:rFonts w:hint="eastAsia" w:ascii="Times New Roman" w:hAnsi="Times New Roman" w:eastAsia="仿宋_GB2312"/>
          <w:sz w:val="32"/>
          <w:szCs w:val="32"/>
          <w:lang w:val="en-US" w:eastAsia="zh-CN"/>
        </w:rPr>
        <w:t>项目资金。</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6</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（类）农业农村（款）执法监管（项）。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178.47</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134.07</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75.12</w:t>
      </w:r>
      <w:r>
        <w:rPr>
          <w:rFonts w:hint="eastAsia" w:ascii="Times New Roman" w:hAnsi="Times New Roman" w:eastAsia="仿宋_GB2312"/>
          <w:sz w:val="32"/>
          <w:szCs w:val="32"/>
        </w:rPr>
        <w:t>%，决算数小于年初预算数的主要原因是：部分培训、比赛因疫情原因取消或推迟</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7</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（类）农业农村（款）统计监测与信息服务（项）。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26.00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7.72</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29.69</w:t>
      </w:r>
      <w:r>
        <w:rPr>
          <w:rFonts w:hint="eastAsia" w:ascii="Times New Roman" w:hAnsi="Times New Roman" w:eastAsia="仿宋_GB2312"/>
          <w:sz w:val="32"/>
          <w:szCs w:val="32"/>
        </w:rPr>
        <w:t>%，决算数小于年初预算数的主要原因是：2021年全省畜牧业统计行业年报业务培训班及年报汇审会因疫情原因推迟</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8</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（类）农业农村（款）行业业务管理（项）。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16.59</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%，决算数小于年初预算数的主要原因是：因疫情原因</w:t>
      </w:r>
      <w:r>
        <w:rPr>
          <w:rFonts w:hint="eastAsia" w:ascii="Times New Roman" w:hAnsi="Times New Roman" w:eastAsia="仿宋_GB2312"/>
          <w:sz w:val="32"/>
          <w:szCs w:val="32"/>
          <w:lang w:val="en-US" w:eastAsia="zh-CN"/>
        </w:rPr>
        <w:t>全国</w:t>
      </w:r>
      <w:r>
        <w:rPr>
          <w:rFonts w:hint="eastAsia" w:ascii="Times New Roman" w:hAnsi="Times New Roman" w:eastAsia="仿宋_GB2312"/>
          <w:sz w:val="32"/>
          <w:szCs w:val="32"/>
        </w:rPr>
        <w:t>水产技术职业技能竞赛</w:t>
      </w:r>
      <w:r>
        <w:rPr>
          <w:rFonts w:hint="eastAsia" w:ascii="Times New Roman" w:hAnsi="Times New Roman" w:eastAsia="仿宋_GB2312"/>
          <w:sz w:val="32"/>
          <w:szCs w:val="32"/>
          <w:lang w:val="en-US" w:eastAsia="zh-CN"/>
        </w:rPr>
        <w:t>未举办，相关经费未支付。</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9</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（类）农业农村（款）农业生产发展（项）。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60.00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49.27</w:t>
      </w:r>
      <w:r>
        <w:rPr>
          <w:rFonts w:hint="eastAsia" w:ascii="Times New Roman" w:hAnsi="Times New Roman" w:eastAsia="仿宋_GB2312"/>
          <w:sz w:val="32"/>
          <w:szCs w:val="32"/>
        </w:rPr>
        <w:t>万元，完成年初预算的</w:t>
      </w:r>
      <w:r>
        <w:rPr>
          <w:rFonts w:hint="eastAsia" w:ascii="Times New Roman" w:hAnsi="Times New Roman" w:eastAsia="仿宋_GB2312"/>
          <w:sz w:val="32"/>
          <w:szCs w:val="32"/>
          <w:lang w:val="en-US" w:eastAsia="zh-CN"/>
        </w:rPr>
        <w:t>82.11</w:t>
      </w:r>
      <w:r>
        <w:rPr>
          <w:rFonts w:hint="eastAsia" w:ascii="Times New Roman" w:hAnsi="Times New Roman" w:eastAsia="仿宋_GB2312"/>
          <w:sz w:val="32"/>
          <w:szCs w:val="32"/>
        </w:rPr>
        <w:t>%，决算数小于年初预算数的主要原因是：项目执行完毕</w:t>
      </w:r>
      <w:r>
        <w:rPr>
          <w:rFonts w:hint="eastAsia" w:ascii="Times New Roman" w:hAnsi="Times New Roman" w:eastAsia="仿宋_GB2312"/>
          <w:sz w:val="32"/>
          <w:szCs w:val="32"/>
          <w:lang w:val="en-US" w:eastAsia="zh-CN"/>
        </w:rPr>
        <w:t>有</w:t>
      </w:r>
      <w:r>
        <w:rPr>
          <w:rFonts w:hint="eastAsia" w:ascii="Times New Roman" w:hAnsi="Times New Roman" w:eastAsia="仿宋_GB2312"/>
          <w:sz w:val="32"/>
          <w:szCs w:val="32"/>
        </w:rPr>
        <w:t>结余</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10</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（类）农业农村（款）农业资源保护修复与利用（项）。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10.00</w:t>
      </w:r>
      <w:r>
        <w:rPr>
          <w:rFonts w:hint="eastAsia" w:ascii="Times New Roman" w:hAnsi="Times New Roman" w:eastAsia="仿宋_GB2312"/>
          <w:sz w:val="32"/>
          <w:szCs w:val="32"/>
        </w:rPr>
        <w:t>万元，决算数大于年初预算数的主要原因是：</w:t>
      </w:r>
      <w:r>
        <w:rPr>
          <w:rFonts w:hint="eastAsia" w:ascii="Times New Roman" w:hAnsi="Times New Roman" w:eastAsia="仿宋_GB2312"/>
          <w:sz w:val="32"/>
          <w:szCs w:val="32"/>
          <w:lang w:val="en-US" w:eastAsia="zh-CN"/>
        </w:rPr>
        <w:t>年中追加</w:t>
      </w:r>
      <w:r>
        <w:rPr>
          <w:rFonts w:hint="eastAsia" w:ascii="Times New Roman" w:hAnsi="Times New Roman" w:eastAsia="仿宋_GB2312"/>
          <w:sz w:val="32"/>
          <w:szCs w:val="32"/>
        </w:rPr>
        <w:t>2022年农业种质资源保护与利用</w:t>
      </w:r>
      <w:r>
        <w:rPr>
          <w:rFonts w:hint="eastAsia" w:ascii="Times New Roman" w:hAnsi="Times New Roman" w:eastAsia="仿宋_GB2312"/>
          <w:sz w:val="32"/>
          <w:szCs w:val="32"/>
          <w:lang w:val="en-US" w:eastAsia="zh-CN"/>
        </w:rPr>
        <w:t>项目资金。</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11</w:t>
      </w:r>
      <w:r>
        <w:rPr>
          <w:rFonts w:hint="eastAsia" w:ascii="Times New Roman" w:hAnsi="Times New Roman" w:eastAsia="仿宋_GB2312"/>
          <w:sz w:val="32"/>
          <w:szCs w:val="32"/>
        </w:rPr>
        <w:t>、</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（类）农业农村（款）其他农业农村支出（项）。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3327.82</w:t>
      </w:r>
      <w:r>
        <w:rPr>
          <w:rFonts w:hint="eastAsia" w:ascii="Times New Roman" w:hAnsi="Times New Roman" w:eastAsia="仿宋_GB2312"/>
          <w:sz w:val="32"/>
          <w:szCs w:val="32"/>
        </w:rPr>
        <w:t>万元，决算数大于年初预算数的主要原因是：</w:t>
      </w:r>
      <w:r>
        <w:rPr>
          <w:rFonts w:hint="eastAsia" w:ascii="Times New Roman" w:hAnsi="Times New Roman" w:eastAsia="仿宋_GB2312"/>
          <w:sz w:val="32"/>
          <w:szCs w:val="32"/>
          <w:lang w:val="en-US" w:eastAsia="zh-CN"/>
        </w:rPr>
        <w:t>年中追加</w:t>
      </w:r>
      <w:r>
        <w:rPr>
          <w:rFonts w:hint="eastAsia" w:ascii="Times New Roman" w:hAnsi="Times New Roman" w:eastAsia="仿宋_GB2312"/>
          <w:sz w:val="32"/>
          <w:szCs w:val="32"/>
        </w:rPr>
        <w:t>现代农业支撑体系</w:t>
      </w:r>
      <w:r>
        <w:rPr>
          <w:rFonts w:hint="eastAsia" w:ascii="Times New Roman" w:hAnsi="Times New Roman" w:eastAsia="仿宋_GB2312"/>
          <w:sz w:val="32"/>
          <w:szCs w:val="32"/>
          <w:lang w:val="en-US" w:eastAsia="zh-CN"/>
        </w:rPr>
        <w:t>等项目。</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lang w:val="en-US" w:eastAsia="zh-CN"/>
        </w:rPr>
        <w:t>1</w:t>
      </w:r>
      <w:r>
        <w:rPr>
          <w:rFonts w:hint="eastAsia" w:ascii="Times New Roman" w:hAnsi="Times New Roman" w:eastAsia="仿宋_GB2312"/>
          <w:sz w:val="32"/>
          <w:szCs w:val="32"/>
        </w:rPr>
        <w:t>2、</w:t>
      </w:r>
      <w:r>
        <w:rPr>
          <w:rFonts w:hint="eastAsia" w:ascii="Times New Roman" w:hAnsi="Times New Roman" w:eastAsia="仿宋_GB2312"/>
          <w:sz w:val="32"/>
          <w:szCs w:val="32"/>
          <w:lang w:val="en-US" w:eastAsia="zh-CN"/>
        </w:rPr>
        <w:t>农林水</w:t>
      </w:r>
      <w:r>
        <w:rPr>
          <w:rFonts w:hint="eastAsia" w:ascii="Times New Roman" w:hAnsi="Times New Roman" w:eastAsia="仿宋_GB2312"/>
          <w:sz w:val="32"/>
          <w:szCs w:val="32"/>
        </w:rPr>
        <w:t>（类）水利（款）行政运行（项）。</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default" w:ascii="Times New Roman" w:hAnsi="Times New Roman" w:eastAsia="仿宋_GB2312"/>
          <w:sz w:val="32"/>
          <w:szCs w:val="32"/>
          <w:lang w:val="en-US" w:eastAsia="zh-CN"/>
        </w:rPr>
      </w:pPr>
      <w:r>
        <w:rPr>
          <w:rFonts w:hint="eastAsia" w:ascii="Times New Roman" w:hAnsi="Times New Roman" w:eastAsia="仿宋_GB2312"/>
          <w:sz w:val="32"/>
          <w:szCs w:val="32"/>
        </w:rPr>
        <w:t>年初预算为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826.17</w:t>
      </w:r>
      <w:r>
        <w:rPr>
          <w:rFonts w:hint="eastAsia" w:ascii="Times New Roman" w:hAnsi="Times New Roman" w:eastAsia="仿宋_GB2312"/>
          <w:sz w:val="32"/>
          <w:szCs w:val="32"/>
        </w:rPr>
        <w:t>万元，决算数大于年初预算数的主要原因是：</w:t>
      </w:r>
      <w:r>
        <w:rPr>
          <w:rFonts w:hint="eastAsia" w:ascii="Times New Roman" w:hAnsi="Times New Roman" w:eastAsia="仿宋_GB2312"/>
          <w:sz w:val="32"/>
          <w:szCs w:val="32"/>
          <w:lang w:val="en-US" w:eastAsia="zh-CN"/>
        </w:rPr>
        <w:t>年中追加绩效奖金。</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六、一般公共预算财政拨款基本支出决算情况说明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年度财政拨款基本支出</w:t>
      </w:r>
      <w:r>
        <w:rPr>
          <w:rFonts w:hint="eastAsia" w:ascii="Times New Roman" w:hAnsi="Times New Roman" w:eastAsia="仿宋_GB2312"/>
          <w:sz w:val="32"/>
          <w:szCs w:val="32"/>
          <w:lang w:val="en-US" w:eastAsia="zh-CN"/>
        </w:rPr>
        <w:t>4108.55</w:t>
      </w:r>
      <w:r>
        <w:rPr>
          <w:rFonts w:hint="eastAsia" w:ascii="Times New Roman" w:hAnsi="Times New Roman" w:eastAsia="仿宋_GB2312"/>
          <w:sz w:val="32"/>
          <w:szCs w:val="32"/>
        </w:rPr>
        <w:t>万元，其中：</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default" w:ascii="Times New Roman" w:hAnsi="Times New Roman" w:eastAsia="仿宋_GB2312"/>
          <w:color w:val="auto"/>
          <w:sz w:val="32"/>
          <w:szCs w:val="32"/>
          <w:lang w:val="en-US" w:eastAsia="zh-CN"/>
        </w:rPr>
      </w:pPr>
      <w:r>
        <w:rPr>
          <w:rFonts w:hint="eastAsia" w:ascii="Times New Roman" w:hAnsi="Times New Roman" w:eastAsia="仿宋_GB2312"/>
          <w:b/>
          <w:bCs/>
          <w:sz w:val="32"/>
          <w:szCs w:val="32"/>
        </w:rPr>
        <w:t>人员经费</w:t>
      </w:r>
      <w:r>
        <w:rPr>
          <w:rFonts w:hint="eastAsia" w:ascii="Times New Roman" w:hAnsi="Times New Roman" w:eastAsia="仿宋_GB2312"/>
          <w:sz w:val="32"/>
          <w:szCs w:val="32"/>
          <w:lang w:val="en-US" w:eastAsia="zh-CN"/>
        </w:rPr>
        <w:t>3523.25</w:t>
      </w:r>
      <w:r>
        <w:rPr>
          <w:rFonts w:hint="eastAsia" w:ascii="Times New Roman" w:hAnsi="Times New Roman" w:eastAsia="仿宋_GB2312"/>
          <w:sz w:val="32"/>
          <w:szCs w:val="32"/>
        </w:rPr>
        <w:t>万元，占基本支出的</w:t>
      </w:r>
      <w:r>
        <w:rPr>
          <w:rFonts w:hint="eastAsia" w:ascii="Times New Roman" w:hAnsi="Times New Roman" w:eastAsia="仿宋_GB2312"/>
          <w:sz w:val="32"/>
          <w:szCs w:val="32"/>
          <w:lang w:val="en-US" w:eastAsia="zh-CN"/>
        </w:rPr>
        <w:t>85.75</w:t>
      </w:r>
      <w:r>
        <w:rPr>
          <w:rFonts w:hint="eastAsia" w:ascii="Times New Roman" w:hAnsi="Times New Roman" w:eastAsia="仿宋_GB2312"/>
          <w:sz w:val="32"/>
          <w:szCs w:val="32"/>
        </w:rPr>
        <w:t>%,主要包括基本工资、津贴补贴、奖金、伙食补助费</w:t>
      </w:r>
      <w:r>
        <w:rPr>
          <w:rFonts w:hint="eastAsia" w:ascii="Times New Roman" w:hAnsi="Times New Roman" w:eastAsia="仿宋_GB2312"/>
          <w:sz w:val="32"/>
          <w:szCs w:val="32"/>
          <w:lang w:eastAsia="zh-CN"/>
        </w:rPr>
        <w:t>、</w:t>
      </w:r>
      <w:r>
        <w:rPr>
          <w:rFonts w:hint="eastAsia" w:ascii="Times New Roman" w:hAnsi="Times New Roman" w:eastAsia="仿宋_GB2312"/>
          <w:color w:val="auto"/>
          <w:sz w:val="32"/>
          <w:szCs w:val="32"/>
          <w:lang w:val="en-US" w:eastAsia="zh-CN"/>
        </w:rPr>
        <w:t>机关事业单位基本养老保险缴费、职工基本医疗保险缴费、公务员医疗补助缴费、其他社会保障缴费、住房公积金、离休费、退休费、奖励金、抚恤金、生活补助、医疗补助、其他对个人和家庭的补助等。</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default" w:ascii="Times New Roman" w:hAnsi="Times New Roman" w:eastAsia="仿宋_GB2312"/>
          <w:b/>
          <w:color w:val="auto"/>
          <w:sz w:val="32"/>
          <w:szCs w:val="32"/>
          <w:lang w:val="en-US" w:eastAsia="zh-CN"/>
        </w:rPr>
      </w:pPr>
      <w:r>
        <w:rPr>
          <w:rFonts w:hint="eastAsia" w:ascii="Times New Roman" w:hAnsi="Times New Roman" w:eastAsia="仿宋_GB2312"/>
          <w:b/>
          <w:bCs/>
          <w:sz w:val="32"/>
          <w:szCs w:val="32"/>
        </w:rPr>
        <w:t>公用经费</w:t>
      </w:r>
      <w:r>
        <w:rPr>
          <w:rFonts w:hint="eastAsia" w:ascii="Times New Roman" w:hAnsi="Times New Roman" w:eastAsia="仿宋_GB2312"/>
          <w:sz w:val="32"/>
          <w:szCs w:val="32"/>
          <w:lang w:val="en-US" w:eastAsia="zh-CN"/>
        </w:rPr>
        <w:t>585.30</w:t>
      </w:r>
      <w:r>
        <w:rPr>
          <w:rFonts w:hint="eastAsia" w:ascii="Times New Roman" w:hAnsi="Times New Roman" w:eastAsia="仿宋_GB2312"/>
          <w:sz w:val="32"/>
          <w:szCs w:val="32"/>
        </w:rPr>
        <w:t>万元，占基本支出的</w:t>
      </w:r>
      <w:r>
        <w:rPr>
          <w:rFonts w:hint="eastAsia" w:ascii="Times New Roman" w:hAnsi="Times New Roman" w:eastAsia="仿宋_GB2312"/>
          <w:sz w:val="32"/>
          <w:szCs w:val="32"/>
          <w:lang w:val="en-US" w:eastAsia="zh-CN"/>
        </w:rPr>
        <w:t>14.25</w:t>
      </w:r>
      <w:r>
        <w:rPr>
          <w:rFonts w:hint="eastAsia" w:ascii="Times New Roman" w:hAnsi="Times New Roman" w:eastAsia="仿宋_GB2312"/>
          <w:sz w:val="32"/>
          <w:szCs w:val="32"/>
        </w:rPr>
        <w:t>%，主要包括</w:t>
      </w:r>
      <w:r>
        <w:rPr>
          <w:rFonts w:hint="eastAsia" w:ascii="Times New Roman" w:hAnsi="Times New Roman" w:eastAsia="仿宋_GB2312"/>
          <w:color w:val="auto"/>
          <w:sz w:val="32"/>
          <w:szCs w:val="32"/>
        </w:rPr>
        <w:t>办公费、印刷费、咨询费、</w:t>
      </w:r>
      <w:r>
        <w:rPr>
          <w:rFonts w:hint="eastAsia" w:ascii="Times New Roman" w:hAnsi="Times New Roman" w:eastAsia="仿宋_GB2312"/>
          <w:color w:val="auto"/>
          <w:sz w:val="32"/>
          <w:szCs w:val="32"/>
          <w:lang w:val="en-US" w:eastAsia="zh-CN"/>
        </w:rPr>
        <w:t>水费、电费、邮电费、物业管理费、差旅费、维修（护）费、租赁费、培训费、公务接待费、劳务费、工会经费、福利费、公务用车运行维护费、其他交通费等。</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b/>
          <w:sz w:val="32"/>
          <w:szCs w:val="32"/>
        </w:rPr>
      </w:pPr>
      <w:r>
        <w:rPr>
          <w:rFonts w:hint="eastAsia" w:ascii="黑体" w:hAnsi="黑体" w:eastAsia="黑体" w:cs="黑体"/>
          <w:b w:val="0"/>
          <w:bCs/>
          <w:sz w:val="32"/>
          <w:szCs w:val="32"/>
        </w:rPr>
        <w:t>七、财政拨款三公经费支出决算情况说明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楷体" w:hAnsi="楷体" w:eastAsia="楷体" w:cs="楷体"/>
          <w:b/>
          <w:bCs w:val="0"/>
          <w:sz w:val="32"/>
          <w:szCs w:val="32"/>
        </w:rPr>
      </w:pPr>
      <w:r>
        <w:rPr>
          <w:rFonts w:hint="eastAsia" w:ascii="楷体" w:hAnsi="楷体" w:eastAsia="楷体" w:cs="楷体"/>
          <w:b/>
          <w:bCs w:val="0"/>
          <w:sz w:val="32"/>
          <w:szCs w:val="32"/>
        </w:rPr>
        <w:t>（一）“三公”经费财政拨款支出决算总体情况说明</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rPr>
        <w:t>“三公”经费财政拨款支出预算为</w:t>
      </w:r>
      <w:r>
        <w:rPr>
          <w:rFonts w:hint="eastAsia" w:ascii="Times New Roman" w:hAnsi="Times New Roman" w:eastAsia="仿宋_GB2312"/>
          <w:sz w:val="32"/>
          <w:szCs w:val="32"/>
          <w:lang w:val="en-US" w:eastAsia="zh-CN"/>
        </w:rPr>
        <w:t>113.00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32.04</w:t>
      </w:r>
      <w:r>
        <w:rPr>
          <w:rFonts w:hint="eastAsia" w:ascii="Times New Roman" w:hAnsi="Times New Roman" w:eastAsia="仿宋_GB2312"/>
          <w:sz w:val="32"/>
          <w:szCs w:val="32"/>
        </w:rPr>
        <w:t>万元，完成预算的</w:t>
      </w:r>
      <w:r>
        <w:rPr>
          <w:rFonts w:hint="eastAsia" w:ascii="Times New Roman" w:hAnsi="Times New Roman" w:eastAsia="仿宋_GB2312"/>
          <w:sz w:val="32"/>
          <w:szCs w:val="32"/>
          <w:lang w:val="en-US" w:eastAsia="zh-CN"/>
        </w:rPr>
        <w:t>28.35</w:t>
      </w:r>
      <w:r>
        <w:rPr>
          <w:rFonts w:hint="eastAsia" w:ascii="Times New Roman" w:hAnsi="Times New Roman" w:eastAsia="仿宋_GB2312"/>
          <w:sz w:val="32"/>
          <w:szCs w:val="32"/>
        </w:rPr>
        <w:t>%，其中：</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rPr>
        <w:t>因公出国（境）费支出预算为</w:t>
      </w:r>
      <w:r>
        <w:rPr>
          <w:rFonts w:hint="eastAsia" w:ascii="Times New Roman" w:hAnsi="Times New Roman" w:eastAsia="仿宋_GB2312"/>
          <w:sz w:val="32"/>
          <w:szCs w:val="32"/>
          <w:lang w:val="en-US" w:eastAsia="zh-CN"/>
        </w:rPr>
        <w:t>13.00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万元，完成预算的</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%，决算数小</w:t>
      </w:r>
      <w:r>
        <w:rPr>
          <w:rFonts w:hint="eastAsia" w:ascii="Times New Roman" w:hAnsi="Times New Roman" w:eastAsia="仿宋_GB2312"/>
          <w:sz w:val="32"/>
          <w:szCs w:val="32"/>
          <w:lang w:val="en-US" w:eastAsia="zh-CN"/>
        </w:rPr>
        <w:t>于</w:t>
      </w:r>
      <w:r>
        <w:rPr>
          <w:rFonts w:hint="eastAsia" w:ascii="Times New Roman" w:hAnsi="Times New Roman" w:eastAsia="仿宋_GB2312"/>
          <w:sz w:val="32"/>
          <w:szCs w:val="32"/>
        </w:rPr>
        <w:t>预算数的主要原因是</w:t>
      </w:r>
      <w:r>
        <w:rPr>
          <w:rFonts w:hint="eastAsia" w:ascii="Times New Roman" w:hAnsi="Times New Roman" w:eastAsia="仿宋_GB2312"/>
          <w:sz w:val="32"/>
          <w:szCs w:val="32"/>
          <w:lang w:val="en-US" w:eastAsia="zh-CN"/>
        </w:rPr>
        <w:t>本年未安排因</w:t>
      </w:r>
      <w:r>
        <w:rPr>
          <w:rFonts w:hint="eastAsia" w:ascii="Times New Roman" w:hAnsi="Times New Roman" w:eastAsia="仿宋_GB2312"/>
          <w:sz w:val="32"/>
          <w:szCs w:val="32"/>
        </w:rPr>
        <w:t>公出国（境）</w:t>
      </w:r>
      <w:r>
        <w:rPr>
          <w:rFonts w:hint="eastAsia" w:ascii="Times New Roman" w:hAnsi="Times New Roman" w:eastAsia="仿宋_GB2312"/>
          <w:sz w:val="32"/>
          <w:szCs w:val="32"/>
          <w:lang w:val="en-US" w:eastAsia="zh-CN"/>
        </w:rPr>
        <w:t>事务</w:t>
      </w:r>
      <w:r>
        <w:rPr>
          <w:rFonts w:hint="eastAsia" w:ascii="Times New Roman" w:hAnsi="Times New Roman" w:eastAsia="仿宋_GB2312"/>
          <w:sz w:val="32"/>
          <w:szCs w:val="32"/>
        </w:rPr>
        <w:t>，与上年相比</w:t>
      </w:r>
      <w:r>
        <w:rPr>
          <w:rFonts w:hint="eastAsia" w:ascii="Times New Roman" w:hAnsi="Times New Roman" w:eastAsia="仿宋_GB2312"/>
          <w:sz w:val="32"/>
          <w:szCs w:val="32"/>
          <w:lang w:val="en-US" w:eastAsia="zh-CN"/>
        </w:rPr>
        <w:t>持平</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r>
        <w:rPr>
          <w:rFonts w:hint="eastAsia" w:ascii="Times New Roman" w:hAnsi="Times New Roman" w:eastAsia="仿宋_GB2312"/>
          <w:sz w:val="32"/>
          <w:szCs w:val="32"/>
        </w:rPr>
        <w:t>公务接待费支出预算为</w:t>
      </w:r>
      <w:r>
        <w:rPr>
          <w:rFonts w:hint="eastAsia" w:ascii="Times New Roman" w:hAnsi="Times New Roman" w:eastAsia="仿宋_GB2312"/>
          <w:sz w:val="32"/>
          <w:szCs w:val="32"/>
          <w:lang w:val="en-US" w:eastAsia="zh-CN"/>
        </w:rPr>
        <w:t>30.00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0.87</w:t>
      </w:r>
      <w:r>
        <w:rPr>
          <w:rFonts w:hint="eastAsia" w:ascii="Times New Roman" w:hAnsi="Times New Roman" w:eastAsia="仿宋_GB2312"/>
          <w:sz w:val="32"/>
          <w:szCs w:val="32"/>
        </w:rPr>
        <w:t>万元，完成预算的</w:t>
      </w:r>
      <w:r>
        <w:rPr>
          <w:rFonts w:hint="eastAsia" w:ascii="Times New Roman" w:hAnsi="Times New Roman" w:eastAsia="仿宋_GB2312"/>
          <w:sz w:val="32"/>
          <w:szCs w:val="32"/>
          <w:lang w:val="en-US" w:eastAsia="zh-CN"/>
        </w:rPr>
        <w:t>2.90</w:t>
      </w:r>
      <w:r>
        <w:rPr>
          <w:rFonts w:hint="eastAsia" w:ascii="Times New Roman" w:hAnsi="Times New Roman" w:eastAsia="仿宋_GB2312"/>
          <w:sz w:val="32"/>
          <w:szCs w:val="32"/>
        </w:rPr>
        <w:t>%，决算数小于预算数的主要原因是厉行节约</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严格控制“三公经费”使用</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同时因疫情原因，减少公务接待任务，</w:t>
      </w:r>
      <w:r>
        <w:rPr>
          <w:rFonts w:hint="eastAsia" w:ascii="Times New Roman" w:hAnsi="Times New Roman" w:eastAsia="仿宋_GB2312"/>
          <w:sz w:val="32"/>
          <w:szCs w:val="32"/>
        </w:rPr>
        <w:t>与上年相比减少</w:t>
      </w:r>
      <w:r>
        <w:rPr>
          <w:rFonts w:hint="eastAsia" w:ascii="Times New Roman" w:hAnsi="Times New Roman" w:eastAsia="仿宋_GB2312"/>
          <w:sz w:val="32"/>
          <w:szCs w:val="32"/>
          <w:lang w:val="en-US" w:eastAsia="zh-CN"/>
        </w:rPr>
        <w:t>2.29</w:t>
      </w:r>
      <w:r>
        <w:rPr>
          <w:rFonts w:hint="eastAsia" w:ascii="Times New Roman" w:hAnsi="Times New Roman" w:eastAsia="仿宋_GB2312"/>
          <w:sz w:val="32"/>
          <w:szCs w:val="32"/>
        </w:rPr>
        <w:t>万元，减少</w:t>
      </w:r>
      <w:r>
        <w:rPr>
          <w:rFonts w:hint="eastAsia" w:ascii="Times New Roman" w:hAnsi="Times New Roman" w:eastAsia="仿宋_GB2312"/>
          <w:sz w:val="32"/>
          <w:szCs w:val="32"/>
          <w:lang w:val="en-US" w:eastAsia="zh-CN"/>
        </w:rPr>
        <w:t>72.47</w:t>
      </w:r>
      <w:r>
        <w:rPr>
          <w:rFonts w:hint="eastAsia" w:ascii="Times New Roman" w:hAnsi="Times New Roman" w:eastAsia="仿宋_GB2312"/>
          <w:sz w:val="32"/>
          <w:szCs w:val="32"/>
        </w:rPr>
        <w:t>%</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减少的主要原因是厉行节约</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严格控制“三公经费”使用</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同时因疫情原因，减少公务接待任务</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公务用车购置费支出预算为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万元，与上年相比减少</w:t>
      </w:r>
      <w:r>
        <w:rPr>
          <w:rFonts w:hint="eastAsia" w:ascii="Times New Roman" w:hAnsi="Times New Roman" w:eastAsia="仿宋_GB2312"/>
          <w:sz w:val="32"/>
          <w:szCs w:val="32"/>
          <w:lang w:val="en-US" w:eastAsia="zh-CN"/>
        </w:rPr>
        <w:t>17.98</w:t>
      </w:r>
      <w:r>
        <w:rPr>
          <w:rFonts w:hint="eastAsia" w:ascii="Times New Roman" w:hAnsi="Times New Roman" w:eastAsia="仿宋_GB2312"/>
          <w:sz w:val="32"/>
          <w:szCs w:val="32"/>
        </w:rPr>
        <w:t>万元，减少</w:t>
      </w:r>
      <w:r>
        <w:rPr>
          <w:rFonts w:hint="eastAsia" w:ascii="Times New Roman" w:hAnsi="Times New Roman" w:eastAsia="仿宋_GB2312"/>
          <w:sz w:val="32"/>
          <w:szCs w:val="32"/>
          <w:lang w:val="en-US" w:eastAsia="zh-CN"/>
        </w:rPr>
        <w:t>100</w:t>
      </w:r>
      <w:r>
        <w:rPr>
          <w:rFonts w:hint="eastAsia" w:ascii="Times New Roman" w:hAnsi="Times New Roman" w:eastAsia="仿宋_GB2312"/>
          <w:sz w:val="32"/>
          <w:szCs w:val="32"/>
        </w:rPr>
        <w:t>%</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减少的主要原因是</w:t>
      </w:r>
      <w:r>
        <w:rPr>
          <w:rFonts w:hint="eastAsia" w:ascii="Times New Roman" w:hAnsi="Times New Roman" w:eastAsia="仿宋_GB2312"/>
          <w:sz w:val="32"/>
          <w:szCs w:val="32"/>
          <w:lang w:val="en-US" w:eastAsia="zh-CN"/>
        </w:rPr>
        <w:t>本年未购置公务用车</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公务用车运行维护费支出预算为</w:t>
      </w:r>
      <w:r>
        <w:rPr>
          <w:rFonts w:hint="eastAsia" w:ascii="Times New Roman" w:hAnsi="Times New Roman" w:eastAsia="仿宋_GB2312"/>
          <w:sz w:val="32"/>
          <w:szCs w:val="32"/>
          <w:lang w:val="en-US" w:eastAsia="zh-CN"/>
        </w:rPr>
        <w:t>70.00</w:t>
      </w:r>
      <w:r>
        <w:rPr>
          <w:rFonts w:hint="eastAsia" w:ascii="Times New Roman" w:hAnsi="Times New Roman" w:eastAsia="仿宋_GB2312"/>
          <w:sz w:val="32"/>
          <w:szCs w:val="32"/>
        </w:rPr>
        <w:t>万元，支出决算为</w:t>
      </w:r>
      <w:r>
        <w:rPr>
          <w:rFonts w:hint="eastAsia" w:ascii="Times New Roman" w:hAnsi="Times New Roman" w:eastAsia="仿宋_GB2312"/>
          <w:sz w:val="32"/>
          <w:szCs w:val="32"/>
          <w:lang w:val="en-US" w:eastAsia="zh-CN"/>
        </w:rPr>
        <w:t>31.17</w:t>
      </w:r>
      <w:r>
        <w:rPr>
          <w:rFonts w:hint="eastAsia" w:ascii="Times New Roman" w:hAnsi="Times New Roman" w:eastAsia="仿宋_GB2312"/>
          <w:sz w:val="32"/>
          <w:szCs w:val="32"/>
        </w:rPr>
        <w:t>万元，完成预算的</w:t>
      </w:r>
      <w:r>
        <w:rPr>
          <w:rFonts w:hint="eastAsia" w:ascii="Times New Roman" w:hAnsi="Times New Roman" w:eastAsia="仿宋_GB2312"/>
          <w:sz w:val="32"/>
          <w:szCs w:val="32"/>
          <w:lang w:val="en-US" w:eastAsia="zh-CN"/>
        </w:rPr>
        <w:t>44.53</w:t>
      </w:r>
      <w:r>
        <w:rPr>
          <w:rFonts w:hint="eastAsia" w:ascii="Times New Roman" w:hAnsi="Times New Roman" w:eastAsia="仿宋_GB2312"/>
          <w:sz w:val="32"/>
          <w:szCs w:val="32"/>
        </w:rPr>
        <w:t>%</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决算数小于预算数的主要原因是</w:t>
      </w:r>
      <w:r>
        <w:rPr>
          <w:rFonts w:hint="eastAsia" w:ascii="Times New Roman" w:hAnsi="Times New Roman" w:eastAsia="仿宋_GB2312"/>
          <w:sz w:val="32"/>
          <w:szCs w:val="32"/>
          <w:lang w:val="en-US" w:eastAsia="zh-CN"/>
        </w:rPr>
        <w:t>因疫情原因公车出差任务减少</w:t>
      </w:r>
      <w:r>
        <w:rPr>
          <w:rFonts w:hint="eastAsia" w:ascii="Times New Roman" w:hAnsi="Times New Roman" w:eastAsia="仿宋_GB2312"/>
          <w:sz w:val="32"/>
          <w:szCs w:val="32"/>
        </w:rPr>
        <w:t>，与上年相比增加</w:t>
      </w:r>
      <w:r>
        <w:rPr>
          <w:rFonts w:hint="eastAsia" w:ascii="Times New Roman" w:hAnsi="Times New Roman" w:eastAsia="仿宋_GB2312"/>
          <w:sz w:val="32"/>
          <w:szCs w:val="32"/>
          <w:lang w:val="en-US" w:eastAsia="zh-CN"/>
        </w:rPr>
        <w:t>3.03</w:t>
      </w:r>
      <w:r>
        <w:rPr>
          <w:rFonts w:hint="eastAsia" w:ascii="Times New Roman" w:hAnsi="Times New Roman" w:eastAsia="仿宋_GB2312"/>
          <w:sz w:val="32"/>
          <w:szCs w:val="32"/>
        </w:rPr>
        <w:t>万元，增长</w:t>
      </w:r>
      <w:r>
        <w:rPr>
          <w:rFonts w:hint="eastAsia" w:ascii="Times New Roman" w:hAnsi="Times New Roman" w:eastAsia="仿宋_GB2312"/>
          <w:sz w:val="32"/>
          <w:szCs w:val="32"/>
          <w:lang w:val="en-US" w:eastAsia="zh-CN"/>
        </w:rPr>
        <w:t>10.77</w:t>
      </w:r>
      <w:r>
        <w:rPr>
          <w:rFonts w:hint="eastAsia" w:ascii="Times New Roman" w:hAnsi="Times New Roman" w:eastAsia="仿宋_GB2312"/>
          <w:sz w:val="32"/>
          <w:szCs w:val="32"/>
        </w:rPr>
        <w:t>%</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增长的主要原因是</w:t>
      </w:r>
      <w:r>
        <w:rPr>
          <w:rFonts w:hint="eastAsia" w:ascii="Times New Roman" w:hAnsi="Times New Roman" w:eastAsia="仿宋_GB2312"/>
          <w:sz w:val="32"/>
          <w:szCs w:val="32"/>
          <w:lang w:val="en-US" w:eastAsia="zh-CN"/>
        </w:rPr>
        <w:t>公务用车年限增长，维修维护费用略有增加</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楷体" w:hAnsi="楷体" w:eastAsia="楷体" w:cs="楷体"/>
          <w:b/>
          <w:bCs w:val="0"/>
          <w:sz w:val="32"/>
          <w:szCs w:val="32"/>
        </w:rPr>
      </w:pPr>
      <w:r>
        <w:rPr>
          <w:rFonts w:hint="eastAsia" w:ascii="楷体" w:hAnsi="楷体" w:eastAsia="楷体" w:cs="楷体"/>
          <w:b/>
          <w:bCs w:val="0"/>
          <w:sz w:val="32"/>
          <w:szCs w:val="32"/>
        </w:rPr>
        <w:t>（二）“三公”经费财政拨款支出决算具体情况说明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年度“三公”经费财政拨款支出决算中，公务接待费支出决算</w:t>
      </w:r>
      <w:r>
        <w:rPr>
          <w:rFonts w:hint="eastAsia" w:ascii="Times New Roman" w:hAnsi="Times New Roman" w:eastAsia="仿宋_GB2312"/>
          <w:sz w:val="32"/>
          <w:szCs w:val="32"/>
          <w:lang w:val="en-US" w:eastAsia="zh-CN"/>
        </w:rPr>
        <w:t>0.87</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2.72</w:t>
      </w:r>
      <w:r>
        <w:rPr>
          <w:rFonts w:hint="eastAsia" w:ascii="Times New Roman" w:hAnsi="Times New Roman" w:eastAsia="仿宋_GB2312"/>
          <w:sz w:val="32"/>
          <w:szCs w:val="32"/>
        </w:rPr>
        <w:t>%,因公出国（境）费支出决算</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%,公务用车购置费及运行维护费支出决算</w:t>
      </w:r>
      <w:r>
        <w:rPr>
          <w:rFonts w:hint="eastAsia" w:ascii="Times New Roman" w:hAnsi="Times New Roman" w:eastAsia="仿宋_GB2312"/>
          <w:sz w:val="32"/>
          <w:szCs w:val="32"/>
          <w:lang w:val="en-US" w:eastAsia="zh-CN"/>
        </w:rPr>
        <w:t>31.17</w:t>
      </w:r>
      <w:r>
        <w:rPr>
          <w:rFonts w:hint="eastAsia" w:ascii="Times New Roman" w:hAnsi="Times New Roman" w:eastAsia="仿宋_GB2312"/>
          <w:sz w:val="32"/>
          <w:szCs w:val="32"/>
        </w:rPr>
        <w:t>万元，占</w:t>
      </w:r>
      <w:r>
        <w:rPr>
          <w:rFonts w:hint="eastAsia" w:ascii="Times New Roman" w:hAnsi="Times New Roman" w:eastAsia="仿宋_GB2312"/>
          <w:sz w:val="32"/>
          <w:szCs w:val="32"/>
          <w:lang w:val="en-US" w:eastAsia="zh-CN"/>
        </w:rPr>
        <w:t>97.28</w:t>
      </w:r>
      <w:r>
        <w:rPr>
          <w:rFonts w:hint="eastAsia" w:ascii="Times New Roman" w:hAnsi="Times New Roman" w:eastAsia="仿宋_GB2312"/>
          <w:sz w:val="32"/>
          <w:szCs w:val="32"/>
        </w:rPr>
        <w:t>%。其中：</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Times New Roman" w:hAnsi="Times New Roman" w:eastAsia="仿宋_GB2312"/>
          <w:sz w:val="32"/>
          <w:szCs w:val="32"/>
        </w:rPr>
      </w:pPr>
      <w:r>
        <w:rPr>
          <w:rFonts w:hint="eastAsia" w:ascii="Times New Roman" w:hAnsi="Times New Roman" w:eastAsia="仿宋_GB2312"/>
          <w:sz w:val="32"/>
          <w:szCs w:val="32"/>
          <w:lang w:val="en-US" w:eastAsia="zh-CN"/>
        </w:rPr>
        <w:t>1、</w:t>
      </w:r>
      <w:r>
        <w:rPr>
          <w:rFonts w:hint="eastAsia" w:ascii="Times New Roman" w:hAnsi="Times New Roman" w:eastAsia="仿宋_GB2312"/>
          <w:sz w:val="32"/>
          <w:szCs w:val="32"/>
        </w:rPr>
        <w:t>因公出国（境）费支出决算为</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万元，全年安排因公出国（境）团组0个，累计0人次。</w:t>
      </w:r>
    </w:p>
    <w:p>
      <w:pPr>
        <w:pStyle w:val="12"/>
        <w:keepNext w:val="0"/>
        <w:keepLines w:val="0"/>
        <w:pageBreakBefore w:val="0"/>
        <w:widowControl w:val="0"/>
        <w:kinsoku/>
        <w:wordWrap/>
        <w:overflowPunct/>
        <w:topLinePunct w:val="0"/>
        <w:bidi w:val="0"/>
        <w:snapToGrid/>
        <w:spacing w:line="600" w:lineRule="exact"/>
        <w:ind w:firstLine="800" w:firstLineChars="250"/>
        <w:textAlignment w:val="auto"/>
        <w:rPr>
          <w:rFonts w:ascii="Times New Roman" w:hAnsi="Times New Roman" w:eastAsia="仿宋_GB2312"/>
          <w:sz w:val="32"/>
          <w:szCs w:val="32"/>
        </w:rPr>
      </w:pPr>
      <w:bookmarkStart w:id="2" w:name="_GoBack"/>
      <w:bookmarkEnd w:id="2"/>
      <w:r>
        <w:rPr>
          <w:rFonts w:hint="eastAsia" w:ascii="Times New Roman" w:hAnsi="Times New Roman" w:eastAsia="仿宋_GB2312"/>
          <w:sz w:val="32"/>
          <w:szCs w:val="32"/>
        </w:rPr>
        <w:t>2、公务接待费支出决算为</w:t>
      </w:r>
      <w:r>
        <w:rPr>
          <w:rFonts w:hint="eastAsia" w:ascii="Times New Roman" w:hAnsi="Times New Roman" w:eastAsia="仿宋_GB2312"/>
          <w:sz w:val="32"/>
          <w:szCs w:val="32"/>
          <w:lang w:val="en-US" w:eastAsia="zh-CN"/>
        </w:rPr>
        <w:t>0.87</w:t>
      </w:r>
      <w:r>
        <w:rPr>
          <w:rFonts w:hint="eastAsia" w:ascii="Times New Roman" w:hAnsi="Times New Roman" w:eastAsia="仿宋_GB2312"/>
          <w:sz w:val="32"/>
          <w:szCs w:val="32"/>
        </w:rPr>
        <w:t>万元，全年共接待来访团组</w:t>
      </w:r>
      <w:r>
        <w:rPr>
          <w:rFonts w:hint="eastAsia" w:ascii="Times New Roman" w:hAnsi="Times New Roman" w:eastAsia="仿宋_GB2312"/>
          <w:sz w:val="32"/>
          <w:szCs w:val="32"/>
          <w:lang w:val="en-US" w:eastAsia="zh-CN"/>
        </w:rPr>
        <w:t>12</w:t>
      </w:r>
      <w:r>
        <w:rPr>
          <w:rFonts w:hint="eastAsia" w:ascii="Times New Roman" w:hAnsi="Times New Roman" w:eastAsia="仿宋_GB2312"/>
          <w:sz w:val="32"/>
          <w:szCs w:val="32"/>
        </w:rPr>
        <w:t>个、来宾</w:t>
      </w:r>
      <w:r>
        <w:rPr>
          <w:rFonts w:hint="eastAsia" w:ascii="Times New Roman" w:hAnsi="Times New Roman" w:eastAsia="仿宋_GB2312"/>
          <w:sz w:val="32"/>
          <w:szCs w:val="32"/>
          <w:lang w:val="en-US" w:eastAsia="zh-CN"/>
        </w:rPr>
        <w:t>56</w:t>
      </w:r>
      <w:r>
        <w:rPr>
          <w:rFonts w:hint="eastAsia" w:ascii="Times New Roman" w:hAnsi="Times New Roman" w:eastAsia="仿宋_GB2312"/>
          <w:sz w:val="32"/>
          <w:szCs w:val="32"/>
        </w:rPr>
        <w:t>人次，主要是</w:t>
      </w:r>
      <w:r>
        <w:rPr>
          <w:rFonts w:hint="eastAsia" w:ascii="Times New Roman" w:hAnsi="Times New Roman" w:eastAsia="仿宋_GB2312"/>
          <w:sz w:val="32"/>
          <w:szCs w:val="32"/>
          <w:lang w:val="en-US" w:eastAsia="zh-CN"/>
        </w:rPr>
        <w:t>外省农业农村厅调研、</w:t>
      </w:r>
      <w:r>
        <w:rPr>
          <w:rFonts w:hint="eastAsia" w:ascii="Times New Roman" w:hAnsi="Times New Roman" w:eastAsia="仿宋_GB2312"/>
          <w:sz w:val="32"/>
          <w:szCs w:val="32"/>
        </w:rPr>
        <w:t>市州、县市区农业部门等单位联系</w:t>
      </w:r>
      <w:r>
        <w:rPr>
          <w:rFonts w:hint="eastAsia" w:ascii="Times New Roman" w:hAnsi="Times New Roman" w:eastAsia="仿宋_GB2312"/>
          <w:sz w:val="32"/>
          <w:szCs w:val="32"/>
          <w:lang w:val="en-US" w:eastAsia="zh-CN"/>
        </w:rPr>
        <w:t>汇报</w:t>
      </w:r>
      <w:r>
        <w:rPr>
          <w:rFonts w:hint="eastAsia" w:ascii="Times New Roman" w:hAnsi="Times New Roman" w:eastAsia="仿宋_GB2312"/>
          <w:sz w:val="32"/>
          <w:szCs w:val="32"/>
        </w:rPr>
        <w:t>工作发生的接待支出。</w:t>
      </w:r>
    </w:p>
    <w:p>
      <w:pPr>
        <w:keepNext w:val="0"/>
        <w:keepLines w:val="0"/>
        <w:pageBreakBefore w:val="0"/>
        <w:widowControl w:val="0"/>
        <w:kinsoku/>
        <w:wordWrap/>
        <w:overflowPunct/>
        <w:topLinePunct w:val="0"/>
        <w:bidi w:val="0"/>
        <w:snapToGrid/>
        <w:spacing w:line="600" w:lineRule="exact"/>
        <w:ind w:firstLine="800" w:firstLineChars="250"/>
        <w:textAlignment w:val="auto"/>
        <w:rPr>
          <w:rFonts w:hint="eastAsia" w:ascii="楷体" w:hAnsi="楷体" w:eastAsia="楷体" w:cs="楷体"/>
          <w:b/>
          <w:bCs/>
          <w:i/>
          <w:color w:val="auto"/>
          <w:kern w:val="0"/>
          <w:sz w:val="32"/>
          <w:szCs w:val="32"/>
          <w:lang w:val="en-US" w:eastAsia="zh-CN" w:bidi="ar-SA"/>
        </w:rPr>
      </w:pPr>
      <w:r>
        <w:rPr>
          <w:rFonts w:hint="eastAsia" w:ascii="Times New Roman" w:hAnsi="Times New Roman" w:eastAsia="仿宋_GB2312"/>
          <w:sz w:val="32"/>
          <w:szCs w:val="32"/>
        </w:rPr>
        <w:t>3、公务用车购置费及运行维护费支出决算为</w:t>
      </w:r>
      <w:r>
        <w:rPr>
          <w:rFonts w:hint="eastAsia" w:ascii="Times New Roman" w:hAnsi="Times New Roman" w:eastAsia="仿宋_GB2312"/>
          <w:sz w:val="32"/>
          <w:szCs w:val="32"/>
          <w:lang w:val="en-US" w:eastAsia="zh-CN"/>
        </w:rPr>
        <w:t>31.17</w:t>
      </w:r>
      <w:r>
        <w:rPr>
          <w:rFonts w:hint="eastAsia" w:ascii="Times New Roman" w:hAnsi="Times New Roman" w:eastAsia="仿宋_GB2312"/>
          <w:sz w:val="32"/>
          <w:szCs w:val="32"/>
        </w:rPr>
        <w:t>万元，其中：公务用车购置费</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w:t>
      </w:r>
      <w:r>
        <w:rPr>
          <w:rFonts w:hint="eastAsia" w:ascii="Times New Roman" w:hAnsi="Times New Roman" w:eastAsia="仿宋_GB2312"/>
          <w:sz w:val="32"/>
          <w:szCs w:val="32"/>
        </w:rPr>
        <w:t>，单位本级更新公务用车</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辆</w:t>
      </w:r>
      <w:r>
        <w:rPr>
          <w:rFonts w:hint="eastAsia" w:ascii="Times New Roman" w:hAnsi="Times New Roman" w:eastAsia="仿宋_GB2312"/>
          <w:color w:val="000000" w:themeColor="text1"/>
          <w:sz w:val="32"/>
          <w:szCs w:val="32"/>
          <w14:textFill>
            <w14:solidFill>
              <w14:schemeClr w14:val="tx1"/>
            </w14:solidFill>
          </w14:textFill>
        </w:rPr>
        <w:t>。</w:t>
      </w:r>
      <w:r>
        <w:rPr>
          <w:rFonts w:hint="eastAsia" w:ascii="Times New Roman" w:hAnsi="Times New Roman" w:eastAsia="仿宋_GB2312"/>
          <w:sz w:val="32"/>
          <w:szCs w:val="32"/>
        </w:rPr>
        <w:t>公务用车运行维护费</w:t>
      </w:r>
      <w:r>
        <w:rPr>
          <w:rFonts w:hint="eastAsia" w:ascii="Times New Roman" w:hAnsi="Times New Roman" w:eastAsia="仿宋_GB2312"/>
          <w:sz w:val="32"/>
          <w:szCs w:val="32"/>
          <w:lang w:val="en-US" w:eastAsia="zh-CN"/>
        </w:rPr>
        <w:t>31.17</w:t>
      </w:r>
      <w:r>
        <w:rPr>
          <w:rFonts w:hint="eastAsia" w:ascii="Times New Roman" w:hAnsi="Times New Roman" w:eastAsia="仿宋_GB2312"/>
          <w:sz w:val="32"/>
          <w:szCs w:val="32"/>
        </w:rPr>
        <w:t>万元，主要是车辆运行油料、维修维护及过路过桥费用支出，截止202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年12月31日，我单位开支财政拨款的公务用车保有量为</w:t>
      </w:r>
      <w:r>
        <w:rPr>
          <w:rFonts w:hint="eastAsia" w:ascii="Times New Roman" w:hAnsi="Times New Roman" w:eastAsia="仿宋_GB2312"/>
          <w:sz w:val="32"/>
          <w:szCs w:val="32"/>
          <w:lang w:val="en-US" w:eastAsia="zh-CN"/>
        </w:rPr>
        <w:t>8</w:t>
      </w:r>
      <w:r>
        <w:rPr>
          <w:rFonts w:hint="eastAsia" w:ascii="Times New Roman" w:hAnsi="Times New Roman" w:eastAsia="仿宋_GB2312"/>
          <w:sz w:val="32"/>
          <w:szCs w:val="32"/>
        </w:rPr>
        <w:t>辆。</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八、政府性基金预算收入支出决算情况</w:t>
      </w:r>
    </w:p>
    <w:p>
      <w:pPr>
        <w:pStyle w:val="12"/>
        <w:keepNext w:val="0"/>
        <w:keepLines w:val="0"/>
        <w:pageBreakBefore w:val="0"/>
        <w:widowControl w:val="0"/>
        <w:kinsoku/>
        <w:wordWrap/>
        <w:overflowPunct/>
        <w:topLinePunct w:val="0"/>
        <w:bidi w:val="0"/>
        <w:snapToGrid/>
        <w:spacing w:line="600" w:lineRule="exact"/>
        <w:textAlignment w:val="auto"/>
        <w:rPr>
          <w:rFonts w:hint="eastAsia" w:ascii="Times New Roman" w:hAnsi="Times New Roman" w:eastAsia="仿宋_GB2312" w:cstheme="minorBidi"/>
          <w:color w:val="auto"/>
          <w:kern w:val="2"/>
          <w:sz w:val="32"/>
          <w:szCs w:val="32"/>
          <w:lang w:val="en-US" w:eastAsia="zh-CN" w:bidi="ar-SA"/>
        </w:rPr>
      </w:pPr>
      <w:r>
        <w:rPr>
          <w:rFonts w:hint="eastAsia" w:ascii="Times New Roman" w:hAnsi="Times New Roman" w:eastAsia="仿宋_GB2312"/>
          <w:sz w:val="32"/>
          <w:szCs w:val="32"/>
        </w:rPr>
        <w:t xml:space="preserve">   </w:t>
      </w:r>
      <w:r>
        <w:rPr>
          <w:rFonts w:hint="eastAsia" w:ascii="Times New Roman" w:hAnsi="Times New Roman" w:eastAsia="仿宋_GB2312"/>
          <w:sz w:val="32"/>
          <w:szCs w:val="32"/>
          <w:lang w:val="en-US" w:eastAsia="zh-CN"/>
        </w:rPr>
        <w:t xml:space="preserve"> </w:t>
      </w:r>
      <w:r>
        <w:rPr>
          <w:rFonts w:hint="eastAsia" w:ascii="Times New Roman" w:hAnsi="Times New Roman" w:eastAsia="仿宋_GB2312" w:cstheme="minorBidi"/>
          <w:color w:val="auto"/>
          <w:kern w:val="2"/>
          <w:sz w:val="32"/>
          <w:szCs w:val="32"/>
          <w:lang w:val="en-US" w:eastAsia="zh-CN" w:bidi="ar-SA"/>
        </w:rPr>
        <w:t>本单位无政府性基金收支。</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九、关于机关运行经费支出说明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本部门202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年度机关运行经费支出</w:t>
      </w:r>
      <w:r>
        <w:rPr>
          <w:rFonts w:hint="eastAsia" w:ascii="Times New Roman" w:hAnsi="Times New Roman" w:eastAsia="仿宋_GB2312"/>
          <w:sz w:val="32"/>
          <w:szCs w:val="32"/>
          <w:lang w:val="en-US" w:eastAsia="zh-CN"/>
        </w:rPr>
        <w:t>585.30</w:t>
      </w:r>
      <w:r>
        <w:rPr>
          <w:rFonts w:hint="eastAsia" w:ascii="Times New Roman" w:hAnsi="Times New Roman" w:eastAsia="仿宋_GB2312"/>
          <w:sz w:val="32"/>
          <w:szCs w:val="32"/>
        </w:rPr>
        <w:t>万元，比上年决算数减少</w:t>
      </w:r>
      <w:r>
        <w:rPr>
          <w:rFonts w:hint="eastAsia" w:ascii="Times New Roman" w:hAnsi="Times New Roman" w:eastAsia="仿宋_GB2312"/>
          <w:sz w:val="32"/>
          <w:szCs w:val="32"/>
          <w:lang w:val="en-US" w:eastAsia="zh-CN"/>
        </w:rPr>
        <w:t>85.47</w:t>
      </w:r>
      <w:r>
        <w:rPr>
          <w:rFonts w:hint="eastAsia" w:ascii="Times New Roman" w:hAnsi="Times New Roman" w:eastAsia="仿宋_GB2312"/>
          <w:sz w:val="32"/>
          <w:szCs w:val="32"/>
        </w:rPr>
        <w:t>万元，降低</w:t>
      </w:r>
      <w:r>
        <w:rPr>
          <w:rFonts w:hint="eastAsia" w:ascii="Times New Roman" w:hAnsi="Times New Roman" w:eastAsia="仿宋_GB2312"/>
          <w:sz w:val="32"/>
          <w:szCs w:val="32"/>
          <w:lang w:val="en-US" w:eastAsia="zh-CN"/>
        </w:rPr>
        <w:t>12.74</w:t>
      </w:r>
      <w:r>
        <w:rPr>
          <w:rFonts w:hint="eastAsia" w:ascii="Times New Roman" w:hAnsi="Times New Roman" w:eastAsia="仿宋_GB2312"/>
          <w:sz w:val="32"/>
          <w:szCs w:val="32"/>
        </w:rPr>
        <w:t>%。主要原因是：厉行节约</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严格</w:t>
      </w:r>
      <w:r>
        <w:rPr>
          <w:rFonts w:hint="eastAsia" w:ascii="Times New Roman" w:hAnsi="Times New Roman" w:eastAsia="仿宋_GB2312"/>
          <w:sz w:val="32"/>
          <w:szCs w:val="32"/>
        </w:rPr>
        <w:t>压缩公用经费开支。</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十、一般性支出情况说明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lang w:eastAsia="zh-CN"/>
        </w:rPr>
      </w:pP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年本部门开支会议费</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万元，开支培训费</w:t>
      </w:r>
      <w:r>
        <w:rPr>
          <w:rFonts w:hint="eastAsia" w:ascii="Times New Roman" w:hAnsi="Times New Roman" w:eastAsia="仿宋_GB2312"/>
          <w:sz w:val="32"/>
          <w:szCs w:val="32"/>
          <w:lang w:val="en-US" w:eastAsia="zh-CN"/>
        </w:rPr>
        <w:t>0.21</w:t>
      </w:r>
      <w:r>
        <w:rPr>
          <w:rFonts w:hint="eastAsia" w:ascii="Times New Roman" w:hAnsi="Times New Roman" w:eastAsia="仿宋_GB2312"/>
          <w:sz w:val="32"/>
          <w:szCs w:val="32"/>
        </w:rPr>
        <w:t>万元，用于开展事业单位工作人员网络培训</w:t>
      </w:r>
      <w:r>
        <w:rPr>
          <w:rFonts w:hint="eastAsia" w:ascii="Times New Roman" w:hAnsi="Times New Roman" w:eastAsia="仿宋_GB2312"/>
          <w:sz w:val="32"/>
          <w:szCs w:val="32"/>
          <w:lang w:eastAsia="zh-CN"/>
        </w:rPr>
        <w:t>、畜牧业高质量发展培训班培训</w:t>
      </w:r>
      <w:r>
        <w:rPr>
          <w:rFonts w:hint="eastAsia" w:ascii="Times New Roman" w:hAnsi="Times New Roman" w:eastAsia="仿宋_GB2312"/>
          <w:sz w:val="32"/>
          <w:szCs w:val="32"/>
        </w:rPr>
        <w:t>，人数</w:t>
      </w:r>
      <w:r>
        <w:rPr>
          <w:rFonts w:hint="eastAsia" w:ascii="Times New Roman" w:hAnsi="Times New Roman" w:eastAsia="仿宋_GB2312"/>
          <w:sz w:val="32"/>
          <w:szCs w:val="32"/>
          <w:lang w:val="en-US" w:eastAsia="zh-CN"/>
        </w:rPr>
        <w:t>4</w:t>
      </w:r>
      <w:r>
        <w:rPr>
          <w:rFonts w:hint="eastAsia" w:ascii="Times New Roman" w:hAnsi="Times New Roman" w:eastAsia="仿宋_GB2312"/>
          <w:sz w:val="32"/>
          <w:szCs w:val="32"/>
        </w:rPr>
        <w:t>人，内容为事业单位工作人员网络培训</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rPr>
        <w:t>畜牧业高质量发展培训班培训；</w:t>
      </w:r>
      <w:r>
        <w:rPr>
          <w:rFonts w:hint="eastAsia" w:ascii="Times New Roman" w:hAnsi="Times New Roman" w:eastAsia="仿宋_GB2312"/>
          <w:sz w:val="32"/>
          <w:szCs w:val="32"/>
          <w:lang w:val="en-US" w:eastAsia="zh-CN"/>
        </w:rPr>
        <w:t>未</w:t>
      </w:r>
      <w:r>
        <w:rPr>
          <w:rFonts w:hint="eastAsia" w:ascii="Times New Roman" w:hAnsi="Times New Roman" w:eastAsia="仿宋_GB2312"/>
          <w:sz w:val="32"/>
          <w:szCs w:val="32"/>
        </w:rPr>
        <w:t>举办节庆、晚会、论坛、赛事活动</w:t>
      </w:r>
      <w:r>
        <w:rPr>
          <w:rFonts w:hint="eastAsia" w:ascii="Times New Roman" w:hAnsi="Times New Roman" w:eastAsia="仿宋_GB2312"/>
          <w:sz w:val="32"/>
          <w:szCs w:val="32"/>
          <w:lang w:eastAsia="zh-CN"/>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十一、关于政府采购支出说明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本部门202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年度政府采购支出总额</w:t>
      </w:r>
      <w:r>
        <w:rPr>
          <w:rFonts w:hint="eastAsia" w:ascii="Times New Roman" w:hAnsi="Times New Roman" w:eastAsia="仿宋_GB2312"/>
          <w:sz w:val="32"/>
          <w:szCs w:val="32"/>
          <w:lang w:val="en-US" w:eastAsia="zh-CN"/>
        </w:rPr>
        <w:t>8885.68</w:t>
      </w:r>
      <w:r>
        <w:rPr>
          <w:rFonts w:hint="eastAsia" w:ascii="Times New Roman" w:hAnsi="Times New Roman" w:eastAsia="仿宋_GB2312"/>
          <w:sz w:val="32"/>
          <w:szCs w:val="32"/>
        </w:rPr>
        <w:t>万元，其中：政府采购货物支出</w:t>
      </w:r>
      <w:r>
        <w:rPr>
          <w:rFonts w:hint="eastAsia" w:ascii="Times New Roman" w:hAnsi="Times New Roman" w:eastAsia="仿宋_GB2312"/>
          <w:sz w:val="32"/>
          <w:szCs w:val="32"/>
          <w:lang w:val="en-US" w:eastAsia="zh-CN"/>
        </w:rPr>
        <w:t>8606.79</w:t>
      </w:r>
      <w:r>
        <w:rPr>
          <w:rFonts w:hint="eastAsia" w:ascii="Times New Roman" w:hAnsi="Times New Roman" w:eastAsia="仿宋_GB2312"/>
          <w:sz w:val="32"/>
          <w:szCs w:val="32"/>
        </w:rPr>
        <w:t>万元、政府采购工程支出</w:t>
      </w:r>
      <w:r>
        <w:rPr>
          <w:rFonts w:hint="eastAsia" w:ascii="Times New Roman" w:hAnsi="Times New Roman" w:eastAsia="仿宋_GB2312"/>
          <w:sz w:val="32"/>
          <w:szCs w:val="32"/>
          <w:lang w:val="en-US" w:eastAsia="zh-CN"/>
        </w:rPr>
        <w:t>167.54</w:t>
      </w:r>
      <w:r>
        <w:rPr>
          <w:rFonts w:hint="eastAsia" w:ascii="Times New Roman" w:hAnsi="Times New Roman" w:eastAsia="仿宋_GB2312"/>
          <w:sz w:val="32"/>
          <w:szCs w:val="32"/>
        </w:rPr>
        <w:t>万元、政府采购服务支出</w:t>
      </w:r>
      <w:r>
        <w:rPr>
          <w:rFonts w:hint="eastAsia" w:ascii="Times New Roman" w:hAnsi="Times New Roman" w:eastAsia="仿宋_GB2312"/>
          <w:sz w:val="32"/>
          <w:szCs w:val="32"/>
          <w:lang w:val="en-US" w:eastAsia="zh-CN"/>
        </w:rPr>
        <w:t>111.35</w:t>
      </w:r>
      <w:r>
        <w:rPr>
          <w:rFonts w:hint="eastAsia" w:ascii="Times New Roman" w:hAnsi="Times New Roman" w:eastAsia="仿宋_GB2312"/>
          <w:sz w:val="32"/>
          <w:szCs w:val="32"/>
        </w:rPr>
        <w:t>万元。授予中小企业合同金额</w:t>
      </w:r>
      <w:r>
        <w:rPr>
          <w:rFonts w:hint="eastAsia" w:ascii="Times New Roman" w:hAnsi="Times New Roman" w:eastAsia="仿宋_GB2312"/>
          <w:sz w:val="32"/>
          <w:szCs w:val="32"/>
          <w:lang w:val="en-US" w:eastAsia="zh-CN"/>
        </w:rPr>
        <w:t>150.90</w:t>
      </w:r>
      <w:r>
        <w:rPr>
          <w:rFonts w:hint="eastAsia" w:ascii="Times New Roman" w:hAnsi="Times New Roman" w:eastAsia="仿宋_GB2312"/>
          <w:sz w:val="32"/>
          <w:szCs w:val="32"/>
        </w:rPr>
        <w:t>万元，占政府采购支出总额的</w:t>
      </w:r>
      <w:r>
        <w:rPr>
          <w:rFonts w:hint="eastAsia" w:ascii="Times New Roman" w:hAnsi="Times New Roman" w:eastAsia="仿宋_GB2312"/>
          <w:sz w:val="32"/>
          <w:szCs w:val="32"/>
          <w:lang w:val="en-US" w:eastAsia="zh-CN"/>
        </w:rPr>
        <w:t>1.70</w:t>
      </w:r>
      <w:r>
        <w:rPr>
          <w:rFonts w:hint="eastAsia" w:ascii="Times New Roman" w:hAnsi="Times New Roman" w:eastAsia="仿宋_GB2312"/>
          <w:sz w:val="32"/>
          <w:szCs w:val="32"/>
        </w:rPr>
        <w:t>%，其中：授予小微企业合同金额</w:t>
      </w:r>
      <w:r>
        <w:rPr>
          <w:rFonts w:hint="eastAsia" w:ascii="Times New Roman" w:hAnsi="Times New Roman" w:eastAsia="仿宋_GB2312"/>
          <w:sz w:val="32"/>
          <w:szCs w:val="32"/>
          <w:lang w:val="en-US" w:eastAsia="zh-CN"/>
        </w:rPr>
        <w:t>150.90</w:t>
      </w:r>
      <w:r>
        <w:rPr>
          <w:rFonts w:hint="eastAsia" w:ascii="Times New Roman" w:hAnsi="Times New Roman" w:eastAsia="仿宋_GB2312"/>
          <w:sz w:val="32"/>
          <w:szCs w:val="32"/>
        </w:rPr>
        <w:t>万元，占政府采购支出总额的</w:t>
      </w:r>
      <w:r>
        <w:rPr>
          <w:rFonts w:hint="eastAsia" w:ascii="Times New Roman" w:hAnsi="Times New Roman" w:eastAsia="仿宋_GB2312"/>
          <w:sz w:val="32"/>
          <w:szCs w:val="32"/>
          <w:lang w:val="en-US" w:eastAsia="zh-CN"/>
        </w:rPr>
        <w:t>1.70</w:t>
      </w:r>
      <w:r>
        <w:rPr>
          <w:rFonts w:hint="eastAsia" w:ascii="Times New Roman" w:hAnsi="Times New Roman" w:eastAsia="仿宋_GB2312"/>
          <w:sz w:val="32"/>
          <w:szCs w:val="32"/>
        </w:rPr>
        <w:t>%。货物采购授予中小企业合同金额占货物支出金额的</w:t>
      </w:r>
      <w:r>
        <w:rPr>
          <w:rFonts w:hint="eastAsia" w:ascii="Times New Roman" w:hAnsi="Times New Roman" w:eastAsia="仿宋_GB2312"/>
          <w:sz w:val="32"/>
          <w:szCs w:val="32"/>
          <w:lang w:val="en-US" w:eastAsia="zh-CN"/>
        </w:rPr>
        <w:t>90.07</w:t>
      </w:r>
      <w:r>
        <w:rPr>
          <w:rFonts w:hint="eastAsia" w:ascii="Times New Roman" w:hAnsi="Times New Roman" w:eastAsia="仿宋_GB2312"/>
          <w:sz w:val="32"/>
          <w:szCs w:val="32"/>
        </w:rPr>
        <w:t>%，工程采购授予中小企业合同金额占工程支出金额的</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%，服务采购授予中小企业合同金额占服务支出金额的</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十二、关于国有资产占用情况说明</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ascii="Times New Roman" w:hAnsi="Times New Roman" w:eastAsia="仿宋_GB2312"/>
          <w:sz w:val="32"/>
          <w:szCs w:val="32"/>
        </w:rPr>
      </w:pPr>
      <w:r>
        <w:rPr>
          <w:rFonts w:hint="eastAsia" w:ascii="Times New Roman" w:hAnsi="Times New Roman" w:eastAsia="仿宋_GB2312"/>
          <w:sz w:val="32"/>
          <w:szCs w:val="32"/>
        </w:rPr>
        <w:t>截至202</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年12月31日，本单位共有车辆</w:t>
      </w:r>
      <w:r>
        <w:rPr>
          <w:rFonts w:hint="eastAsia" w:ascii="Times New Roman" w:hAnsi="Times New Roman" w:eastAsia="仿宋_GB2312"/>
          <w:sz w:val="32"/>
          <w:szCs w:val="32"/>
          <w:lang w:val="en-US" w:eastAsia="zh-CN"/>
        </w:rPr>
        <w:t>8</w:t>
      </w:r>
      <w:r>
        <w:rPr>
          <w:rFonts w:hint="eastAsia" w:ascii="Times New Roman" w:hAnsi="Times New Roman" w:eastAsia="仿宋_GB2312"/>
          <w:sz w:val="32"/>
          <w:szCs w:val="32"/>
        </w:rPr>
        <w:t>辆，其中，主要领导干部用车</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辆，机要通信用车</w:t>
      </w:r>
      <w:r>
        <w:rPr>
          <w:rFonts w:hint="eastAsia" w:ascii="Times New Roman" w:hAnsi="Times New Roman" w:eastAsia="仿宋_GB2312"/>
          <w:sz w:val="32"/>
          <w:szCs w:val="32"/>
          <w:lang w:val="en-US" w:eastAsia="zh-CN"/>
        </w:rPr>
        <w:t>1</w:t>
      </w:r>
      <w:r>
        <w:rPr>
          <w:rFonts w:hint="eastAsia" w:ascii="Times New Roman" w:hAnsi="Times New Roman" w:eastAsia="仿宋_GB2312"/>
          <w:sz w:val="32"/>
          <w:szCs w:val="32"/>
        </w:rPr>
        <w:t>辆、应急保障用车</w:t>
      </w:r>
      <w:r>
        <w:rPr>
          <w:rFonts w:hint="eastAsia" w:ascii="Times New Roman" w:hAnsi="Times New Roman" w:eastAsia="仿宋_GB2312"/>
          <w:sz w:val="32"/>
          <w:szCs w:val="32"/>
          <w:lang w:val="en-US" w:eastAsia="zh-CN"/>
        </w:rPr>
        <w:t>1</w:t>
      </w:r>
      <w:r>
        <w:rPr>
          <w:rFonts w:hint="eastAsia" w:ascii="Times New Roman" w:hAnsi="Times New Roman" w:eastAsia="仿宋_GB2312"/>
          <w:sz w:val="32"/>
          <w:szCs w:val="32"/>
        </w:rPr>
        <w:t>辆、执法执勤用车</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辆、特种专业技术用车</w:t>
      </w:r>
      <w:r>
        <w:rPr>
          <w:rFonts w:hint="eastAsia" w:ascii="Times New Roman" w:hAnsi="Times New Roman" w:eastAsia="仿宋_GB2312"/>
          <w:sz w:val="32"/>
          <w:szCs w:val="32"/>
          <w:lang w:val="en-US" w:eastAsia="zh-CN"/>
        </w:rPr>
        <w:t>2</w:t>
      </w:r>
      <w:r>
        <w:rPr>
          <w:rFonts w:hint="eastAsia" w:ascii="Times New Roman" w:hAnsi="Times New Roman" w:eastAsia="仿宋_GB2312"/>
          <w:sz w:val="32"/>
          <w:szCs w:val="32"/>
        </w:rPr>
        <w:t>辆、离退休干部用车</w:t>
      </w:r>
      <w:r>
        <w:rPr>
          <w:rFonts w:hint="eastAsia" w:ascii="Times New Roman" w:hAnsi="Times New Roman" w:eastAsia="仿宋_GB2312"/>
          <w:sz w:val="32"/>
          <w:szCs w:val="32"/>
          <w:lang w:val="en-US" w:eastAsia="zh-CN"/>
        </w:rPr>
        <w:t>2辆、</w:t>
      </w:r>
      <w:r>
        <w:rPr>
          <w:rFonts w:hint="eastAsia" w:ascii="Times New Roman" w:hAnsi="Times New Roman" w:eastAsia="仿宋_GB2312"/>
          <w:sz w:val="32"/>
          <w:szCs w:val="32"/>
        </w:rPr>
        <w:t>其他用车</w:t>
      </w:r>
      <w:r>
        <w:rPr>
          <w:rFonts w:hint="eastAsia" w:ascii="Times New Roman" w:hAnsi="Times New Roman" w:eastAsia="仿宋_GB2312"/>
          <w:sz w:val="32"/>
          <w:szCs w:val="32"/>
          <w:lang w:val="en-US" w:eastAsia="zh-CN"/>
        </w:rPr>
        <w:t>0</w:t>
      </w:r>
      <w:r>
        <w:rPr>
          <w:rFonts w:hint="eastAsia" w:ascii="Times New Roman" w:hAnsi="Times New Roman" w:eastAsia="仿宋_GB2312"/>
          <w:sz w:val="32"/>
          <w:szCs w:val="32"/>
        </w:rPr>
        <w:t>辆；单位价值50万元以上通用设备</w:t>
      </w:r>
      <w:r>
        <w:rPr>
          <w:rFonts w:hint="eastAsia" w:ascii="Times New Roman" w:hAnsi="Times New Roman" w:eastAsia="仿宋_GB2312"/>
          <w:sz w:val="32"/>
          <w:szCs w:val="32"/>
          <w:lang w:val="en-US" w:eastAsia="zh-CN"/>
        </w:rPr>
        <w:t>6</w:t>
      </w:r>
      <w:r>
        <w:rPr>
          <w:rFonts w:hint="eastAsia" w:ascii="Times New Roman" w:hAnsi="Times New Roman" w:eastAsia="仿宋_GB2312"/>
          <w:sz w:val="32"/>
          <w:szCs w:val="32"/>
        </w:rPr>
        <w:t>台（套）；单位价值100万元以上专用设备</w:t>
      </w:r>
      <w:r>
        <w:rPr>
          <w:rFonts w:hint="eastAsia" w:ascii="Times New Roman" w:hAnsi="Times New Roman" w:eastAsia="仿宋_GB2312"/>
          <w:sz w:val="32"/>
          <w:szCs w:val="32"/>
          <w:lang w:val="en-US" w:eastAsia="zh-CN"/>
        </w:rPr>
        <w:t>1</w:t>
      </w:r>
      <w:r>
        <w:rPr>
          <w:rFonts w:hint="eastAsia" w:ascii="Times New Roman" w:hAnsi="Times New Roman" w:eastAsia="仿宋_GB2312"/>
          <w:sz w:val="32"/>
          <w:szCs w:val="32"/>
        </w:rPr>
        <w:t>台（套）。</w:t>
      </w:r>
    </w:p>
    <w:p>
      <w:pPr>
        <w:pStyle w:val="12"/>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黑体" w:hAnsi="黑体" w:eastAsia="黑体" w:cs="黑体"/>
          <w:b w:val="0"/>
          <w:bCs/>
          <w:sz w:val="32"/>
          <w:szCs w:val="32"/>
        </w:rPr>
      </w:pPr>
      <w:r>
        <w:rPr>
          <w:rFonts w:hint="eastAsia" w:ascii="黑体" w:hAnsi="黑体" w:eastAsia="黑体" w:cs="黑体"/>
          <w:b w:val="0"/>
          <w:bCs/>
          <w:sz w:val="32"/>
          <w:szCs w:val="32"/>
        </w:rPr>
        <w:t>十三、关于</w:t>
      </w:r>
      <w:r>
        <w:rPr>
          <w:rFonts w:hint="eastAsia" w:ascii="Times New Roman" w:hAnsi="Times New Roman" w:eastAsia="仿宋_GB2312"/>
          <w:sz w:val="32"/>
          <w:szCs w:val="32"/>
        </w:rPr>
        <w:t>202</w:t>
      </w:r>
      <w:r>
        <w:rPr>
          <w:rFonts w:hint="eastAsia" w:ascii="Times New Roman" w:hAnsi="Times New Roman" w:eastAsia="仿宋_GB2312"/>
          <w:sz w:val="32"/>
          <w:szCs w:val="32"/>
          <w:lang w:val="en-US" w:eastAsia="zh-CN"/>
        </w:rPr>
        <w:t>2</w:t>
      </w:r>
      <w:r>
        <w:rPr>
          <w:rFonts w:hint="eastAsia" w:ascii="黑体" w:hAnsi="黑体" w:eastAsia="黑体" w:cs="黑体"/>
          <w:b w:val="0"/>
          <w:bCs/>
          <w:sz w:val="32"/>
          <w:szCs w:val="32"/>
        </w:rPr>
        <w:t>年度预算绩效情况的说明</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楷体" w:hAnsi="楷体" w:eastAsia="楷体" w:cs="楷体"/>
          <w:b/>
          <w:bCs/>
          <w:sz w:val="32"/>
          <w:szCs w:val="32"/>
        </w:rPr>
      </w:pPr>
      <w:r>
        <w:rPr>
          <w:rFonts w:hint="eastAsia" w:ascii="楷体" w:hAnsi="楷体" w:eastAsia="楷体" w:cs="楷体"/>
          <w:b/>
          <w:bCs/>
          <w:sz w:val="32"/>
          <w:szCs w:val="32"/>
          <w:lang w:eastAsia="zh-CN"/>
        </w:rPr>
        <w:t>（一）</w:t>
      </w:r>
      <w:r>
        <w:rPr>
          <w:rFonts w:hint="eastAsia" w:ascii="楷体" w:hAnsi="楷体" w:eastAsia="楷体" w:cs="楷体"/>
          <w:b/>
          <w:bCs/>
          <w:sz w:val="32"/>
          <w:szCs w:val="32"/>
        </w:rPr>
        <w:t>部门整体支出绩效情况</w:t>
      </w:r>
    </w:p>
    <w:p>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 w:hAnsi="仿宋" w:eastAsia="仿宋" w:cs="仿宋"/>
          <w:sz w:val="32"/>
          <w:szCs w:val="32"/>
          <w:lang w:val="en-US" w:eastAsia="zh-CN"/>
        </w:rPr>
        <w:t>2022</w:t>
      </w:r>
      <w:r>
        <w:rPr>
          <w:rFonts w:hint="eastAsia" w:ascii="仿宋_GB2312" w:hAnsi="仿宋_GB2312" w:eastAsia="仿宋_GB2312" w:cs="仿宋_GB2312"/>
          <w:sz w:val="32"/>
          <w:szCs w:val="32"/>
          <w:lang w:val="en-US" w:eastAsia="zh-CN"/>
        </w:rPr>
        <w:t>年，中心</w:t>
      </w:r>
      <w:r>
        <w:rPr>
          <w:rFonts w:hint="eastAsia" w:ascii="仿宋_GB2312" w:hAnsi="仿宋_GB2312" w:eastAsia="仿宋_GB2312" w:cs="仿宋_GB2312"/>
          <w:sz w:val="32"/>
          <w:szCs w:val="32"/>
        </w:rPr>
        <w:t>坚持以习近平新时代中国特色社会主义思想为指导，深入落实省委、省政府的决策部署</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根据年初工作计划和监督工作计划等要求，认真履行职责，较好地完成了年初确定的各项工作任务。</w:t>
      </w:r>
    </w:p>
    <w:p>
      <w:pPr>
        <w:numPr>
          <w:ilvl w:val="0"/>
          <w:numId w:val="0"/>
        </w:numPr>
        <w:ind w:firstLine="640" w:firstLineChars="200"/>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1、</w:t>
      </w:r>
      <w:r>
        <w:rPr>
          <w:rFonts w:hint="eastAsia" w:ascii="Times New Roman" w:hAnsi="Times New Roman" w:eastAsia="仿宋_GB2312" w:cs="Times New Roman"/>
          <w:sz w:val="32"/>
          <w:szCs w:val="32"/>
        </w:rPr>
        <w:t>运行成本</w:t>
      </w:r>
      <w:r>
        <w:rPr>
          <w:rFonts w:hint="eastAsia" w:ascii="Times New Roman" w:hAnsi="Times New Roman" w:eastAsia="仿宋_GB2312" w:cs="Times New Roman"/>
          <w:sz w:val="32"/>
          <w:szCs w:val="32"/>
          <w:lang w:val="en-US" w:eastAsia="zh-CN"/>
        </w:rPr>
        <w:t>方面</w:t>
      </w:r>
    </w:p>
    <w:p>
      <w:pPr>
        <w:numPr>
          <w:ilvl w:val="0"/>
          <w:numId w:val="0"/>
        </w:numPr>
        <w:ind w:firstLine="640" w:firstLineChars="200"/>
        <w:rPr>
          <w:rFonts w:hint="eastAsia" w:ascii="Times New Roman" w:hAnsi="Times New Roman" w:eastAsia="仿宋_GB2312" w:cs="Times New Roman"/>
          <w:sz w:val="32"/>
          <w:szCs w:val="32"/>
        </w:rPr>
      </w:pPr>
      <w:r>
        <w:rPr>
          <w:rFonts w:hint="eastAsia" w:ascii="Times New Roman" w:hAnsi="Times New Roman" w:eastAsia="仿宋_GB2312" w:cs="Times New Roman"/>
          <w:sz w:val="32"/>
          <w:szCs w:val="32"/>
        </w:rPr>
        <w:t>2022年部门财政拨款收入</w:t>
      </w:r>
      <w:r>
        <w:rPr>
          <w:rFonts w:hint="eastAsia" w:ascii="Times New Roman" w:hAnsi="Times New Roman" w:eastAsia="仿宋_GB2312" w:cs="Times New Roman"/>
          <w:sz w:val="32"/>
          <w:szCs w:val="32"/>
          <w:lang w:val="en-US" w:eastAsia="zh-CN"/>
        </w:rPr>
        <w:t>14</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204</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07</w:t>
      </w:r>
      <w:r>
        <w:rPr>
          <w:rFonts w:hint="eastAsia" w:ascii="Times New Roman" w:hAnsi="Times New Roman" w:eastAsia="仿宋_GB2312" w:cs="Times New Roman"/>
          <w:sz w:val="32"/>
          <w:szCs w:val="32"/>
        </w:rPr>
        <w:t>万元，支出 1</w:t>
      </w:r>
      <w:r>
        <w:rPr>
          <w:rFonts w:hint="eastAsia" w:ascii="Times New Roman" w:hAnsi="Times New Roman" w:eastAsia="仿宋_GB2312" w:cs="Times New Roman"/>
          <w:sz w:val="32"/>
          <w:szCs w:val="32"/>
          <w:lang w:val="en-US" w:eastAsia="zh-CN"/>
        </w:rPr>
        <w:t>3</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037</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73</w:t>
      </w:r>
      <w:r>
        <w:rPr>
          <w:rFonts w:hint="eastAsia" w:ascii="Times New Roman" w:hAnsi="Times New Roman" w:eastAsia="仿宋_GB2312" w:cs="Times New Roman"/>
          <w:sz w:val="32"/>
          <w:szCs w:val="32"/>
        </w:rPr>
        <w:t>万元，预算执行率为</w:t>
      </w:r>
      <w:r>
        <w:rPr>
          <w:rFonts w:hint="eastAsia" w:ascii="Times New Roman" w:hAnsi="Times New Roman" w:eastAsia="仿宋_GB2312" w:cs="Times New Roman"/>
          <w:sz w:val="32"/>
          <w:szCs w:val="32"/>
          <w:lang w:val="en-US" w:eastAsia="zh-CN"/>
        </w:rPr>
        <w:t>91.79</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其中：</w:t>
      </w:r>
      <w:r>
        <w:rPr>
          <w:rFonts w:hint="eastAsia" w:ascii="Times New Roman" w:hAnsi="Times New Roman" w:eastAsia="仿宋_GB2312" w:cs="Times New Roman"/>
          <w:sz w:val="32"/>
          <w:szCs w:val="32"/>
        </w:rPr>
        <w:t>2022 年“三公”经费支出</w:t>
      </w:r>
      <w:r>
        <w:rPr>
          <w:rFonts w:hint="eastAsia" w:ascii="Times New Roman" w:hAnsi="Times New Roman" w:eastAsia="仿宋_GB2312" w:cs="Times New Roman"/>
          <w:sz w:val="32"/>
          <w:szCs w:val="32"/>
          <w:lang w:val="en-US" w:eastAsia="zh-CN"/>
        </w:rPr>
        <w:t>32.0369</w:t>
      </w:r>
      <w:r>
        <w:rPr>
          <w:rFonts w:hint="eastAsia" w:ascii="Times New Roman" w:hAnsi="Times New Roman" w:eastAsia="仿宋_GB2312" w:cs="Times New Roman"/>
          <w:sz w:val="32"/>
          <w:szCs w:val="32"/>
        </w:rPr>
        <w:t>万元</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lang w:val="en-US" w:eastAsia="zh-CN"/>
        </w:rPr>
        <w:t>包括</w:t>
      </w:r>
      <w:r>
        <w:rPr>
          <w:rFonts w:hint="eastAsia" w:ascii="Times New Roman" w:hAnsi="Times New Roman" w:eastAsia="仿宋_GB2312" w:cs="Times New Roman"/>
          <w:sz w:val="32"/>
          <w:szCs w:val="32"/>
        </w:rPr>
        <w:t>公务接待费</w:t>
      </w:r>
      <w:r>
        <w:rPr>
          <w:rFonts w:hint="eastAsia" w:ascii="Times New Roman" w:hAnsi="Times New Roman" w:eastAsia="仿宋_GB2312" w:cs="Times New Roman"/>
          <w:sz w:val="32"/>
          <w:szCs w:val="32"/>
          <w:lang w:val="en-US" w:eastAsia="zh-CN"/>
        </w:rPr>
        <w:t>0.8699</w:t>
      </w:r>
      <w:r>
        <w:rPr>
          <w:rFonts w:hint="eastAsia" w:ascii="Times New Roman" w:hAnsi="Times New Roman" w:eastAsia="仿宋_GB2312" w:cs="Times New Roman"/>
          <w:sz w:val="32"/>
          <w:szCs w:val="32"/>
        </w:rPr>
        <w:t>万元、公务用车运行维护费</w:t>
      </w:r>
      <w:r>
        <w:rPr>
          <w:rFonts w:hint="eastAsia" w:ascii="Times New Roman" w:hAnsi="Times New Roman" w:eastAsia="仿宋_GB2312" w:cs="Times New Roman"/>
          <w:sz w:val="32"/>
          <w:szCs w:val="32"/>
          <w:lang w:val="en-US" w:eastAsia="zh-CN"/>
        </w:rPr>
        <w:t>31.167</w:t>
      </w:r>
      <w:r>
        <w:rPr>
          <w:rFonts w:hint="eastAsia" w:ascii="Times New Roman" w:hAnsi="Times New Roman" w:eastAsia="仿宋_GB2312" w:cs="Times New Roman"/>
          <w:sz w:val="32"/>
          <w:szCs w:val="32"/>
        </w:rPr>
        <w:t>万元、</w:t>
      </w:r>
      <w:r>
        <w:rPr>
          <w:rFonts w:hint="eastAsia" w:ascii="Times New Roman" w:hAnsi="Times New Roman" w:eastAsia="仿宋_GB2312" w:cs="Times New Roman"/>
          <w:sz w:val="32"/>
          <w:szCs w:val="32"/>
          <w:lang w:val="en-US" w:eastAsia="zh-CN"/>
        </w:rPr>
        <w:t>因公出国(境)费</w:t>
      </w:r>
      <w:r>
        <w:rPr>
          <w:rFonts w:hint="eastAsia" w:ascii="Times New Roman" w:hAnsi="Times New Roman" w:eastAsia="仿宋_GB2312" w:cs="Times New Roman"/>
          <w:sz w:val="32"/>
          <w:szCs w:val="32"/>
        </w:rPr>
        <w:t>支出</w:t>
      </w:r>
      <w:r>
        <w:rPr>
          <w:rFonts w:hint="eastAsia" w:ascii="Times New Roman" w:hAnsi="Times New Roman" w:eastAsia="仿宋_GB2312" w:cs="Times New Roman"/>
          <w:sz w:val="32"/>
          <w:szCs w:val="32"/>
          <w:lang w:val="en-US" w:eastAsia="zh-CN"/>
        </w:rPr>
        <w:t>0</w:t>
      </w:r>
      <w:r>
        <w:rPr>
          <w:rFonts w:hint="eastAsia" w:ascii="Times New Roman" w:hAnsi="Times New Roman" w:eastAsia="仿宋_GB2312" w:cs="Times New Roman"/>
          <w:sz w:val="32"/>
          <w:szCs w:val="32"/>
        </w:rPr>
        <w:t>万元,较年初预算</w:t>
      </w:r>
      <w:r>
        <w:rPr>
          <w:rFonts w:hint="eastAsia" w:ascii="Times New Roman" w:hAnsi="Times New Roman" w:eastAsia="仿宋_GB2312" w:cs="Times New Roman"/>
          <w:sz w:val="32"/>
          <w:szCs w:val="32"/>
          <w:lang w:val="en-US" w:eastAsia="zh-CN"/>
        </w:rPr>
        <w:t>113</w:t>
      </w:r>
      <w:r>
        <w:rPr>
          <w:rFonts w:hint="eastAsia" w:ascii="Times New Roman" w:hAnsi="Times New Roman" w:eastAsia="仿宋_GB2312" w:cs="Times New Roman"/>
          <w:sz w:val="32"/>
          <w:szCs w:val="32"/>
        </w:rPr>
        <w:t>万元节约</w:t>
      </w:r>
      <w:r>
        <w:rPr>
          <w:rFonts w:hint="eastAsia" w:ascii="Times New Roman" w:hAnsi="Times New Roman" w:eastAsia="仿宋_GB2312" w:cs="Times New Roman"/>
          <w:sz w:val="32"/>
          <w:szCs w:val="32"/>
          <w:lang w:val="en-US" w:eastAsia="zh-CN"/>
        </w:rPr>
        <w:t>80.9631</w:t>
      </w:r>
      <w:r>
        <w:rPr>
          <w:rFonts w:hint="eastAsia" w:ascii="Times New Roman" w:hAnsi="Times New Roman" w:eastAsia="仿宋_GB2312" w:cs="Times New Roman"/>
          <w:sz w:val="32"/>
          <w:szCs w:val="32"/>
        </w:rPr>
        <w:t>万元，节约比为</w:t>
      </w:r>
      <w:r>
        <w:rPr>
          <w:rFonts w:hint="eastAsia" w:ascii="Times New Roman" w:hAnsi="Times New Roman" w:eastAsia="仿宋_GB2312" w:cs="Times New Roman"/>
          <w:sz w:val="32"/>
          <w:szCs w:val="32"/>
          <w:lang w:val="en-US" w:eastAsia="zh-CN"/>
        </w:rPr>
        <w:t>71.65</w:t>
      </w:r>
      <w:r>
        <w:rPr>
          <w:rFonts w:hint="eastAsia" w:ascii="Times New Roman" w:hAnsi="Times New Roman" w:eastAsia="仿宋_GB2312" w:cs="Times New Roman"/>
          <w:sz w:val="32"/>
          <w:szCs w:val="32"/>
        </w:rPr>
        <w:t>%。2022年基本支出中水费、电费和差旅费年初预算为</w:t>
      </w:r>
      <w:r>
        <w:rPr>
          <w:rFonts w:hint="eastAsia" w:ascii="Times New Roman" w:hAnsi="Times New Roman" w:eastAsia="仿宋_GB2312" w:cs="Times New Roman"/>
          <w:sz w:val="32"/>
          <w:szCs w:val="32"/>
          <w:lang w:val="en-US" w:eastAsia="zh-CN"/>
        </w:rPr>
        <w:t>170</w:t>
      </w:r>
      <w:r>
        <w:rPr>
          <w:rFonts w:hint="eastAsia" w:ascii="Times New Roman" w:hAnsi="Times New Roman" w:eastAsia="仿宋_GB2312" w:cs="Times New Roman"/>
          <w:sz w:val="32"/>
          <w:szCs w:val="32"/>
        </w:rPr>
        <w:t>万元，决算数为</w:t>
      </w:r>
      <w:r>
        <w:rPr>
          <w:rFonts w:hint="eastAsia" w:ascii="Times New Roman" w:hAnsi="Times New Roman" w:eastAsia="仿宋_GB2312" w:cs="Times New Roman"/>
          <w:sz w:val="32"/>
          <w:szCs w:val="32"/>
          <w:lang w:val="en-US" w:eastAsia="zh-CN"/>
        </w:rPr>
        <w:t>140.29</w:t>
      </w:r>
      <w:r>
        <w:rPr>
          <w:rFonts w:hint="eastAsia" w:ascii="Times New Roman" w:hAnsi="Times New Roman" w:eastAsia="仿宋_GB2312" w:cs="Times New Roman"/>
          <w:sz w:val="32"/>
          <w:szCs w:val="32"/>
        </w:rPr>
        <w:t>万元，节约比为</w:t>
      </w:r>
      <w:r>
        <w:rPr>
          <w:rFonts w:hint="eastAsia" w:ascii="Times New Roman" w:hAnsi="Times New Roman" w:eastAsia="仿宋_GB2312" w:cs="Times New Roman"/>
          <w:sz w:val="32"/>
          <w:szCs w:val="32"/>
          <w:lang w:val="en-US" w:eastAsia="zh-CN"/>
        </w:rPr>
        <w:t>17.48</w:t>
      </w:r>
      <w:r>
        <w:rPr>
          <w:rFonts w:hint="eastAsia" w:ascii="Times New Roman" w:hAnsi="Times New Roman" w:eastAsia="仿宋_GB2312" w:cs="Times New Roman"/>
          <w:sz w:val="32"/>
          <w:szCs w:val="32"/>
        </w:rPr>
        <w:t>%。会议费和培训费年初预算为</w:t>
      </w:r>
      <w:r>
        <w:rPr>
          <w:rFonts w:hint="eastAsia" w:ascii="Times New Roman" w:hAnsi="Times New Roman" w:eastAsia="仿宋_GB2312" w:cs="Times New Roman"/>
          <w:sz w:val="32"/>
          <w:szCs w:val="32"/>
          <w:lang w:val="en-US" w:eastAsia="zh-CN"/>
        </w:rPr>
        <w:t>52</w:t>
      </w:r>
      <w:r>
        <w:rPr>
          <w:rFonts w:hint="eastAsia" w:ascii="Times New Roman" w:hAnsi="Times New Roman" w:eastAsia="仿宋_GB2312" w:cs="Times New Roman"/>
          <w:sz w:val="32"/>
          <w:szCs w:val="32"/>
        </w:rPr>
        <w:t>万元，决算数为</w:t>
      </w:r>
      <w:r>
        <w:rPr>
          <w:rFonts w:hint="eastAsia" w:ascii="Times New Roman" w:hAnsi="Times New Roman" w:eastAsia="仿宋_GB2312" w:cs="Times New Roman"/>
          <w:sz w:val="32"/>
          <w:szCs w:val="32"/>
          <w:lang w:val="en-US" w:eastAsia="zh-CN"/>
        </w:rPr>
        <w:t>0.21</w:t>
      </w:r>
      <w:r>
        <w:rPr>
          <w:rFonts w:hint="eastAsia" w:ascii="Times New Roman" w:hAnsi="Times New Roman" w:eastAsia="仿宋_GB2312" w:cs="Times New Roman"/>
          <w:sz w:val="32"/>
          <w:szCs w:val="32"/>
        </w:rPr>
        <w:t>万元，节约比为</w:t>
      </w:r>
      <w:r>
        <w:rPr>
          <w:rFonts w:hint="eastAsia" w:ascii="Times New Roman" w:hAnsi="Times New Roman" w:eastAsia="仿宋_GB2312" w:cs="Times New Roman"/>
          <w:sz w:val="32"/>
          <w:szCs w:val="32"/>
          <w:lang w:val="en-US" w:eastAsia="zh-CN"/>
        </w:rPr>
        <w:t>99.60</w:t>
      </w:r>
      <w:r>
        <w:rPr>
          <w:rFonts w:hint="eastAsia" w:ascii="Times New Roman" w:hAnsi="Times New Roman" w:eastAsia="仿宋_GB2312" w:cs="Times New Roman"/>
          <w:sz w:val="32"/>
          <w:szCs w:val="32"/>
        </w:rPr>
        <w:t>%，</w:t>
      </w:r>
      <w:r>
        <w:rPr>
          <w:rFonts w:hint="eastAsia" w:ascii="Times New Roman" w:hAnsi="Times New Roman" w:eastAsia="仿宋_GB2312" w:cs="Times New Roman"/>
          <w:sz w:val="32"/>
          <w:szCs w:val="32"/>
          <w:lang w:val="en-US" w:eastAsia="zh-CN"/>
        </w:rPr>
        <w:t>2022年中心各项支出</w:t>
      </w:r>
      <w:r>
        <w:rPr>
          <w:rFonts w:hint="eastAsia" w:ascii="Times New Roman" w:hAnsi="Times New Roman" w:eastAsia="仿宋_GB2312" w:cs="Times New Roman"/>
          <w:sz w:val="32"/>
          <w:szCs w:val="32"/>
        </w:rPr>
        <w:t>均合理控制在预算</w:t>
      </w:r>
      <w:r>
        <w:rPr>
          <w:rFonts w:hint="eastAsia" w:ascii="Times New Roman" w:hAnsi="Times New Roman" w:eastAsia="仿宋_GB2312" w:cs="Times New Roman"/>
          <w:sz w:val="32"/>
          <w:szCs w:val="32"/>
          <w:lang w:val="en-US" w:eastAsia="zh-CN"/>
        </w:rPr>
        <w:t>范围</w:t>
      </w:r>
      <w:r>
        <w:rPr>
          <w:rFonts w:hint="eastAsia" w:ascii="Times New Roman" w:hAnsi="Times New Roman" w:eastAsia="仿宋_GB2312" w:cs="Times New Roman"/>
          <w:sz w:val="32"/>
          <w:szCs w:val="32"/>
        </w:rPr>
        <w:t>内。</w:t>
      </w:r>
    </w:p>
    <w:p>
      <w:pPr>
        <w:numPr>
          <w:ilvl w:val="0"/>
          <w:numId w:val="0"/>
        </w:numPr>
        <w:ind w:firstLine="640" w:firstLineChars="200"/>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2、管理效率方面</w:t>
      </w:r>
    </w:p>
    <w:p>
      <w:pPr>
        <w:numPr>
          <w:ilvl w:val="0"/>
          <w:numId w:val="0"/>
        </w:numPr>
        <w:ind w:firstLine="640" w:firstLineChars="200"/>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一是</w:t>
      </w:r>
      <w:r>
        <w:rPr>
          <w:rFonts w:hint="eastAsia" w:ascii="Times New Roman" w:hAnsi="Times New Roman" w:eastAsia="仿宋_GB2312" w:cs="Times New Roman"/>
          <w:sz w:val="32"/>
          <w:szCs w:val="32"/>
        </w:rPr>
        <w:t>固牢生猪主导产业。全省挂牌生猪产能调控基地1174个，创建畜禽养殖标准化示范场国家级12家、省级77家。保有万头以上生猪大型规模场762个，全省规模养殖比重66%、比全国平均水平高4个百分点。年末存栏能繁母猪369.6万头，为正常保有量的103.8%；全年出栏生猪6248.2万头，增幅2.1%，产量破历史最高记录，排名全国第二、中部第一，超中央下达年度指标任务548.2万头</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lang w:val="en-US" w:eastAsia="zh-CN"/>
        </w:rPr>
        <w:t>二是</w:t>
      </w:r>
      <w:r>
        <w:rPr>
          <w:rFonts w:hint="eastAsia" w:ascii="Times New Roman" w:hAnsi="Times New Roman" w:eastAsia="仿宋_GB2312" w:cs="Times New Roman"/>
          <w:sz w:val="32"/>
          <w:szCs w:val="32"/>
        </w:rPr>
        <w:t>转型升级现代渔业。推进全产业链开发，南县小龙虾、汉寿甲鱼等14个水产品获“国家地理标志保护产品”称号；水产加工企业增至204家，其中国家级5家、省级28家，水产加工总量和产值分别较2018年翻番；休闲渔业年产值超过27亿元；渔民人均纯收入21879.84元、增长6.75%；渔业经济总产值1029.11亿元、递增8.8%，成功打造水产“千亿产业”。</w:t>
      </w:r>
      <w:r>
        <w:rPr>
          <w:rFonts w:hint="eastAsia" w:ascii="Times New Roman" w:hAnsi="Times New Roman" w:eastAsia="仿宋_GB2312" w:cs="Times New Roman"/>
          <w:sz w:val="32"/>
          <w:szCs w:val="32"/>
          <w:lang w:val="en-US" w:eastAsia="zh-CN"/>
        </w:rPr>
        <w:t>三是</w:t>
      </w:r>
      <w:r>
        <w:rPr>
          <w:rFonts w:hint="eastAsia" w:ascii="Times New Roman" w:hAnsi="Times New Roman" w:eastAsia="仿宋_GB2312" w:cs="Times New Roman"/>
          <w:sz w:val="32"/>
          <w:szCs w:val="32"/>
        </w:rPr>
        <w:t>提壮</w:t>
      </w:r>
      <w:r>
        <w:rPr>
          <w:rFonts w:hint="eastAsia" w:ascii="Times New Roman" w:hAnsi="Times New Roman" w:eastAsia="仿宋_GB2312" w:cs="Times New Roman"/>
          <w:sz w:val="32"/>
          <w:szCs w:val="32"/>
          <w:lang w:val="en-US" w:eastAsia="zh-CN"/>
        </w:rPr>
        <w:t>畜禽特</w:t>
      </w:r>
      <w:r>
        <w:rPr>
          <w:rFonts w:hint="eastAsia" w:ascii="Times New Roman" w:hAnsi="Times New Roman" w:eastAsia="仿宋_GB2312" w:cs="Times New Roman"/>
          <w:sz w:val="32"/>
          <w:szCs w:val="32"/>
        </w:rPr>
        <w:t>色产业。实施肉牛肉羊提质增量行动，完成种草养畜建设项目205个，新改建标准化牛舍9.2万㎡、羊舍2.3万㎡，出栏牛183.1万头，同比增1.3%；出栏羊1101.4万头，增3.5%。建设优质高产苜蓿示范基地新增苜蓿种植1.5万亩，种植饲草4.04万亩，改良天然草地1.14万亩，新增饲草料加工22万吨。新扩建肉牛规模场176个，全省肉牛肉羊规模场2907个。</w:t>
      </w:r>
    </w:p>
    <w:p>
      <w:pPr>
        <w:numPr>
          <w:ilvl w:val="0"/>
          <w:numId w:val="0"/>
        </w:numPr>
        <w:ind w:firstLine="640" w:firstLineChars="200"/>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3、履职效能方面</w:t>
      </w:r>
    </w:p>
    <w:p>
      <w:pPr>
        <w:numPr>
          <w:ilvl w:val="0"/>
          <w:numId w:val="0"/>
        </w:numPr>
        <w:ind w:firstLine="640" w:firstLineChars="200"/>
        <w:rPr>
          <w:rFonts w:hint="eastAsia" w:ascii="Times New Roman" w:hAnsi="Times New Roman" w:eastAsia="仿宋_GB2312" w:cs="Times New Roman"/>
          <w:sz w:val="32"/>
          <w:szCs w:val="32"/>
        </w:rPr>
      </w:pPr>
      <w:r>
        <w:rPr>
          <w:rFonts w:hint="eastAsia" w:ascii="Times New Roman" w:hAnsi="Times New Roman" w:eastAsia="仿宋_GB2312" w:cs="Times New Roman"/>
          <w:sz w:val="32"/>
          <w:szCs w:val="32"/>
          <w:lang w:val="en-US" w:eastAsia="zh-CN"/>
        </w:rPr>
        <w:t>一是有效防控动物疫病。</w:t>
      </w:r>
      <w:r>
        <w:rPr>
          <w:rFonts w:hint="eastAsia" w:ascii="Times New Roman" w:hAnsi="Times New Roman" w:eastAsia="仿宋_GB2312" w:cs="Times New Roman"/>
          <w:sz w:val="32"/>
          <w:szCs w:val="32"/>
        </w:rPr>
        <w:t>落实强制免疫</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抗体抽检合格率80%以上，畜禽常年免疫密度保持90%以上。在105个县市区、4111个养殖场实施“先打后补”。织密生物安全防护网，开展夏季“大清洗大消毒”行动，强化动物病原微生物实验室的生物安全管护。加强闭环管理，有效防范重大动物疫情和人兽共患病。加大基础设施建设，指导30多家企业改造实验室、建设洗消中心。</w:t>
      </w:r>
      <w:r>
        <w:rPr>
          <w:rFonts w:hint="eastAsia" w:ascii="Times New Roman" w:hAnsi="Times New Roman" w:eastAsia="仿宋_GB2312" w:cs="Times New Roman"/>
          <w:sz w:val="32"/>
          <w:szCs w:val="32"/>
          <w:lang w:val="en-US" w:eastAsia="zh-CN"/>
        </w:rPr>
        <w:t>二是强化化检疫监管。压实产地检疫属地责任。</w:t>
      </w:r>
      <w:r>
        <w:rPr>
          <w:rFonts w:hint="eastAsia" w:ascii="Times New Roman" w:hAnsi="Times New Roman" w:eastAsia="仿宋_GB2312" w:cs="Times New Roman"/>
          <w:sz w:val="32"/>
          <w:szCs w:val="32"/>
        </w:rPr>
        <w:t>严格出证、线上抽查，全年产地检疫生猪5101.69万头，同比增长14.12%。举办全国动物检疫检验员竞赛湖南选拔赛。严格流通监管，抓实生猪“点对点”调运备案企业、29个指定通道检查站规范化管理。开展生猪违规调运流动巡查。推进家畜血防达标。加强水产养殖病害动态测报。全省未发生区域性重大动物疫情。</w:t>
      </w:r>
      <w:r>
        <w:rPr>
          <w:rFonts w:hint="eastAsia" w:ascii="Times New Roman" w:hAnsi="Times New Roman" w:eastAsia="仿宋_GB2312" w:cs="Times New Roman"/>
          <w:sz w:val="32"/>
          <w:szCs w:val="32"/>
          <w:lang w:val="en-US" w:eastAsia="zh-CN"/>
        </w:rPr>
        <w:t>三是</w:t>
      </w:r>
      <w:r>
        <w:rPr>
          <w:rFonts w:hint="eastAsia" w:ascii="Times New Roman" w:hAnsi="Times New Roman" w:eastAsia="仿宋_GB2312" w:cs="Times New Roman"/>
          <w:sz w:val="32"/>
          <w:szCs w:val="32"/>
        </w:rPr>
        <w:t>有力保障肉品质量。开展新版兽药GMP实施情况清理行动，建立兽药GMP检查员库，36家企业通过检查验收。严把兽药产品准入，将兽药生产和兽用生物制品经营许可审批纳入省政务服务平台，全年核发生产许可证39个、经营许可证102个；联合相关部门实地监督抽查兽药生产经营行为。推进兽药追溯管理，严格现场核查和抽样。</w:t>
      </w:r>
    </w:p>
    <w:p>
      <w:pPr>
        <w:numPr>
          <w:ilvl w:val="0"/>
          <w:numId w:val="0"/>
        </w:numPr>
        <w:ind w:firstLine="640" w:firstLineChars="200"/>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4、社会效益方面</w:t>
      </w:r>
    </w:p>
    <w:p>
      <w:pPr>
        <w:numPr>
          <w:ilvl w:val="0"/>
          <w:numId w:val="0"/>
        </w:numPr>
        <w:ind w:firstLine="640" w:firstLineChars="200"/>
        <w:rPr>
          <w:rFonts w:hint="eastAsia" w:ascii="Times New Roman" w:hAnsi="Times New Roman" w:eastAsia="仿宋_GB2312" w:cs="Times New Roman"/>
          <w:sz w:val="32"/>
          <w:szCs w:val="32"/>
          <w:lang w:eastAsia="zh-CN"/>
        </w:rPr>
      </w:pPr>
      <w:r>
        <w:rPr>
          <w:rFonts w:hint="eastAsia" w:ascii="Times New Roman" w:hAnsi="Times New Roman" w:eastAsia="仿宋_GB2312" w:cs="Times New Roman"/>
          <w:sz w:val="32"/>
          <w:szCs w:val="32"/>
        </w:rPr>
        <w:t>扶持龙头企业助推发展经济</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支持湘佳、温氏等龙头企业以“公司+农户”“公司+扶贫基地”模式发展肉鸡养殖，大幅提升自动化、智能化养殖水平。全省出栏家禽5.52亿羽，增长2.2%，禽蛋产量117.5万吨；生鲜乳7.2万吨，增幅26.3%。5县蜂业质量提升行动项目、城步县奶业现代农业产业园项目建成。支持岳麓山种业创新中心畜禽种业分中心建设，完成省种猪性能测定中心及畜禽遗传资源基因库主体工程。建立地方畜禽保种单位39家，基本实现畜禽遗传资源应保尽保。举办家畜繁殖员职业技能大赛。办理种畜禽生产经营许可69件。推进资源普查，开展24个畜禽品种生产性能测定，采集畜禽品种样品1050个，发现14个疑似新资源；普查到水产养殖种质资源物种163个，摄制“种业创新高地湖南”水产种业宣传片</w:t>
      </w:r>
      <w:r>
        <w:rPr>
          <w:rFonts w:hint="eastAsia" w:ascii="Times New Roman" w:hAnsi="Times New Roman" w:eastAsia="仿宋_GB2312" w:cs="Times New Roman"/>
          <w:sz w:val="32"/>
          <w:szCs w:val="32"/>
          <w:lang w:eastAsia="zh-CN"/>
        </w:rPr>
        <w:t>。</w:t>
      </w:r>
    </w:p>
    <w:p>
      <w:pPr>
        <w:numPr>
          <w:ilvl w:val="0"/>
          <w:numId w:val="0"/>
        </w:numPr>
        <w:ind w:firstLine="640" w:firstLineChars="200"/>
        <w:rPr>
          <w:rFonts w:hint="eastAsia" w:ascii="Times New Roman" w:hAnsi="Times New Roman" w:eastAsia="仿宋_GB2312" w:cs="Times New Roman"/>
          <w:sz w:val="32"/>
          <w:szCs w:val="32"/>
        </w:rPr>
      </w:pPr>
      <w:r>
        <w:rPr>
          <w:rFonts w:hint="eastAsia" w:ascii="Times New Roman" w:hAnsi="Times New Roman" w:eastAsia="仿宋_GB2312" w:cs="Times New Roman"/>
          <w:sz w:val="32"/>
          <w:szCs w:val="32"/>
          <w:lang w:val="en-US" w:eastAsia="zh-CN"/>
        </w:rPr>
        <w:t>5、可持续发展能力方面</w:t>
      </w:r>
    </w:p>
    <w:p>
      <w:pPr>
        <w:numPr>
          <w:ilvl w:val="0"/>
          <w:numId w:val="0"/>
        </w:numPr>
        <w:ind w:firstLine="640" w:firstLineChars="200"/>
        <w:rPr>
          <w:rFonts w:hint="eastAsia" w:ascii="Times New Roman" w:hAnsi="Times New Roman" w:eastAsia="仿宋_GB2312" w:cs="Times New Roman"/>
          <w:sz w:val="32"/>
          <w:szCs w:val="32"/>
        </w:rPr>
      </w:pPr>
      <w:r>
        <w:rPr>
          <w:rFonts w:hint="eastAsia" w:ascii="Times New Roman" w:hAnsi="Times New Roman" w:eastAsia="仿宋_GB2312" w:cs="Times New Roman"/>
          <w:sz w:val="32"/>
          <w:szCs w:val="32"/>
        </w:rPr>
        <w:t>加大种业自主创新能力建设</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组建省畜禽遗传资源委员会，制订《生猪遗传改良计划&lt;2022-2035&gt;》，启动优质湘猪工程核心种源自主选育，接续实施瘦肉型猪联合育种、地方猪优质基因组育种，组织研发杜、长、大种猪芯片，开发出地方猪60K SNP芯片。支持新品种培育，遴选30家省级畜禽核心育种场，湖湘黑猪等4个新品种进入中间试验期。唐人神等5家企业入选国家畜禽种业阵型、21家企业入选省级阵型。衡阳县华中两头乌种畜场通过国家级保种场审验，流沙河牧业、浏安牧业通过国家核心育种场审查；佳和农牧入主国家华系终端母本（大白）新品种培育。挖掘特色水产品种基因，完成对湘华鲮等8个特色品种的种质性能测定和遗传材料制作，活体保存10个地方特色品种。攻关种源关键核心技术，合方鲫2号通过新品种审定，实施草鱼等10个重点品种培优扶壮工程。5家湘企入选国家水产种业阵型企业，2家入选“四大家鱼”破难题阵型企业。湖师大、省水科所和华智生物入选水产技术支撑专业化平台。</w:t>
      </w:r>
    </w:p>
    <w:p>
      <w:pPr>
        <w:numPr>
          <w:ilvl w:val="0"/>
          <w:numId w:val="0"/>
        </w:numPr>
        <w:pBdr>
          <w:bottom w:val="single" w:color="FFFFFF" w:sz="4" w:space="31"/>
        </w:pBdr>
        <w:tabs>
          <w:tab w:val="left" w:pos="1440"/>
        </w:tabs>
        <w:spacing w:line="580" w:lineRule="exact"/>
        <w:ind w:firstLine="640" w:firstLineChars="200"/>
        <w:rPr>
          <w:rFonts w:hint="eastAsia" w:ascii="仿宋_GB2312" w:hAnsi="仿宋_GB2312" w:eastAsia="仿宋_GB2312" w:cs="仿宋_GB2312"/>
          <w:b w:val="0"/>
          <w:bCs/>
          <w:kern w:val="0"/>
          <w:sz w:val="32"/>
          <w:szCs w:val="32"/>
          <w:lang w:val="en-US" w:eastAsia="zh-CN"/>
        </w:rPr>
      </w:pPr>
      <w:r>
        <w:rPr>
          <w:rFonts w:hint="eastAsia" w:ascii="仿宋_GB2312" w:hAnsi="仿宋_GB2312" w:eastAsia="仿宋_GB2312" w:cs="仿宋_GB2312"/>
          <w:b w:val="0"/>
          <w:bCs/>
          <w:kern w:val="0"/>
          <w:sz w:val="32"/>
          <w:szCs w:val="32"/>
          <w:lang w:val="en-US" w:eastAsia="zh-CN"/>
        </w:rPr>
        <w:t>6、服务对象满意度方面</w:t>
      </w:r>
    </w:p>
    <w:p>
      <w:pPr>
        <w:numPr>
          <w:ilvl w:val="0"/>
          <w:numId w:val="0"/>
        </w:numPr>
        <w:pBdr>
          <w:bottom w:val="single" w:color="FFFFFF" w:sz="4" w:space="31"/>
        </w:pBdr>
        <w:tabs>
          <w:tab w:val="left" w:pos="1440"/>
        </w:tabs>
        <w:spacing w:line="580" w:lineRule="exact"/>
        <w:ind w:firstLine="640" w:firstLineChars="200"/>
        <w:rPr>
          <w:rFonts w:hint="eastAsia" w:ascii="仿宋" w:hAnsi="仿宋" w:eastAsia="仿宋" w:cs="仿宋"/>
          <w:bCs/>
          <w:sz w:val="32"/>
          <w:szCs w:val="32"/>
          <w:highlight w:val="none"/>
          <w:lang w:val="en-US" w:eastAsia="zh-CN"/>
        </w:rPr>
      </w:pPr>
      <w:r>
        <w:rPr>
          <w:rFonts w:hint="eastAsia" w:ascii="仿宋" w:hAnsi="仿宋" w:eastAsia="仿宋" w:cs="仿宋"/>
          <w:bCs/>
          <w:sz w:val="32"/>
          <w:szCs w:val="32"/>
          <w:highlight w:val="none"/>
          <w:lang w:val="en-US" w:eastAsia="zh-CN"/>
        </w:rPr>
        <w:t>通过调查，服务对象的满意度为90%以上。</w:t>
      </w:r>
    </w:p>
    <w:p>
      <w:pPr>
        <w:numPr>
          <w:ilvl w:val="0"/>
          <w:numId w:val="2"/>
        </w:numPr>
        <w:pBdr>
          <w:bottom w:val="single" w:color="FFFFFF" w:sz="4" w:space="31"/>
        </w:pBdr>
        <w:tabs>
          <w:tab w:val="left" w:pos="1440"/>
        </w:tabs>
        <w:spacing w:line="580" w:lineRule="exact"/>
        <w:ind w:firstLine="640" w:firstLineChars="200"/>
        <w:rPr>
          <w:rFonts w:hint="eastAsia" w:ascii="楷体" w:hAnsi="楷体" w:eastAsia="楷体" w:cs="楷体"/>
          <w:b/>
          <w:bCs/>
          <w:sz w:val="32"/>
          <w:szCs w:val="32"/>
        </w:rPr>
      </w:pPr>
      <w:r>
        <w:rPr>
          <w:rFonts w:hint="eastAsia" w:ascii="楷体" w:hAnsi="楷体" w:eastAsia="楷体" w:cs="楷体"/>
          <w:b/>
          <w:bCs/>
          <w:sz w:val="32"/>
          <w:szCs w:val="32"/>
        </w:rPr>
        <w:t>存在的问题及原因分析</w:t>
      </w:r>
    </w:p>
    <w:p>
      <w:pPr>
        <w:numPr>
          <w:ilvl w:val="0"/>
          <w:numId w:val="0"/>
        </w:numPr>
        <w:pBdr>
          <w:bottom w:val="single" w:color="FFFFFF" w:sz="4" w:space="31"/>
        </w:pBdr>
        <w:tabs>
          <w:tab w:val="left" w:pos="1440"/>
        </w:tabs>
        <w:spacing w:line="580" w:lineRule="exact"/>
        <w:ind w:firstLine="640" w:firstLineChars="200"/>
        <w:rPr>
          <w:rFonts w:hint="eastAsia" w:ascii="Times New Roman" w:hAnsi="Times New Roman" w:eastAsia="仿宋_GB2312"/>
          <w:sz w:val="32"/>
          <w:szCs w:val="32"/>
          <w:lang w:val="en-US" w:eastAsia="zh-CN"/>
        </w:rPr>
      </w:pPr>
      <w:r>
        <w:rPr>
          <w:rFonts w:hint="eastAsia" w:ascii="Times New Roman" w:hAnsi="Times New Roman" w:eastAsia="仿宋_GB2312"/>
          <w:sz w:val="32"/>
          <w:szCs w:val="32"/>
          <w:lang w:val="en-US" w:eastAsia="zh-CN"/>
        </w:rPr>
        <w:t>本年度预算执行中，尽管整体预算执行率达到90%以上，但仍有个别项目本年度预算执行率低于90%。主要原因一是因疫情影响，年底部分培训、会议取消或推迟至明年；二是部分项目因实施周期较长，需跨年度完成，仅支出部分资金，个别项目因前期审查时间较长，暂未形成支出。</w:t>
      </w:r>
    </w:p>
    <w:p>
      <w:pPr>
        <w:numPr>
          <w:ilvl w:val="0"/>
          <w:numId w:val="0"/>
        </w:numPr>
        <w:pBdr>
          <w:bottom w:val="single" w:color="FFFFFF" w:sz="4" w:space="31"/>
        </w:pBdr>
        <w:tabs>
          <w:tab w:val="left" w:pos="1440"/>
        </w:tabs>
        <w:spacing w:line="580" w:lineRule="exact"/>
        <w:ind w:firstLine="640" w:firstLineChars="200"/>
      </w:pPr>
      <w:r>
        <w:rPr>
          <w:rFonts w:hint="eastAsia" w:ascii="Times New Roman" w:hAnsi="Times New Roman" w:eastAsia="仿宋_GB2312"/>
          <w:sz w:val="32"/>
          <w:szCs w:val="32"/>
          <w:lang w:val="en-US" w:eastAsia="zh-CN"/>
        </w:rPr>
        <w:t>下一步改进措施：一方面</w:t>
      </w:r>
      <w:r>
        <w:rPr>
          <w:rFonts w:hint="eastAsia" w:ascii="仿宋" w:hAnsi="仿宋" w:eastAsia="仿宋"/>
          <w:kern w:val="0"/>
          <w:sz w:val="32"/>
          <w:szCs w:val="32"/>
        </w:rPr>
        <w:t>进一步提高预算编制的科学性、准确性和合理性，强化预算管理，提高预算执行力度。通过定期对项目实施和预算执行情况进行跟踪，及时掌握项目进度、发现问题和解决问题，</w:t>
      </w:r>
      <w:r>
        <w:rPr>
          <w:rFonts w:hint="eastAsia" w:ascii="仿宋_GB2312" w:hAnsi="微软雅黑" w:eastAsia="仿宋_GB2312" w:cs="宋体"/>
          <w:color w:val="000000"/>
          <w:kern w:val="0"/>
          <w:sz w:val="32"/>
          <w:szCs w:val="32"/>
          <w:highlight w:val="none"/>
          <w:lang w:val="en-US" w:eastAsia="zh-CN"/>
        </w:rPr>
        <w:t>督促项目实施单位早启动、早实施、早验收，对符合条件的目按照项目进度支付相关款项，将预算资金管理贯穿于项目实施全过程中。</w:t>
      </w:r>
    </w:p>
    <w:p>
      <w:pPr>
        <w:numPr>
          <w:ilvl w:val="0"/>
          <w:numId w:val="0"/>
        </w:numPr>
        <w:pBdr>
          <w:bottom w:val="single" w:color="FFFFFF" w:sz="4" w:space="31"/>
        </w:pBdr>
        <w:tabs>
          <w:tab w:val="left" w:pos="1440"/>
        </w:tabs>
        <w:spacing w:line="580" w:lineRule="exact"/>
        <w:ind w:firstLine="640" w:firstLineChars="200"/>
        <w:rPr>
          <w:rFonts w:hint="default" w:ascii="Times New Roman" w:hAnsi="Times New Roman" w:eastAsia="仿宋_GB2312"/>
          <w:sz w:val="32"/>
          <w:szCs w:val="32"/>
          <w:lang w:val="en-US" w:eastAsia="zh-CN"/>
        </w:rPr>
      </w:pPr>
    </w:p>
    <w:p>
      <w:pPr>
        <w:numPr>
          <w:ilvl w:val="0"/>
          <w:numId w:val="0"/>
        </w:numPr>
        <w:pBdr>
          <w:bottom w:val="single" w:color="FFFFFF" w:sz="4" w:space="31"/>
        </w:pBdr>
        <w:tabs>
          <w:tab w:val="left" w:pos="1440"/>
        </w:tabs>
        <w:spacing w:line="580" w:lineRule="exact"/>
        <w:ind w:firstLine="1440" w:firstLineChars="200"/>
        <w:rPr>
          <w:rFonts w:hint="default"/>
          <w:sz w:val="72"/>
          <w:szCs w:val="72"/>
          <w:lang w:val="en-US"/>
        </w:rPr>
      </w:pPr>
    </w:p>
    <w:p>
      <w:pPr>
        <w:pStyle w:val="12"/>
        <w:jc w:val="center"/>
        <w:rPr>
          <w:sz w:val="72"/>
          <w:szCs w:val="72"/>
        </w:rPr>
      </w:pPr>
    </w:p>
    <w:p>
      <w:pPr>
        <w:pStyle w:val="12"/>
        <w:jc w:val="center"/>
        <w:rPr>
          <w:sz w:val="72"/>
          <w:szCs w:val="72"/>
        </w:rPr>
      </w:pPr>
    </w:p>
    <w:p>
      <w:pPr>
        <w:pStyle w:val="12"/>
        <w:jc w:val="both"/>
        <w:rPr>
          <w:sz w:val="72"/>
          <w:szCs w:val="72"/>
        </w:rPr>
      </w:pPr>
    </w:p>
    <w:p>
      <w:pPr>
        <w:pStyle w:val="12"/>
        <w:jc w:val="center"/>
        <w:rPr>
          <w:sz w:val="72"/>
          <w:szCs w:val="72"/>
        </w:rPr>
      </w:pPr>
    </w:p>
    <w:p>
      <w:pPr>
        <w:pStyle w:val="12"/>
        <w:jc w:val="both"/>
        <w:rPr>
          <w:rFonts w:hint="eastAsia" w:ascii="方正小标宋_GBK" w:hAnsi="方正小标宋_GBK" w:eastAsia="方正小标宋_GBK" w:cs="方正小标宋_GBK"/>
          <w:sz w:val="72"/>
          <w:szCs w:val="72"/>
        </w:rPr>
      </w:pPr>
    </w:p>
    <w:p>
      <w:pPr>
        <w:pStyle w:val="12"/>
        <w:jc w:val="center"/>
        <w:rPr>
          <w:rFonts w:hint="eastAsia" w:ascii="方正小标宋_GBK" w:hAnsi="方正小标宋_GBK" w:eastAsia="方正小标宋_GBK" w:cs="方正小标宋_GBK"/>
          <w:sz w:val="72"/>
          <w:szCs w:val="72"/>
        </w:rPr>
      </w:pPr>
    </w:p>
    <w:p>
      <w:pPr>
        <w:pStyle w:val="12"/>
        <w:jc w:val="center"/>
        <w:rPr>
          <w:rFonts w:hint="eastAsia"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第四部分</w:t>
      </w:r>
    </w:p>
    <w:p>
      <w:pPr>
        <w:jc w:val="center"/>
        <w:rPr>
          <w:rFonts w:hint="eastAsia" w:ascii="方正小标宋_GBK" w:hAnsi="方正小标宋_GBK" w:eastAsia="方正小标宋_GBK" w:cs="方正小标宋_GBK"/>
          <w:color w:val="000000"/>
          <w:kern w:val="0"/>
          <w:sz w:val="70"/>
          <w:szCs w:val="70"/>
        </w:rPr>
      </w:pPr>
    </w:p>
    <w:p>
      <w:pPr>
        <w:jc w:val="center"/>
        <w:rPr>
          <w:rFonts w:hint="eastAsia" w:ascii="方正小标宋_GBK" w:hAnsi="方正小标宋_GBK" w:eastAsia="方正小标宋_GBK" w:cs="方正小标宋_GBK"/>
          <w:color w:val="000000"/>
          <w:kern w:val="0"/>
          <w:sz w:val="70"/>
          <w:szCs w:val="70"/>
        </w:rPr>
      </w:pPr>
      <w:r>
        <w:rPr>
          <w:rFonts w:hint="eastAsia" w:ascii="方正小标宋_GBK" w:hAnsi="方正小标宋_GBK" w:eastAsia="方正小标宋_GBK" w:cs="方正小标宋_GBK"/>
          <w:color w:val="000000"/>
          <w:kern w:val="0"/>
          <w:sz w:val="70"/>
          <w:szCs w:val="70"/>
        </w:rPr>
        <w:t>名词解释</w:t>
      </w:r>
    </w:p>
    <w:p>
      <w:pPr>
        <w:widowControl/>
        <w:jc w:val="left"/>
        <w:rPr>
          <w:rFonts w:cs="黑体" w:asciiTheme="minorEastAsia" w:hAnsiTheme="minorEastAsia"/>
          <w:color w:val="000000"/>
          <w:kern w:val="0"/>
          <w:sz w:val="32"/>
          <w:szCs w:val="32"/>
        </w:rPr>
      </w:pPr>
      <w:r>
        <w:br w:type="page"/>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一、财政拨款收入：指省财政当年拨付的资金。</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二、农林水支出（类）农业（款）行政运行（项）：指行政单位（包括实行公务员管理的事业单位）的基本支出。。</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三、农林水支出（类）农业（款）一般行政管理事务（项）：指行政单位（包括实行公务员管理的事业单位）未单独设置项级科目的其他项目支出。</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四、农林水支出（类）农业（款）其他农林水（项）：反映除化解债务支出以外其他用于农林水主方面的支出。</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 xml:space="preserve">五、社会保障和就业（类）行政事业单位离退休（款） 归口管理的行政单位离退休（项）：指财政部离退休干部局统一管理的部机关离退休人员的支出，以及财政部驻各地财政监察专员办事处离退休人员的支出。 </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 xml:space="preserve">六、住房保障（类）住房改革支出（款）住房公积金（项）：指按照《住房公积金管理条例》的规定，由单位及其在职职工缴存的长期住房储金。该项政策始于上世纪九十年 代中期，在全国机关、企事业单位在职职工中普遍实施，缴存比例最低不低于5%，最高不超过12%，缴存基数为职工本人上 年工资，目前已实施约20年时间。行政单位缴存基数包括国家 统一规定的公务员职务工资、级别工资、机关工人岗位工资和技术等级（职务）工资、年终一次性奖金、特殊岗位津贴、艰苦边远地区津贴，规范后发放的工作性津贴、生活性补贴等； 事业单位缴存基数包括国家统一规定的岗位工资、薪级工资、绩效工资、艰苦边远地区津贴、特殊岗位津贴等。 </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七、住房保障（类）住房改革支出（款）住房补贴（项）：指按房改政策规定，行政事业单位向符合条件职工（含离退休人员）、军队（含武警）向转役复员离退休人员发放的用于购买住房的补贴。</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 xml:space="preserve">八、基本支出：指为保障机构正常运转、完成日常工作任务而发生的人员支出和公用支出。 </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 xml:space="preserve">九、项目支出：指在基本支出之外为完成特定行政任务 和事业发展目标所发生的支出。 </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 xml:space="preserve">十、“三公”经费：纳入中央财政预决算管理的“三 公”经费，是指中央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车辆购置支出（含车辆购置税）及租用费、燃料费、维修费、过路过桥费、保险费、安全奖励费用等支出；公务接待费反映单位按规定开支的各类公务接待（含外宾接待）支出。 </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十一、机关运行经费：为保障行政单位（含参照公务员 法管理的事业单位）运行用于购买货物和服务的各项资金，包括办公及印刷费、邮电费、差旅费、会议费、福利费、日常维修费、专用材料及一般设备购置费、办公用房水电费、办公用房取暖费、办公用房物业管理费、公务用车运行维护费以及其他费用。</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十二、年初结转和结余：是指以前年度尚未完成、结转到本年按有关规定继续使用的资金。</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r>
        <w:rPr>
          <w:rFonts w:hint="eastAsia" w:ascii="Times New Roman" w:hAnsi="Times New Roman" w:eastAsia="仿宋_GB2312"/>
          <w:sz w:val="32"/>
          <w:szCs w:val="32"/>
        </w:rPr>
        <w:t>十三、年末结转和结余：指本年度或以前年度预算安排、因客观条件发生变化无法按原计划实施，需要延迟到以后年度按有关规定继续使用的资金。</w:t>
      </w: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p>
    <w:p>
      <w:pPr>
        <w:pStyle w:val="12"/>
        <w:keepNext w:val="0"/>
        <w:keepLines w:val="0"/>
        <w:pageBreakBefore w:val="0"/>
        <w:widowControl w:val="0"/>
        <w:kinsoku/>
        <w:wordWrap/>
        <w:overflowPunct/>
        <w:topLinePunct w:val="0"/>
        <w:bidi w:val="0"/>
        <w:snapToGrid/>
        <w:spacing w:line="600" w:lineRule="exact"/>
        <w:ind w:firstLine="640" w:firstLineChars="200"/>
        <w:jc w:val="left"/>
        <w:textAlignment w:val="auto"/>
        <w:rPr>
          <w:rFonts w:hint="eastAsia" w:ascii="Times New Roman" w:hAnsi="Times New Roman" w:eastAsia="仿宋_GB2312"/>
          <w:sz w:val="32"/>
          <w:szCs w:val="32"/>
        </w:rPr>
      </w:pPr>
    </w:p>
    <w:p>
      <w:pPr>
        <w:pStyle w:val="12"/>
        <w:keepNext w:val="0"/>
        <w:keepLines w:val="0"/>
        <w:pageBreakBefore w:val="0"/>
        <w:widowControl w:val="0"/>
        <w:kinsoku/>
        <w:wordWrap/>
        <w:overflowPunct/>
        <w:topLinePunct w:val="0"/>
        <w:bidi w:val="0"/>
        <w:snapToGrid/>
        <w:spacing w:line="600" w:lineRule="exact"/>
        <w:jc w:val="left"/>
        <w:textAlignment w:val="auto"/>
        <w:rPr>
          <w:rFonts w:hint="eastAsia" w:ascii="Times New Roman" w:hAnsi="Times New Roman" w:eastAsia="仿宋_GB2312"/>
          <w:sz w:val="32"/>
          <w:szCs w:val="32"/>
        </w:rPr>
      </w:pPr>
    </w:p>
    <w:p>
      <w:pPr>
        <w:jc w:val="left"/>
        <w:rPr>
          <w:rFonts w:cs="黑体" w:asciiTheme="minorEastAsia" w:hAnsiTheme="minorEastAsia"/>
          <w:color w:val="000000"/>
          <w:kern w:val="0"/>
          <w:sz w:val="32"/>
          <w:szCs w:val="32"/>
        </w:rPr>
      </w:pPr>
    </w:p>
    <w:sectPr>
      <w:pgSz w:w="11906" w:h="16838"/>
      <w:pgMar w:top="720" w:right="720" w:bottom="720" w:left="720" w:header="851" w:footer="992" w:gutter="0"/>
      <w:cols w:space="425"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方正小标宋_GBK">
    <w:altName w:val="Arial Unicode MS"/>
    <w:panose1 w:val="03000509000000000000"/>
    <w:charset w:val="86"/>
    <w:family w:val="auto"/>
    <w:pitch w:val="default"/>
    <w:sig w:usb0="00000000" w:usb1="00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Arial Unicode MS">
    <w:panose1 w:val="020B0604020202020204"/>
    <w:charset w:val="86"/>
    <w:family w:val="auto"/>
    <w:pitch w:val="default"/>
    <w:sig w:usb0="FFFFFFFF" w:usb1="E9FFFFFF" w:usb2="0000003F" w:usb3="00000000" w:csb0="603F01FF" w:csb1="FFFF0000"/>
  </w:font>
  <w:font w:name="Arial">
    <w:panose1 w:val="020B0604020202020204"/>
    <w:charset w:val="00"/>
    <w:family w:val="auto"/>
    <w:pitch w:val="default"/>
    <w:sig w:usb0="E0002EFF" w:usb1="C000785B"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2E2FDF"/>
    <w:multiLevelType w:val="singleLevel"/>
    <w:tmpl w:val="822E2FDF"/>
    <w:lvl w:ilvl="0" w:tentative="0">
      <w:start w:val="2"/>
      <w:numFmt w:val="chineseCounting"/>
      <w:suff w:val="nothing"/>
      <w:lvlText w:val="（%1）"/>
      <w:lvlJc w:val="left"/>
      <w:rPr>
        <w:rFonts w:hint="eastAsia"/>
      </w:rPr>
    </w:lvl>
  </w:abstractNum>
  <w:abstractNum w:abstractNumId="1">
    <w:nsid w:val="CF092B84"/>
    <w:multiLevelType w:val="multilevel"/>
    <w:tmpl w:val="CF092B84"/>
    <w:lvl w:ilvl="0" w:tentative="0">
      <w:start w:val="1"/>
      <w:numFmt w:val="none"/>
      <w:lvlText w:val="一、"/>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val="1"/>
  <w:bordersDoNotSurroundHeader w:val="0"/>
  <w:bordersDoNotSurroundFooter w:val="0"/>
  <w:doNotTrackMoves/>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YwZjVjNTU4OGJlNzJmZmNjNDZmMTIzOWY3MzQxZmMifQ=="/>
  </w:docVars>
  <w:rsids>
    <w:rsidRoot w:val="00000000"/>
    <w:rsid w:val="01311D17"/>
    <w:rsid w:val="01497A2C"/>
    <w:rsid w:val="01AA4B41"/>
    <w:rsid w:val="036C5C59"/>
    <w:rsid w:val="0C7B478E"/>
    <w:rsid w:val="0DFA7935"/>
    <w:rsid w:val="0FFB575E"/>
    <w:rsid w:val="1DD6125A"/>
    <w:rsid w:val="20C02B25"/>
    <w:rsid w:val="283979BE"/>
    <w:rsid w:val="2B5621F6"/>
    <w:rsid w:val="2D4A4447"/>
    <w:rsid w:val="2E7A444E"/>
    <w:rsid w:val="3125217A"/>
    <w:rsid w:val="33E32C9F"/>
    <w:rsid w:val="347049F5"/>
    <w:rsid w:val="356B7A09"/>
    <w:rsid w:val="35F841B9"/>
    <w:rsid w:val="36E0506A"/>
    <w:rsid w:val="375A7F25"/>
    <w:rsid w:val="393A4F06"/>
    <w:rsid w:val="3C1F4887"/>
    <w:rsid w:val="3E82529D"/>
    <w:rsid w:val="3EF1250A"/>
    <w:rsid w:val="3F1D32FF"/>
    <w:rsid w:val="42807093"/>
    <w:rsid w:val="43DC2EE5"/>
    <w:rsid w:val="43FA5991"/>
    <w:rsid w:val="466E4440"/>
    <w:rsid w:val="498D72D3"/>
    <w:rsid w:val="4A871F75"/>
    <w:rsid w:val="5280780A"/>
    <w:rsid w:val="54D51B2F"/>
    <w:rsid w:val="550F0A52"/>
    <w:rsid w:val="55F117FB"/>
    <w:rsid w:val="57A93AB1"/>
    <w:rsid w:val="58515970"/>
    <w:rsid w:val="5ABC5FEB"/>
    <w:rsid w:val="5CC130C4"/>
    <w:rsid w:val="5D0C3D79"/>
    <w:rsid w:val="60520642"/>
    <w:rsid w:val="63332842"/>
    <w:rsid w:val="64236413"/>
    <w:rsid w:val="6BC93CBF"/>
    <w:rsid w:val="6D6E6A73"/>
    <w:rsid w:val="705B5186"/>
    <w:rsid w:val="74482924"/>
    <w:rsid w:val="77A85155"/>
    <w:rsid w:val="789A5722"/>
    <w:rsid w:val="7F932247"/>
  </w:rsids>
  <m:mathPr>
    <m:mathFont m:val="Cambria Math"/>
    <m:brkBin m:val="before"/>
    <m:brkBinSub m:val="--"/>
    <m:smallFrac m:val="0"/>
    <m:dispDef/>
    <m:lMargin m:val="0"/>
    <m:rMargin m:val="0"/>
    <m:defJc m:val="centerGroup"/>
    <m:wrapIndent m:val="1440"/>
    <m:intLim m:val="subSup"/>
    <m:naryLim m:val="undOvr"/>
    <m:interSp m:val="0"/>
    <m:intraSp m:val="0"/>
    <m:postSp m:val="0"/>
    <m:preSp m:val="0"/>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First Indent 2"/>
    <w:basedOn w:val="3"/>
    <w:unhideWhenUsed/>
    <w:qFormat/>
    <w:uiPriority w:val="99"/>
  </w:style>
  <w:style w:type="paragraph" w:styleId="3">
    <w:name w:val="Body Text Indent"/>
    <w:basedOn w:val="1"/>
    <w:qFormat/>
    <w:uiPriority w:val="0"/>
    <w:pPr>
      <w:ind w:firstLine="640"/>
    </w:pPr>
    <w:rPr>
      <w:rFonts w:ascii="仿宋_GB2312"/>
      <w:szCs w:val="20"/>
    </w:rPr>
  </w:style>
  <w:style w:type="paragraph" w:styleId="4">
    <w:name w:val="Balloon Text"/>
    <w:basedOn w:val="1"/>
    <w:link w:val="14"/>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character" w:customStyle="1" w:styleId="10">
    <w:name w:val="页眉 Char"/>
    <w:basedOn w:val="9"/>
    <w:link w:val="6"/>
    <w:qFormat/>
    <w:uiPriority w:val="99"/>
    <w:rPr>
      <w:sz w:val="18"/>
      <w:szCs w:val="18"/>
    </w:rPr>
  </w:style>
  <w:style w:type="character" w:customStyle="1" w:styleId="11">
    <w:name w:val="页脚 Char"/>
    <w:basedOn w:val="9"/>
    <w:link w:val="5"/>
    <w:qFormat/>
    <w:uiPriority w:val="99"/>
    <w:rPr>
      <w:sz w:val="18"/>
      <w:szCs w:val="18"/>
    </w:rPr>
  </w:style>
  <w:style w:type="paragraph" w:customStyle="1" w:styleId="12">
    <w:name w:val="Default"/>
    <w:qFormat/>
    <w:uiPriority w:val="0"/>
    <w:pPr>
      <w:widowControl w:val="0"/>
      <w:autoSpaceDE w:val="0"/>
      <w:autoSpaceDN w:val="0"/>
      <w:adjustRightInd w:val="0"/>
    </w:pPr>
    <w:rPr>
      <w:rFonts w:ascii="黑体" w:eastAsia="黑体" w:cs="黑体" w:hAnsiTheme="minorHAnsi"/>
      <w:color w:val="000000"/>
      <w:kern w:val="0"/>
      <w:sz w:val="24"/>
      <w:szCs w:val="24"/>
      <w:lang w:val="en-US" w:eastAsia="zh-CN" w:bidi="ar-SA"/>
    </w:rPr>
  </w:style>
  <w:style w:type="paragraph" w:styleId="13">
    <w:name w:val="List Paragraph"/>
    <w:basedOn w:val="1"/>
    <w:qFormat/>
    <w:uiPriority w:val="34"/>
    <w:pPr>
      <w:ind w:firstLine="420" w:firstLineChars="200"/>
    </w:pPr>
  </w:style>
  <w:style w:type="character" w:customStyle="1" w:styleId="14">
    <w:name w:val="批注框文本 Char"/>
    <w:basedOn w:val="9"/>
    <w:link w:val="4"/>
    <w:semiHidden/>
    <w:qFormat/>
    <w:uiPriority w:val="99"/>
    <w:rPr>
      <w:sz w:val="18"/>
      <w:szCs w:val="18"/>
    </w:rPr>
  </w:style>
  <w:style w:type="character" w:customStyle="1" w:styleId="15">
    <w:name w:val="font01"/>
    <w:basedOn w:val="9"/>
    <w:qFormat/>
    <w:uiPriority w:val="0"/>
    <w:rPr>
      <w:rFonts w:hint="eastAsia" w:ascii="宋体" w:hAnsi="宋体" w:eastAsia="宋体" w:cs="宋体"/>
      <w:color w:val="000000"/>
      <w:sz w:val="22"/>
      <w:szCs w:val="22"/>
      <w:u w:val="none"/>
    </w:rPr>
  </w:style>
  <w:style w:type="character" w:customStyle="1" w:styleId="16">
    <w:name w:val="font21"/>
    <w:basedOn w:val="9"/>
    <w:qFormat/>
    <w:uiPriority w:val="0"/>
    <w:rPr>
      <w:rFonts w:hint="eastAsia" w:ascii="宋体" w:hAnsi="宋体" w:eastAsia="宋体" w:cs="宋体"/>
      <w:color w:val="000000"/>
      <w:sz w:val="24"/>
      <w:szCs w:val="24"/>
      <w:u w:val="none"/>
    </w:rPr>
  </w:style>
  <w:style w:type="character" w:customStyle="1" w:styleId="17">
    <w:name w:val="font11"/>
    <w:basedOn w:val="9"/>
    <w:qFormat/>
    <w:uiPriority w:val="0"/>
    <w:rPr>
      <w:rFonts w:hint="eastAsia" w:ascii="宋体" w:hAnsi="宋体" w:eastAsia="宋体" w:cs="宋体"/>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customXml" Target="../customXml/item10.xml"/><Relationship Id="rId2" Type="http://schemas.openxmlformats.org/officeDocument/2006/relationships/settings" Target="settings.xml"/><Relationship Id="rId19" Type="http://schemas.openxmlformats.org/officeDocument/2006/relationships/customXml" Target="../customXml/item9.xml"/><Relationship Id="rId18" Type="http://schemas.openxmlformats.org/officeDocument/2006/relationships/customXml" Target="../customXml/item8.xml"/><Relationship Id="rId17" Type="http://schemas.openxmlformats.org/officeDocument/2006/relationships/customXml" Target="../customXml/item7.xml"/><Relationship Id="rId16" Type="http://schemas.openxmlformats.org/officeDocument/2006/relationships/customXml" Target="../customXml/item6.xml"/><Relationship Id="rId15" Type="http://schemas.openxmlformats.org/officeDocument/2006/relationships/customXml" Target="../customXml/item5.xml"/><Relationship Id="rId14" Type="http://schemas.openxmlformats.org/officeDocument/2006/relationships/customXml" Target="../customXml/item4.xml"/><Relationship Id="rId13" Type="http://schemas.openxmlformats.org/officeDocument/2006/relationships/customXml" Target="../customXml/item3.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Properties xmlns:vt="http://schemas.openxmlformats.org/officeDocument/2006/docPropsVTypes" xmlns="http://schemas.openxmlformats.org/officeDocument/2006/extended-properties">
  <Template>Normal</Template>
  <TotalTime>37</TotalTime>
  <Pages>24</Pages>
  <Words>1347</Words>
  <Characters>7679</Characters>
  <Application>WPS Office_11.8.2.10125_F1E327BC-269C-435d-A152-05C5408002CA</Application>
  <DocSecurity>0</DocSecurity>
  <Lines>63</Lines>
  <Paragraphs>18</Paragraphs>
  <Company>Microsoft</Company>
  <CharactersWithSpaces>9008</CharactersWithSpaces>
  <AppVersion>14.0000</AppVersion>
</Properties>
</file>

<file path=customXml/item3.xml><?xml version="1.0" encoding="utf-8"?>
<Properties xmlns:vt="http://schemas.openxmlformats.org/officeDocument/2006/docPropsVTypes" xmlns="http://schemas.openxmlformats.org/officeDocument/2006/custom-properties">
  <property fmtid="{D5CDD505-2E9C-101B-9397-08002B2CF9AE}" pid="2" name="KSOProductBuildVer">
    <vt:lpstr>2052-11.8.2.10125</vt:lpstr>
  </property>
</Properties>
</file>

<file path=customXml/item4.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2020-07-04T18:32:00Z</dcterms:created>
  <dc:creator>李航 null</dc:creator>
  <cp:lastModifiedBy>greatwall</cp:lastModifiedBy>
  <cp:lastPrinted>2023-08-15T09:28:45Z</cp:lastPrinted>
  <dcterms:modified xsi:type="dcterms:W3CDTF">2023-08-15T09:28:46Z</dcterms:modified>
  <cp:revision>67</cp:revision>
</cp:coreProperties>
</file>

<file path=customXml/item5.xml><?xml version="1.0" encoding="utf-8"?>
<Properties xmlns="http://schemas.openxmlformats.org/officeDocument/2006/extended-properties" xmlns:vt="http://schemas.openxmlformats.org/officeDocument/2006/docPropsVTypes">
  <Template>Normal</Template>
  <Company>Microsoft</Company>
  <Pages>24</Pages>
  <Words>1347</Words>
  <Characters>7679</Characters>
  <Lines>63</Lines>
  <Paragraphs>18</Paragraphs>
  <TotalTime>37</TotalTime>
  <ScaleCrop>false</ScaleCrop>
  <LinksUpToDate>false</LinksUpToDate>
  <CharactersWithSpaces>9008</CharactersWithSpaces>
  <Application>WPS Office_11.8.2.10125_F1E327BC-269C-435d-A152-05C5408002CA</Application>
  <DocSecurity>0</DocSecurity>
</Properties>
</file>

<file path=customXml/item6.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2020-07-04T18:32:00Z</dcterms:created>
  <dc:creator>李航 null</dc:creator>
  <cp:lastModifiedBy>greatwall</cp:lastModifiedBy>
  <cp:lastPrinted>2023-08-15T09:28:45Z</cp:lastPrinted>
  <dcterms:modified xsi:type="dcterms:W3CDTF">2023-08-15T09:28:46Z</dcterms:modified>
  <cp:revision>67</cp:revision>
</cp:coreProperties>
</file>

<file path=customXml/item7.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ies>
</file>

<file path=customXml/item8.xml><?xml version="1.0" encoding="utf-8"?>
<Properties xmlns="http://schemas.openxmlformats.org/officeDocument/2006/extended-properties" xmlns:vt="http://schemas.openxmlformats.org/officeDocument/2006/docPropsVTypes">
  <Template>Normal</Template>
  <Company>Microsoft</Company>
  <Pages>24</Pages>
  <Words>1347</Words>
  <Characters>7679</Characters>
  <Lines>63</Lines>
  <Paragraphs>18</Paragraphs>
  <TotalTime>37</TotalTime>
  <ScaleCrop>false</ScaleCrop>
  <LinksUpToDate>false</LinksUpToDate>
  <CharactersWithSpaces>9008</CharactersWithSpaces>
  <Application>WPS Office_11.8.2.10125_F1E327BC-269C-435d-A152-05C5408002CA</Application>
  <DocSecurity>0</DocSecurity>
</Properties>
</file>

<file path=customXml/item9.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ies>
</file>

<file path=customXml/item10.xml><?xml version="1.0" encoding="utf-8"?>
<cp:coreProperties xmlns:cp="http://schemas.openxmlformats.org/package/2006/metadata/core-properties" xmlns:dc="http://purl.org/dc/elements/1.1/" xmlns:dcterms="http://purl.org/dc/terms/" xmlns:dcmitype="http://purl.org/dc/dcmitype/" xmlns:xsi="http://www.w3.org/2001/XMLSchema-instance">
  <dc:creator>李航 null</dc:creator>
  <cp:lastModifiedBy>greatwall</cp:lastModifiedBy>
  <cp:revision>67</cp:revision>
  <cp:lastPrinted>2023-08-15T09:28:45Z</cp:lastPrinted>
  <dcterms:created xsi:type="dcterms:W3CDTF">2020-07-04T18:32:00Z</dcterms:created>
  <dcterms:modified xsi:type="dcterms:W3CDTF">2023-08-15T09:28:46Z</dcterms:modified>
</cp:core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4794b5c-82fd-40fc-8f54-b61d07f3f74d}">
  <ds:schemaRefs/>
</ds:datastoreItem>
</file>

<file path=customXml/itemProps3.xml><?xml version="1.0" encoding="utf-8"?>
<ds:datastoreItem xmlns:ds="http://schemas.openxmlformats.org/officeDocument/2006/customXml" ds:itemID="{d98faba2-fd32-4073-940e-41f4aa7e9880}">
  <ds:schemaRefs/>
</ds:datastoreItem>
</file>

<file path=customXml/itemProps4.xml><?xml version="1.0" encoding="utf-8"?>
<ds:datastoreItem xmlns:ds="http://schemas.openxmlformats.org/officeDocument/2006/customXml" ds:itemID="{8b84e9e6-7cc6-44f5-8ff8-04f96dec2376}">
  <ds:schemaRefs/>
</ds:datastoreItem>
</file>

<file path=customXml/itemProps5.xml><?xml version="1.0" encoding="utf-8"?>
<ds:datastoreItem xmlns:ds="http://schemas.openxmlformats.org/officeDocument/2006/customXml" ds:itemID="{f0826d76-ccf5-44cd-b51e-280d44bd703a}">
  <ds:schemaRefs/>
</ds:datastoreItem>
</file>

<file path=customXml/itemProps6.xml><?xml version="1.0" encoding="utf-8"?>
<ds:datastoreItem xmlns:ds="http://schemas.openxmlformats.org/officeDocument/2006/customXml" ds:itemID="{d18fb482-006c-4937-b176-02feca82d08e}">
  <ds:schemaRefs/>
</ds:datastoreItem>
</file>

<file path=customXml/itemProps7.xml><?xml version="1.0" encoding="utf-8"?>
<ds:datastoreItem xmlns:ds="http://schemas.openxmlformats.org/officeDocument/2006/customXml" ds:itemID="{5f83fac3-a6b3-46dd-8e5e-1dee5a5e833c}">
  <ds:schemaRefs/>
</ds:datastoreItem>
</file>

<file path=customXml/itemProps8.xml><?xml version="1.0" encoding="utf-8"?>
<ds:datastoreItem xmlns:ds="http://schemas.openxmlformats.org/officeDocument/2006/customXml" ds:itemID="{22ae0ed3-fa00-4652-8165-cf0dd56376d5}">
  <ds:schemaRefs/>
</ds:datastoreItem>
</file>

<file path=customXml/itemProps9.xml><?xml version="1.0" encoding="utf-8"?>
<ds:datastoreItem xmlns:ds="http://schemas.openxmlformats.org/officeDocument/2006/customXml" ds:itemID="{b08ad77c-c39b-461e-83a2-007315fedf7c}">
  <ds:schemaRefs/>
</ds:datastoreItem>
</file>

<file path=customXml/itemProps10.xml><?xml version="1.0" encoding="utf-8"?>
<ds:datastoreItem xmlns:ds="http://schemas.openxmlformats.org/officeDocument/2006/customXml" ds:itemID="{0b5044e8-1315-4912-85cc-9659952e1a2c}">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27</Pages>
  <Words>8109</Words>
  <Characters>8994</Characters>
  <Lines>63</Lines>
  <Paragraphs>18</Paragraphs>
  <TotalTime>0</TotalTime>
  <ScaleCrop>false</ScaleCrop>
  <LinksUpToDate>false</LinksUpToDate>
  <CharactersWithSpaces>9032</CharactersWithSpaces>
  <Application>WPS Office_11.8.6.8556_F1E327BC-269C-435d-A152-05C5408002CA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2020-07-04T18:32:00Z</dcterms:created>
  <dc:creator>李航 null</dc:creator>
  <cp:lastModifiedBy>ok</cp:lastModifiedBy>
  <cp:lastPrinted>2023-09-07T08:20:00Z</cp:lastPrinted>
  <dcterms:modified xsi:type="dcterms:W3CDTF">2023-11-01T09:29:35Z</dcterms:modified>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2052-11.8.6.8556</vt:lpwstr>
  </property>
  <property fmtid="{D5CDD505-2E9C-101B-9397-08002B2CF9AE}" pid="3" name="ICV">
    <vt:lpwstr>53CA963DA49B4062888EC2413C97BC32_12</vt:lpwstr>
  </property>
</Properties>
</file>