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sz w:val="56"/>
          <w:szCs w:val="56"/>
          <w:highlight w:val="none"/>
        </w:rPr>
      </w:pPr>
    </w:p>
    <w:p>
      <w:pPr>
        <w:pStyle w:val="12"/>
        <w:jc w:val="center"/>
        <w:rPr>
          <w:sz w:val="56"/>
          <w:szCs w:val="56"/>
          <w:highlight w:val="none"/>
        </w:rPr>
      </w:pPr>
    </w:p>
    <w:p>
      <w:pPr>
        <w:pStyle w:val="12"/>
        <w:jc w:val="center"/>
        <w:rPr>
          <w:sz w:val="84"/>
          <w:szCs w:val="84"/>
          <w:highlight w:val="none"/>
        </w:rPr>
      </w:pPr>
    </w:p>
    <w:p>
      <w:pPr>
        <w:pStyle w:val="12"/>
        <w:jc w:val="center"/>
        <w:rPr>
          <w:sz w:val="84"/>
          <w:szCs w:val="84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年度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  <w:lang w:eastAsia="zh-CN"/>
        </w:rPr>
        <w:t>湖南省畜牧兽医研究所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部门决算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56"/>
          <w:szCs w:val="56"/>
          <w:highlight w:val="none"/>
        </w:rPr>
      </w:pPr>
    </w:p>
    <w:p>
      <w:pPr>
        <w:pStyle w:val="12"/>
        <w:jc w:val="center"/>
        <w:rPr>
          <w:sz w:val="56"/>
          <w:szCs w:val="56"/>
          <w:highlight w:val="none"/>
        </w:rPr>
      </w:pPr>
    </w:p>
    <w:p>
      <w:pPr>
        <w:pStyle w:val="12"/>
        <w:jc w:val="center"/>
        <w:rPr>
          <w:sz w:val="56"/>
          <w:szCs w:val="56"/>
          <w:highlight w:val="none"/>
        </w:rPr>
      </w:pPr>
    </w:p>
    <w:p>
      <w:pPr>
        <w:pStyle w:val="12"/>
        <w:jc w:val="center"/>
        <w:rPr>
          <w:sz w:val="56"/>
          <w:szCs w:val="56"/>
          <w:highlight w:val="none"/>
        </w:rPr>
      </w:pPr>
    </w:p>
    <w:p>
      <w:pPr>
        <w:pStyle w:val="12"/>
        <w:jc w:val="center"/>
        <w:rPr>
          <w:sz w:val="32"/>
          <w:szCs w:val="32"/>
          <w:highlight w:val="none"/>
        </w:rPr>
      </w:pPr>
    </w:p>
    <w:p>
      <w:pPr>
        <w:pStyle w:val="12"/>
        <w:jc w:val="center"/>
        <w:rPr>
          <w:sz w:val="32"/>
          <w:szCs w:val="32"/>
          <w:highlight w:val="none"/>
        </w:rPr>
      </w:pPr>
    </w:p>
    <w:p>
      <w:pPr>
        <w:pStyle w:val="12"/>
        <w:jc w:val="center"/>
        <w:rPr>
          <w:sz w:val="32"/>
          <w:szCs w:val="32"/>
          <w:highlight w:val="none"/>
        </w:rPr>
      </w:pPr>
    </w:p>
    <w:p>
      <w:pPr>
        <w:pStyle w:val="12"/>
        <w:spacing w:line="500" w:lineRule="exact"/>
        <w:jc w:val="both"/>
        <w:rPr>
          <w:b/>
          <w:sz w:val="36"/>
          <w:szCs w:val="28"/>
          <w:highlight w:val="none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  <w:highlight w:val="none"/>
        </w:rPr>
      </w:pPr>
      <w:r>
        <w:rPr>
          <w:rFonts w:hint="eastAsia"/>
          <w:b/>
          <w:sz w:val="36"/>
          <w:szCs w:val="28"/>
          <w:highlight w:val="none"/>
        </w:rPr>
        <w:t>目录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highlight w:val="none"/>
          <w:lang w:eastAsia="zh-CN"/>
        </w:rPr>
        <w:t>湖南省畜牧兽医研究所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概况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一、部门职责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二、机构设置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部门决算表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一、收入支出决算总表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二、收入决算表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三、支出决算表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四、财政拨款收入支出决算总表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五、一般公共预算财政拨款支出决算表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六、一般公共预算财政拨款基本支出决算明细表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七、政府性基金预算财政拨款收入支出决算表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八、国有资本经营预算财政拨款支出决算表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九、财政拨款“三公”经费支出决算表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部门决算情况说明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八、政府性基金预算收入支出决算情况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九、关于机关运行经费支出说明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十、一般性支出情况说明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十一、关于政府采购支出说明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十二、关于国有资产占用情况说明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十三、关于预算绩效情况的说明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highlight w:val="none"/>
        </w:rPr>
        <w:t>名词解释</w:t>
      </w: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 xml:space="preserve">第一部分 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  <w:lang w:eastAsia="zh-CN"/>
        </w:rPr>
        <w:t>湖南省畜牧兽医研究所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概况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pStyle w:val="2"/>
        <w:rPr>
          <w:sz w:val="72"/>
          <w:szCs w:val="72"/>
          <w:highlight w:val="none"/>
        </w:rPr>
      </w:pPr>
    </w:p>
    <w:p>
      <w:pPr>
        <w:pStyle w:val="2"/>
        <w:rPr>
          <w:sz w:val="72"/>
          <w:szCs w:val="72"/>
          <w:highlight w:val="none"/>
        </w:rPr>
      </w:pPr>
    </w:p>
    <w:p>
      <w:pPr>
        <w:pStyle w:val="13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部门职责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湖南省畜牧兽医研究所位于长沙市芙蓉区远大二路，系湖南省农业农村厅下属一类公益事业单位，主要承担全省畜禽遗传育种、动物营养、兽医兽药、畜禽新品种、养殖新技术、畜禽产品加工等方面的工作。</w:t>
      </w:r>
    </w:p>
    <w:p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二、机构设置及决算单位构成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</w:rPr>
        <w:t>（一）内设机构设置。湖南省畜牧兽医研究所内设机构包括：办公室、人事科、计财科、后勤中心、养猪研究室、动物营养研究室、兽医兽药研究室、资源化利用研究室、草业与草食动物研究室、信息资料研究室、良种牛繁育中心、奶牛原种场、科技开发服务中心等13个科室、部门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</w:rPr>
        <w:t>（二）决算单位构成。湖南省畜牧兽医研究所202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</w:rPr>
        <w:t>年部门决算汇总公开单位构成包括：湖南省畜牧兽医研究所本级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eastAsia="zh-CN"/>
        </w:rPr>
        <w:t>。</w:t>
      </w:r>
    </w:p>
    <w:p>
      <w:pPr>
        <w:jc w:val="left"/>
        <w:rPr>
          <w:rFonts w:ascii="仿宋_GB2312" w:eastAsia="仿宋_GB2312" w:hAnsiTheme="minorEastAsia"/>
          <w:sz w:val="28"/>
          <w:szCs w:val="32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rFonts w:ascii="黑体" w:hAnsi="黑体" w:eastAsia="黑体"/>
          <w:sz w:val="28"/>
          <w:szCs w:val="28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第二部分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highlight w:val="none"/>
        </w:rPr>
        <w:t>部门决算表</w:t>
      </w: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center"/>
        <w:rPr>
          <w:sz w:val="72"/>
          <w:szCs w:val="72"/>
          <w:highlight w:val="none"/>
        </w:rPr>
      </w:pPr>
    </w:p>
    <w:p>
      <w:pPr>
        <w:jc w:val="left"/>
        <w:rPr>
          <w:sz w:val="32"/>
          <w:szCs w:val="32"/>
          <w:highlight w:val="none"/>
        </w:rPr>
      </w:pPr>
    </w:p>
    <w:p>
      <w:pPr>
        <w:jc w:val="left"/>
        <w:rPr>
          <w:rFonts w:asciiTheme="minorEastAsia" w:hAnsiTheme="minorEastAsia"/>
          <w:sz w:val="32"/>
          <w:szCs w:val="32"/>
          <w:highlight w:val="none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  <w:highlight w:val="none"/>
        </w:rPr>
        <w:t xml:space="preserve"> </w:t>
      </w:r>
      <w:r>
        <w:drawing>
          <wp:inline distT="0" distB="0" distL="114300" distR="114300">
            <wp:extent cx="9775190" cy="5810250"/>
            <wp:effectExtent l="0" t="0" r="3810" b="635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519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br w:type="page"/>
      </w:r>
    </w:p>
    <w:p>
      <w:pPr>
        <w:widowControl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  <w:highlight w:val="none"/>
        </w:rPr>
      </w:pPr>
      <w:r>
        <w:rPr>
          <w:highlight w:val="none"/>
        </w:rPr>
        <w:drawing>
          <wp:inline distT="0" distB="0" distL="114300" distR="114300">
            <wp:extent cx="9769475" cy="5121910"/>
            <wp:effectExtent l="0" t="0" r="952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69475" cy="512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9150350" cy="53467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0" cy="534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both"/>
        <w:rPr>
          <w:rFonts w:ascii="Times New Roman" w:hAnsi="Times New Roman" w:eastAsia="方正小标宋_GBK" w:cs="Times New Roman"/>
          <w:color w:val="000000"/>
          <w:kern w:val="0"/>
          <w:sz w:val="36"/>
          <w:szCs w:val="21"/>
          <w:highlight w:val="none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36"/>
          <w:szCs w:val="36"/>
          <w:highlight w:val="none"/>
        </w:rPr>
      </w:pPr>
      <w:bookmarkStart w:id="0" w:name="RANGE!A1:I22"/>
      <w:bookmarkEnd w:id="0"/>
      <w:bookmarkStart w:id="1" w:name="RANGE!A1:F16"/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36"/>
          <w:szCs w:val="36"/>
          <w:highlight w:val="none"/>
        </w:rPr>
      </w:pPr>
    </w:p>
    <w:bookmarkEnd w:id="1"/>
    <w:p>
      <w:pPr>
        <w:widowControl/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8138160" cy="567563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38160" cy="567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9467850" cy="5327650"/>
            <wp:effectExtent l="0" t="0" r="635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67850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9768205" cy="6231890"/>
            <wp:effectExtent l="0" t="0" r="1079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68205" cy="623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15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40"/>
        <w:gridCol w:w="1402"/>
        <w:gridCol w:w="2119"/>
        <w:gridCol w:w="2119"/>
        <w:gridCol w:w="2119"/>
        <w:gridCol w:w="2119"/>
        <w:gridCol w:w="2119"/>
        <w:gridCol w:w="2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政府性基金预算财政拨款收入支出决算表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公开07表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部门：湖南省畜牧兽医研究所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项 </w:t>
            </w:r>
            <w:r>
              <w:rPr>
                <w:rStyle w:val="15"/>
                <w:highlight w:val="none"/>
                <w:lang w:val="en-US" w:eastAsia="zh-CN"/>
              </w:rPr>
              <w:t xml:space="preserve">   </w:t>
            </w:r>
            <w:r>
              <w:rPr>
                <w:rStyle w:val="16"/>
                <w:highlight w:val="none"/>
                <w:lang w:val="en-US" w:eastAsia="zh-CN"/>
              </w:rPr>
              <w:t>目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年初结转和结余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本年收入</w:t>
            </w:r>
          </w:p>
        </w:tc>
        <w:tc>
          <w:tcPr>
            <w:tcW w:w="6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本年支出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年末结转和结余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科目代码</w:t>
            </w:r>
          </w:p>
        </w:tc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科目名称</w:t>
            </w: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小计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基本支出  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项目支出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栏次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注：本表反映部门本年度政府性基金预算财政拨款收入、支出及结转和结余情况。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说明：我单位没有政府性基金收入，也没有使用政府性基金安排的支出，故本表无数据。</w:t>
            </w:r>
          </w:p>
        </w:tc>
      </w:tr>
    </w:tbl>
    <w:p>
      <w:pPr>
        <w:widowControl/>
        <w:jc w:val="center"/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highlight w:val="none"/>
        </w:rPr>
      </w:pPr>
    </w:p>
    <w:p>
      <w:pPr>
        <w:widowControl/>
        <w:jc w:val="center"/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highlight w:val="none"/>
        </w:rPr>
      </w:pPr>
    </w:p>
    <w:tbl>
      <w:tblPr>
        <w:tblStyle w:val="7"/>
        <w:tblW w:w="15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01"/>
        <w:gridCol w:w="2292"/>
        <w:gridCol w:w="3315"/>
        <w:gridCol w:w="3315"/>
        <w:gridCol w:w="4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5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国有资本经营预算财政拨款支出决算表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公开08表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部门：湖南省畜牧兽医研究所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项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 xml:space="preserve">   </w:t>
            </w:r>
            <w:r>
              <w:rPr>
                <w:rStyle w:val="17"/>
                <w:highlight w:val="none"/>
                <w:lang w:val="en-US" w:eastAsia="zh-CN"/>
              </w:rPr>
              <w:t>目</w:t>
            </w:r>
          </w:p>
        </w:tc>
        <w:tc>
          <w:tcPr>
            <w:tcW w:w="10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本年支出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科目代码</w:t>
            </w:r>
          </w:p>
        </w:tc>
        <w:tc>
          <w:tcPr>
            <w:tcW w:w="2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科目名称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基本支出  </w:t>
            </w:r>
          </w:p>
        </w:tc>
        <w:tc>
          <w:tcPr>
            <w:tcW w:w="4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栏次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注：本表反映部门本年度国有资本经营预算财政拨款支出情况。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说明：我单位没有使用国有资本经营预算安排的支出，故本表无数据。</w:t>
            </w:r>
          </w:p>
        </w:tc>
      </w:tr>
    </w:tbl>
    <w:p>
      <w:pPr>
        <w:widowControl/>
        <w:jc w:val="center"/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highlight w:val="none"/>
        </w:rPr>
      </w:pPr>
    </w:p>
    <w:tbl>
      <w:tblPr>
        <w:tblStyle w:val="7"/>
        <w:tblW w:w="151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1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财政拨款“三公”经费支出决算表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公开09表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部门：湖南省畜牧兽医研究所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预算数</w:t>
            </w:r>
          </w:p>
        </w:tc>
        <w:tc>
          <w:tcPr>
            <w:tcW w:w="75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因公出国（境）费</w:t>
            </w:r>
          </w:p>
        </w:tc>
        <w:tc>
          <w:tcPr>
            <w:tcW w:w="3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公务用车购置及运行维护费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公务接待费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因公出国（境）费</w:t>
            </w:r>
          </w:p>
        </w:tc>
        <w:tc>
          <w:tcPr>
            <w:tcW w:w="3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公务用车购置及运行维护费</w:t>
            </w:r>
          </w:p>
        </w:tc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小计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购置费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运行维护费</w:t>
            </w: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小计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购置费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运行维护费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0.39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1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注：本表反映部门本年度财政拨款“三公”经费支出预决算情况。其中，预算数为“三公”经费全年预算数，反映按规定程序调整后的预算数；决算数是包括当年财政拨款和以前年度结转资金安排的实际支出。</w:t>
            </w:r>
          </w:p>
        </w:tc>
      </w:tr>
    </w:tbl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  <w:highlight w:val="none"/>
        </w:rPr>
      </w:pPr>
    </w:p>
    <w:p>
      <w:pPr>
        <w:widowControl/>
        <w:jc w:val="both"/>
        <w:rPr>
          <w:sz w:val="72"/>
          <w:szCs w:val="72"/>
          <w:highlight w:val="none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highlight w:val="none"/>
        </w:rPr>
        <w:br w:type="page"/>
      </w:r>
    </w:p>
    <w:p>
      <w:pPr>
        <w:pStyle w:val="12"/>
        <w:rPr>
          <w:sz w:val="72"/>
          <w:szCs w:val="72"/>
          <w:highlight w:val="none"/>
        </w:rPr>
      </w:pPr>
    </w:p>
    <w:p>
      <w:pPr>
        <w:pStyle w:val="12"/>
        <w:rPr>
          <w:sz w:val="72"/>
          <w:szCs w:val="72"/>
          <w:highlight w:val="none"/>
        </w:rPr>
      </w:pPr>
    </w:p>
    <w:p>
      <w:pPr>
        <w:pStyle w:val="12"/>
        <w:rPr>
          <w:sz w:val="72"/>
          <w:szCs w:val="72"/>
          <w:highlight w:val="none"/>
        </w:rPr>
      </w:pPr>
    </w:p>
    <w:p>
      <w:pPr>
        <w:pStyle w:val="12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第三部分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highlight w:val="none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highlight w:val="none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highlight w:val="none"/>
        </w:rPr>
        <w:t>年度部门决算情况说明</w:t>
      </w:r>
    </w:p>
    <w:p>
      <w:pPr>
        <w:widowControl/>
        <w:jc w:val="left"/>
        <w:rPr>
          <w:rFonts w:asciiTheme="minorEastAsia" w:hAnsiTheme="minorEastAsia" w:eastAsiaTheme="minorEastAsia"/>
          <w:sz w:val="32"/>
          <w:szCs w:val="32"/>
          <w:highlight w:val="none"/>
        </w:rPr>
      </w:pPr>
      <w:r>
        <w:rPr>
          <w:highlight w:val="none"/>
        </w:rPr>
        <w:br w:type="page"/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一、收入支出决算总体情况说明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年度收、支总计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4961.65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万元。与上年相比，减少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212.25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万元，减少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4.10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使用非财政拨款结余减少。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二、收入决算情况说明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年度收入合计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3126.63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万元，其中：财政拨款收入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2520.22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80.60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%；上级补助收入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%；事业收入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603.59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19.30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%；经营收入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%；附属单位上缴收入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%；其他收入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2.82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0.09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三、支出决算情况说明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年度支出合计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3773.32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万元，其中：基本支出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2419.42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64.12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%；项目支出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1353.90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35.88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%；上缴上级支出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%；经营支出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%；对附属单位补助支出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四、财政拨款收入支出决算总体情况说明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年度财政拨款收、支总计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3390.86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万元，与上年相比，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增加88.91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万元,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增加2.69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追加2021年绩效工资。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五、一般公共预算财政拨款支出决算情况说明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  <w:t>（一）财政拨款支出决算总体情况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80" w:firstLineChars="1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年度财政拨款支出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3076.62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万元，占本年支出合计的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81.54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%，与上年相比，财政拨款支出增加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973.74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46.31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一是追加2021、2022年绩效工资，二是增加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湖南湘猪产业集群建设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等项目支出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80" w:firstLineChars="1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  <w:t>（二）财政拨款支出决算结构情况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年度财政拨款支出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3076.62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万元，主要用于以下方面：一般公共服务（类）支出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21.00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0.68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%；科学技术（类）支出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17.62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1.58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%;农林水（类）支出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3037.80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98.47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占%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  <w:t>（三）财政拨款支出决算具体情况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年度财政拨款支出年初预算数为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2660.94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万元，支出决算数为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3076.62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1、一般公共服务（类）市场监督管理事务（款）质量基础（项）。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21.00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%，决算数大于年初预算数的主要原因是：年中追加市场监督管理专项。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2、科学技术（类）基础研究（款）自然科学基金（项）。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4.42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9.42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年中追加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创新型省份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专项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、科学技术（类）科技重大项目（款）重点研发计划（项）。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8.40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年中追加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创新型省份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专项资金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、农林水（类）农业农村（款）行政运行（项）。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166.52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%，决算数大于（小于）年初预算数的主要原因是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年中追加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绩效奖金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、农林水（类）农业农村（款）事业运行（项）。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1690.30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1690.30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、农林水（类）农业农村（款）科技转化与推广服务（项）。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52.00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52.00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、农林水（类）农业农村（款）农业生产发展（项）。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863.91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863.91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.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、农林水（类）农业农村（款）农业资源保护修复与利用（项）。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52.17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万元，决算数大于年初预算数的主要原因是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年中追加2022年农业种质资源保护与利用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专项资金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、农林水（类）农业农村（款）其他农业农村支出（项）。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21.00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158.59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755.19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年中追加优势特色产业集群建设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现代农业产业技术体系建设项目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、农林水（类）其他农林水支出（款）其他农林水支出（项）。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29.31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54.31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185.30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%，决算数大于年初预算数的主要原因是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年中追加农业生产保障服务体系能力建设提升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项目资金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六、一般公共预算财政拨款基本支出决算情况说明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年度财政拨款基本支出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1856.82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  <w:highlight w:val="none"/>
        </w:rPr>
        <w:t>人员经费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1778.98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万元，占基本支出的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95.81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%,主要包括基本工资、津贴补贴、奖金、伙食补助费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绩效工资、机关事业单位基本养老保险缴费、职工基本医疗保险缴费、住房公积金、离休费、退休费等。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  <w:highlight w:val="none"/>
        </w:rPr>
        <w:t>公用经费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77.84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万元，占基本支出的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4.19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%，主要包括办公费、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工会经费、福利费、其他商品和服务支出。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财政拨款三公经费支出决算情况说明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  <w:highlight w:val="none"/>
        </w:rPr>
        <w:t>（一）“三公”经费财政拨款支出决算总体情况说明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“三公”经费财政拨款支出预算为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15.00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0.39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2.60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因公出国（境）费支出预算为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与上年持平。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公务接待费支出预算为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15.00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0.39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2.60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%，决算数小于预算数的主要原因是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单位厉行节约，大力压着各项经费支出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，与上年相比增加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0.39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万元，增长主要原因是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本年因业务开展发生的接待支出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公务用车购置费支出预算为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与上年持平。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319" w:leftChars="152" w:firstLine="320" w:firstLineChars="1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公务用车运行维护费支出预算为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与上年持平。</w:t>
      </w:r>
      <w:r>
        <w:rPr>
          <w:rFonts w:hint="eastAsia" w:ascii="楷体" w:hAnsi="楷体" w:eastAsia="楷体" w:cs="楷体"/>
          <w:b/>
          <w:bCs w:val="0"/>
          <w:sz w:val="32"/>
          <w:szCs w:val="32"/>
          <w:highlight w:val="none"/>
        </w:rPr>
        <w:t>（二）“三公”经费财政拨款支出决算具体情况说明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年度“三公”经费财政拨款支出决算中，公务接待费支出决算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0.39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%,因公出国（境）费支出决算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%,公务用车购置费及运行维护费支出决算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%。其中：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因公出国（境）费支出决算为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</w:t>
      </w:r>
      <w:bookmarkStart w:id="4" w:name="_GoBack"/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，全年安排因公出国（境）团组0个，累计0人次</w:t>
      </w:r>
      <w:bookmarkEnd w:id="4"/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2、公务接待费支出决算为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0.39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万元，全年共接待来访团组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人次，主要是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市县业务联系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发生的接待支出。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/>
          <w:bCs/>
          <w:i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3、公务用车购置费及运行维护费支出决算为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万元，其中：公务用车购置费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/>
          <w:sz w:val="32"/>
          <w:szCs w:val="32"/>
        </w:rPr>
        <w:t>，单位本级更新公务用车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公务用车运行维护费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万元，截止202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年12月31日，我单位开支财政拨款的公务用车保有量为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八、政府性基金预算收入支出决算情况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本单位无政府性基金收支。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b/>
          <w:sz w:val="32"/>
          <w:szCs w:val="32"/>
          <w:highlight w:val="none"/>
        </w:rPr>
        <w:t>九、关于机关运行经费支出说明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本部门202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年度机关运行经费支出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与上年持平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十、一般性支出情况说明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年本部门开支会议费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0.03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万元，用于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参加湖南省科技期刊编辑学会第八次会员代表大会会务费开支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，人数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人，内容为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湖南省科技期刊编辑学会第八次会员代表大会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；开支培训费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2.60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万元，用于开展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非学历教育和事业单位工作人员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培训，人数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人，内容为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非学历教育和事业单位工作人员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培训；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未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举办节庆、晚会、论坛、赛事活动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十一、关于政府采购支出说明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本部门202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年度政府采购支出总额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1085.16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万元，其中：政府采购货物支出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448.16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万元、政府采购工程支出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637.00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万元、政府采购服务支出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万元。授予中小企业合同金额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759.12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万元，占政府采购支出总额的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69.95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%，其中：授予小微企业合同金额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326.04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万元，占政府采购支出总额的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30.05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%。货物采购授予中小企业合同金额占货物支出金额的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%，工程采购授予中小企业合同金额占工程支出金额的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48.82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%，服务采购授予中小企业合同金额占服务支出金额的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十二、关于国有资产占用情况说明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截至202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年12月31日，本单位共有车辆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辆，其中，主要领导干部用车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辆，机要通信用车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辆、应急保障用车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辆、执法执勤用车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辆、特种专业技术用车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辆、其他用车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辆；单位价值50万元以上通用设备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台（套）；单位价值100万元以上专用设备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台（套）。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十三、关于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年度预算绩效情况的说明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部门整体支出绩效情况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eastAsia="仿宋_GB2312"/>
          <w:color w:val="000000"/>
          <w:sz w:val="32"/>
          <w:szCs w:val="32"/>
          <w:highlight w:val="none"/>
        </w:rPr>
        <w:t>2022年，</w:t>
      </w:r>
      <w:r>
        <w:rPr>
          <w:rFonts w:eastAsia="仿宋_GB2312"/>
          <w:color w:val="000000"/>
          <w:sz w:val="32"/>
          <w:szCs w:val="32"/>
          <w:highlight w:val="none"/>
        </w:rPr>
        <w:t>在厅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党组</w:t>
      </w:r>
      <w:r>
        <w:rPr>
          <w:rFonts w:eastAsia="仿宋_GB2312"/>
          <w:color w:val="000000"/>
          <w:sz w:val="32"/>
          <w:szCs w:val="32"/>
          <w:highlight w:val="none"/>
        </w:rPr>
        <w:t>的正确领导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下，在厅机关各处室和厅直各单位的</w:t>
      </w:r>
      <w:r>
        <w:rPr>
          <w:rFonts w:eastAsia="仿宋_GB2312"/>
          <w:color w:val="000000"/>
          <w:sz w:val="32"/>
          <w:szCs w:val="32"/>
          <w:highlight w:val="none"/>
        </w:rPr>
        <w:t>大力支持下，我所深入学习</w:t>
      </w:r>
      <w:r>
        <w:rPr>
          <w:rFonts w:hint="eastAsia" w:eastAsia="仿宋_GB2312"/>
          <w:color w:val="000000"/>
          <w:sz w:val="32"/>
          <w:szCs w:val="32"/>
          <w:highlight w:val="none"/>
        </w:rPr>
        <w:t>贯彻党的二十大精神和习近平新时代中国特色社会主义思想</w:t>
      </w:r>
      <w:r>
        <w:rPr>
          <w:rFonts w:eastAsia="仿宋_GB2312"/>
          <w:color w:val="000000"/>
          <w:sz w:val="32"/>
          <w:szCs w:val="32"/>
          <w:highlight w:val="none"/>
        </w:rPr>
        <w:t>，以党建工作统领业务工作，以推动畜牧科技创新为己任，以服务全省畜牧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业高质量发展</w:t>
      </w:r>
      <w:r>
        <w:rPr>
          <w:rFonts w:eastAsia="仿宋_GB2312"/>
          <w:color w:val="000000"/>
          <w:sz w:val="32"/>
          <w:szCs w:val="32"/>
          <w:highlight w:val="none"/>
        </w:rPr>
        <w:t>为宗旨，立足科学研究、强化技术推广、夯实和谐基础，开拓创新，锐意进取，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取得了科研工作成效显著、社会事业全面发展的好成绩</w:t>
      </w:r>
      <w:r>
        <w:rPr>
          <w:rFonts w:eastAsia="仿宋_GB2312"/>
          <w:color w:val="000000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运行成本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全年财政拨款支出预算数3390.86万元，决算数3076.62万元，执行率90.74%，我单位全年财政拨款整体支出控制在预算范围内。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人员经费预算数1778.98万元，决算数1778.98万元，公用经费数77.84万元，决算数77.84万元，均控制在预算范围内。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、管理效率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共申报国家级、省级科研项目32项，获立项支持15项，到位项目经费1100万元。获科技成果奖4项，其中主持项目</w:t>
      </w:r>
      <w:bookmarkStart w:id="2" w:name="_Hlk101345553"/>
      <w:r>
        <w:rPr>
          <w:rFonts w:hint="eastAsia" w:ascii="Times New Roman" w:hAnsi="Times New Roman" w:eastAsia="仿宋_GB2312"/>
          <w:sz w:val="32"/>
          <w:szCs w:val="32"/>
          <w:highlight w:val="none"/>
        </w:rPr>
        <w:t>“鸭离水低排高效养殖技术推广与应用”</w:t>
      </w:r>
      <w:bookmarkEnd w:id="2"/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“湖南地区桂牧1号杂交象草栽培与加工技术推广应用”分获全国农牧渔业丰收二等奖、三等奖，参与项目“基于数智化云平台的奶牛提质增效关键技术示范与推广”获全国农牧渔业丰收一等奖，参与项目“奶牛高效养殖关键技术创新与应用”获教育部科技进步奖二等奖。1人获全国农业技术推广贡献奖，1人获湖南省家畜繁殖员职业技能大赛第一名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bookmarkStart w:id="3" w:name="OLE_LINK1"/>
      <w:r>
        <w:rPr>
          <w:rFonts w:hint="eastAsia" w:ascii="Times New Roman" w:hAnsi="Times New Roman" w:eastAsia="仿宋_GB2312"/>
          <w:sz w:val="32"/>
          <w:szCs w:val="32"/>
          <w:highlight w:val="none"/>
        </w:rPr>
        <w:t>1人当选全国奶协育种委员会委员</w:t>
      </w:r>
      <w:bookmarkEnd w:id="3"/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23人入选省（市）科技特派员，19人入选“三区”科技人才；3人分别当选省家禽产业技术体系营养与饲料岗位、水禽遗传育种与繁殖岗位、疾病防控岗位专家；19人入选湖南省第一届畜禽遗传资源委员会委员；在国内外学术刊物发表学术论文50篇，其中SCI 18篇，CSCD9篇，出版专著5部；获授权专利11项，其中发明专利4项，实用新型专利7项；制定地方标准12项；获计算机软件著作权10项；出站博士后1名，联合培养博士研究生1名，硕士研究生10名；争取正高级专业技术职称职数1个、副高级5个。1名同志挂职城步县科技副县长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作为技术牵头的地方畜禽遗传资源普查工作全面推进，取得阶段性成果。推广优质肉牛品改冻精40万支，生产优质牧草180吨、优质鲜奶236吨、有机肥240吨；组织肉牛品改技术培训精品班2期，开展全省家畜繁殖员领军人才培训班2期，培养合格繁育员140余人，接受电话和上门技术咨询800余次；DHI测定奶牛66174头次，出具数据检测解读报告73份，上报中国奶牛数据中心各类数据82277条，有效数据率达80.4%；《湖南畜牧兽医》杂志出版杂志8000余册，向全省行业企业、贫困县赠送杂志2000余册，出版《生猪健康养殖》杂志3期；“湖南畜牧兽医科技网”发布科技信息与动态近100条，科普文章100多篇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履职效能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养猪研究在地方猪品种选育、基因库建设方面取得突破。完成了广益黑猪新品种第10个世代、湘岭猪新品种第3个世代、湘村黑猪壹号新品系第5个世代的选育，对打造生猪种业“华系芯片”，推动全省生猪产业高质量发展具有重要意义；完成了11个地方猪种（类群）697头核心群个体的SNP分型，对地方猪种的遗传多样性进行了充分挖掘；完成了8个地方猪种（类群）共410个样品的基因组DNA提取和建库，为湖南地方猪基因型精准鉴定评估、重要性状基因挖掘利用和基因组选择提供了更有效的平台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动物营养（家禽）研究在家禽饲料配方研发和冷冻精液保存方面保持领先。重点围绕国家水禽产业技术体系鸭饲养管理岗位，省家禽产业技术体系水禽遗传育种与繁殖、营养与饲料岗位的研发任务，持续开展地方家禽营养需要量和冷冻精液保存技术研究与推广，确定了营养参数7个，肉鸭和蛋鸭饲料颗粒硬度参数各1个，稻谷养分与生物学效价数据100余个，获改善应激条件下鸭肉品质、蛋鸭肠道健康和降低鸭粪水分含量的技术方案各1套，有效推动了全省家禽健康养殖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3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草业与草食动物研究创造性开展肉牛育种与性控技术研发。完成了湘西黄牛、湘南黄牛、湘中黑牛生长性能、产肉性能、繁殖性能、抗逆性和耐粗饲等方面的测定，挖掘出多个相关主效基因和SNP位点，为我省地方黄牛新品种选育的基因芯片制作打下基础；对肉牛性控技术进一步优化，首创了牛非创伤性、准确快速鉴定早期胎儿性别的方法，目前正在全省示范推广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兽医兽药研究为全省非洲猪瘟等重大动物疫病防控提供理论支撑。持续开展非洲猪瘟检测，为全省非洲猪瘟监测提供数据支撑；开展了奶牛乳房炎源病原菌系列诊断技术研究，建立一种快速检测乳牛乳房炎的方法，为奶牛健康养殖和牛奶产业健康发展奠定了基础；省家禽产业技术体系疫病防控岗位团队赴全省10多个县区100多个养殖场开展禽病调研和采样工作，采集禽类拭子样品30余份，血清样品400余份，根据检测结果出具了疫病防控建议书，有效提升了养殖场疫病防控水平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5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资源化利用研究强化对畜禽废弃物资源化利用的技术保障。开展了高效复合微生物菌剂研制，获相关技术参数4个；进行了木霉菌和放线菌培养基配比方案研究，获优良培养基配方3个；开展了液体粪污处理参数研究，获液体粪污处理相关参数8个，为科学制定技术参数指标，集成粪污生态处理与高效利用技术，规范液体粪污处理方法提供理论依据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、社会效应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多次组织召开全省畜禽（蜂）遗传资源普查工作会议，安排部署普查工作。圆满完成了大围子猪、湘西黑猪、宁乡猪、沙子岭猪、东山猪、黔邵花猪共308头地方猪的耳组织样品采集工作；开展了湘西黄牛、滨湖水牛、湘东黑山羊和努比亚羊遗传物质精准采样和性能测定工作；完成了临武鸭所有性能测定任务，开展了酃县白鹅、道州灰鹅的体尺、生长性能和屠宰性能等指标测定；对发现新资源永顺凤头鸭、壶天石羊、湘南黄牛、武雪山羊进行了全基因组测序分析，为新品种审定奠定了坚实的基础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可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持续发展能力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技术服务和产学研结合卓有成效。持续与湘村高科、流沙河牧业、飞龙牧业、天府农牧、德农牧业、舜华鸭业、淳口农业以及国内知名大型企业鑫广安、唐人神、新五丰、湘佳、九鼎等保持紧密的产学研合作关系。其中：与广益集团、湘村高科等企业合作开展猪新品种培育；与长沙兴嘉生物合作，开展有机微量元素在家禽饲料中应用技术研究；与大北农集团合作，联合推广蛋鸭笼养、肉鸭发酵床养殖等离水清洁养殖和优质麻鸭肉蛋品质调控等新技术；与中国科学院亚热带农业生态研究所合作建立“奶牛智慧养殖与源头减排试验平台”，探究反刍家畜负能量下维持机体能量代谢的机制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存在的问题及原因分析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我单位财政拨款项目支出预算执行率为79.52%，项目支出预算执行率有待提高，项目支出预算执行率低的主要是因为疫情原因，一是项目资金拨付时间较晚，二是湘猪优势特色产业集群区域（种质资源基因库建设项目一期工程和肉质调控和猪场物联网研发）、2022年农业种质资源保护与利用项目尚未结题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改进措施：一是提高预算编制水平，合理地、精准地、科学的编制预算；二是通过定期对项目资金的执行情况进行分析，及时发现项目执行过程中的问题，督促项目早规划、早启动、早实施，项目完成后及时进行结算，以提高单位项目资金的执行效率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both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第四部分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  <w:highlight w:val="none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  <w:highlight w:val="none"/>
        </w:rPr>
        <w:t>名词解释</w:t>
      </w:r>
    </w:p>
    <w:p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  <w:highlight w:val="none"/>
        </w:rPr>
      </w:pPr>
      <w:r>
        <w:rPr>
          <w:highlight w:val="none"/>
        </w:rPr>
        <w:br w:type="page"/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一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pStyle w:val="12"/>
        <w:jc w:val="center"/>
        <w:rPr>
          <w:sz w:val="72"/>
          <w:szCs w:val="72"/>
          <w:highlight w:val="none"/>
        </w:rPr>
      </w:pPr>
    </w:p>
    <w:p>
      <w:pPr>
        <w:jc w:val="left"/>
        <w:rPr>
          <w:rFonts w:cs="黑体" w:asciiTheme="minorEastAsia" w:hAnsiTheme="minorEastAsia"/>
          <w:color w:val="000000"/>
          <w:kern w:val="0"/>
          <w:sz w:val="32"/>
          <w:szCs w:val="32"/>
          <w:highlight w:val="none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174233"/>
    <w:multiLevelType w:val="singleLevel"/>
    <w:tmpl w:val="8C174233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91051027"/>
    <w:multiLevelType w:val="singleLevel"/>
    <w:tmpl w:val="9105102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49D5A1E"/>
    <w:multiLevelType w:val="singleLevel"/>
    <w:tmpl w:val="C49D5A1E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C10C80"/>
    <w:multiLevelType w:val="singleLevel"/>
    <w:tmpl w:val="7AC10C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67DB5"/>
    <w:rsid w:val="04173E72"/>
    <w:rsid w:val="17712BF3"/>
    <w:rsid w:val="178711E1"/>
    <w:rsid w:val="1C6777DD"/>
    <w:rsid w:val="1ED15A75"/>
    <w:rsid w:val="3C3E5397"/>
    <w:rsid w:val="4172785A"/>
    <w:rsid w:val="4C080B9E"/>
    <w:rsid w:val="518534FD"/>
    <w:rsid w:val="53D82AEE"/>
    <w:rsid w:val="582D4F78"/>
    <w:rsid w:val="65530A7C"/>
    <w:rsid w:val="68F837F6"/>
    <w:rsid w:val="763506E3"/>
    <w:rsid w:val="7E3E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interSp m:val="0"/>
    <m:intraSp m:val="0"/>
    <m:postSp m:val="0"/>
    <m:preSp m:val="0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3">
    <w:name w:val="endnote text"/>
    <w:basedOn w:val="1"/>
    <w:qFormat/>
    <w:uiPriority w:val="0"/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0.xml"/><Relationship Id="rId2" Type="http://schemas.openxmlformats.org/officeDocument/2006/relationships/settings" Target="settings.xml"/><Relationship Id="rId19" Type="http://schemas.openxmlformats.org/officeDocument/2006/relationships/customXml" Target="../customXml/item9.xml"/><Relationship Id="rId18" Type="http://schemas.openxmlformats.org/officeDocument/2006/relationships/customXml" Target="../customXml/item8.xml"/><Relationship Id="rId17" Type="http://schemas.openxmlformats.org/officeDocument/2006/relationships/customXml" Target="../customXml/item7.xml"/><Relationship Id="rId16" Type="http://schemas.openxmlformats.org/officeDocument/2006/relationships/customXml" Target="../customXml/item6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4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2052-11.8.2.10125</vt:lpstr>
  </property>
</Properties>
</file>

<file path=customXml/item5.xml><?xml version="1.0" encoding="utf-8"?>
<Properties xmlns:vt="http://schemas.openxmlformats.org/officeDocument/2006/docPropsVTypes" xmlns="http://schemas.openxmlformats.org/officeDocument/2006/extended-properties">
  <Template>Normal</Template>
  <TotalTime>37</TotalTime>
  <Pages>24</Pages>
  <Words>1347</Words>
  <Characters>7679</Characters>
  <Application>WPS Office_11.8.2.10125_F1E327BC-269C-435d-A152-05C5408002CA</Application>
  <DocSecurity>0</DocSecurity>
  <Lines>63</Lines>
  <Paragraphs>18</Paragraphs>
  <Company>Microsoft</Company>
  <CharactersWithSpaces>9008</CharactersWithSpaces>
  <AppVersion>14.0000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greatwall</cp:lastModifiedBy>
  <cp:revision>67</cp:revision>
  <cp:lastPrinted>2023-08-15T09:28:45Z</cp:lastPrinted>
  <dcterms:created xsi:type="dcterms:W3CDTF">2020-07-04T18:32:00Z</dcterms:created>
  <dcterms:modified xsi:type="dcterms:W3CDTF">2023-08-15T09:28:46Z</dcterms:modified>
</cp:coreProperties>
</file>

<file path=customXml/item7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8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9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10.xml><?xml version="1.0" encoding="utf-8"?>
<ds:datastoreItem xmlns:ds="http://schemas.openxmlformats.org/officeDocument/2006/customXml" ds:itemID="{ac313c06-a8d7-4586-aef3-5f779c5a13dd}">
  <ds:schemaRefs/>
</ds:datastoreItem>
</file>

<file path=customXml/itemProps2.xml><?xml version="1.0" encoding="utf-8"?>
<ds:datastoreItem xmlns:ds="http://schemas.openxmlformats.org/officeDocument/2006/customXml" ds:itemID="{fb0f42cf-22ff-4ba4-a61c-aee0dbf8daa1}">
  <ds:schemaRefs/>
</ds:datastoreItem>
</file>

<file path=customXml/itemProps3.xml><?xml version="1.0" encoding="utf-8"?>
<ds:datastoreItem xmlns:ds="http://schemas.openxmlformats.org/officeDocument/2006/customXml" ds:itemID="{42e5ed4c-4fbc-4acf-b146-f8ac2948dd3b}">
  <ds:schemaRefs/>
</ds:datastoreItem>
</file>

<file path=customXml/itemProps4.xml><?xml version="1.0" encoding="utf-8"?>
<ds:datastoreItem xmlns:ds="http://schemas.openxmlformats.org/officeDocument/2006/customXml" ds:itemID="{aea0acf4-2aec-412a-9b81-4ccc503aaabd}">
  <ds:schemaRefs/>
</ds:datastoreItem>
</file>

<file path=customXml/itemProps5.xml><?xml version="1.0" encoding="utf-8"?>
<ds:datastoreItem xmlns:ds="http://schemas.openxmlformats.org/officeDocument/2006/customXml" ds:itemID="{13007ddc-46c8-4b44-b4c5-076f1d4905b7}">
  <ds:schemaRefs/>
</ds:datastoreItem>
</file>

<file path=customXml/itemProps6.xml><?xml version="1.0" encoding="utf-8"?>
<ds:datastoreItem xmlns:ds="http://schemas.openxmlformats.org/officeDocument/2006/customXml" ds:itemID="{61f2e2bf-1a73-4a87-a292-8b0ef5a50542}">
  <ds:schemaRefs/>
</ds:datastoreItem>
</file>

<file path=customXml/itemProps7.xml><?xml version="1.0" encoding="utf-8"?>
<ds:datastoreItem xmlns:ds="http://schemas.openxmlformats.org/officeDocument/2006/customXml" ds:itemID="{77eff2cb-1a13-4a8c-bee8-27139e80d677}">
  <ds:schemaRefs/>
</ds:datastoreItem>
</file>

<file path=customXml/itemProps8.xml><?xml version="1.0" encoding="utf-8"?>
<ds:datastoreItem xmlns:ds="http://schemas.openxmlformats.org/officeDocument/2006/customXml" ds:itemID="{354485fc-a4c5-46d4-8a94-8fd484187142}">
  <ds:schemaRefs/>
</ds:datastoreItem>
</file>

<file path=customXml/itemProps9.xml><?xml version="1.0" encoding="utf-8"?>
<ds:datastoreItem xmlns:ds="http://schemas.openxmlformats.org/officeDocument/2006/customXml" ds:itemID="{99170c26-fca3-487a-b3c3-0105dbba5c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26</Pages>
  <Words>6873</Words>
  <Characters>7504</Characters>
  <Lines>63</Lines>
  <Paragraphs>18</Paragraphs>
  <TotalTime>3</TotalTime>
  <ScaleCrop>false</ScaleCrop>
  <LinksUpToDate>false</LinksUpToDate>
  <CharactersWithSpaces>7531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ok</cp:lastModifiedBy>
  <cp:lastPrinted>2023-08-15T09:28:00Z</cp:lastPrinted>
  <dcterms:modified xsi:type="dcterms:W3CDTF">2023-11-01T09:48:38Z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