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湖南省农业技术推广总站</w:t>
      </w: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湖南省农业技术推广总站</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湖南省农业技术推广总站</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pStyle w:val="15"/>
        <w:numPr>
          <w:ilvl w:val="0"/>
          <w:numId w:val="0"/>
        </w:numPr>
        <w:ind w:leftChars="0"/>
        <w:jc w:val="left"/>
        <w:rPr>
          <w:rFonts w:hint="eastAsia" w:ascii="黑体" w:hAnsi="黑体" w:eastAsia="黑体" w:cs="黑体"/>
          <w:b w:val="0"/>
          <w:bCs w:val="0"/>
          <w:sz w:val="32"/>
          <w:szCs w:val="32"/>
        </w:rPr>
      </w:pPr>
    </w:p>
    <w:p>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rPr>
        <w:t>负责全省农业技术推广体系建设与管理、农技推广队伍建设与人员</w:t>
      </w:r>
      <w:r>
        <w:rPr>
          <w:rFonts w:hint="eastAsia" w:ascii="仿宋" w:hAnsi="仿宋" w:eastAsia="仿宋" w:cs="仿宋"/>
          <w:color w:val="auto"/>
          <w:sz w:val="32"/>
          <w:szCs w:val="32"/>
          <w:lang w:eastAsia="zh-CN"/>
        </w:rPr>
        <w:t>培训，</w:t>
      </w:r>
      <w:r>
        <w:rPr>
          <w:rFonts w:hint="eastAsia" w:ascii="仿宋" w:hAnsi="仿宋" w:eastAsia="仿宋" w:cs="仿宋"/>
          <w:color w:val="auto"/>
          <w:sz w:val="32"/>
          <w:szCs w:val="32"/>
        </w:rPr>
        <w:t>种植业职业技能鉴定；负责</w:t>
      </w:r>
      <w:r>
        <w:rPr>
          <w:rFonts w:hint="eastAsia" w:ascii="仿宋" w:hAnsi="仿宋" w:eastAsia="仿宋" w:cs="仿宋"/>
          <w:color w:val="auto"/>
          <w:sz w:val="32"/>
          <w:szCs w:val="32"/>
          <w:lang w:eastAsia="zh-CN"/>
        </w:rPr>
        <w:t>推广种植业技术，促进农业发展，</w:t>
      </w:r>
      <w:r>
        <w:rPr>
          <w:rFonts w:hint="eastAsia" w:ascii="仿宋" w:hAnsi="仿宋" w:eastAsia="仿宋" w:cs="仿宋"/>
          <w:color w:val="auto"/>
          <w:sz w:val="32"/>
          <w:szCs w:val="32"/>
        </w:rPr>
        <w:t>农业新技术、新品种引进、试验、示范、集成与</w:t>
      </w:r>
      <w:r>
        <w:rPr>
          <w:rFonts w:hint="eastAsia" w:ascii="仿宋" w:hAnsi="仿宋" w:eastAsia="仿宋" w:cs="仿宋"/>
          <w:color w:val="auto"/>
          <w:sz w:val="32"/>
          <w:szCs w:val="32"/>
          <w:lang w:eastAsia="zh-CN"/>
        </w:rPr>
        <w:t>推广，种植业技术培训与技术服务；</w:t>
      </w:r>
      <w:r>
        <w:rPr>
          <w:rFonts w:hint="eastAsia" w:ascii="仿宋" w:hAnsi="仿宋" w:eastAsia="仿宋" w:cs="仿宋"/>
          <w:color w:val="auto"/>
          <w:sz w:val="32"/>
          <w:szCs w:val="32"/>
        </w:rPr>
        <w:t>负责省农业丰收奖评审；负责农业科技声像宣传等。</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olor w:val="auto"/>
          <w:sz w:val="32"/>
          <w:szCs w:val="32"/>
          <w:lang w:val="en-US" w:eastAsia="zh-CN"/>
        </w:rPr>
      </w:pPr>
      <w:r>
        <w:rPr>
          <w:rFonts w:hint="eastAsia" w:ascii="Times New Roman" w:hAnsi="Times New Roman" w:eastAsia="仿宋_GB2312" w:cs="仿宋_GB2312"/>
          <w:bCs/>
          <w:kern w:val="0"/>
          <w:sz w:val="32"/>
          <w:szCs w:val="32"/>
        </w:rPr>
        <w:t>（一）内设机构设置。</w:t>
      </w:r>
      <w:r>
        <w:rPr>
          <w:rFonts w:hint="eastAsia" w:ascii="仿宋" w:hAnsi="仿宋" w:eastAsia="仿宋"/>
          <w:color w:val="auto"/>
          <w:sz w:val="32"/>
          <w:szCs w:val="32"/>
          <w:lang w:eastAsia="zh-CN"/>
        </w:rPr>
        <w:t>湖南省农业技术推广总站内设机构包括：</w:t>
      </w:r>
      <w:r>
        <w:rPr>
          <w:rFonts w:hint="eastAsia" w:eastAsia="仿宋_GB2312"/>
          <w:color w:val="auto"/>
          <w:sz w:val="32"/>
          <w:szCs w:val="32"/>
        </w:rPr>
        <w:t>综合科、</w:t>
      </w:r>
      <w:r>
        <w:rPr>
          <w:rFonts w:hint="eastAsia" w:eastAsia="仿宋_GB2312"/>
          <w:color w:val="auto"/>
          <w:sz w:val="32"/>
          <w:szCs w:val="32"/>
          <w:lang w:val="en-US" w:eastAsia="zh-CN"/>
        </w:rPr>
        <w:t>计划</w:t>
      </w:r>
      <w:r>
        <w:rPr>
          <w:rFonts w:hint="eastAsia" w:eastAsia="仿宋_GB2312"/>
          <w:color w:val="auto"/>
          <w:sz w:val="32"/>
          <w:szCs w:val="32"/>
        </w:rPr>
        <w:t>财务科、体系管理科、新技术推广科、声像宣传科</w:t>
      </w:r>
      <w:r>
        <w:rPr>
          <w:rFonts w:hint="eastAsia" w:eastAsia="仿宋_GB2312"/>
          <w:color w:val="auto"/>
          <w:sz w:val="32"/>
          <w:szCs w:val="32"/>
          <w:lang w:val="en-US" w:eastAsia="zh-CN"/>
        </w:rPr>
        <w:t>和</w:t>
      </w:r>
      <w:r>
        <w:rPr>
          <w:rFonts w:hint="eastAsia" w:eastAsia="仿宋_GB2312"/>
          <w:color w:val="auto"/>
          <w:sz w:val="32"/>
          <w:szCs w:val="32"/>
        </w:rPr>
        <w:t>项目管理科</w:t>
      </w:r>
      <w:r>
        <w:rPr>
          <w:rFonts w:hint="eastAsia" w:eastAsia="仿宋_GB2312"/>
          <w:color w:val="auto"/>
          <w:sz w:val="32"/>
          <w:szCs w:val="32"/>
          <w:lang w:val="en-US" w:eastAsia="zh-CN"/>
        </w:rPr>
        <w:t>6个科室</w:t>
      </w:r>
      <w:r>
        <w:rPr>
          <w:rFonts w:hint="eastAsia" w:eastAsia="仿宋_GB2312"/>
          <w:color w:val="auto"/>
          <w:sz w:val="32"/>
          <w:szCs w:val="32"/>
        </w:rPr>
        <w:t>。</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w:t>
      </w:r>
      <w:r>
        <w:rPr>
          <w:rFonts w:hint="eastAsia" w:ascii="仿宋" w:hAnsi="仿宋" w:eastAsia="仿宋"/>
          <w:color w:val="auto"/>
          <w:sz w:val="32"/>
          <w:szCs w:val="32"/>
          <w:lang w:eastAsia="zh-CN"/>
        </w:rPr>
        <w:t>湖南省农业技术推广总站</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仿宋" w:hAnsi="仿宋" w:eastAsia="仿宋"/>
          <w:color w:val="auto"/>
          <w:sz w:val="32"/>
          <w:szCs w:val="32"/>
          <w:lang w:eastAsia="zh-CN"/>
        </w:rPr>
        <w:t>湖南省农业技术推广总站</w:t>
      </w:r>
      <w:r>
        <w:rPr>
          <w:rFonts w:hint="eastAsia" w:ascii="Times New Roman" w:hAnsi="Times New Roman" w:eastAsia="仿宋_GB2312" w:cs="仿宋_GB2312"/>
          <w:bCs/>
          <w:kern w:val="0"/>
          <w:sz w:val="32"/>
          <w:szCs w:val="32"/>
        </w:rPr>
        <w:t>本级</w:t>
      </w:r>
      <w:r>
        <w:rPr>
          <w:rFonts w:hint="eastAsia" w:ascii="Times New Roman" w:hAnsi="Times New Roman" w:eastAsia="仿宋_GB2312" w:cs="仿宋_GB2312"/>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drawing>
          <wp:inline distT="0" distB="0" distL="114300" distR="114300">
            <wp:extent cx="9226550" cy="6427470"/>
            <wp:effectExtent l="0" t="0" r="635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9226550" cy="6427470"/>
                    </a:xfrm>
                    <a:prstGeom prst="rect">
                      <a:avLst/>
                    </a:prstGeom>
                    <a:noFill/>
                    <a:ln>
                      <a:noFill/>
                    </a:ln>
                  </pic:spPr>
                </pic:pic>
              </a:graphicData>
            </a:graphic>
          </wp:inline>
        </w:drawing>
      </w:r>
      <w:r>
        <w:rPr>
          <w:rFonts w:ascii="Times New Roman" w:hAnsi="Times New Roman" w:eastAsia="黑体" w:cs="Times New Roman"/>
          <w:bCs/>
          <w:kern w:val="0"/>
          <w:sz w:val="32"/>
          <w:szCs w:val="32"/>
        </w:rPr>
        <w:t xml:space="preserve"> </w:t>
      </w:r>
      <w:r>
        <w:br w:type="page"/>
      </w:r>
    </w:p>
    <w:p>
      <w:pPr>
        <w:widowControl/>
        <w:rPr>
          <w:rFonts w:ascii="Times New Roman" w:hAnsi="Times New Roman" w:eastAsia="方正小标宋_GBK" w:cs="Times New Roman"/>
          <w:color w:val="000000"/>
          <w:kern w:val="0"/>
          <w:sz w:val="36"/>
          <w:szCs w:val="36"/>
        </w:rPr>
      </w:pPr>
      <w:r>
        <w:drawing>
          <wp:inline distT="0" distB="0" distL="114300" distR="114300">
            <wp:extent cx="9767570" cy="3555365"/>
            <wp:effectExtent l="0" t="0" r="1143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9767570" cy="3555365"/>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r>
        <w:drawing>
          <wp:inline distT="0" distB="0" distL="114300" distR="114300">
            <wp:extent cx="9537700" cy="40132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9537700" cy="4013200"/>
                    </a:xfrm>
                    <a:prstGeom prst="rect">
                      <a:avLst/>
                    </a:prstGeom>
                    <a:noFill/>
                    <a:ln>
                      <a:noFill/>
                    </a:ln>
                  </pic:spPr>
                </pic:pic>
              </a:graphicData>
            </a:graphic>
          </wp:inline>
        </w:drawing>
      </w:r>
      <w:r>
        <w:drawing>
          <wp:inline distT="0" distB="0" distL="114300" distR="114300">
            <wp:extent cx="9398635" cy="6293485"/>
            <wp:effectExtent l="0" t="0" r="12065"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9398635" cy="6293485"/>
                    </a:xfrm>
                    <a:prstGeom prst="rect">
                      <a:avLst/>
                    </a:prstGeom>
                    <a:noFill/>
                    <a:ln>
                      <a:noFill/>
                    </a:ln>
                  </pic:spPr>
                </pic:pic>
              </a:graphicData>
            </a:graphic>
          </wp:inline>
        </w:drawing>
      </w:r>
      <w:r>
        <w:drawing>
          <wp:inline distT="0" distB="0" distL="114300" distR="114300">
            <wp:extent cx="9248775" cy="3994150"/>
            <wp:effectExtent l="0" t="0" r="9525"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9248775" cy="3994150"/>
                    </a:xfrm>
                    <a:prstGeom prst="rect">
                      <a:avLst/>
                    </a:prstGeom>
                    <a:noFill/>
                    <a:ln>
                      <a:noFill/>
                    </a:ln>
                  </pic:spPr>
                </pic:pic>
              </a:graphicData>
            </a:graphic>
          </wp:inline>
        </w:drawing>
      </w:r>
      <w:r>
        <w:drawing>
          <wp:inline distT="0" distB="0" distL="114300" distR="114300">
            <wp:extent cx="9772650" cy="5977255"/>
            <wp:effectExtent l="0" t="0" r="635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772650" cy="5977255"/>
                    </a:xfrm>
                    <a:prstGeom prst="rect">
                      <a:avLst/>
                    </a:prstGeom>
                    <a:noFill/>
                    <a:ln>
                      <a:noFill/>
                    </a:ln>
                  </pic:spPr>
                </pic:pic>
              </a:graphicData>
            </a:graphic>
          </wp:inline>
        </w:drawing>
      </w:r>
    </w:p>
    <w:tbl>
      <w:tblPr>
        <w:tblStyle w:val="9"/>
        <w:tblW w:w="15614"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gridCol w:w="254"/>
      </w:tblGrid>
      <w:tr>
        <w:tblPrEx>
          <w:tblLayout w:type="fixed"/>
          <w:tblCellMar>
            <w:top w:w="0" w:type="dxa"/>
            <w:left w:w="108" w:type="dxa"/>
            <w:bottom w:w="0" w:type="dxa"/>
            <w:right w:w="108" w:type="dxa"/>
          </w:tblCellMar>
        </w:tblPrEx>
        <w:trPr>
          <w:trHeight w:val="113" w:hRule="atLeast"/>
        </w:trPr>
        <w:tc>
          <w:tcPr>
            <w:tcW w:w="15614" w:type="dxa"/>
            <w:gridSpan w:val="10"/>
            <w:tcBorders>
              <w:top w:val="nil"/>
              <w:left w:val="nil"/>
              <w:bottom w:val="nil"/>
              <w:right w:val="nil"/>
            </w:tcBorders>
            <w:shd w:val="clear" w:color="auto" w:fill="auto"/>
            <w:noWrap/>
            <w:vAlign w:val="center"/>
          </w:tcPr>
          <w:p>
            <w:pPr>
              <w:widowControl/>
              <w:jc w:val="left"/>
              <w:rPr>
                <w:rFonts w:ascii="华文中宋" w:hAnsi="华文中宋" w:eastAsia="华文中宋" w:cs="宋体"/>
                <w:color w:val="000000"/>
                <w:kern w:val="0"/>
                <w:szCs w:val="32"/>
              </w:rPr>
            </w:pPr>
            <w:bookmarkStart w:id="0" w:name="RANGE!A1:I22"/>
            <w:bookmarkEnd w:id="0"/>
            <w:r>
              <w:br w:type="page"/>
            </w:r>
          </w:p>
        </w:tc>
      </w:tr>
      <w:tr>
        <w:tblPrEx>
          <w:tblLayout w:type="fixed"/>
          <w:tblCellMar>
            <w:top w:w="0" w:type="dxa"/>
            <w:left w:w="108" w:type="dxa"/>
            <w:bottom w:w="0" w:type="dxa"/>
            <w:right w:w="108" w:type="dxa"/>
          </w:tblCellMar>
        </w:tblPrEx>
        <w:trPr>
          <w:trHeight w:val="284" w:hRule="exact"/>
        </w:trPr>
        <w:tc>
          <w:tcPr>
            <w:tcW w:w="15614" w:type="dxa"/>
            <w:gridSpan w:val="10"/>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部门：湖南省农业技术推广总站</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7"/>
                <w:lang w:val="en-US" w:eastAsia="zh-CN"/>
              </w:rPr>
              <w:t xml:space="preserve">   </w:t>
            </w:r>
            <w:r>
              <w:rPr>
                <w:rStyle w:val="18"/>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9"/>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部门：湖南省农业技术推广总站</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9"/>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9"/>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部门：湖南省农业技术推广总站</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4"/>
        <w:rPr>
          <w:sz w:val="72"/>
          <w:szCs w:val="72"/>
        </w:rPr>
      </w:pPr>
    </w:p>
    <w:p>
      <w:pPr>
        <w:pStyle w:val="14"/>
        <w:rPr>
          <w:sz w:val="72"/>
          <w:szCs w:val="72"/>
        </w:rPr>
      </w:pPr>
    </w:p>
    <w:p>
      <w:pPr>
        <w:pStyle w:val="14"/>
        <w:rPr>
          <w:sz w:val="72"/>
          <w:szCs w:val="72"/>
        </w:rPr>
      </w:pPr>
    </w:p>
    <w:p>
      <w:pPr>
        <w:pStyle w:val="14"/>
        <w:rPr>
          <w:sz w:val="72"/>
          <w:szCs w:val="72"/>
        </w:rPr>
      </w:pPr>
    </w:p>
    <w:p>
      <w:pPr>
        <w:pStyle w:val="14"/>
        <w:jc w:val="center"/>
        <w:rPr>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年度收、支总计</w:t>
      </w:r>
      <w:r>
        <w:rPr>
          <w:rFonts w:hint="eastAsia" w:ascii="Times New Roman" w:hAnsi="Times New Roman" w:eastAsia="仿宋_GB2312"/>
          <w:sz w:val="32"/>
          <w:szCs w:val="32"/>
          <w:highlight w:val="none"/>
          <w:lang w:val="en-US" w:eastAsia="zh-CN"/>
        </w:rPr>
        <w:t>2351.20</w:t>
      </w:r>
      <w:r>
        <w:rPr>
          <w:rFonts w:hint="eastAsia" w:ascii="Times New Roman" w:hAnsi="Times New Roman" w:eastAsia="仿宋_GB2312"/>
          <w:sz w:val="32"/>
          <w:szCs w:val="32"/>
          <w:highlight w:val="none"/>
        </w:rPr>
        <w:t>万元。与上年相比，减少</w:t>
      </w:r>
      <w:r>
        <w:rPr>
          <w:rFonts w:hint="eastAsia" w:ascii="Times New Roman" w:hAnsi="Times New Roman" w:eastAsia="仿宋_GB2312"/>
          <w:sz w:val="32"/>
          <w:szCs w:val="32"/>
          <w:highlight w:val="none"/>
          <w:lang w:val="en-US" w:eastAsia="zh-CN"/>
        </w:rPr>
        <w:t>768.60</w:t>
      </w:r>
      <w:r>
        <w:rPr>
          <w:rFonts w:hint="eastAsia" w:ascii="Times New Roman" w:hAnsi="Times New Roman" w:eastAsia="仿宋_GB2312"/>
          <w:sz w:val="32"/>
          <w:szCs w:val="32"/>
          <w:highlight w:val="none"/>
        </w:rPr>
        <w:t>万元，减少</w:t>
      </w:r>
      <w:r>
        <w:rPr>
          <w:rFonts w:hint="eastAsia" w:ascii="Times New Roman" w:hAnsi="Times New Roman" w:eastAsia="仿宋_GB2312"/>
          <w:sz w:val="32"/>
          <w:szCs w:val="32"/>
          <w:highlight w:val="none"/>
          <w:lang w:val="en-US" w:eastAsia="zh-CN"/>
        </w:rPr>
        <w:t>24.64</w:t>
      </w:r>
      <w:r>
        <w:rPr>
          <w:rFonts w:hint="eastAsia" w:ascii="Times New Roman" w:hAnsi="Times New Roman" w:eastAsia="仿宋_GB2312"/>
          <w:sz w:val="32"/>
          <w:szCs w:val="32"/>
          <w:highlight w:val="none"/>
        </w:rPr>
        <w:t>%，主要是因为</w:t>
      </w:r>
      <w:r>
        <w:rPr>
          <w:rFonts w:hint="eastAsia" w:ascii="Times New Roman" w:hAnsi="Times New Roman" w:eastAsia="仿宋_GB2312"/>
          <w:sz w:val="32"/>
          <w:szCs w:val="32"/>
          <w:highlight w:val="none"/>
          <w:lang w:val="en-US" w:eastAsia="zh-CN"/>
        </w:rPr>
        <w:t>减少了优势特色产业集群区块链建设、优势特色产业集群省级专家技术团建设等项目。</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年度收入合计</w:t>
      </w:r>
      <w:r>
        <w:rPr>
          <w:rFonts w:hint="eastAsia" w:ascii="Times New Roman" w:hAnsi="Times New Roman" w:eastAsia="仿宋_GB2312"/>
          <w:sz w:val="32"/>
          <w:szCs w:val="32"/>
          <w:highlight w:val="none"/>
          <w:lang w:val="en-US" w:eastAsia="zh-CN"/>
        </w:rPr>
        <w:t>1473.40</w:t>
      </w:r>
      <w:r>
        <w:rPr>
          <w:rFonts w:hint="eastAsia" w:ascii="Times New Roman" w:hAnsi="Times New Roman" w:eastAsia="仿宋_GB2312"/>
          <w:sz w:val="32"/>
          <w:szCs w:val="32"/>
          <w:highlight w:val="none"/>
        </w:rPr>
        <w:t>万元，其中：财政拨款收入</w:t>
      </w:r>
      <w:r>
        <w:rPr>
          <w:rFonts w:hint="eastAsia" w:ascii="Times New Roman" w:hAnsi="Times New Roman" w:eastAsia="仿宋_GB2312"/>
          <w:sz w:val="32"/>
          <w:szCs w:val="32"/>
          <w:highlight w:val="none"/>
          <w:lang w:val="en-US" w:eastAsia="zh-CN"/>
        </w:rPr>
        <w:t>1473.40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%；上级补助收入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%；事业收入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%；经营收入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%；附属单位上缴收入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%；其他收入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年度支出合计</w:t>
      </w:r>
      <w:r>
        <w:rPr>
          <w:rFonts w:hint="eastAsia" w:ascii="Times New Roman" w:hAnsi="Times New Roman" w:eastAsia="仿宋_GB2312"/>
          <w:sz w:val="32"/>
          <w:szCs w:val="32"/>
          <w:highlight w:val="none"/>
          <w:lang w:val="en-US" w:eastAsia="zh-CN"/>
        </w:rPr>
        <w:t>2117.27</w:t>
      </w:r>
      <w:r>
        <w:rPr>
          <w:rFonts w:hint="eastAsia" w:ascii="Times New Roman" w:hAnsi="Times New Roman" w:eastAsia="仿宋_GB2312"/>
          <w:sz w:val="32"/>
          <w:szCs w:val="32"/>
          <w:highlight w:val="none"/>
        </w:rPr>
        <w:t>万元，其中：基本支出</w:t>
      </w:r>
      <w:r>
        <w:rPr>
          <w:rFonts w:hint="eastAsia" w:ascii="Times New Roman" w:hAnsi="Times New Roman" w:eastAsia="仿宋_GB2312"/>
          <w:sz w:val="32"/>
          <w:szCs w:val="32"/>
          <w:highlight w:val="none"/>
          <w:lang w:val="en-US" w:eastAsia="zh-CN"/>
        </w:rPr>
        <w:t>741.73</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35.03</w:t>
      </w:r>
      <w:r>
        <w:rPr>
          <w:rFonts w:hint="eastAsia" w:ascii="Times New Roman" w:hAnsi="Times New Roman" w:eastAsia="仿宋_GB2312"/>
          <w:sz w:val="32"/>
          <w:szCs w:val="32"/>
          <w:highlight w:val="none"/>
        </w:rPr>
        <w:t>%；项目支出</w:t>
      </w:r>
      <w:r>
        <w:rPr>
          <w:rFonts w:hint="eastAsia" w:ascii="Times New Roman" w:hAnsi="Times New Roman" w:eastAsia="仿宋_GB2312"/>
          <w:sz w:val="32"/>
          <w:szCs w:val="32"/>
          <w:highlight w:val="none"/>
          <w:lang w:val="en-US" w:eastAsia="zh-CN"/>
        </w:rPr>
        <w:t>1375.54</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64.97</w:t>
      </w:r>
      <w:r>
        <w:rPr>
          <w:rFonts w:hint="eastAsia" w:ascii="Times New Roman" w:hAnsi="Times New Roman" w:eastAsia="仿宋_GB2312"/>
          <w:sz w:val="32"/>
          <w:szCs w:val="32"/>
          <w:highlight w:val="none"/>
        </w:rPr>
        <w:t>%；上缴上级支出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%；经营支出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%；对附属单位补助支出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四、财政拨款收入支出决算总体情况说明</w:t>
      </w:r>
    </w:p>
    <w:p>
      <w:pPr>
        <w:pStyle w:val="14"/>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 xml:space="preserve">    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年度财政拨款收、支总计</w:t>
      </w:r>
      <w:r>
        <w:rPr>
          <w:rFonts w:hint="eastAsia" w:ascii="Times New Roman" w:hAnsi="Times New Roman" w:eastAsia="仿宋_GB2312"/>
          <w:sz w:val="32"/>
          <w:szCs w:val="32"/>
          <w:highlight w:val="none"/>
          <w:lang w:val="en-US" w:eastAsia="zh-CN"/>
        </w:rPr>
        <w:t>2351.20</w:t>
      </w:r>
      <w:r>
        <w:rPr>
          <w:rFonts w:hint="eastAsia" w:ascii="Times New Roman" w:hAnsi="Times New Roman" w:eastAsia="仿宋_GB2312"/>
          <w:sz w:val="32"/>
          <w:szCs w:val="32"/>
          <w:highlight w:val="none"/>
        </w:rPr>
        <w:t>万元，与上年相比，减少</w:t>
      </w:r>
      <w:r>
        <w:rPr>
          <w:rFonts w:hint="eastAsia" w:ascii="Times New Roman" w:hAnsi="Times New Roman" w:eastAsia="仿宋_GB2312"/>
          <w:sz w:val="32"/>
          <w:szCs w:val="32"/>
          <w:highlight w:val="none"/>
          <w:lang w:val="en-US" w:eastAsia="zh-CN"/>
        </w:rPr>
        <w:t>765.47</w:t>
      </w:r>
      <w:r>
        <w:rPr>
          <w:rFonts w:hint="eastAsia" w:ascii="Times New Roman" w:hAnsi="Times New Roman" w:eastAsia="仿宋_GB2312"/>
          <w:sz w:val="32"/>
          <w:szCs w:val="32"/>
          <w:highlight w:val="none"/>
        </w:rPr>
        <w:t>万元,减少</w:t>
      </w:r>
      <w:r>
        <w:rPr>
          <w:rFonts w:hint="eastAsia" w:ascii="Times New Roman" w:hAnsi="Times New Roman" w:eastAsia="仿宋_GB2312"/>
          <w:sz w:val="32"/>
          <w:szCs w:val="32"/>
          <w:highlight w:val="none"/>
          <w:lang w:val="en-US" w:eastAsia="zh-CN"/>
        </w:rPr>
        <w:t>24.56</w:t>
      </w:r>
      <w:r>
        <w:rPr>
          <w:rFonts w:hint="eastAsia" w:ascii="Times New Roman" w:hAnsi="Times New Roman" w:eastAsia="仿宋_GB2312"/>
          <w:sz w:val="32"/>
          <w:szCs w:val="32"/>
          <w:highlight w:val="none"/>
        </w:rPr>
        <w:t>%，主要是因为</w:t>
      </w:r>
      <w:r>
        <w:rPr>
          <w:rFonts w:hint="eastAsia" w:ascii="Times New Roman" w:hAnsi="Times New Roman" w:eastAsia="仿宋_GB2312"/>
          <w:sz w:val="32"/>
          <w:szCs w:val="32"/>
          <w:highlight w:val="none"/>
          <w:lang w:val="en-US" w:eastAsia="zh-CN"/>
        </w:rPr>
        <w:t>减少了优势特色产业集群区块链建设、优势特色产业集群省级专家技术团建设等项目。</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highlight w:val="none"/>
        </w:rPr>
      </w:pPr>
      <w:r>
        <w:rPr>
          <w:rFonts w:hint="eastAsia" w:ascii="楷体" w:hAnsi="楷体" w:eastAsia="楷体" w:cs="楷体"/>
          <w:b w:val="0"/>
          <w:bCs/>
          <w:sz w:val="32"/>
          <w:szCs w:val="32"/>
          <w:highlight w:val="none"/>
        </w:rPr>
        <w:t>（一）财政拨款支出决算总体情况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年度财政拨款支出</w:t>
      </w:r>
      <w:r>
        <w:rPr>
          <w:rFonts w:hint="eastAsia" w:ascii="Times New Roman" w:hAnsi="Times New Roman" w:eastAsia="仿宋_GB2312"/>
          <w:sz w:val="32"/>
          <w:szCs w:val="32"/>
          <w:highlight w:val="none"/>
          <w:lang w:val="en-US" w:eastAsia="zh-CN"/>
        </w:rPr>
        <w:t>2117.27</w:t>
      </w:r>
      <w:r>
        <w:rPr>
          <w:rFonts w:hint="eastAsia" w:ascii="Times New Roman" w:hAnsi="Times New Roman" w:eastAsia="仿宋_GB2312"/>
          <w:sz w:val="32"/>
          <w:szCs w:val="32"/>
          <w:highlight w:val="none"/>
        </w:rPr>
        <w:t>万元，占本年支出合计的</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%，与上年相比，财政拨款支出增加</w:t>
      </w:r>
      <w:r>
        <w:rPr>
          <w:rFonts w:hint="eastAsia" w:ascii="Times New Roman" w:hAnsi="Times New Roman" w:eastAsia="仿宋_GB2312"/>
          <w:sz w:val="32"/>
          <w:szCs w:val="32"/>
          <w:highlight w:val="none"/>
          <w:lang w:val="en-US" w:eastAsia="zh-CN"/>
        </w:rPr>
        <w:t>629.43</w:t>
      </w:r>
      <w:r>
        <w:rPr>
          <w:rFonts w:hint="eastAsia" w:ascii="Times New Roman" w:hAnsi="Times New Roman" w:eastAsia="仿宋_GB2312"/>
          <w:sz w:val="32"/>
          <w:szCs w:val="32"/>
          <w:highlight w:val="none"/>
        </w:rPr>
        <w:t>万元，增长</w:t>
      </w:r>
      <w:r>
        <w:rPr>
          <w:rFonts w:hint="eastAsia" w:ascii="Times New Roman" w:hAnsi="Times New Roman" w:eastAsia="仿宋_GB2312"/>
          <w:sz w:val="32"/>
          <w:szCs w:val="32"/>
          <w:highlight w:val="none"/>
          <w:lang w:val="en-US" w:eastAsia="zh-CN"/>
        </w:rPr>
        <w:t>42.30</w:t>
      </w:r>
      <w:r>
        <w:rPr>
          <w:rFonts w:hint="eastAsia" w:ascii="Times New Roman" w:hAnsi="Times New Roman" w:eastAsia="仿宋_GB2312"/>
          <w:sz w:val="32"/>
          <w:szCs w:val="32"/>
          <w:highlight w:val="none"/>
        </w:rPr>
        <w:t>%，主要是因为</w:t>
      </w:r>
      <w:r>
        <w:rPr>
          <w:rFonts w:hint="eastAsia" w:ascii="Times New Roman" w:hAnsi="Times New Roman" w:eastAsia="仿宋_GB2312"/>
          <w:sz w:val="32"/>
          <w:szCs w:val="32"/>
          <w:highlight w:val="none"/>
          <w:lang w:val="en-US" w:eastAsia="zh-CN"/>
        </w:rPr>
        <w:t>增加2021、2022年绩效奖金、</w:t>
      </w:r>
      <w:r>
        <w:rPr>
          <w:rFonts w:hint="eastAsia" w:ascii="Times New Roman" w:hAnsi="Times New Roman" w:eastAsia="仿宋_GB2312"/>
          <w:sz w:val="32"/>
          <w:szCs w:val="32"/>
          <w:highlight w:val="none"/>
          <w:lang w:eastAsia="zh-CN"/>
        </w:rPr>
        <w:t>基层农技推广体系改革</w:t>
      </w:r>
      <w:r>
        <w:rPr>
          <w:rFonts w:hint="eastAsia" w:ascii="Times New Roman" w:hAnsi="Times New Roman" w:eastAsia="仿宋_GB2312"/>
          <w:sz w:val="32"/>
          <w:szCs w:val="32"/>
          <w:highlight w:val="none"/>
          <w:lang w:val="en-US" w:eastAsia="zh-CN"/>
        </w:rPr>
        <w:t>与建设和优势特色产业集群建设等项目经费。</w:t>
      </w:r>
    </w:p>
    <w:p>
      <w:pPr>
        <w:pStyle w:val="14"/>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highlight w:val="none"/>
        </w:rPr>
      </w:pPr>
      <w:r>
        <w:rPr>
          <w:rFonts w:hint="eastAsia" w:ascii="楷体" w:hAnsi="楷体" w:eastAsia="楷体" w:cs="楷体"/>
          <w:b w:val="0"/>
          <w:bCs/>
          <w:sz w:val="32"/>
          <w:szCs w:val="32"/>
          <w:highlight w:val="none"/>
        </w:rPr>
        <w:t>（二）财政拨款支出决算结构情况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年度财政拨款支出</w:t>
      </w:r>
      <w:r>
        <w:rPr>
          <w:rFonts w:hint="eastAsia" w:ascii="Times New Roman" w:hAnsi="Times New Roman" w:eastAsia="仿宋_GB2312"/>
          <w:sz w:val="32"/>
          <w:szCs w:val="32"/>
          <w:highlight w:val="none"/>
          <w:lang w:val="en-US" w:eastAsia="zh-CN"/>
        </w:rPr>
        <w:t>2117.27</w:t>
      </w:r>
      <w:r>
        <w:rPr>
          <w:rFonts w:hint="eastAsia" w:ascii="Times New Roman" w:hAnsi="Times New Roman" w:eastAsia="仿宋_GB2312"/>
          <w:sz w:val="32"/>
          <w:szCs w:val="32"/>
          <w:highlight w:val="none"/>
        </w:rPr>
        <w:t>万元，主要用于以下方面：社会保障和就业（类）支出</w:t>
      </w:r>
      <w:r>
        <w:rPr>
          <w:rFonts w:hint="eastAsia" w:ascii="Times New Roman" w:hAnsi="Times New Roman" w:eastAsia="仿宋_GB2312"/>
          <w:sz w:val="32"/>
          <w:szCs w:val="32"/>
          <w:highlight w:val="none"/>
          <w:lang w:val="en-US" w:eastAsia="zh-CN"/>
        </w:rPr>
        <w:t>56.36</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2.66</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农林水</w:t>
      </w:r>
      <w:r>
        <w:rPr>
          <w:rFonts w:hint="eastAsia" w:ascii="Times New Roman" w:hAnsi="Times New Roman" w:eastAsia="仿宋_GB2312"/>
          <w:sz w:val="32"/>
          <w:szCs w:val="32"/>
          <w:highlight w:val="none"/>
        </w:rPr>
        <w:t>（类）支出</w:t>
      </w:r>
      <w:r>
        <w:rPr>
          <w:rFonts w:hint="eastAsia" w:ascii="Times New Roman" w:hAnsi="Times New Roman" w:eastAsia="仿宋_GB2312"/>
          <w:sz w:val="32"/>
          <w:szCs w:val="32"/>
          <w:highlight w:val="none"/>
          <w:lang w:val="en-US" w:eastAsia="zh-CN"/>
        </w:rPr>
        <w:t>2060.91</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97.34</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highlight w:val="none"/>
        </w:rPr>
      </w:pPr>
      <w:r>
        <w:rPr>
          <w:rFonts w:hint="eastAsia" w:ascii="楷体" w:hAnsi="楷体" w:eastAsia="楷体" w:cs="楷体"/>
          <w:b w:val="0"/>
          <w:bCs/>
          <w:sz w:val="32"/>
          <w:szCs w:val="32"/>
          <w:highlight w:val="none"/>
        </w:rPr>
        <w:t>（三）财政拨款支出决算具体情况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年度财政拨款支出年初预算数为</w:t>
      </w:r>
      <w:r>
        <w:rPr>
          <w:rFonts w:hint="eastAsia" w:ascii="Times New Roman" w:hAnsi="Times New Roman" w:eastAsia="仿宋_GB2312"/>
          <w:sz w:val="32"/>
          <w:szCs w:val="32"/>
          <w:highlight w:val="none"/>
          <w:lang w:val="en-US" w:eastAsia="zh-CN"/>
        </w:rPr>
        <w:t>1506.80</w:t>
      </w:r>
      <w:r>
        <w:rPr>
          <w:rFonts w:hint="eastAsia" w:ascii="Times New Roman" w:hAnsi="Times New Roman" w:eastAsia="仿宋_GB2312"/>
          <w:sz w:val="32"/>
          <w:szCs w:val="32"/>
          <w:highlight w:val="none"/>
        </w:rPr>
        <w:t>万元，支出决算数为</w:t>
      </w:r>
      <w:r>
        <w:rPr>
          <w:rFonts w:hint="eastAsia" w:ascii="Times New Roman" w:hAnsi="Times New Roman" w:eastAsia="仿宋_GB2312"/>
          <w:sz w:val="32"/>
          <w:szCs w:val="32"/>
          <w:highlight w:val="none"/>
          <w:lang w:val="en-US" w:eastAsia="zh-CN"/>
        </w:rPr>
        <w:t>2117.27</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140.51</w:t>
      </w:r>
      <w:r>
        <w:rPr>
          <w:rFonts w:hint="eastAsia" w:ascii="Times New Roman" w:hAnsi="Times New Roman" w:eastAsia="仿宋_GB2312"/>
          <w:sz w:val="32"/>
          <w:szCs w:val="32"/>
          <w:highlight w:val="none"/>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1、社会保障和就业（类）行政事业单位养老支出（款）机关事业单位基本养老保险缴费支出（项）。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57.00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56.36</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98.88</w:t>
      </w:r>
      <w:r>
        <w:rPr>
          <w:rFonts w:hint="eastAsia" w:ascii="Times New Roman" w:hAnsi="Times New Roman" w:eastAsia="仿宋_GB2312"/>
          <w:sz w:val="32"/>
          <w:szCs w:val="32"/>
          <w:highlight w:val="none"/>
        </w:rPr>
        <w:t>%，决算数小于年初预算数的主要原因是：机关事业单位基本养老保险缴费支出</w:t>
      </w:r>
      <w:r>
        <w:rPr>
          <w:rFonts w:hint="eastAsia" w:ascii="Times New Roman" w:hAnsi="Times New Roman" w:eastAsia="仿宋_GB2312"/>
          <w:sz w:val="32"/>
          <w:szCs w:val="32"/>
          <w:highlight w:val="none"/>
          <w:lang w:val="en-US" w:eastAsia="zh-CN"/>
        </w:rPr>
        <w:t>有结余。</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w:t>
      </w:r>
      <w:r>
        <w:rPr>
          <w:rFonts w:hint="eastAsia" w:ascii="Times New Roman" w:hAnsi="Times New Roman" w:eastAsia="仿宋_GB2312"/>
          <w:sz w:val="32"/>
          <w:szCs w:val="32"/>
          <w:highlight w:val="none"/>
          <w:lang w:val="en-US" w:eastAsia="zh-CN"/>
        </w:rPr>
        <w:t>农林水</w:t>
      </w:r>
      <w:r>
        <w:rPr>
          <w:rFonts w:hint="eastAsia" w:ascii="Times New Roman" w:hAnsi="Times New Roman" w:eastAsia="仿宋_GB2312"/>
          <w:sz w:val="32"/>
          <w:szCs w:val="32"/>
          <w:highlight w:val="none"/>
        </w:rPr>
        <w:t>（类）农业农村（款）行政运行（项）。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411.00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525.37</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127.83</w:t>
      </w:r>
      <w:r>
        <w:rPr>
          <w:rFonts w:hint="eastAsia" w:ascii="Times New Roman" w:hAnsi="Times New Roman" w:eastAsia="仿宋_GB2312"/>
          <w:sz w:val="32"/>
          <w:szCs w:val="32"/>
          <w:highlight w:val="none"/>
        </w:rPr>
        <w:t>%，决算数大于年初预算数的主要原因是：</w:t>
      </w:r>
      <w:r>
        <w:rPr>
          <w:rFonts w:hint="eastAsia" w:ascii="Times New Roman" w:hAnsi="Times New Roman" w:eastAsia="仿宋_GB2312"/>
          <w:sz w:val="32"/>
          <w:szCs w:val="32"/>
          <w:highlight w:val="none"/>
          <w:lang w:eastAsia="zh-CN"/>
        </w:rPr>
        <w:t>追加</w:t>
      </w:r>
      <w:r>
        <w:rPr>
          <w:rFonts w:hint="eastAsia" w:ascii="Times New Roman" w:hAnsi="Times New Roman" w:eastAsia="仿宋_GB2312"/>
          <w:sz w:val="32"/>
          <w:szCs w:val="32"/>
          <w:highlight w:val="none"/>
          <w:lang w:val="en-US" w:eastAsia="zh-CN"/>
        </w:rPr>
        <w:t>2021、2022年绩效奖金。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农林水</w:t>
      </w:r>
      <w:r>
        <w:rPr>
          <w:rFonts w:hint="eastAsia" w:ascii="Times New Roman" w:hAnsi="Times New Roman" w:eastAsia="仿宋_GB2312"/>
          <w:sz w:val="32"/>
          <w:szCs w:val="32"/>
          <w:highlight w:val="none"/>
        </w:rPr>
        <w:t>（类）农业农村（款）科技转化与推广服务（项）。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18.00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18.00</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农林水</w:t>
      </w:r>
      <w:r>
        <w:rPr>
          <w:rFonts w:hint="eastAsia" w:ascii="Times New Roman" w:hAnsi="Times New Roman" w:eastAsia="仿宋_GB2312"/>
          <w:sz w:val="32"/>
          <w:szCs w:val="32"/>
          <w:highlight w:val="none"/>
        </w:rPr>
        <w:t>（类）农业农村（款）农业生产发展（项）。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1020.80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995.59</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97.53</w:t>
      </w:r>
      <w:r>
        <w:rPr>
          <w:rFonts w:hint="eastAsia" w:ascii="Times New Roman" w:hAnsi="Times New Roman" w:eastAsia="仿宋_GB2312"/>
          <w:sz w:val="32"/>
          <w:szCs w:val="32"/>
          <w:highlight w:val="none"/>
        </w:rPr>
        <w:t>%，决算数小于年初预算数的主要原因是</w:t>
      </w:r>
      <w:r>
        <w:rPr>
          <w:rFonts w:hint="eastAsia" w:ascii="Times New Roman" w:hAnsi="Times New Roman" w:eastAsia="仿宋_GB2312"/>
          <w:sz w:val="32"/>
          <w:szCs w:val="32"/>
          <w:highlight w:val="none"/>
          <w:lang w:eastAsia="zh-CN"/>
        </w:rPr>
        <w:t>受疫情影响，培训和会议无法召开，</w:t>
      </w:r>
      <w:r>
        <w:rPr>
          <w:rFonts w:hint="eastAsia" w:ascii="Times New Roman" w:hAnsi="Times New Roman" w:eastAsia="仿宋_GB2312"/>
          <w:sz w:val="32"/>
          <w:szCs w:val="32"/>
          <w:highlight w:val="none"/>
          <w:lang w:val="en-US" w:eastAsia="zh-CN"/>
        </w:rPr>
        <w:t>出差任务</w:t>
      </w:r>
      <w:r>
        <w:rPr>
          <w:rFonts w:hint="eastAsia" w:ascii="Times New Roman" w:hAnsi="Times New Roman" w:eastAsia="仿宋_GB2312"/>
          <w:sz w:val="32"/>
          <w:szCs w:val="32"/>
          <w:highlight w:val="none"/>
          <w:lang w:eastAsia="zh-CN"/>
        </w:rPr>
        <w:t>减少。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农林水</w:t>
      </w:r>
      <w:r>
        <w:rPr>
          <w:rFonts w:hint="eastAsia" w:ascii="Times New Roman" w:hAnsi="Times New Roman" w:eastAsia="仿宋_GB2312"/>
          <w:sz w:val="32"/>
          <w:szCs w:val="32"/>
          <w:highlight w:val="none"/>
        </w:rPr>
        <w:t>（类）农业农村（款）其他农业农村支出（项）。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361.95</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eastAsia="zh-CN"/>
        </w:rPr>
        <w:t>年中追加基层农技推广体系改革与建设和优势特色产业集群建设项目</w:t>
      </w:r>
      <w:r>
        <w:rPr>
          <w:rFonts w:hint="eastAsia" w:ascii="Times New Roman" w:hAnsi="Times New Roman" w:eastAsia="仿宋_GB2312"/>
          <w:sz w:val="32"/>
          <w:szCs w:val="32"/>
          <w:highlight w:val="none"/>
          <w:lang w:val="en-US" w:eastAsia="zh-CN"/>
        </w:rPr>
        <w:t>资金。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农林水</w:t>
      </w:r>
      <w:r>
        <w:rPr>
          <w:rFonts w:hint="eastAsia" w:ascii="Times New Roman" w:hAnsi="Times New Roman" w:eastAsia="仿宋_GB2312"/>
          <w:sz w:val="32"/>
          <w:szCs w:val="32"/>
          <w:highlight w:val="none"/>
        </w:rPr>
        <w:t>（类）水利（款）行政运行（项）。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160.00</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eastAsia="zh-CN"/>
        </w:rPr>
        <w:t>年中追加绩效奖金。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年度财政拨款基本支出</w:t>
      </w:r>
      <w:r>
        <w:rPr>
          <w:rFonts w:hint="eastAsia" w:ascii="Times New Roman" w:hAnsi="Times New Roman" w:eastAsia="仿宋_GB2312"/>
          <w:sz w:val="32"/>
          <w:szCs w:val="32"/>
          <w:highlight w:val="none"/>
          <w:lang w:val="en-US" w:eastAsia="zh-CN"/>
        </w:rPr>
        <w:t>741.73</w:t>
      </w:r>
      <w:r>
        <w:rPr>
          <w:rFonts w:hint="eastAsia" w:ascii="Times New Roman" w:hAnsi="Times New Roman" w:eastAsia="仿宋_GB2312"/>
          <w:sz w:val="32"/>
          <w:szCs w:val="32"/>
          <w:highlight w:val="none"/>
        </w:rPr>
        <w:t>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b/>
          <w:bCs/>
          <w:sz w:val="32"/>
          <w:szCs w:val="32"/>
          <w:highlight w:val="none"/>
        </w:rPr>
        <w:t>人员经费</w:t>
      </w:r>
      <w:r>
        <w:rPr>
          <w:rFonts w:hint="eastAsia" w:ascii="Times New Roman" w:hAnsi="Times New Roman" w:eastAsia="仿宋_GB2312"/>
          <w:sz w:val="32"/>
          <w:szCs w:val="32"/>
          <w:highlight w:val="none"/>
          <w:lang w:val="en-US" w:eastAsia="zh-CN"/>
        </w:rPr>
        <w:t>664.69</w:t>
      </w:r>
      <w:r>
        <w:rPr>
          <w:rFonts w:hint="eastAsia" w:ascii="Times New Roman" w:hAnsi="Times New Roman" w:eastAsia="仿宋_GB2312"/>
          <w:sz w:val="32"/>
          <w:szCs w:val="32"/>
          <w:highlight w:val="none"/>
        </w:rPr>
        <w:t>万元，占基本支出的</w:t>
      </w:r>
      <w:r>
        <w:rPr>
          <w:rFonts w:hint="eastAsia" w:ascii="Times New Roman" w:hAnsi="Times New Roman" w:eastAsia="仿宋_GB2312"/>
          <w:sz w:val="32"/>
          <w:szCs w:val="32"/>
          <w:highlight w:val="none"/>
          <w:lang w:val="en-US" w:eastAsia="zh-CN"/>
        </w:rPr>
        <w:t>89.61</w:t>
      </w:r>
      <w:r>
        <w:rPr>
          <w:rFonts w:hint="eastAsia" w:ascii="Times New Roman" w:hAnsi="Times New Roman" w:eastAsia="仿宋_GB2312"/>
          <w:sz w:val="32"/>
          <w:szCs w:val="32"/>
          <w:highlight w:val="none"/>
        </w:rPr>
        <w:t>%,主要包括基本工资、津贴补贴、奖金、伙食补助费</w:t>
      </w:r>
      <w:r>
        <w:rPr>
          <w:rFonts w:hint="eastAsia" w:ascii="Times New Roman" w:hAnsi="Times New Roman" w:eastAsia="仿宋_GB2312"/>
          <w:sz w:val="32"/>
          <w:szCs w:val="32"/>
          <w:highlight w:val="none"/>
          <w:lang w:val="en-US" w:eastAsia="zh-CN"/>
        </w:rPr>
        <w:t>、机关事业单位基本养老保险缴费、职工基本医疗保险缴费、其他社会保障缴费、住房公积金、退休费、生活补助、医疗费补助、奖励金、其他对个人和家庭的补助。</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b/>
          <w:bCs/>
          <w:sz w:val="32"/>
          <w:szCs w:val="32"/>
          <w:highlight w:val="none"/>
        </w:rPr>
        <w:t>公用经费</w:t>
      </w:r>
      <w:r>
        <w:rPr>
          <w:rFonts w:hint="eastAsia" w:ascii="Times New Roman" w:hAnsi="Times New Roman" w:eastAsia="仿宋_GB2312"/>
          <w:sz w:val="32"/>
          <w:szCs w:val="32"/>
          <w:highlight w:val="none"/>
          <w:lang w:val="en-US" w:eastAsia="zh-CN"/>
        </w:rPr>
        <w:t>77.04</w:t>
      </w:r>
      <w:r>
        <w:rPr>
          <w:rFonts w:hint="eastAsia" w:ascii="Times New Roman" w:hAnsi="Times New Roman" w:eastAsia="仿宋_GB2312"/>
          <w:sz w:val="32"/>
          <w:szCs w:val="32"/>
          <w:highlight w:val="none"/>
        </w:rPr>
        <w:t>万元，占基本支出的</w:t>
      </w:r>
      <w:r>
        <w:rPr>
          <w:rFonts w:hint="eastAsia" w:ascii="Times New Roman" w:hAnsi="Times New Roman" w:eastAsia="仿宋_GB2312"/>
          <w:sz w:val="32"/>
          <w:szCs w:val="32"/>
          <w:highlight w:val="none"/>
          <w:lang w:val="en-US" w:eastAsia="zh-CN"/>
        </w:rPr>
        <w:t>10.39</w:t>
      </w:r>
      <w:r>
        <w:rPr>
          <w:rFonts w:hint="eastAsia" w:ascii="Times New Roman" w:hAnsi="Times New Roman" w:eastAsia="仿宋_GB2312"/>
          <w:sz w:val="32"/>
          <w:szCs w:val="32"/>
          <w:highlight w:val="none"/>
        </w:rPr>
        <w:t>%，主要包括办公费、印刷费、咨询费、</w:t>
      </w:r>
      <w:r>
        <w:rPr>
          <w:rFonts w:hint="eastAsia" w:ascii="Times New Roman" w:hAnsi="Times New Roman" w:eastAsia="仿宋_GB2312"/>
          <w:sz w:val="32"/>
          <w:szCs w:val="32"/>
          <w:highlight w:val="none"/>
          <w:lang w:val="en-US" w:eastAsia="zh-CN"/>
        </w:rPr>
        <w:t>电费、邮电费、物业管理费、差旅费、会议费、培训费、公务接待费、劳务费、工会经费、福利费、其他交通费用、其他商品和服务支出。</w:t>
      </w:r>
    </w:p>
    <w:p>
      <w:pPr>
        <w:pStyle w:val="14"/>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财政拨款三公经费支出决算情况说明</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（一）“三公”经费财政拨款支出决算总体情况说明</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highlight w:val="none"/>
        </w:rPr>
        <w:t>“三公”经费财政拨款支出预算为</w:t>
      </w:r>
      <w:r>
        <w:rPr>
          <w:rFonts w:hint="eastAsia" w:ascii="Times New Roman" w:hAnsi="Times New Roman" w:eastAsia="仿宋_GB2312"/>
          <w:sz w:val="32"/>
          <w:szCs w:val="32"/>
          <w:highlight w:val="none"/>
          <w:lang w:val="en-US" w:eastAsia="zh-CN"/>
        </w:rPr>
        <w:t>11.50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lang w:val="en-US" w:eastAsia="zh-CN"/>
        </w:rPr>
        <w:t>4.55</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39.57</w:t>
      </w:r>
      <w:r>
        <w:rPr>
          <w:rFonts w:hint="eastAsia" w:ascii="Times New Roman" w:hAnsi="Times New Roman" w:eastAsia="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5.00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val="en-US" w:eastAsia="zh-CN"/>
        </w:rPr>
        <w:t>本年未安排因公出国（境）事务。</w:t>
      </w:r>
      <w:r>
        <w:rPr>
          <w:rFonts w:hint="eastAsia" w:ascii="Times New Roman" w:hAnsi="Times New Roman" w:eastAsia="仿宋_GB2312"/>
          <w:sz w:val="32"/>
          <w:szCs w:val="32"/>
        </w:rPr>
        <w:t>与上年</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2.50</w:t>
      </w:r>
      <w:r>
        <w:rPr>
          <w:rFonts w:hint="eastAsia" w:ascii="Times New Roman" w:hAnsi="Times New Roman" w:eastAsia="仿宋_GB2312"/>
          <w:sz w:val="32"/>
          <w:szCs w:val="32"/>
        </w:rPr>
        <w:t>%，决算数小于预数的主要原因是</w:t>
      </w:r>
      <w:r>
        <w:rPr>
          <w:rFonts w:hint="eastAsia" w:ascii="Times New Roman" w:hAnsi="Times New Roman" w:eastAsia="仿宋_GB2312"/>
          <w:sz w:val="32"/>
          <w:szCs w:val="32"/>
          <w:lang w:eastAsia="zh-CN"/>
        </w:rPr>
        <w:t>本年</w:t>
      </w:r>
      <w:r>
        <w:rPr>
          <w:rFonts w:hint="eastAsia" w:ascii="Times New Roman" w:hAnsi="Times New Roman" w:eastAsia="仿宋_GB2312"/>
          <w:sz w:val="32"/>
          <w:szCs w:val="32"/>
          <w:lang w:val="en-US" w:eastAsia="zh-CN"/>
        </w:rPr>
        <w:t>厉行节约，</w:t>
      </w:r>
      <w:r>
        <w:rPr>
          <w:rFonts w:hint="eastAsia" w:ascii="Times New Roman" w:hAnsi="Times New Roman" w:eastAsia="仿宋_GB2312"/>
          <w:sz w:val="32"/>
          <w:szCs w:val="32"/>
          <w:lang w:eastAsia="zh-CN"/>
        </w:rPr>
        <w:t>压减了三公经费，</w:t>
      </w:r>
      <w:r>
        <w:rPr>
          <w:rFonts w:hint="eastAsia" w:ascii="Times New Roman" w:hAnsi="Times New Roman" w:eastAsia="仿宋_GB2312"/>
          <w:sz w:val="32"/>
          <w:szCs w:val="32"/>
          <w:lang w:val="en-US" w:eastAsia="zh-CN"/>
        </w:rPr>
        <w:t>疫情原因，减少接待任务</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1.71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97.16</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厉行节约，</w:t>
      </w:r>
      <w:r>
        <w:rPr>
          <w:rFonts w:hint="eastAsia" w:ascii="Times New Roman" w:hAnsi="Times New Roman" w:eastAsia="仿宋_GB2312"/>
          <w:sz w:val="32"/>
          <w:szCs w:val="32"/>
          <w:lang w:eastAsia="zh-CN"/>
        </w:rPr>
        <w:t>本年压减了三公经费，</w:t>
      </w:r>
      <w:r>
        <w:rPr>
          <w:rFonts w:hint="eastAsia" w:ascii="Times New Roman" w:hAnsi="Times New Roman" w:eastAsia="仿宋_GB2312"/>
          <w:sz w:val="32"/>
          <w:szCs w:val="32"/>
          <w:lang w:val="en-US" w:eastAsia="zh-CN"/>
        </w:rPr>
        <w:t>疫情原因，减少接待任务</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4.50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4.50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1.58</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val="en-US" w:eastAsia="zh-CN"/>
        </w:rPr>
        <w:t>燃油价格上涨</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1.10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4.50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98.90</w:t>
      </w:r>
      <w:r>
        <w:rPr>
          <w:rFonts w:hint="eastAsia" w:ascii="Times New Roman" w:hAnsi="Times New Roman" w:eastAsia="仿宋_GB2312"/>
          <w:sz w:val="32"/>
          <w:szCs w:val="32"/>
        </w:rPr>
        <w:t>%。其中：</w:t>
      </w:r>
    </w:p>
    <w:p>
      <w:pPr>
        <w:pStyle w:val="14"/>
        <w:keepNext w:val="0"/>
        <w:keepLines w:val="0"/>
        <w:pageBreakBefore w:val="0"/>
        <w:widowControl w:val="0"/>
        <w:numPr>
          <w:ilvl w:val="0"/>
          <w:numId w:val="3"/>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4"/>
        <w:keepNext w:val="0"/>
        <w:keepLines w:val="0"/>
        <w:pageBreakBefore w:val="0"/>
        <w:widowControl w:val="0"/>
        <w:numPr>
          <w:numId w:val="0"/>
        </w:numPr>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val="en-US" w:eastAsia="zh-CN"/>
        </w:rPr>
        <w:t>安徽省农业农村厅来湘开展“巨型稻”调研作</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4.50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4.50</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公车加油、保养和保险等费用</w:t>
      </w:r>
      <w:r>
        <w:rPr>
          <w:rFonts w:hint="eastAsia" w:ascii="Times New Roman" w:hAnsi="Times New Roman" w:eastAsia="仿宋_GB2312"/>
          <w:sz w:val="32"/>
          <w:szCs w:val="32"/>
        </w:rPr>
        <w:t>支出，截止202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77.04</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比</w:t>
      </w:r>
      <w:r>
        <w:rPr>
          <w:rFonts w:hint="eastAsia" w:ascii="Times New Roman" w:hAnsi="Times New Roman" w:eastAsia="仿宋_GB2312"/>
          <w:sz w:val="32"/>
          <w:szCs w:val="32"/>
        </w:rPr>
        <w:t>年初预算数减少</w:t>
      </w:r>
      <w:r>
        <w:rPr>
          <w:rFonts w:hint="eastAsia" w:ascii="Times New Roman" w:hAnsi="Times New Roman" w:eastAsia="仿宋_GB2312"/>
          <w:sz w:val="32"/>
          <w:szCs w:val="32"/>
          <w:lang w:val="en-US" w:eastAsia="zh-CN"/>
        </w:rPr>
        <w:t>9.96</w:t>
      </w:r>
      <w:r>
        <w:rPr>
          <w:rFonts w:hint="eastAsia" w:ascii="Times New Roman" w:hAnsi="Times New Roman" w:eastAsia="仿宋_GB2312"/>
          <w:sz w:val="32"/>
          <w:szCs w:val="32"/>
        </w:rPr>
        <w:t xml:space="preserve"> 万元，降低</w:t>
      </w:r>
      <w:r>
        <w:rPr>
          <w:rFonts w:hint="eastAsia" w:ascii="Times New Roman" w:hAnsi="Times New Roman" w:eastAsia="仿宋_GB2312"/>
          <w:sz w:val="32"/>
          <w:szCs w:val="32"/>
          <w:lang w:val="en-US" w:eastAsia="zh-CN"/>
        </w:rPr>
        <w:t>11.44</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val="en-US" w:eastAsia="zh-CN"/>
        </w:rPr>
        <w:t>落实省政府“过紧日子”政策，压减机关运行经费</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1.35</w:t>
      </w:r>
      <w:r>
        <w:rPr>
          <w:rFonts w:hint="eastAsia" w:ascii="Times New Roman" w:hAnsi="Times New Roman" w:eastAsia="仿宋_GB2312"/>
          <w:sz w:val="32"/>
          <w:szCs w:val="32"/>
        </w:rPr>
        <w:t>万元，用于召开脱贫县基层补助项目工作座谈会</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全国五星农技推广机构认定会</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人数</w:t>
      </w:r>
      <w:r>
        <w:rPr>
          <w:rFonts w:hint="eastAsia" w:ascii="Times New Roman" w:hAnsi="Times New Roman" w:eastAsia="仿宋_GB2312"/>
          <w:sz w:val="32"/>
          <w:szCs w:val="32"/>
          <w:lang w:val="en-US" w:eastAsia="zh-CN"/>
        </w:rPr>
        <w:t>44</w:t>
      </w:r>
      <w:r>
        <w:rPr>
          <w:rFonts w:hint="eastAsia" w:ascii="Times New Roman" w:hAnsi="Times New Roman" w:eastAsia="仿宋_GB2312"/>
          <w:sz w:val="32"/>
          <w:szCs w:val="32"/>
        </w:rPr>
        <w:t>人；开支培训费</w:t>
      </w:r>
      <w:r>
        <w:rPr>
          <w:rFonts w:hint="eastAsia" w:ascii="Times New Roman" w:hAnsi="Times New Roman" w:eastAsia="仿宋_GB2312"/>
          <w:sz w:val="32"/>
          <w:szCs w:val="32"/>
          <w:lang w:val="en-US" w:eastAsia="zh-CN"/>
        </w:rPr>
        <w:t>15.03</w:t>
      </w:r>
      <w:r>
        <w:rPr>
          <w:rFonts w:hint="eastAsia" w:ascii="Times New Roman" w:hAnsi="Times New Roman" w:eastAsia="仿宋_GB2312"/>
          <w:sz w:val="32"/>
          <w:szCs w:val="32"/>
        </w:rPr>
        <w:t>万元，用于开展农技微视频制作技能培训培训，人数</w:t>
      </w:r>
      <w:r>
        <w:rPr>
          <w:rFonts w:hint="eastAsia" w:ascii="Times New Roman" w:hAnsi="Times New Roman" w:eastAsia="仿宋_GB2312"/>
          <w:sz w:val="32"/>
          <w:szCs w:val="32"/>
          <w:lang w:val="en-US" w:eastAsia="zh-CN"/>
        </w:rPr>
        <w:t>27</w:t>
      </w:r>
      <w:r>
        <w:rPr>
          <w:rFonts w:hint="eastAsia" w:ascii="Times New Roman" w:hAnsi="Times New Roman" w:eastAsia="仿宋_GB2312"/>
          <w:sz w:val="32"/>
          <w:szCs w:val="32"/>
        </w:rPr>
        <w:t>人，基层农技特岗生培养效果评估会</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人数10人，大豆玉米带状种植技术视频培训，人数2人，全省基层农推广补助项目管理人员（种植业）培训，人数82人，脱贫县基层补助项目工作座谈会，人数81人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举办庆、晚会、论坛、赛事活动</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万元，其中：授予小微企业合同金额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bookmarkStart w:id="1" w:name="_GoBack"/>
      <w:bookmarkEnd w:id="1"/>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运行成本</w:t>
      </w:r>
    </w:p>
    <w:p>
      <w:pPr>
        <w:spacing w:line="360" w:lineRule="auto"/>
        <w:ind w:firstLine="640" w:firstLineChars="200"/>
        <w:rPr>
          <w:rFonts w:hint="eastAsia" w:ascii="Times New Roman" w:hAnsi="Times New Roman" w:eastAsia="仿宋_GB2312"/>
          <w:sz w:val="32"/>
          <w:szCs w:val="32"/>
        </w:rPr>
      </w:pPr>
      <w:r>
        <w:rPr>
          <w:rFonts w:hint="eastAsia" w:ascii="仿宋" w:hAnsi="仿宋" w:eastAsia="仿宋" w:cs="仿宋"/>
          <w:color w:val="auto"/>
          <w:sz w:val="32"/>
          <w:szCs w:val="32"/>
          <w:highlight w:val="none"/>
        </w:rPr>
        <w:t>2022年</w:t>
      </w:r>
      <w:r>
        <w:rPr>
          <w:rFonts w:hint="eastAsia" w:ascii="仿宋" w:hAnsi="仿宋" w:eastAsia="仿宋" w:cs="仿宋"/>
          <w:color w:val="auto"/>
          <w:sz w:val="32"/>
          <w:szCs w:val="32"/>
          <w:highlight w:val="none"/>
          <w:lang w:val="en-US" w:eastAsia="zh-CN"/>
        </w:rPr>
        <w:t>单位整体支出预算数为2351.20</w:t>
      </w:r>
      <w:r>
        <w:rPr>
          <w:rFonts w:hint="eastAsia" w:ascii="仿宋" w:hAnsi="仿宋" w:eastAsia="仿宋" w:cs="仿宋"/>
          <w:color w:val="auto"/>
          <w:sz w:val="32"/>
          <w:szCs w:val="32"/>
          <w:highlight w:val="none"/>
        </w:rPr>
        <w:t xml:space="preserve">万元，支出 </w:t>
      </w:r>
      <w:r>
        <w:rPr>
          <w:rFonts w:hint="eastAsia" w:ascii="仿宋" w:hAnsi="仿宋" w:eastAsia="仿宋" w:cs="仿宋"/>
          <w:color w:val="auto"/>
          <w:sz w:val="32"/>
          <w:szCs w:val="32"/>
          <w:highlight w:val="none"/>
          <w:lang w:val="en-US" w:eastAsia="zh-CN"/>
        </w:rPr>
        <w:t>2117.27</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90.05</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其中：</w:t>
      </w:r>
      <w:r>
        <w:rPr>
          <w:rFonts w:hint="eastAsia" w:ascii="仿宋" w:hAnsi="仿宋" w:eastAsia="仿宋" w:cs="仿宋"/>
          <w:color w:val="auto"/>
          <w:sz w:val="32"/>
          <w:szCs w:val="32"/>
          <w:highlight w:val="none"/>
        </w:rPr>
        <w:t>2022 年“三公”经费支出</w:t>
      </w:r>
      <w:r>
        <w:rPr>
          <w:rFonts w:hint="eastAsia" w:ascii="仿宋" w:hAnsi="仿宋" w:eastAsia="仿宋" w:cs="仿宋"/>
          <w:color w:val="auto"/>
          <w:sz w:val="32"/>
          <w:szCs w:val="32"/>
          <w:highlight w:val="none"/>
          <w:lang w:val="en-US" w:eastAsia="zh-CN"/>
        </w:rPr>
        <w:t>4.55</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包括</w:t>
      </w:r>
      <w:r>
        <w:rPr>
          <w:rFonts w:hint="eastAsia" w:ascii="仿宋" w:hAnsi="仿宋" w:eastAsia="仿宋" w:cs="仿宋"/>
          <w:color w:val="auto"/>
          <w:sz w:val="32"/>
          <w:szCs w:val="32"/>
          <w:highlight w:val="none"/>
        </w:rPr>
        <w:t>公务接待费</w:t>
      </w:r>
      <w:r>
        <w:rPr>
          <w:rFonts w:hint="eastAsia" w:ascii="仿宋" w:hAnsi="仿宋" w:eastAsia="仿宋" w:cs="仿宋"/>
          <w:color w:val="auto"/>
          <w:sz w:val="32"/>
          <w:szCs w:val="32"/>
          <w:highlight w:val="none"/>
          <w:lang w:val="en-US" w:eastAsia="zh-CN"/>
        </w:rPr>
        <w:t>0.05</w:t>
      </w:r>
      <w:r>
        <w:rPr>
          <w:rFonts w:hint="eastAsia" w:ascii="仿宋" w:hAnsi="仿宋" w:eastAsia="仿宋" w:cs="仿宋"/>
          <w:color w:val="auto"/>
          <w:sz w:val="32"/>
          <w:szCs w:val="32"/>
          <w:highlight w:val="none"/>
        </w:rPr>
        <w:t>万元、公务用车运行维护费</w:t>
      </w:r>
      <w:r>
        <w:rPr>
          <w:rFonts w:hint="eastAsia" w:ascii="仿宋" w:hAnsi="仿宋" w:eastAsia="仿宋" w:cs="仿宋"/>
          <w:color w:val="auto"/>
          <w:sz w:val="32"/>
          <w:szCs w:val="32"/>
          <w:highlight w:val="none"/>
          <w:lang w:val="en-US" w:eastAsia="zh-CN"/>
        </w:rPr>
        <w:t>4.50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因公出国(境)费</w:t>
      </w:r>
      <w:r>
        <w:rPr>
          <w:rFonts w:hint="eastAsia" w:ascii="仿宋" w:hAnsi="仿宋" w:eastAsia="仿宋" w:cs="仿宋"/>
          <w:color w:val="auto"/>
          <w:sz w:val="32"/>
          <w:szCs w:val="32"/>
          <w:highlight w:val="none"/>
        </w:rPr>
        <w:t>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万元,较年初预算</w:t>
      </w:r>
      <w:r>
        <w:rPr>
          <w:rFonts w:hint="eastAsia" w:ascii="仿宋" w:hAnsi="仿宋" w:eastAsia="仿宋" w:cs="仿宋"/>
          <w:color w:val="auto"/>
          <w:sz w:val="32"/>
          <w:szCs w:val="32"/>
          <w:highlight w:val="none"/>
          <w:lang w:val="en-US" w:eastAsia="zh-CN"/>
        </w:rPr>
        <w:t>11.50</w:t>
      </w:r>
      <w:r>
        <w:rPr>
          <w:rFonts w:hint="eastAsia" w:ascii="仿宋" w:hAnsi="仿宋" w:eastAsia="仿宋" w:cs="仿宋"/>
          <w:color w:val="auto"/>
          <w:sz w:val="32"/>
          <w:szCs w:val="32"/>
          <w:highlight w:val="none"/>
        </w:rPr>
        <w:t>万元节约</w:t>
      </w:r>
      <w:r>
        <w:rPr>
          <w:rFonts w:hint="eastAsia" w:ascii="仿宋" w:hAnsi="仿宋" w:eastAsia="仿宋" w:cs="仿宋"/>
          <w:color w:val="auto"/>
          <w:sz w:val="32"/>
          <w:szCs w:val="32"/>
          <w:highlight w:val="none"/>
          <w:lang w:val="en-US" w:eastAsia="zh-CN"/>
        </w:rPr>
        <w:t>6.95</w:t>
      </w:r>
      <w:r>
        <w:rPr>
          <w:rFonts w:hint="eastAsia" w:ascii="仿宋" w:hAnsi="仿宋" w:eastAsia="仿宋" w:cs="仿宋"/>
          <w:color w:val="auto"/>
          <w:sz w:val="32"/>
          <w:szCs w:val="32"/>
          <w:highlight w:val="none"/>
        </w:rPr>
        <w:t>万元，节约比为</w:t>
      </w:r>
      <w:r>
        <w:rPr>
          <w:rFonts w:hint="eastAsia" w:ascii="仿宋" w:hAnsi="仿宋" w:eastAsia="仿宋" w:cs="仿宋"/>
          <w:color w:val="auto"/>
          <w:sz w:val="32"/>
          <w:szCs w:val="32"/>
          <w:highlight w:val="none"/>
          <w:lang w:val="en-US" w:eastAsia="zh-CN"/>
        </w:rPr>
        <w:t>60.43</w:t>
      </w:r>
      <w:r>
        <w:rPr>
          <w:rFonts w:hint="eastAsia" w:ascii="仿宋" w:hAnsi="仿宋" w:eastAsia="仿宋" w:cs="仿宋"/>
          <w:color w:val="auto"/>
          <w:sz w:val="32"/>
          <w:szCs w:val="32"/>
          <w:highlight w:val="none"/>
        </w:rPr>
        <w:t>%。会议费和培训费年初预算为</w:t>
      </w:r>
      <w:r>
        <w:rPr>
          <w:rFonts w:hint="eastAsia" w:ascii="仿宋" w:hAnsi="仿宋" w:eastAsia="仿宋" w:cs="仿宋"/>
          <w:color w:val="auto"/>
          <w:sz w:val="32"/>
          <w:szCs w:val="32"/>
          <w:highlight w:val="none"/>
          <w:lang w:val="en-US" w:eastAsia="zh-CN"/>
        </w:rPr>
        <w:t>29</w:t>
      </w:r>
      <w:r>
        <w:rPr>
          <w:rFonts w:hint="eastAsia" w:ascii="仿宋" w:hAnsi="仿宋" w:eastAsia="仿宋" w:cs="仿宋"/>
          <w:color w:val="auto"/>
          <w:sz w:val="32"/>
          <w:szCs w:val="32"/>
          <w:highlight w:val="none"/>
        </w:rPr>
        <w:t>万元，决算数为</w:t>
      </w:r>
      <w:r>
        <w:rPr>
          <w:rFonts w:hint="eastAsia" w:ascii="仿宋" w:hAnsi="仿宋" w:eastAsia="仿宋" w:cs="仿宋"/>
          <w:color w:val="auto"/>
          <w:sz w:val="32"/>
          <w:szCs w:val="32"/>
          <w:highlight w:val="none"/>
          <w:lang w:val="en-US" w:eastAsia="zh-CN"/>
        </w:rPr>
        <w:t>16.38</w:t>
      </w:r>
      <w:r>
        <w:rPr>
          <w:rFonts w:hint="eastAsia" w:ascii="仿宋" w:hAnsi="仿宋" w:eastAsia="仿宋" w:cs="仿宋"/>
          <w:color w:val="auto"/>
          <w:sz w:val="32"/>
          <w:szCs w:val="32"/>
          <w:highlight w:val="none"/>
        </w:rPr>
        <w:t>万元，节约比为</w:t>
      </w:r>
      <w:r>
        <w:rPr>
          <w:rFonts w:hint="eastAsia" w:ascii="仿宋" w:hAnsi="仿宋" w:eastAsia="仿宋" w:cs="仿宋"/>
          <w:color w:val="auto"/>
          <w:sz w:val="32"/>
          <w:szCs w:val="32"/>
          <w:highlight w:val="none"/>
          <w:lang w:val="en-US" w:eastAsia="zh-CN"/>
        </w:rPr>
        <w:t>43.52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lang w:val="en-US" w:eastAsia="zh-CN"/>
        </w:rPr>
        <w:t>022年我站各项支出</w:t>
      </w:r>
      <w:r>
        <w:rPr>
          <w:rFonts w:hint="eastAsia" w:ascii="仿宋" w:hAnsi="仿宋" w:eastAsia="仿宋" w:cs="仿宋"/>
          <w:color w:val="auto"/>
          <w:sz w:val="32"/>
          <w:szCs w:val="32"/>
        </w:rPr>
        <w:t>均合理控制在预算</w:t>
      </w:r>
      <w:r>
        <w:rPr>
          <w:rFonts w:hint="eastAsia" w:ascii="仿宋" w:hAnsi="仿宋" w:eastAsia="仿宋" w:cs="仿宋"/>
          <w:color w:val="auto"/>
          <w:sz w:val="32"/>
          <w:szCs w:val="32"/>
          <w:lang w:val="en-US" w:eastAsia="zh-CN"/>
        </w:rPr>
        <w:t>范围</w:t>
      </w:r>
      <w:r>
        <w:rPr>
          <w:rFonts w:hint="eastAsia" w:ascii="仿宋" w:hAnsi="仿宋" w:eastAsia="仿宋" w:cs="仿宋"/>
          <w:color w:val="auto"/>
          <w:sz w:val="32"/>
          <w:szCs w:val="32"/>
        </w:rPr>
        <w:t>内。</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在</w:t>
      </w:r>
      <w:r>
        <w:rPr>
          <w:rFonts w:hint="eastAsia" w:ascii="Times New Roman" w:hAnsi="Times New Roman" w:eastAsia="仿宋_GB2312"/>
          <w:sz w:val="32"/>
          <w:szCs w:val="32"/>
        </w:rPr>
        <w:t>管理效率</w:t>
      </w:r>
      <w:r>
        <w:rPr>
          <w:rFonts w:hint="eastAsia" w:ascii="Times New Roman" w:hAnsi="Times New Roman" w:eastAsia="仿宋_GB2312"/>
          <w:sz w:val="32"/>
          <w:szCs w:val="32"/>
          <w:lang w:val="en-US" w:eastAsia="zh-CN"/>
        </w:rPr>
        <w:t>方面，</w:t>
      </w:r>
      <w:r>
        <w:rPr>
          <w:rFonts w:hint="eastAsia" w:ascii="Times New Roman" w:hAnsi="Times New Roman" w:eastAsia="仿宋_GB2312"/>
          <w:sz w:val="32"/>
          <w:szCs w:val="32"/>
        </w:rPr>
        <w:t>加强农技推广体系建设。一是深化基层农技推广机构改革，提升基层农技推广机构服务能力。体现在四个“支持”：支持农技推广机构与经营组织协同开展农技服务，允许农技人员提供技术增值服务并合理取酬。支持农业科研院校发挥人才、成果、平台等优势承担相关任务，开展农技人员培训、建设试验示范基地，加快科技成果转化落地。支持社会化服务组织通过公开招标、定向委托等方式承担公益性农技服务。支持基层农技推广机构星级服务创建，打造全国五星服务农技推广机构，树立行业样板。</w:t>
      </w: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是全面实施特聘计划，强化特色产业农技指导服务，探索实施特聘计划的体制机制，加强线上线下协同推广和动态管理，总结典型经验，形成可复制、能推广的模式做法。</w:t>
      </w:r>
      <w:r>
        <w:rPr>
          <w:rFonts w:hint="eastAsia" w:ascii="Times New Roman" w:hAnsi="Times New Roman" w:eastAsia="仿宋_GB2312"/>
          <w:sz w:val="32"/>
          <w:szCs w:val="32"/>
          <w:lang w:eastAsia="zh-CN"/>
        </w:rPr>
        <w:t>三</w:t>
      </w:r>
      <w:r>
        <w:rPr>
          <w:rFonts w:hint="eastAsia" w:ascii="Times New Roman" w:hAnsi="Times New Roman" w:eastAsia="仿宋_GB2312"/>
          <w:sz w:val="32"/>
          <w:szCs w:val="32"/>
        </w:rPr>
        <w:t>是提升农技人员素质能力。组织1959名在编基层农技推广骨干接受分省、市两级举办的连续不少于 5 天的脱产业务培训。支持281名基层农技人员进行高升专、专升本，支持51名基层农技推广骨干攻读农业硕士。督促各县市区做好2022届551名农技特岗生顺利上岗入编工作，对承担农技特岗生培养计划的高校开展培养效果现场评估。对长期扎根一线、作出突出贡献的农技人员，在职称评聘、评先评优、绩效激励等方面予以倾斜。 </w:t>
      </w:r>
      <w:r>
        <w:rPr>
          <w:rFonts w:hint="eastAsia" w:ascii="Times New Roman" w:hAnsi="Times New Roman" w:eastAsia="仿宋_GB2312"/>
          <w:sz w:val="32"/>
          <w:szCs w:val="32"/>
          <w:lang w:eastAsia="zh-CN"/>
        </w:rPr>
        <w:t>四</w:t>
      </w:r>
      <w:r>
        <w:rPr>
          <w:rFonts w:hint="eastAsia" w:ascii="Times New Roman" w:hAnsi="Times New Roman" w:eastAsia="仿宋_GB2312"/>
          <w:sz w:val="32"/>
          <w:szCs w:val="32"/>
        </w:rPr>
        <w:t>是加快信息化步伐。组织所有农技人员使用中国农技推广APP，鼓励在线开展问题解答、咨询指导、互动交流、技术普及等服务。及时上传农技推广补助项目资料，实行全程线上动态展示。</w:t>
      </w:r>
    </w:p>
    <w:p>
      <w:pPr>
        <w:pStyle w:val="14"/>
        <w:keepNext w:val="0"/>
        <w:keepLines w:val="0"/>
        <w:pageBreakBefore w:val="0"/>
        <w:widowControl w:val="0"/>
        <w:numPr>
          <w:ilvl w:val="0"/>
          <w:numId w:val="4"/>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在</w:t>
      </w:r>
      <w:r>
        <w:rPr>
          <w:rFonts w:hint="eastAsia" w:ascii="Times New Roman" w:hAnsi="Times New Roman" w:eastAsia="仿宋_GB2312"/>
          <w:sz w:val="32"/>
          <w:szCs w:val="32"/>
        </w:rPr>
        <w:t>履职效能</w:t>
      </w:r>
      <w:r>
        <w:rPr>
          <w:rFonts w:hint="eastAsia" w:ascii="Times New Roman" w:hAnsi="Times New Roman" w:eastAsia="仿宋_GB2312"/>
          <w:sz w:val="32"/>
          <w:szCs w:val="32"/>
          <w:lang w:val="en-US" w:eastAsia="zh-CN"/>
        </w:rPr>
        <w:t>方面，</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推进农业科技集成创新。一是打造农业科技示范展示平台。遴选6530个示范主体，组织农技人员开展对口精准指导服务，将示范主体打造成主推技术应用的主力军、“永久牌”农技服务专家队伍。依托农技推广补助项目，建设112个农业科技示范展示基地，统一树立“全国基层农技推广体系农业科技示范展示基地”标牌。围绕主推技术，在全省创办示范基地61个，重点开展再生稻、再生稻+油菜、稻田综合种养、大豆玉米带状复合种植及特色作物经济作物高效栽培等技术集成与示范工作。二是开展关键技术集成示范。开展再生稻品种筛选，向省内外有关种业征集106个水稻品种，在大通湖区、长沙县及衡阳县创办再生稻品种筛选基地，对30个品种开展筛选试验，76个品种开展观察试验。开展再生稻高产集成，双峰县印塘乡盐井湾村“再生稻+油菜”示范基地现场测产结果显示，再生稻两季合计亩产达1147.43公斤(再生季425.93公斤),较上年(925公斤)提高24%。汨罗再生稻示范片头季亩产达765.3公斤，再生季平均亩产达539.02 公斤，其周年亩产达到1304.32公斤，较上年增长了4.5%。汨罗、长沙县等一批再生稻示范基地备受农业农村部领导关注，部种植业司领导先后两次到我省调研指导。开展县域主导特色产业培育，针对开展凤凰苦荞高效栽培、永兴冰糖橙高效集成生产技术、靖州杨梅设施化栽培、湘西高山高档优质稻高效生产技术等集成与试验示范，为地方特色经济作物生产效益提升发挥了显著作用。三是实施农业技术综合服务。围绕早中熟柑橘、五彩湘茶、湘九味中药材、洞庭香米、早熟油菜等产业集群，搭建技术服务平台，组织农业科研院校专家技术团队开展技术指导和临田服务。支持各市县创建农科教推协作平台，打造一批农业新技术（新品种、新农药、新肥料及新机具）引进、展示及培训基地，加强农业综合技术集成、示范与推广。</w:t>
      </w:r>
    </w:p>
    <w:p>
      <w:pPr>
        <w:pStyle w:val="14"/>
        <w:keepNext w:val="0"/>
        <w:keepLines w:val="0"/>
        <w:pageBreakBefore w:val="0"/>
        <w:widowControl w:val="0"/>
        <w:numPr>
          <w:ilvl w:val="0"/>
          <w:numId w:val="4"/>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社会效应</w:t>
      </w:r>
      <w:r>
        <w:rPr>
          <w:rFonts w:hint="eastAsia" w:ascii="Times New Roman" w:hAnsi="Times New Roman" w:eastAsia="仿宋_GB2312"/>
          <w:sz w:val="32"/>
          <w:szCs w:val="32"/>
          <w:lang w:val="en-US" w:eastAsia="zh-CN"/>
        </w:rPr>
        <w:t>方面，</w:t>
      </w:r>
      <w:r>
        <w:rPr>
          <w:rFonts w:hint="eastAsia" w:ascii="Times New Roman" w:hAnsi="Times New Roman" w:eastAsia="仿宋_GB2312"/>
          <w:sz w:val="32"/>
          <w:szCs w:val="32"/>
        </w:rPr>
        <w:t>推进湖南农业成果展示中心项目高标准建成。认真贯彻落实厅党组关于湖南农业成果展示中心项目有关指示，对中心项目开展多轮设计优化，经过紧张规范有序施工，于9月30日顺利举行开馆仪式，并在此对展板和设计内容进行调整优化，目前，中心项目已经全面建设完成并顺利通过验收，预计可在本月面向社会开放。今后，中心项目将成为展示我省三农工作的重要宣传窗口，成为我省湖南农业农村工作的“资料库”。</w:t>
      </w:r>
    </w:p>
    <w:p>
      <w:pPr>
        <w:pStyle w:val="14"/>
        <w:keepNext w:val="0"/>
        <w:keepLines w:val="0"/>
        <w:pageBreakBefore w:val="0"/>
        <w:widowControl w:val="0"/>
        <w:numPr>
          <w:ilvl w:val="0"/>
          <w:numId w:val="4"/>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可持续发展能力</w:t>
      </w:r>
      <w:r>
        <w:rPr>
          <w:rFonts w:hint="eastAsia" w:ascii="Times New Roman" w:hAnsi="Times New Roman" w:eastAsia="仿宋_GB2312"/>
          <w:sz w:val="32"/>
          <w:szCs w:val="32"/>
          <w:lang w:val="en-US" w:eastAsia="zh-CN"/>
        </w:rPr>
        <w:t>方面，</w:t>
      </w:r>
      <w:r>
        <w:rPr>
          <w:rFonts w:hint="eastAsia" w:ascii="Times New Roman" w:hAnsi="Times New Roman" w:eastAsia="仿宋_GB2312"/>
          <w:sz w:val="32"/>
          <w:szCs w:val="32"/>
        </w:rPr>
        <w:t>推进“互联网+农技推广”服务。一是完善“互联网+农技推广”平台。在头部短视频APP</w:t>
      </w:r>
      <w:r>
        <w:rPr>
          <w:rFonts w:hint="eastAsia" w:ascii="Times New Roman" w:hAnsi="Times New Roman" w:eastAsia="仿宋_GB2312"/>
          <w:sz w:val="32"/>
          <w:szCs w:val="32"/>
          <w:lang w:val="zh-CN"/>
        </w:rPr>
        <w:t>搭建“湘农快拍”短视频平台，</w:t>
      </w:r>
      <w:r>
        <w:rPr>
          <w:rFonts w:hint="eastAsia" w:ascii="Times New Roman" w:hAnsi="Times New Roman" w:eastAsia="仿宋_GB2312"/>
          <w:sz w:val="32"/>
          <w:szCs w:val="32"/>
        </w:rPr>
        <w:t>扩大湖南农技推广影响力。截至目前，已在湘农快拍（抖音、快手、西瓜）视频号发布作品102部，各平台播放总量23.1万余次（单部播放最高1.5万次），获赞总数3590次，粉丝总数2000余人，初步形成线上线下协同推广的良好局面。二是提升声像宣传服务能力。加强农技微视频团队建设，建立6支试点农技推广服务团队，组织部分地区基层农技推广骨干开展农技微视频制作技能培训，系统掌握视频制作和直播技术,为推进运用农技微视频服务“三农”奠定基础。继续推进 “湘农快拍”农技微视频征集活动，比赛自启动以来已征集作品60余部，激励了基层农技人员和各种社会力量创作高质量的农业科技微视频。三是及时推广先进实用技术。推出《农技大课堂》12节常规课程并推出科技抗旱救灾系列、养殖新技术两期21节系列专题课程，课程总访问量达136万人次，加速了先进适用技术的传播扩散。</w:t>
      </w:r>
      <w:r>
        <w:rPr>
          <w:rFonts w:hint="eastAsia" w:ascii="Times New Roman" w:hAnsi="Times New Roman" w:eastAsia="仿宋_GB2312"/>
          <w:sz w:val="32"/>
          <w:szCs w:val="32"/>
          <w:lang w:val="zh-CN"/>
        </w:rPr>
        <w:t>四是扩大农技推广社会影响。</w:t>
      </w:r>
      <w:r>
        <w:rPr>
          <w:rFonts w:hint="eastAsia" w:ascii="Times New Roman" w:hAnsi="Times New Roman" w:eastAsia="仿宋_GB2312"/>
          <w:sz w:val="32"/>
          <w:szCs w:val="32"/>
        </w:rPr>
        <w:t>继续推进系列专题片制作展播，重点推出基层最美农技人员及优秀家庭农场专题片5部，反响良好，另有2部正在制作中，极大地激发了基层农技人员的服务热情，营造了农技推广系统的良好形象。</w:t>
      </w:r>
    </w:p>
    <w:p>
      <w:pPr>
        <w:pStyle w:val="14"/>
        <w:keepNext w:val="0"/>
        <w:keepLines w:val="0"/>
        <w:pageBreakBefore w:val="0"/>
        <w:widowControl w:val="0"/>
        <w:numPr>
          <w:ilvl w:val="0"/>
          <w:numId w:val="4"/>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4"/>
        <w:keepNext w:val="0"/>
        <w:keepLines w:val="0"/>
        <w:pageBreakBefore w:val="0"/>
        <w:widowControl w:val="0"/>
        <w:numPr>
          <w:ilvl w:val="0"/>
          <w:numId w:val="0"/>
        </w:numPr>
        <w:kinsoku/>
        <w:wordWrap/>
        <w:overflowPunct/>
        <w:topLinePunct w:val="0"/>
        <w:bidi w:val="0"/>
        <w:snapToGrid/>
        <w:spacing w:line="600" w:lineRule="exact"/>
        <w:ind w:left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通过各项工作的稳步推进，农民和基层农技人员满意度均在90%以上。</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1、项目支出预算执行率有待提高，我站项目支出预算数1598.80万元，决算数1375.54万元，预算执行率为86.04%，主要原因是因为受疫情影响，培训和会议无法召开，出差任务减少。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2、公用经费预算执行率有待提高，我站公用支出预算数87.00万元，决算数77.04万元，预算执行率为88.55%，主要原因是一是受疫情影响，培训任务未按计划完成，二是压减了三公经费和办公经费支出。</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下一步改进措施：一是通过定期对项目资金的执行情况进行梳理，督促项目早规划、早启动、早实施，二是完善单位的预算编制管理，上年各项资金的预算执行情况作为下年预算编制的重要依据，进一步提高我单位的预算执行率。</w:t>
      </w: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both"/>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4"/>
        <w:ind w:firstLine="600" w:firstLineChars="200"/>
        <w:rPr>
          <w:rFonts w:ascii="Times New Roman" w:hAnsi="仿宋" w:eastAsia="仿宋" w:cs="Times New Roman"/>
          <w:color w:val="000000" w:themeColor="text1"/>
          <w:sz w:val="30"/>
          <w:szCs w:val="30"/>
          <w14:textFill>
            <w14:solidFill>
              <w14:schemeClr w14:val="tx1"/>
            </w14:solidFill>
          </w14:textFill>
        </w:rPr>
      </w:pPr>
      <w:r>
        <w:rPr>
          <w:rFonts w:hint="eastAsia" w:ascii="Times New Roman" w:hAnsi="仿宋" w:eastAsia="仿宋" w:cs="Times New Roman"/>
          <w:color w:val="000000" w:themeColor="text1"/>
          <w:sz w:val="30"/>
          <w:szCs w:val="30"/>
          <w:lang w:eastAsia="zh-CN"/>
          <w14:textFill>
            <w14:solidFill>
              <w14:schemeClr w14:val="tx1"/>
            </w14:solidFill>
          </w14:textFill>
        </w:rPr>
        <w:t>（</w:t>
      </w:r>
      <w:r>
        <w:rPr>
          <w:rFonts w:hint="eastAsia" w:ascii="Times New Roman" w:hAnsi="仿宋" w:eastAsia="仿宋" w:cs="Times New Roman"/>
          <w:color w:val="000000" w:themeColor="text1"/>
          <w:sz w:val="30"/>
          <w:szCs w:val="30"/>
          <w:lang w:val="en-US" w:eastAsia="zh-CN"/>
          <w14:textFill>
            <w14:solidFill>
              <w14:schemeClr w14:val="tx1"/>
            </w14:solidFill>
          </w14:textFill>
        </w:rPr>
        <w:t>一）</w:t>
      </w:r>
      <w:r>
        <w:rPr>
          <w:rFonts w:hint="eastAsia" w:ascii="Times New Roman" w:hAnsi="仿宋" w:eastAsia="仿宋" w:cs="Times New Roman"/>
          <w:color w:val="000000" w:themeColor="text1"/>
          <w:sz w:val="30"/>
          <w:szCs w:val="30"/>
          <w14:textFill>
            <w14:solidFill>
              <w14:schemeClr w14:val="tx1"/>
            </w14:solidFill>
          </w14:textFill>
        </w:rPr>
        <w:t>基</w:t>
      </w:r>
      <w:r>
        <w:rPr>
          <w:rFonts w:ascii="Times New Roman" w:hAnsi="仿宋" w:eastAsia="仿宋" w:cs="Times New Roman"/>
          <w:color w:val="000000" w:themeColor="text1"/>
          <w:sz w:val="30"/>
          <w:szCs w:val="30"/>
          <w14:textFill>
            <w14:solidFill>
              <w14:schemeClr w14:val="tx1"/>
            </w14:solidFill>
          </w14:textFill>
        </w:rPr>
        <w:t>本支出：指为保障机构正常运转、完成日常工作任务而 发生的各项支出，包括人员支出和公用支出。</w:t>
      </w:r>
    </w:p>
    <w:p>
      <w:pPr>
        <w:pStyle w:val="14"/>
        <w:ind w:firstLine="450" w:firstLineChars="150"/>
        <w:rPr>
          <w:rFonts w:ascii="Times New Roman" w:hAnsi="仿宋" w:eastAsia="仿宋" w:cs="Times New Roman"/>
          <w:color w:val="000000" w:themeColor="text1"/>
          <w:sz w:val="30"/>
          <w:szCs w:val="30"/>
          <w14:textFill>
            <w14:solidFill>
              <w14:schemeClr w14:val="tx1"/>
            </w14:solidFill>
          </w14:textFill>
        </w:rPr>
      </w:pPr>
      <w:r>
        <w:rPr>
          <w:rFonts w:hint="eastAsia" w:ascii="Times New Roman" w:hAnsi="仿宋" w:eastAsia="仿宋" w:cs="Times New Roman"/>
          <w:color w:val="000000" w:themeColor="text1"/>
          <w:sz w:val="30"/>
          <w:szCs w:val="30"/>
          <w:lang w:eastAsia="zh-CN"/>
          <w14:textFill>
            <w14:solidFill>
              <w14:schemeClr w14:val="tx1"/>
            </w14:solidFill>
          </w14:textFill>
        </w:rPr>
        <w:t>（</w:t>
      </w:r>
      <w:r>
        <w:rPr>
          <w:rFonts w:hint="eastAsia" w:ascii="Times New Roman" w:hAnsi="仿宋" w:eastAsia="仿宋" w:cs="Times New Roman"/>
          <w:color w:val="000000" w:themeColor="text1"/>
          <w:sz w:val="30"/>
          <w:szCs w:val="30"/>
          <w:lang w:val="en-US" w:eastAsia="zh-CN"/>
          <w14:textFill>
            <w14:solidFill>
              <w14:schemeClr w14:val="tx1"/>
            </w14:solidFill>
          </w14:textFill>
        </w:rPr>
        <w:t>二）</w:t>
      </w:r>
      <w:r>
        <w:rPr>
          <w:rFonts w:ascii="Times New Roman" w:hAnsi="仿宋" w:eastAsia="仿宋" w:cs="Times New Roman"/>
          <w:color w:val="000000" w:themeColor="text1"/>
          <w:sz w:val="30"/>
          <w:szCs w:val="30"/>
          <w14:textFill>
            <w14:solidFill>
              <w14:schemeClr w14:val="tx1"/>
            </w14:solidFill>
          </w14:textFill>
        </w:rPr>
        <w:t xml:space="preserve"> 项目支出：指在基本支出以外为完成相关行政任务和事业 发展目标所发生的各项支出。 </w:t>
      </w:r>
    </w:p>
    <w:p>
      <w:pPr>
        <w:pStyle w:val="14"/>
        <w:ind w:firstLine="600" w:firstLineChars="200"/>
        <w:rPr>
          <w:rFonts w:ascii="仿宋" w:hAnsi="仿宋" w:eastAsia="仿宋"/>
          <w:bCs/>
          <w:sz w:val="32"/>
          <w:szCs w:val="32"/>
        </w:rPr>
      </w:pPr>
      <w:r>
        <w:rPr>
          <w:rFonts w:hint="eastAsia" w:ascii="Times New Roman" w:hAnsi="仿宋" w:eastAsia="仿宋" w:cs="Times New Roman"/>
          <w:color w:val="000000" w:themeColor="text1"/>
          <w:sz w:val="30"/>
          <w:szCs w:val="30"/>
          <w:lang w:eastAsia="zh-CN"/>
          <w14:textFill>
            <w14:solidFill>
              <w14:schemeClr w14:val="tx1"/>
            </w14:solidFill>
          </w14:textFill>
        </w:rPr>
        <w:t>（</w:t>
      </w:r>
      <w:r>
        <w:rPr>
          <w:rFonts w:hint="eastAsia" w:ascii="Times New Roman" w:hAnsi="仿宋" w:eastAsia="仿宋" w:cs="Times New Roman"/>
          <w:color w:val="000000" w:themeColor="text1"/>
          <w:sz w:val="30"/>
          <w:szCs w:val="30"/>
          <w:lang w:val="en-US" w:eastAsia="zh-CN"/>
          <w14:textFill>
            <w14:solidFill>
              <w14:schemeClr w14:val="tx1"/>
            </w14:solidFill>
          </w14:textFill>
        </w:rPr>
        <w:t>三）</w:t>
      </w:r>
      <w:r>
        <w:rPr>
          <w:rFonts w:ascii="Times New Roman" w:hAnsi="仿宋" w:eastAsia="仿宋" w:cs="Times New Roman"/>
          <w:color w:val="000000" w:themeColor="text1"/>
          <w:sz w:val="30"/>
          <w:szCs w:val="30"/>
          <w14:textFill>
            <w14:solidFill>
              <w14:schemeClr w14:val="tx1"/>
            </w14:solidFill>
          </w14:textFill>
        </w:rPr>
        <w:t>“</w:t>
      </w:r>
      <w:r>
        <w:rPr>
          <w:rFonts w:hint="eastAsia" w:ascii="仿宋" w:hAnsi="仿宋" w:eastAsia="仿宋" w:cs="黑体"/>
          <w:bCs/>
          <w:color w:val="000000"/>
          <w:kern w:val="0"/>
          <w:sz w:val="32"/>
          <w:szCs w:val="32"/>
          <w:lang w:val="en-US" w:eastAsia="zh-CN" w:bidi="ar-SA"/>
        </w:rPr>
        <w:t>“三公”经费:纳入省财政预算管理的“三</w:t>
      </w:r>
      <w:r>
        <w:rPr>
          <w:rFonts w:hint="eastAsia" w:ascii="仿宋" w:hAnsi="仿宋" w:eastAsia="仿宋"/>
          <w:bCs/>
          <w:sz w:val="32"/>
          <w:szCs w:val="32"/>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ind w:firstLine="600" w:firstLineChars="200"/>
        <w:jc w:val="left"/>
        <w:rPr>
          <w:rFonts w:ascii="黑体" w:eastAsia="黑体" w:cs="黑体"/>
          <w:color w:val="000000" w:themeColor="text1"/>
          <w:kern w:val="0"/>
          <w:sz w:val="70"/>
          <w:szCs w:val="70"/>
          <w14:textFill>
            <w14:solidFill>
              <w14:schemeClr w14:val="tx1"/>
            </w14:solidFill>
          </w14:textFill>
        </w:rPr>
      </w:pPr>
      <w:r>
        <w:rPr>
          <w:rFonts w:hint="eastAsia" w:ascii="Times New Roman" w:hAnsi="仿宋" w:eastAsia="仿宋" w:cs="Times New Roman"/>
          <w:color w:val="000000" w:themeColor="text1"/>
          <w:sz w:val="30"/>
          <w:szCs w:val="30"/>
          <w:lang w:eastAsia="zh-CN"/>
          <w14:textFill>
            <w14:solidFill>
              <w14:schemeClr w14:val="tx1"/>
            </w14:solidFill>
          </w14:textFill>
        </w:rPr>
        <w:t>（</w:t>
      </w:r>
      <w:r>
        <w:rPr>
          <w:rFonts w:hint="eastAsia" w:ascii="Times New Roman" w:hAnsi="仿宋" w:eastAsia="仿宋" w:cs="Times New Roman"/>
          <w:color w:val="000000" w:themeColor="text1"/>
          <w:sz w:val="30"/>
          <w:szCs w:val="30"/>
          <w:lang w:val="en-US" w:eastAsia="zh-CN"/>
          <w14:textFill>
            <w14:solidFill>
              <w14:schemeClr w14:val="tx1"/>
            </w14:solidFill>
          </w14:textFill>
        </w:rPr>
        <w:t>四）</w:t>
      </w:r>
      <w:r>
        <w:rPr>
          <w:rFonts w:ascii="Times New Roman" w:hAnsi="仿宋" w:eastAsia="仿宋" w:cs="Times New Roman"/>
          <w:color w:val="000000" w:themeColor="text1"/>
          <w:sz w:val="30"/>
          <w:szCs w:val="30"/>
          <w14:textFill>
            <w14:solidFill>
              <w14:schemeClr w14:val="tx1"/>
            </w14:solidFill>
          </w14:textFill>
        </w:rPr>
        <w:t>机关运行经费：是指各部门的公用经费，包括办公及印刷 费、邮电费、差旅费、会议费、福利费、日常维修费、专用材 料及一般设备购置费、办公用房水电费、办公用房取暖费、办公用房物业管理费、公务用车运行维护费以及其他费用。</w:t>
      </w: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2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23C063B"/>
    <w:multiLevelType w:val="singleLevel"/>
    <w:tmpl w:val="423C063B"/>
    <w:lvl w:ilvl="0" w:tentative="0">
      <w:start w:val="3"/>
      <w:numFmt w:val="decimal"/>
      <w:suff w:val="nothing"/>
      <w:lvlText w:val="%1、"/>
      <w:lvlJc w:val="left"/>
    </w:lvl>
  </w:abstractNum>
  <w:abstractNum w:abstractNumId="2">
    <w:nsid w:val="5B911023"/>
    <w:multiLevelType w:val="singleLevel"/>
    <w:tmpl w:val="5B911023"/>
    <w:lvl w:ilvl="0" w:tentative="0">
      <w:start w:val="1"/>
      <w:numFmt w:val="decimal"/>
      <w:suff w:val="nothing"/>
      <w:lvlText w:val="%1、"/>
      <w:lvlJc w:val="left"/>
    </w:lvl>
  </w:abstractNum>
  <w:abstractNum w:abstractNumId="3">
    <w:nsid w:val="72B60949"/>
    <w:multiLevelType w:val="singleLevel"/>
    <w:tmpl w:val="72B60949"/>
    <w:lvl w:ilvl="0" w:tentative="0">
      <w:start w:val="7"/>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34D7C"/>
    <w:rsid w:val="0DE81386"/>
    <w:rsid w:val="152F1A71"/>
    <w:rsid w:val="1E0067C8"/>
    <w:rsid w:val="1F2B6D0B"/>
    <w:rsid w:val="24260281"/>
    <w:rsid w:val="28353936"/>
    <w:rsid w:val="2FED6EA8"/>
    <w:rsid w:val="3F564C13"/>
    <w:rsid w:val="490571D9"/>
    <w:rsid w:val="53CA7C27"/>
    <w:rsid w:val="573722DC"/>
    <w:rsid w:val="57EE1175"/>
    <w:rsid w:val="591D4951"/>
    <w:rsid w:val="6D4E5665"/>
    <w:rsid w:val="6FC01AF3"/>
    <w:rsid w:val="72BF1508"/>
    <w:rsid w:val="7C370734"/>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spacing w:line="336" w:lineRule="auto"/>
      <w:ind w:left="200" w:firstLine="40"/>
    </w:pPr>
    <w:rPr>
      <w:rFonts w:ascii="仿宋_GB2312" w:hAnsi="仿宋_GB2312" w:eastAsia="仿宋" w:cs="仿宋_GB2312"/>
      <w:szCs w:val="32"/>
    </w:rPr>
  </w:style>
  <w:style w:type="paragraph" w:styleId="3">
    <w:name w:val="Body Text Indent"/>
    <w:basedOn w:val="1"/>
    <w:qFormat/>
    <w:uiPriority w:val="0"/>
    <w:pPr>
      <w:keepNext w:val="0"/>
      <w:keepLines w:val="0"/>
      <w:widowControl w:val="0"/>
      <w:suppressLineNumbers w:val="0"/>
      <w:spacing w:before="0" w:beforeLines="0" w:beforeAutospacing="0" w:after="0" w:afterLines="0" w:afterAutospacing="0"/>
      <w:ind w:left="0" w:right="0" w:firstLine="666" w:firstLineChars="262"/>
      <w:jc w:val="both"/>
    </w:pPr>
    <w:rPr>
      <w:rFonts w:hint="default" w:ascii="Calibri" w:hAnsi="Calibri" w:eastAsia="宋体" w:cs="黑体"/>
      <w:kern w:val="2"/>
      <w:sz w:val="24"/>
      <w:szCs w:val="24"/>
      <w:lang w:val="en-US" w:eastAsia="zh-CN" w:bidi="ar-SA"/>
    </w:rPr>
  </w:style>
  <w:style w:type="paragraph" w:styleId="4">
    <w:name w:val="index 6"/>
    <w:basedOn w:val="1"/>
    <w:next w:val="1"/>
    <w:qFormat/>
    <w:uiPriority w:val="0"/>
    <w:pPr>
      <w:widowControl w:val="0"/>
      <w:ind w:left="2100"/>
      <w:jc w:val="both"/>
    </w:pPr>
    <w:rPr>
      <w:rFonts w:ascii="Calibri" w:hAnsi="Calibri" w:eastAsia="宋体" w:cs="Times New Roman"/>
      <w:kern w:val="2"/>
      <w:sz w:val="21"/>
      <w:lang w:val="en-US" w:eastAsia="zh-CN" w:bidi="ar-SA"/>
    </w:rPr>
  </w:style>
  <w:style w:type="paragraph" w:styleId="5">
    <w:name w:val="Body Text"/>
    <w:basedOn w:val="1"/>
    <w:next w:val="1"/>
    <w:qFormat/>
    <w:uiPriority w:val="0"/>
    <w:pPr>
      <w:spacing w:after="120"/>
    </w:p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2020-07-05T02:32:00Z</dcterms:created>
  <dc:creator>李航 null</dc:creator>
  <cp:lastModifiedBy>ok</cp:lastModifiedBy>
  <cp:lastPrinted>2023-08-15T17:28:00Z</cp:lastPrinted>
  <dcterms:modified xsi:type="dcterms:W3CDTF">2023-11-01T12:41:46Z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