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jc w:val="center"/>
        <w:rPr>
          <w:sz w:val="56"/>
          <w:szCs w:val="56"/>
        </w:rPr>
      </w:pPr>
    </w:p>
    <w:p>
      <w:pPr>
        <w:pStyle w:val="16"/>
        <w:jc w:val="center"/>
        <w:rPr>
          <w:sz w:val="56"/>
          <w:szCs w:val="56"/>
        </w:rPr>
      </w:pPr>
    </w:p>
    <w:p>
      <w:pPr>
        <w:pStyle w:val="16"/>
        <w:jc w:val="center"/>
        <w:rPr>
          <w:sz w:val="84"/>
          <w:szCs w:val="84"/>
        </w:rPr>
      </w:pPr>
    </w:p>
    <w:p>
      <w:pPr>
        <w:pStyle w:val="16"/>
        <w:jc w:val="center"/>
        <w:rPr>
          <w:sz w:val="84"/>
          <w:szCs w:val="84"/>
        </w:rPr>
      </w:pPr>
    </w:p>
    <w:p>
      <w:pPr>
        <w:pStyle w:val="16"/>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2022年度</w:t>
      </w:r>
    </w:p>
    <w:p>
      <w:pPr>
        <w:pStyle w:val="16"/>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湖南省棉花科学研究所</w:t>
      </w:r>
    </w:p>
    <w:p>
      <w:pPr>
        <w:pStyle w:val="16"/>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w:t>
      </w:r>
    </w:p>
    <w:p>
      <w:pPr>
        <w:pStyle w:val="16"/>
        <w:jc w:val="center"/>
        <w:rPr>
          <w:rFonts w:ascii="方正小标宋_GBK" w:hAnsi="方正小标宋_GBK" w:eastAsia="方正小标宋_GBK" w:cs="方正小标宋_GBK"/>
          <w:sz w:val="56"/>
          <w:szCs w:val="56"/>
        </w:rPr>
      </w:pPr>
    </w:p>
    <w:p>
      <w:pPr>
        <w:pStyle w:val="16"/>
        <w:jc w:val="center"/>
        <w:rPr>
          <w:sz w:val="56"/>
          <w:szCs w:val="56"/>
        </w:rPr>
      </w:pPr>
    </w:p>
    <w:p>
      <w:pPr>
        <w:pStyle w:val="16"/>
        <w:jc w:val="center"/>
        <w:rPr>
          <w:sz w:val="56"/>
          <w:szCs w:val="56"/>
        </w:rPr>
      </w:pPr>
    </w:p>
    <w:p>
      <w:pPr>
        <w:pStyle w:val="16"/>
        <w:jc w:val="center"/>
        <w:rPr>
          <w:sz w:val="56"/>
          <w:szCs w:val="56"/>
        </w:rPr>
      </w:pPr>
    </w:p>
    <w:p>
      <w:pPr>
        <w:pStyle w:val="16"/>
        <w:jc w:val="center"/>
        <w:rPr>
          <w:sz w:val="32"/>
          <w:szCs w:val="32"/>
        </w:rPr>
      </w:pPr>
    </w:p>
    <w:p>
      <w:pPr>
        <w:pStyle w:val="16"/>
        <w:jc w:val="center"/>
        <w:rPr>
          <w:sz w:val="32"/>
          <w:szCs w:val="32"/>
        </w:rPr>
      </w:pPr>
    </w:p>
    <w:p>
      <w:pPr>
        <w:pStyle w:val="16"/>
        <w:jc w:val="center"/>
        <w:rPr>
          <w:sz w:val="32"/>
          <w:szCs w:val="32"/>
        </w:rPr>
      </w:pPr>
    </w:p>
    <w:p>
      <w:pPr>
        <w:pStyle w:val="16"/>
        <w:spacing w:line="500" w:lineRule="exact"/>
        <w:jc w:val="both"/>
        <w:rPr>
          <w:b/>
          <w:sz w:val="36"/>
          <w:szCs w:val="28"/>
        </w:rPr>
      </w:pPr>
    </w:p>
    <w:p>
      <w:pPr>
        <w:pStyle w:val="16"/>
        <w:spacing w:line="500" w:lineRule="exact"/>
        <w:jc w:val="center"/>
        <w:rPr>
          <w:b/>
          <w:sz w:val="36"/>
          <w:szCs w:val="28"/>
        </w:rPr>
      </w:pPr>
      <w:r>
        <w:rPr>
          <w:rFonts w:hint="eastAsia"/>
          <w:b/>
          <w:sz w:val="36"/>
          <w:szCs w:val="28"/>
        </w:rPr>
        <w:t>目录</w:t>
      </w:r>
    </w:p>
    <w:p>
      <w:pPr>
        <w:pStyle w:val="16"/>
        <w:spacing w:line="500" w:lineRule="exact"/>
        <w:rPr>
          <w:rFonts w:hAnsi="黑体"/>
          <w:bCs/>
          <w:sz w:val="28"/>
          <w:szCs w:val="28"/>
        </w:rPr>
      </w:pPr>
      <w:r>
        <w:rPr>
          <w:rFonts w:hint="eastAsia" w:hAnsi="黑体"/>
          <w:bCs/>
          <w:sz w:val="28"/>
          <w:szCs w:val="28"/>
        </w:rPr>
        <w:t>第一部分湖南省棉花科学研究所概况</w:t>
      </w:r>
    </w:p>
    <w:p>
      <w:pPr>
        <w:pStyle w:val="16"/>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16"/>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二、机构设置</w:t>
      </w:r>
    </w:p>
    <w:p>
      <w:pPr>
        <w:pStyle w:val="16"/>
        <w:spacing w:line="500" w:lineRule="exact"/>
        <w:rPr>
          <w:rFonts w:hAnsi="黑体"/>
          <w:bCs/>
          <w:sz w:val="28"/>
          <w:szCs w:val="28"/>
        </w:rPr>
      </w:pPr>
      <w:r>
        <w:rPr>
          <w:rFonts w:hint="eastAsia" w:hAnsi="黑体"/>
          <w:bCs/>
          <w:sz w:val="28"/>
          <w:szCs w:val="28"/>
        </w:rPr>
        <w:t>第二部分部门决算表</w:t>
      </w:r>
    </w:p>
    <w:p>
      <w:pPr>
        <w:pStyle w:val="16"/>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pPr>
        <w:pStyle w:val="16"/>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pPr>
        <w:pStyle w:val="16"/>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pPr>
        <w:pStyle w:val="16"/>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pPr>
        <w:pStyle w:val="16"/>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pPr>
        <w:pStyle w:val="16"/>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pPr>
        <w:pStyle w:val="16"/>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pPr>
        <w:pStyle w:val="16"/>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pPr>
        <w:pStyle w:val="16"/>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pPr>
        <w:pStyle w:val="16"/>
        <w:spacing w:line="500" w:lineRule="exact"/>
        <w:rPr>
          <w:rFonts w:hAnsi="黑体"/>
          <w:bCs/>
          <w:sz w:val="28"/>
          <w:szCs w:val="28"/>
        </w:rPr>
      </w:pPr>
      <w:r>
        <w:rPr>
          <w:rFonts w:hint="eastAsia" w:hAnsi="黑体"/>
          <w:bCs/>
          <w:sz w:val="28"/>
          <w:szCs w:val="28"/>
        </w:rPr>
        <w:t>第三部分部门决算情况说明</w:t>
      </w:r>
    </w:p>
    <w:p>
      <w:pPr>
        <w:pStyle w:val="16"/>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pPr>
        <w:spacing w:line="500" w:lineRule="exact"/>
        <w:ind w:firstLine="700" w:firstLineChars="25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八、政府性基金预算收入支出决算情况</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九、关于机关运行经费支出说明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十、一般性支出情况说明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十一、关于政府采购支出说明</w:t>
      </w:r>
    </w:p>
    <w:p>
      <w:pPr>
        <w:pStyle w:val="16"/>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十二、关于国有资产占用情况说明</w:t>
      </w:r>
    </w:p>
    <w:p>
      <w:pPr>
        <w:pStyle w:val="16"/>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十三、关于预算绩效情况的说明</w:t>
      </w:r>
    </w:p>
    <w:p>
      <w:pPr>
        <w:pStyle w:val="16"/>
        <w:spacing w:line="500" w:lineRule="exact"/>
        <w:rPr>
          <w:rFonts w:hAnsi="黑体"/>
          <w:bCs/>
          <w:sz w:val="28"/>
          <w:szCs w:val="28"/>
        </w:rPr>
      </w:pPr>
      <w:r>
        <w:rPr>
          <w:rFonts w:hint="eastAsia" w:hAnsi="黑体"/>
          <w:bCs/>
          <w:sz w:val="28"/>
          <w:szCs w:val="28"/>
        </w:rPr>
        <w:t>第四部分名词解释</w:t>
      </w:r>
    </w:p>
    <w:p>
      <w:pPr>
        <w:jc w:val="center"/>
        <w:rPr>
          <w:sz w:val="72"/>
          <w:szCs w:val="72"/>
        </w:rPr>
      </w:pPr>
    </w:p>
    <w:p>
      <w:pPr>
        <w:jc w:val="center"/>
        <w:rPr>
          <w:sz w:val="72"/>
          <w:szCs w:val="72"/>
        </w:rPr>
      </w:pPr>
    </w:p>
    <w:p>
      <w:pPr>
        <w:jc w:val="center"/>
        <w:rPr>
          <w:sz w:val="72"/>
          <w:szCs w:val="72"/>
        </w:rPr>
      </w:pPr>
    </w:p>
    <w:p>
      <w:pPr>
        <w:rPr>
          <w:rFonts w:ascii="方正小标宋_GBK" w:hAnsi="方正小标宋_GBK" w:eastAsia="方正小标宋_GBK" w:cs="方正小标宋_GBK"/>
          <w:sz w:val="72"/>
          <w:szCs w:val="72"/>
        </w:rPr>
      </w:pPr>
    </w:p>
    <w:p>
      <w:pPr>
        <w:pStyle w:val="16"/>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pPr>
        <w:pStyle w:val="16"/>
        <w:jc w:val="center"/>
        <w:rPr>
          <w:rFonts w:ascii="方正小标宋_GBK" w:hAnsi="方正小标宋_GBK" w:eastAsia="方正小标宋_GBK" w:cs="方正小标宋_GBK"/>
          <w:sz w:val="84"/>
          <w:szCs w:val="84"/>
        </w:rPr>
      </w:pPr>
    </w:p>
    <w:p>
      <w:pPr>
        <w:pStyle w:val="16"/>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湖南省棉花科学研究所</w:t>
      </w:r>
    </w:p>
    <w:p>
      <w:pPr>
        <w:pStyle w:val="16"/>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单位概况</w:t>
      </w:r>
    </w:p>
    <w:p>
      <w:pPr>
        <w:jc w:val="center"/>
        <w:rPr>
          <w:rFonts w:ascii="方正小标宋_GBK" w:hAnsi="方正小标宋_GBK" w:eastAsia="方正小标宋_GBK" w:cs="方正小标宋_GBK"/>
          <w:sz w:val="72"/>
          <w:szCs w:val="72"/>
        </w:rPr>
      </w:pPr>
    </w:p>
    <w:p>
      <w:pPr>
        <w:jc w:val="center"/>
        <w:rPr>
          <w:rFonts w:ascii="方正小标宋_GBK" w:hAnsi="方正小标宋_GBK" w:eastAsia="方正小标宋_GBK" w:cs="方正小标宋_GBK"/>
          <w:sz w:val="72"/>
          <w:szCs w:val="72"/>
        </w:rPr>
      </w:pPr>
    </w:p>
    <w:p>
      <w:pPr>
        <w:jc w:val="center"/>
        <w:rPr>
          <w:sz w:val="72"/>
          <w:szCs w:val="72"/>
        </w:rPr>
      </w:pPr>
    </w:p>
    <w:p>
      <w:pPr>
        <w:jc w:val="center"/>
        <w:rPr>
          <w:sz w:val="72"/>
          <w:szCs w:val="72"/>
        </w:rPr>
      </w:pPr>
    </w:p>
    <w:p>
      <w:pPr>
        <w:jc w:val="center"/>
        <w:rPr>
          <w:sz w:val="72"/>
          <w:szCs w:val="72"/>
        </w:rPr>
      </w:pPr>
    </w:p>
    <w:p>
      <w:pPr>
        <w:ind w:firstLine="640" w:firstLineChars="200"/>
        <w:jc w:val="left"/>
        <w:rPr>
          <w:rFonts w:ascii="黑体" w:hAnsi="黑体" w:eastAsia="黑体" w:cs="黑体"/>
          <w:sz w:val="32"/>
          <w:szCs w:val="32"/>
        </w:rPr>
      </w:pPr>
      <w:r>
        <w:rPr>
          <w:rFonts w:hint="eastAsia" w:ascii="黑体" w:hAnsi="黑体" w:eastAsia="黑体" w:cs="黑体"/>
          <w:sz w:val="32"/>
          <w:szCs w:val="32"/>
        </w:rPr>
        <w:t>一、部门职责</w:t>
      </w:r>
    </w:p>
    <w:p>
      <w:pPr>
        <w:widowControl/>
        <w:spacing w:line="600" w:lineRule="exact"/>
        <w:ind w:firstLine="640" w:firstLineChars="200"/>
        <w:rPr>
          <w:rFonts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湖南省棉花科学研究所是湖南省农业农村厅直属非营利性社会公益类科研事业单位，为正处级。</w:t>
      </w:r>
    </w:p>
    <w:p>
      <w:pPr>
        <w:widowControl/>
        <w:spacing w:line="600" w:lineRule="exact"/>
        <w:ind w:firstLine="640" w:firstLineChars="200"/>
        <w:rPr>
          <w:rFonts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主要职责：从事棉花、油菜、中药材、甘薯、紫苏、花生、玉米、油葵等作物遗传育种、耕作栽培、病虫害防治、副产品综合利用等技术研究与成果推广。</w:t>
      </w:r>
    </w:p>
    <w:p>
      <w:pPr>
        <w:widowControl/>
        <w:spacing w:line="600" w:lineRule="exact"/>
        <w:ind w:firstLine="640" w:firstLineChars="200"/>
        <w:rPr>
          <w:rFonts w:ascii="黑体" w:hAnsi="黑体" w:eastAsia="黑体" w:cs="黑体"/>
          <w:bCs/>
          <w:kern w:val="0"/>
          <w:sz w:val="32"/>
          <w:szCs w:val="32"/>
        </w:rPr>
      </w:pPr>
      <w:r>
        <w:rPr>
          <w:rFonts w:hint="eastAsia" w:ascii="黑体" w:hAnsi="黑体" w:eastAsia="黑体" w:cs="黑体"/>
          <w:bCs/>
          <w:kern w:val="0"/>
          <w:sz w:val="32"/>
          <w:szCs w:val="32"/>
        </w:rPr>
        <w:t>二、机构设置及决算单位构成</w:t>
      </w:r>
    </w:p>
    <w:p>
      <w:pPr>
        <w:widowControl/>
        <w:spacing w:line="600" w:lineRule="exact"/>
        <w:ind w:firstLine="640" w:firstLineChars="200"/>
        <w:rPr>
          <w:rFonts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一）内设机构设置。湖南棉花科学研究所内设机构包括：办公室、政工人事科、计划财务科、监察审计室、科研管理科、科研服务中心、长沙棉花创新中心、工会（老干办）、棉花研究室、栽培植保室、旱地作物研究室等11个所属科室。棉花研究室下设棉花优质育种组、棉花抗逆育种组、棉花早熟育种组等3个研究课题组；栽培植保室下设栽培课题组、植保课题组等2个研究课题组；旱地作物研究室下设旱粮课题组、油料课题组、中药材课题组等3个研究课题组。</w:t>
      </w:r>
    </w:p>
    <w:p>
      <w:pPr>
        <w:widowControl/>
        <w:spacing w:line="600" w:lineRule="exact"/>
        <w:ind w:firstLine="640" w:firstLineChars="200"/>
        <w:rPr>
          <w:rFonts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（二）决算单位构成。湖南棉花科学研究所2022年部门决算汇总公开单位构成包括：湖南棉花科学研究所本级。</w:t>
      </w:r>
    </w:p>
    <w:p>
      <w:pPr>
        <w:widowControl/>
        <w:spacing w:line="600" w:lineRule="exact"/>
        <w:ind w:firstLine="640" w:firstLineChars="200"/>
        <w:rPr>
          <w:rFonts w:ascii="Times New Roman" w:hAnsi="Times New Roman" w:eastAsia="仿宋_GB2312" w:cs="仿宋_GB2312"/>
          <w:bCs/>
          <w:kern w:val="0"/>
          <w:sz w:val="32"/>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pStyle w:val="16"/>
        <w:jc w:val="center"/>
        <w:rPr>
          <w:rFonts w:ascii="方正小标宋_GBK" w:hAnsi="方正小标宋_GBK" w:eastAsia="方正小标宋_GBK" w:cs="方正小标宋_GBK"/>
          <w:sz w:val="84"/>
          <w:szCs w:val="84"/>
        </w:rPr>
      </w:pPr>
    </w:p>
    <w:p>
      <w:pPr>
        <w:pStyle w:val="16"/>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pPr>
        <w:pStyle w:val="16"/>
        <w:jc w:val="center"/>
        <w:rPr>
          <w:rFonts w:ascii="方正小标宋_GBK" w:hAnsi="方正小标宋_GBK" w:eastAsia="方正小标宋_GBK" w:cs="方正小标宋_GBK"/>
          <w:sz w:val="84"/>
          <w:szCs w:val="84"/>
        </w:rPr>
      </w:pPr>
    </w:p>
    <w:p>
      <w:pPr>
        <w:pStyle w:val="16"/>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widowControl/>
        <w:jc w:val="center"/>
        <w:rPr>
          <w:rFonts w:ascii="Times New Roman" w:hAnsi="Times New Roman" w:eastAsia="黑体" w:cs="Times New Roman"/>
          <w:bCs/>
          <w:kern w:val="0"/>
          <w:sz w:val="32"/>
          <w:szCs w:val="32"/>
        </w:rPr>
      </w:pPr>
      <w:r>
        <w:drawing>
          <wp:inline distT="0" distB="0" distL="114300" distR="114300">
            <wp:extent cx="8630285" cy="6645910"/>
            <wp:effectExtent l="0" t="0" r="5715" b="889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4"/>
                    <a:stretch>
                      <a:fillRect/>
                    </a:stretch>
                  </pic:blipFill>
                  <pic:spPr>
                    <a:xfrm>
                      <a:off x="0" y="0"/>
                      <a:ext cx="8630285" cy="6645910"/>
                    </a:xfrm>
                    <a:prstGeom prst="rect">
                      <a:avLst/>
                    </a:prstGeom>
                    <a:noFill/>
                    <a:ln>
                      <a:noFill/>
                    </a:ln>
                  </pic:spPr>
                </pic:pic>
              </a:graphicData>
            </a:graphic>
          </wp:inline>
        </w:drawing>
      </w:r>
      <w:r>
        <w:br w:type="page"/>
      </w:r>
    </w:p>
    <w:p>
      <w:pPr>
        <w:widowControl/>
        <w:jc w:val="center"/>
        <w:rPr>
          <w:rFonts w:ascii="Times New Roman" w:hAnsi="Times New Roman" w:eastAsia="方正小标宋_GBK" w:cs="Times New Roman"/>
          <w:color w:val="000000"/>
          <w:kern w:val="0"/>
          <w:sz w:val="36"/>
          <w:szCs w:val="36"/>
        </w:rPr>
      </w:pPr>
      <w:r>
        <w:drawing>
          <wp:inline distT="0" distB="0" distL="114300" distR="114300">
            <wp:extent cx="8515350" cy="6468110"/>
            <wp:effectExtent l="0" t="0" r="6350" b="8890"/>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5"/>
                    <a:stretch>
                      <a:fillRect/>
                    </a:stretch>
                  </pic:blipFill>
                  <pic:spPr>
                    <a:xfrm>
                      <a:off x="0" y="0"/>
                      <a:ext cx="8515350" cy="6468110"/>
                    </a:xfrm>
                    <a:prstGeom prst="rect">
                      <a:avLst/>
                    </a:prstGeom>
                    <a:noFill/>
                    <a:ln>
                      <a:noFill/>
                    </a:ln>
                  </pic:spPr>
                </pic:pic>
              </a:graphicData>
            </a:graphic>
          </wp:inline>
        </w:drawing>
      </w:r>
      <w:r>
        <w:rPr>
          <w:rFonts w:ascii="Times New Roman" w:hAnsi="Times New Roman" w:eastAsia="方正小标宋_GBK" w:cs="Times New Roman"/>
          <w:color w:val="000000"/>
          <w:kern w:val="0"/>
          <w:sz w:val="36"/>
          <w:szCs w:val="36"/>
        </w:rPr>
        <w:br w:type="page"/>
      </w:r>
    </w:p>
    <w:p>
      <w:pPr>
        <w:widowControl/>
        <w:jc w:val="center"/>
        <w:rPr>
          <w:rFonts w:ascii="Times New Roman" w:hAnsi="Times New Roman" w:eastAsia="方正小标宋_GBK" w:cs="Times New Roman"/>
          <w:color w:val="000000"/>
          <w:kern w:val="0"/>
          <w:sz w:val="36"/>
          <w:szCs w:val="36"/>
        </w:rPr>
      </w:pPr>
    </w:p>
    <w:p>
      <w:pPr>
        <w:widowControl/>
        <w:jc w:val="center"/>
        <w:rPr>
          <w:rFonts w:ascii="Times New Roman" w:hAnsi="Times New Roman" w:eastAsia="方正小标宋_GBK" w:cs="Times New Roman"/>
          <w:color w:val="000000"/>
          <w:kern w:val="0"/>
          <w:sz w:val="36"/>
          <w:szCs w:val="36"/>
        </w:rPr>
      </w:pPr>
      <w:r>
        <w:drawing>
          <wp:inline distT="0" distB="0" distL="114300" distR="114300">
            <wp:extent cx="7261225" cy="5450840"/>
            <wp:effectExtent l="0" t="0" r="3175" b="10160"/>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6"/>
                    <a:stretch>
                      <a:fillRect/>
                    </a:stretch>
                  </pic:blipFill>
                  <pic:spPr>
                    <a:xfrm>
                      <a:off x="0" y="0"/>
                      <a:ext cx="7261225" cy="5450840"/>
                    </a:xfrm>
                    <a:prstGeom prst="rect">
                      <a:avLst/>
                    </a:prstGeom>
                    <a:noFill/>
                    <a:ln>
                      <a:noFill/>
                    </a:ln>
                  </pic:spPr>
                </pic:pic>
              </a:graphicData>
            </a:graphic>
          </wp:inline>
        </w:drawing>
      </w:r>
    </w:p>
    <w:p>
      <w:pPr>
        <w:widowControl/>
        <w:ind w:left="840" w:hanging="840" w:hangingChars="400"/>
        <w:rPr>
          <w:rFonts w:ascii="Times New Roman" w:hAnsi="Times New Roman" w:eastAsia="方正小标宋_GBK" w:cs="Times New Roman"/>
          <w:color w:val="000000"/>
          <w:kern w:val="0"/>
          <w:sz w:val="36"/>
          <w:szCs w:val="36"/>
        </w:rPr>
      </w:pPr>
      <w:r>
        <w:drawing>
          <wp:inline distT="0" distB="0" distL="114300" distR="114300">
            <wp:extent cx="8980805" cy="6086475"/>
            <wp:effectExtent l="0" t="0" r="10795" b="9525"/>
            <wp:docPr id="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pic:cNvPicPr>
                      <a:picLocks noChangeAspect="1"/>
                    </pic:cNvPicPr>
                  </pic:nvPicPr>
                  <pic:blipFill>
                    <a:blip r:embed="rId7"/>
                    <a:stretch>
                      <a:fillRect/>
                    </a:stretch>
                  </pic:blipFill>
                  <pic:spPr>
                    <a:xfrm>
                      <a:off x="0" y="0"/>
                      <a:ext cx="8980805" cy="6086475"/>
                    </a:xfrm>
                    <a:prstGeom prst="rect">
                      <a:avLst/>
                    </a:prstGeom>
                    <a:noFill/>
                    <a:ln>
                      <a:noFill/>
                    </a:ln>
                  </pic:spPr>
                </pic:pic>
              </a:graphicData>
            </a:graphic>
          </wp:inline>
        </w:drawing>
      </w:r>
    </w:p>
    <w:p>
      <w:pPr>
        <w:widowControl/>
        <w:rPr>
          <w:rFonts w:ascii="Times New Roman" w:hAnsi="Times New Roman" w:eastAsia="方正小标宋_GBK" w:cs="Times New Roman"/>
          <w:color w:val="000000"/>
          <w:kern w:val="0"/>
          <w:sz w:val="36"/>
          <w:szCs w:val="36"/>
        </w:rPr>
      </w:pPr>
      <w:r>
        <w:drawing>
          <wp:inline distT="0" distB="0" distL="114300" distR="114300">
            <wp:extent cx="8695055" cy="6633210"/>
            <wp:effectExtent l="0" t="0" r="4445" b="8890"/>
            <wp:docPr id="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pic:cNvPicPr>
                      <a:picLocks noChangeAspect="1"/>
                    </pic:cNvPicPr>
                  </pic:nvPicPr>
                  <pic:blipFill>
                    <a:blip r:embed="rId8"/>
                    <a:stretch>
                      <a:fillRect/>
                    </a:stretch>
                  </pic:blipFill>
                  <pic:spPr>
                    <a:xfrm>
                      <a:off x="0" y="0"/>
                      <a:ext cx="8695055" cy="6633210"/>
                    </a:xfrm>
                    <a:prstGeom prst="rect">
                      <a:avLst/>
                    </a:prstGeom>
                    <a:noFill/>
                    <a:ln>
                      <a:noFill/>
                    </a:ln>
                  </pic:spPr>
                </pic:pic>
              </a:graphicData>
            </a:graphic>
          </wp:inline>
        </w:drawing>
      </w:r>
    </w:p>
    <w:p>
      <w:pPr>
        <w:widowControl/>
        <w:jc w:val="center"/>
        <w:rPr>
          <w:rFonts w:ascii="Times New Roman" w:hAnsi="Times New Roman" w:eastAsia="方正小标宋_GBK" w:cs="Times New Roman"/>
          <w:color w:val="000000"/>
          <w:kern w:val="0"/>
          <w:sz w:val="36"/>
          <w:szCs w:val="36"/>
        </w:rPr>
      </w:pPr>
      <w:r>
        <w:drawing>
          <wp:inline distT="0" distB="0" distL="114300" distR="114300">
            <wp:extent cx="9767570" cy="5611495"/>
            <wp:effectExtent l="0" t="0" r="11430" b="1905"/>
            <wp:docPr id="9"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pic:cNvPicPr>
                      <a:picLocks noChangeAspect="1"/>
                    </pic:cNvPicPr>
                  </pic:nvPicPr>
                  <pic:blipFill>
                    <a:blip r:embed="rId9"/>
                    <a:stretch>
                      <a:fillRect/>
                    </a:stretch>
                  </pic:blipFill>
                  <pic:spPr>
                    <a:xfrm>
                      <a:off x="0" y="0"/>
                      <a:ext cx="9767570" cy="5611495"/>
                    </a:xfrm>
                    <a:prstGeom prst="rect">
                      <a:avLst/>
                    </a:prstGeom>
                    <a:noFill/>
                    <a:ln>
                      <a:noFill/>
                    </a:ln>
                  </pic:spPr>
                </pic:pic>
              </a:graphicData>
            </a:graphic>
          </wp:inline>
        </w:drawing>
      </w:r>
    </w:p>
    <w:p>
      <w:pPr>
        <w:widowControl/>
        <w:jc w:val="left"/>
        <w:rPr>
          <w:rFonts w:ascii="Times New Roman" w:hAnsi="Times New Roman" w:eastAsia="方正小标宋_GBK" w:cs="Times New Roman"/>
          <w:color w:val="000000"/>
          <w:kern w:val="0"/>
          <w:sz w:val="36"/>
          <w:szCs w:val="36"/>
        </w:rPr>
      </w:pPr>
      <w:r>
        <w:rPr>
          <w:rFonts w:ascii="Times New Roman" w:hAnsi="Times New Roman" w:eastAsia="方正小标宋_GBK" w:cs="Times New Roman"/>
          <w:color w:val="000000"/>
          <w:kern w:val="0"/>
          <w:sz w:val="36"/>
          <w:szCs w:val="36"/>
        </w:rPr>
        <w:br w:type="page"/>
      </w:r>
    </w:p>
    <w:p>
      <w:pPr>
        <w:widowControl/>
        <w:jc w:val="left"/>
        <w:rPr>
          <w:rFonts w:ascii="宋体" w:eastAsia="宋体" w:cs="宋体"/>
          <w:kern w:val="0"/>
          <w:sz w:val="24"/>
          <w:szCs w:val="24"/>
        </w:rPr>
      </w:pPr>
    </w:p>
    <w:tbl>
      <w:tblPr>
        <w:tblStyle w:val="9"/>
        <w:tblW w:w="15360" w:type="dxa"/>
        <w:tblInd w:w="0" w:type="dxa"/>
        <w:tblLayout w:type="fixed"/>
        <w:tblCellMar>
          <w:top w:w="0" w:type="dxa"/>
          <w:left w:w="108" w:type="dxa"/>
          <w:bottom w:w="0" w:type="dxa"/>
          <w:right w:w="108" w:type="dxa"/>
        </w:tblCellMar>
      </w:tblPr>
      <w:tblGrid>
        <w:gridCol w:w="1003"/>
        <w:gridCol w:w="240"/>
        <w:gridCol w:w="1402"/>
        <w:gridCol w:w="2119"/>
        <w:gridCol w:w="2119"/>
        <w:gridCol w:w="2119"/>
        <w:gridCol w:w="2119"/>
        <w:gridCol w:w="2119"/>
        <w:gridCol w:w="2120"/>
      </w:tblGrid>
      <w:tr>
        <w:tblPrEx>
          <w:tblLayout w:type="fixed"/>
          <w:tblCellMar>
            <w:top w:w="0" w:type="dxa"/>
            <w:left w:w="108" w:type="dxa"/>
            <w:bottom w:w="0" w:type="dxa"/>
            <w:right w:w="108" w:type="dxa"/>
          </w:tblCellMar>
        </w:tblPrEx>
        <w:trPr>
          <w:trHeight w:val="690" w:hRule="atLeast"/>
        </w:trPr>
        <w:tc>
          <w:tcPr>
            <w:tcW w:w="15360" w:type="dxa"/>
            <w:gridSpan w:val="9"/>
            <w:tcBorders>
              <w:top w:val="nil"/>
              <w:left w:val="nil"/>
              <w:bottom w:val="nil"/>
              <w:right w:val="nil"/>
            </w:tcBorders>
            <w:shd w:val="clear" w:color="auto" w:fill="FFFFFF"/>
            <w:vAlign w:val="center"/>
          </w:tcPr>
          <w:p>
            <w:pPr>
              <w:widowControl/>
              <w:jc w:val="center"/>
              <w:textAlignment w:val="center"/>
              <w:rPr>
                <w:rFonts w:ascii="华文中宋" w:hAnsi="华文中宋" w:eastAsia="华文中宋" w:cs="华文中宋"/>
                <w:color w:val="000000"/>
                <w:kern w:val="0"/>
                <w:sz w:val="32"/>
                <w:szCs w:val="32"/>
              </w:rPr>
            </w:pPr>
          </w:p>
          <w:p>
            <w:pPr>
              <w:widowControl/>
              <w:jc w:val="center"/>
              <w:textAlignment w:val="center"/>
              <w:rPr>
                <w:rFonts w:ascii="华文中宋" w:hAnsi="华文中宋" w:eastAsia="华文中宋" w:cs="华文中宋"/>
                <w:color w:val="000000"/>
                <w:sz w:val="32"/>
                <w:szCs w:val="32"/>
              </w:rPr>
            </w:pPr>
            <w:r>
              <w:rPr>
                <w:rFonts w:hint="eastAsia" w:ascii="华文中宋" w:hAnsi="华文中宋" w:eastAsia="华文中宋" w:cs="华文中宋"/>
                <w:color w:val="000000"/>
                <w:kern w:val="0"/>
                <w:sz w:val="32"/>
                <w:szCs w:val="32"/>
              </w:rPr>
              <w:t>政府性基金预算财政拨款收入支出决算表</w:t>
            </w:r>
          </w:p>
        </w:tc>
      </w:tr>
      <w:tr>
        <w:tblPrEx>
          <w:tblLayout w:type="fixed"/>
          <w:tblCellMar>
            <w:top w:w="0" w:type="dxa"/>
            <w:left w:w="108" w:type="dxa"/>
            <w:bottom w:w="0" w:type="dxa"/>
            <w:right w:w="108" w:type="dxa"/>
          </w:tblCellMar>
        </w:tblPrEx>
        <w:trPr>
          <w:trHeight w:val="345" w:hRule="atLeast"/>
        </w:trPr>
        <w:tc>
          <w:tcPr>
            <w:tcW w:w="1003" w:type="dxa"/>
            <w:tcBorders>
              <w:top w:val="nil"/>
              <w:left w:val="nil"/>
              <w:bottom w:val="nil"/>
              <w:right w:val="nil"/>
            </w:tcBorders>
            <w:shd w:val="clear" w:color="auto" w:fill="FFFFFF"/>
            <w:vAlign w:val="center"/>
          </w:tcPr>
          <w:p>
            <w:pPr>
              <w:jc w:val="center"/>
              <w:rPr>
                <w:rFonts w:ascii="宋体" w:hAnsi="宋体" w:eastAsia="宋体" w:cs="宋体"/>
                <w:color w:val="000000"/>
                <w:sz w:val="20"/>
                <w:szCs w:val="20"/>
              </w:rPr>
            </w:pPr>
          </w:p>
        </w:tc>
        <w:tc>
          <w:tcPr>
            <w:tcW w:w="240" w:type="dxa"/>
            <w:tcBorders>
              <w:top w:val="nil"/>
              <w:left w:val="nil"/>
              <w:bottom w:val="nil"/>
              <w:right w:val="nil"/>
            </w:tcBorders>
            <w:shd w:val="clear" w:color="auto" w:fill="FFFFFF"/>
            <w:vAlign w:val="center"/>
          </w:tcPr>
          <w:p>
            <w:pPr>
              <w:jc w:val="center"/>
              <w:rPr>
                <w:rFonts w:ascii="宋体" w:hAnsi="宋体" w:eastAsia="宋体" w:cs="宋体"/>
                <w:color w:val="000000"/>
                <w:sz w:val="20"/>
                <w:szCs w:val="20"/>
              </w:rPr>
            </w:pPr>
          </w:p>
        </w:tc>
        <w:tc>
          <w:tcPr>
            <w:tcW w:w="1402" w:type="dxa"/>
            <w:tcBorders>
              <w:top w:val="nil"/>
              <w:left w:val="nil"/>
              <w:bottom w:val="nil"/>
              <w:right w:val="nil"/>
            </w:tcBorders>
            <w:shd w:val="clear" w:color="auto" w:fill="FFFFFF"/>
            <w:vAlign w:val="center"/>
          </w:tcPr>
          <w:p>
            <w:pPr>
              <w:jc w:val="center"/>
              <w:rPr>
                <w:rFonts w:ascii="宋体" w:hAnsi="宋体" w:eastAsia="宋体" w:cs="宋体"/>
                <w:color w:val="000000"/>
                <w:sz w:val="20"/>
                <w:szCs w:val="20"/>
              </w:rPr>
            </w:pPr>
          </w:p>
        </w:tc>
        <w:tc>
          <w:tcPr>
            <w:tcW w:w="2119"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2119"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2119"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2119"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2119"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2120" w:type="dxa"/>
            <w:tcBorders>
              <w:top w:val="nil"/>
              <w:left w:val="nil"/>
              <w:bottom w:val="nil"/>
              <w:right w:val="nil"/>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公开07表</w:t>
            </w:r>
          </w:p>
        </w:tc>
      </w:tr>
      <w:tr>
        <w:tblPrEx>
          <w:tblLayout w:type="fixed"/>
          <w:tblCellMar>
            <w:top w:w="0" w:type="dxa"/>
            <w:left w:w="108" w:type="dxa"/>
            <w:bottom w:w="0" w:type="dxa"/>
            <w:right w:w="108" w:type="dxa"/>
          </w:tblCellMar>
        </w:tblPrEx>
        <w:trPr>
          <w:trHeight w:val="690" w:hRule="atLeast"/>
        </w:trPr>
        <w:tc>
          <w:tcPr>
            <w:tcW w:w="4764" w:type="dxa"/>
            <w:gridSpan w:val="4"/>
            <w:tcBorders>
              <w:top w:val="nil"/>
              <w:left w:val="nil"/>
              <w:bottom w:val="nil"/>
              <w:right w:val="nil"/>
            </w:tcBorders>
            <w:shd w:val="clear" w:color="auto" w:fill="FFFFFF"/>
            <w:noWrap/>
            <w:vAlign w:val="center"/>
          </w:tcPr>
          <w:p>
            <w:pPr>
              <w:rPr>
                <w:rFonts w:ascii="宋体" w:hAnsi="宋体" w:eastAsia="宋体" w:cs="宋体"/>
                <w:color w:val="000000"/>
                <w:sz w:val="20"/>
                <w:szCs w:val="20"/>
              </w:rPr>
            </w:pPr>
            <w:r>
              <w:rPr>
                <w:rFonts w:hint="eastAsia" w:ascii="宋体" w:hAnsi="宋体" w:eastAsia="宋体" w:cs="宋体"/>
                <w:color w:val="000000"/>
                <w:kern w:val="0"/>
                <w:sz w:val="20"/>
                <w:szCs w:val="20"/>
              </w:rPr>
              <w:t>部门：湖南省棉花科学研究所</w:t>
            </w:r>
          </w:p>
        </w:tc>
        <w:tc>
          <w:tcPr>
            <w:tcW w:w="2119"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2119"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2119"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2119"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2120" w:type="dxa"/>
            <w:tcBorders>
              <w:top w:val="nil"/>
              <w:left w:val="nil"/>
              <w:bottom w:val="nil"/>
              <w:right w:val="nil"/>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459" w:hRule="atLeast"/>
        </w:trPr>
        <w:tc>
          <w:tcPr>
            <w:tcW w:w="26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 xml:space="preserve">项 </w:t>
            </w:r>
            <w:r>
              <w:rPr>
                <w:rStyle w:val="20"/>
                <w:rFonts w:hint="default"/>
              </w:rPr>
              <w:t>目</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年初结转和结余</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本年收入</w:t>
            </w:r>
          </w:p>
        </w:tc>
        <w:tc>
          <w:tcPr>
            <w:tcW w:w="63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本年支出</w:t>
            </w:r>
          </w:p>
        </w:tc>
        <w:tc>
          <w:tcPr>
            <w:tcW w:w="21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年末结转和结余</w:t>
            </w:r>
          </w:p>
        </w:tc>
      </w:tr>
      <w:tr>
        <w:tblPrEx>
          <w:tblLayout w:type="fixed"/>
          <w:tblCellMar>
            <w:top w:w="0" w:type="dxa"/>
            <w:left w:w="108" w:type="dxa"/>
            <w:bottom w:w="0" w:type="dxa"/>
            <w:right w:w="108" w:type="dxa"/>
          </w:tblCellMar>
        </w:tblPrEx>
        <w:trPr>
          <w:trHeight w:val="609" w:hRule="atLeast"/>
        </w:trPr>
        <w:tc>
          <w:tcPr>
            <w:tcW w:w="124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科目代码</w:t>
            </w:r>
          </w:p>
        </w:tc>
        <w:tc>
          <w:tcPr>
            <w:tcW w:w="14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科目名称</w:t>
            </w: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小计</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 xml:space="preserve">基本支出  </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项目支出</w:t>
            </w:r>
          </w:p>
        </w:tc>
        <w:tc>
          <w:tcPr>
            <w:tcW w:w="21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409" w:hRule="atLeast"/>
        </w:trPr>
        <w:tc>
          <w:tcPr>
            <w:tcW w:w="12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4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09" w:hRule="atLeast"/>
        </w:trPr>
        <w:tc>
          <w:tcPr>
            <w:tcW w:w="12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4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09" w:hRule="atLeast"/>
        </w:trPr>
        <w:tc>
          <w:tcPr>
            <w:tcW w:w="26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栏次</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2</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3</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4</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5</w:t>
            </w: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6</w:t>
            </w:r>
          </w:p>
        </w:tc>
      </w:tr>
      <w:tr>
        <w:tblPrEx>
          <w:tblLayout w:type="fixed"/>
          <w:tblCellMar>
            <w:top w:w="0" w:type="dxa"/>
            <w:left w:w="108" w:type="dxa"/>
            <w:bottom w:w="0" w:type="dxa"/>
            <w:right w:w="108" w:type="dxa"/>
          </w:tblCellMar>
        </w:tblPrEx>
        <w:trPr>
          <w:trHeight w:val="509" w:hRule="atLeast"/>
        </w:trPr>
        <w:tc>
          <w:tcPr>
            <w:tcW w:w="26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合计</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725" w:hRule="atLeast"/>
        </w:trPr>
        <w:tc>
          <w:tcPr>
            <w:tcW w:w="15360" w:type="dxa"/>
            <w:gridSpan w:val="9"/>
            <w:tcBorders>
              <w:top w:val="nil"/>
              <w:left w:val="nil"/>
              <w:bottom w:val="nil"/>
              <w:right w:val="nil"/>
            </w:tcBorders>
            <w:shd w:val="clear" w:color="auto" w:fill="auto"/>
            <w:vAlign w:val="center"/>
          </w:tcPr>
          <w:p>
            <w:pPr>
              <w:widowControl/>
              <w:jc w:val="left"/>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注：本表反映部门本年度政府性基金预算财政拨款收入、支出及结转和结余情况。</w:t>
            </w:r>
          </w:p>
          <w:p>
            <w:pPr>
              <w:widowControl/>
              <w:jc w:val="left"/>
              <w:textAlignment w:val="center"/>
              <w:rPr>
                <w:rFonts w:ascii="宋体" w:hAnsi="宋体" w:eastAsia="宋体" w:cs="宋体"/>
                <w:color w:val="000000"/>
                <w:kern w:val="0"/>
                <w:sz w:val="24"/>
                <w:szCs w:val="24"/>
              </w:rPr>
            </w:pPr>
          </w:p>
          <w:p>
            <w:pPr>
              <w:widowControl/>
              <w:jc w:val="left"/>
              <w:textAlignment w:val="center"/>
              <w:rPr>
                <w:rFonts w:ascii="宋体" w:hAnsi="宋体" w:eastAsia="宋体" w:cs="宋体"/>
                <w:color w:val="000000"/>
                <w:kern w:val="0"/>
                <w:sz w:val="24"/>
                <w:szCs w:val="24"/>
              </w:rPr>
            </w:pPr>
            <w:r>
              <w:rPr>
                <w:rFonts w:hint="eastAsia" w:ascii="楷体" w:hAnsi="楷体" w:eastAsia="楷体" w:cs="楷体"/>
                <w:b/>
                <w:bCs/>
                <w:kern w:val="0"/>
                <w:sz w:val="24"/>
                <w:szCs w:val="24"/>
              </w:rPr>
              <w:t>说明：我单位没有政府性基金收入，也没有使用政府性基金安排的支出，故本表无数据。</w:t>
            </w:r>
          </w:p>
        </w:tc>
      </w:tr>
    </w:tbl>
    <w:p>
      <w:pPr>
        <w:widowControl/>
        <w:jc w:val="center"/>
        <w:rPr>
          <w:rFonts w:ascii="Times New Roman" w:hAnsi="Times New Roman" w:eastAsia="方正小标宋_GBK" w:cs="Times New Roman"/>
          <w:color w:val="000000"/>
          <w:kern w:val="0"/>
          <w:sz w:val="36"/>
          <w:szCs w:val="36"/>
        </w:rPr>
      </w:pPr>
    </w:p>
    <w:p>
      <w:pPr>
        <w:widowControl/>
        <w:jc w:val="center"/>
        <w:rPr>
          <w:rFonts w:ascii="Times New Roman" w:hAnsi="Times New Roman" w:eastAsia="方正小标宋_GBK" w:cs="Times New Roman"/>
          <w:color w:val="000000"/>
          <w:kern w:val="0"/>
          <w:sz w:val="36"/>
          <w:szCs w:val="36"/>
        </w:rPr>
      </w:pPr>
    </w:p>
    <w:tbl>
      <w:tblPr>
        <w:tblStyle w:val="9"/>
        <w:tblW w:w="15140" w:type="dxa"/>
        <w:tblInd w:w="93" w:type="dxa"/>
        <w:tblLayout w:type="fixed"/>
        <w:tblCellMar>
          <w:top w:w="0" w:type="dxa"/>
          <w:left w:w="108" w:type="dxa"/>
          <w:bottom w:w="0" w:type="dxa"/>
          <w:right w:w="108" w:type="dxa"/>
        </w:tblCellMar>
      </w:tblPr>
      <w:tblGrid>
        <w:gridCol w:w="1260"/>
        <w:gridCol w:w="66"/>
        <w:gridCol w:w="701"/>
        <w:gridCol w:w="494"/>
        <w:gridCol w:w="1261"/>
        <w:gridCol w:w="537"/>
        <w:gridCol w:w="724"/>
        <w:gridCol w:w="1261"/>
        <w:gridCol w:w="1261"/>
        <w:gridCol w:w="69"/>
        <w:gridCol w:w="1192"/>
        <w:gridCol w:w="1261"/>
        <w:gridCol w:w="862"/>
        <w:gridCol w:w="399"/>
        <w:gridCol w:w="1261"/>
        <w:gridCol w:w="1261"/>
        <w:gridCol w:w="1250"/>
        <w:gridCol w:w="20"/>
      </w:tblGrid>
      <w:tr>
        <w:tblPrEx>
          <w:tblLayout w:type="fixed"/>
          <w:tblCellMar>
            <w:top w:w="0" w:type="dxa"/>
            <w:left w:w="108" w:type="dxa"/>
            <w:bottom w:w="0" w:type="dxa"/>
            <w:right w:w="108" w:type="dxa"/>
          </w:tblCellMar>
        </w:tblPrEx>
        <w:trPr>
          <w:gridAfter w:val="1"/>
          <w:wAfter w:w="20" w:type="dxa"/>
          <w:trHeight w:val="963" w:hRule="atLeast"/>
        </w:trPr>
        <w:tc>
          <w:tcPr>
            <w:tcW w:w="15120" w:type="dxa"/>
            <w:gridSpan w:val="17"/>
            <w:tcBorders>
              <w:top w:val="nil"/>
              <w:left w:val="nil"/>
              <w:bottom w:val="nil"/>
              <w:right w:val="nil"/>
            </w:tcBorders>
            <w:shd w:val="clear" w:color="auto" w:fill="FFFFFF"/>
            <w:vAlign w:val="center"/>
          </w:tcPr>
          <w:p>
            <w:pPr>
              <w:widowControl/>
              <w:jc w:val="center"/>
              <w:textAlignment w:val="center"/>
              <w:rPr>
                <w:rFonts w:ascii="华文中宋" w:hAnsi="华文中宋" w:eastAsia="华文中宋" w:cs="华文中宋"/>
                <w:color w:val="000000"/>
                <w:sz w:val="32"/>
                <w:szCs w:val="32"/>
              </w:rPr>
            </w:pPr>
            <w:r>
              <w:rPr>
                <w:rFonts w:hint="eastAsia" w:ascii="华文中宋" w:hAnsi="华文中宋" w:eastAsia="华文中宋" w:cs="华文中宋"/>
                <w:color w:val="000000"/>
                <w:kern w:val="0"/>
                <w:sz w:val="32"/>
                <w:szCs w:val="32"/>
              </w:rPr>
              <w:t>国有资本经营预算财政拨款支出决算表</w:t>
            </w:r>
          </w:p>
        </w:tc>
      </w:tr>
      <w:tr>
        <w:tblPrEx>
          <w:tblLayout w:type="fixed"/>
          <w:tblCellMar>
            <w:top w:w="0" w:type="dxa"/>
            <w:left w:w="108" w:type="dxa"/>
            <w:bottom w:w="0" w:type="dxa"/>
            <w:right w:w="108" w:type="dxa"/>
          </w:tblCellMar>
        </w:tblPrEx>
        <w:trPr>
          <w:gridAfter w:val="1"/>
          <w:wAfter w:w="20" w:type="dxa"/>
          <w:trHeight w:val="417" w:hRule="atLeast"/>
        </w:trPr>
        <w:tc>
          <w:tcPr>
            <w:tcW w:w="1326" w:type="dxa"/>
            <w:gridSpan w:val="2"/>
            <w:tcBorders>
              <w:top w:val="nil"/>
              <w:left w:val="nil"/>
              <w:bottom w:val="nil"/>
              <w:right w:val="nil"/>
            </w:tcBorders>
            <w:shd w:val="clear" w:color="auto" w:fill="FFFFFF"/>
            <w:vAlign w:val="center"/>
          </w:tcPr>
          <w:p>
            <w:pPr>
              <w:jc w:val="center"/>
              <w:rPr>
                <w:rFonts w:ascii="宋体" w:hAnsi="宋体" w:eastAsia="宋体" w:cs="宋体"/>
                <w:color w:val="000000"/>
                <w:sz w:val="20"/>
                <w:szCs w:val="20"/>
              </w:rPr>
            </w:pPr>
          </w:p>
        </w:tc>
        <w:tc>
          <w:tcPr>
            <w:tcW w:w="701" w:type="dxa"/>
            <w:tcBorders>
              <w:top w:val="nil"/>
              <w:left w:val="nil"/>
              <w:bottom w:val="nil"/>
              <w:right w:val="nil"/>
            </w:tcBorders>
            <w:shd w:val="clear" w:color="auto" w:fill="FFFFFF"/>
            <w:vAlign w:val="center"/>
          </w:tcPr>
          <w:p>
            <w:pPr>
              <w:jc w:val="center"/>
              <w:rPr>
                <w:rFonts w:ascii="宋体" w:hAnsi="宋体" w:eastAsia="宋体" w:cs="宋体"/>
                <w:color w:val="000000"/>
                <w:sz w:val="20"/>
                <w:szCs w:val="20"/>
              </w:rPr>
            </w:pPr>
          </w:p>
        </w:tc>
        <w:tc>
          <w:tcPr>
            <w:tcW w:w="2292" w:type="dxa"/>
            <w:gridSpan w:val="3"/>
            <w:tcBorders>
              <w:top w:val="nil"/>
              <w:left w:val="nil"/>
              <w:bottom w:val="nil"/>
              <w:right w:val="nil"/>
            </w:tcBorders>
            <w:shd w:val="clear" w:color="auto" w:fill="FFFFFF"/>
            <w:vAlign w:val="center"/>
          </w:tcPr>
          <w:p>
            <w:pPr>
              <w:jc w:val="center"/>
              <w:rPr>
                <w:rFonts w:ascii="宋体" w:hAnsi="宋体" w:eastAsia="宋体" w:cs="宋体"/>
                <w:color w:val="000000"/>
                <w:sz w:val="20"/>
                <w:szCs w:val="20"/>
              </w:rPr>
            </w:pPr>
          </w:p>
        </w:tc>
        <w:tc>
          <w:tcPr>
            <w:tcW w:w="3315" w:type="dxa"/>
            <w:gridSpan w:val="4"/>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3315" w:type="dxa"/>
            <w:gridSpan w:val="3"/>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4171" w:type="dxa"/>
            <w:gridSpan w:val="4"/>
            <w:tcBorders>
              <w:top w:val="nil"/>
              <w:left w:val="nil"/>
              <w:bottom w:val="nil"/>
              <w:right w:val="nil"/>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公开08表</w:t>
            </w:r>
          </w:p>
        </w:tc>
      </w:tr>
      <w:tr>
        <w:tblPrEx>
          <w:tblLayout w:type="fixed"/>
          <w:tblCellMar>
            <w:top w:w="0" w:type="dxa"/>
            <w:left w:w="108" w:type="dxa"/>
            <w:bottom w:w="0" w:type="dxa"/>
            <w:right w:w="108" w:type="dxa"/>
          </w:tblCellMar>
        </w:tblPrEx>
        <w:trPr>
          <w:gridAfter w:val="1"/>
          <w:wAfter w:w="20" w:type="dxa"/>
          <w:trHeight w:val="417" w:hRule="atLeast"/>
        </w:trPr>
        <w:tc>
          <w:tcPr>
            <w:tcW w:w="4319" w:type="dxa"/>
            <w:gridSpan w:val="6"/>
            <w:tcBorders>
              <w:top w:val="nil"/>
              <w:left w:val="nil"/>
              <w:bottom w:val="nil"/>
              <w:right w:val="nil"/>
            </w:tcBorders>
            <w:shd w:val="clear" w:color="auto" w:fill="FFFFFF"/>
            <w:noWrap/>
            <w:vAlign w:val="center"/>
          </w:tcPr>
          <w:p>
            <w:pPr>
              <w:jc w:val="left"/>
              <w:rPr>
                <w:rFonts w:ascii="宋体" w:hAnsi="宋体" w:eastAsia="宋体" w:cs="宋体"/>
                <w:color w:val="000000"/>
                <w:sz w:val="20"/>
                <w:szCs w:val="20"/>
              </w:rPr>
            </w:pPr>
            <w:r>
              <w:rPr>
                <w:rFonts w:hint="eastAsia" w:ascii="宋体" w:hAnsi="宋体" w:eastAsia="宋体" w:cs="宋体"/>
                <w:color w:val="000000"/>
                <w:kern w:val="0"/>
                <w:sz w:val="20"/>
                <w:szCs w:val="20"/>
              </w:rPr>
              <w:t>部门：湖南省棉花科学研究所</w:t>
            </w:r>
          </w:p>
        </w:tc>
        <w:tc>
          <w:tcPr>
            <w:tcW w:w="3315" w:type="dxa"/>
            <w:gridSpan w:val="4"/>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3315" w:type="dxa"/>
            <w:gridSpan w:val="3"/>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4171" w:type="dxa"/>
            <w:gridSpan w:val="4"/>
            <w:tcBorders>
              <w:top w:val="nil"/>
              <w:left w:val="nil"/>
              <w:bottom w:val="nil"/>
              <w:right w:val="nil"/>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gridAfter w:val="1"/>
          <w:wAfter w:w="20" w:type="dxa"/>
          <w:trHeight w:val="548" w:hRule="atLeast"/>
        </w:trPr>
        <w:tc>
          <w:tcPr>
            <w:tcW w:w="431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 xml:space="preserve">项 </w:t>
            </w:r>
            <w:r>
              <w:rPr>
                <w:rStyle w:val="21"/>
                <w:rFonts w:hint="default"/>
              </w:rPr>
              <w:t>目</w:t>
            </w:r>
          </w:p>
        </w:tc>
        <w:tc>
          <w:tcPr>
            <w:tcW w:w="10801"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本年支出</w:t>
            </w:r>
          </w:p>
        </w:tc>
      </w:tr>
      <w:tr>
        <w:tblPrEx>
          <w:tblLayout w:type="fixed"/>
          <w:tblCellMar>
            <w:top w:w="0" w:type="dxa"/>
            <w:left w:w="108" w:type="dxa"/>
            <w:bottom w:w="0" w:type="dxa"/>
            <w:right w:w="108" w:type="dxa"/>
          </w:tblCellMar>
        </w:tblPrEx>
        <w:trPr>
          <w:gridAfter w:val="1"/>
          <w:wAfter w:w="20" w:type="dxa"/>
          <w:trHeight w:val="548" w:hRule="atLeast"/>
        </w:trPr>
        <w:tc>
          <w:tcPr>
            <w:tcW w:w="202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科目代码</w:t>
            </w:r>
          </w:p>
        </w:tc>
        <w:tc>
          <w:tcPr>
            <w:tcW w:w="229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科目名称</w:t>
            </w:r>
          </w:p>
        </w:tc>
        <w:tc>
          <w:tcPr>
            <w:tcW w:w="3315"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合计</w:t>
            </w:r>
          </w:p>
        </w:tc>
        <w:tc>
          <w:tcPr>
            <w:tcW w:w="331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 xml:space="preserve">基本支出  </w:t>
            </w:r>
          </w:p>
        </w:tc>
        <w:tc>
          <w:tcPr>
            <w:tcW w:w="4171"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项目支出</w:t>
            </w:r>
          </w:p>
        </w:tc>
      </w:tr>
      <w:tr>
        <w:tblPrEx>
          <w:tblLayout w:type="fixed"/>
          <w:tblCellMar>
            <w:top w:w="0" w:type="dxa"/>
            <w:left w:w="108" w:type="dxa"/>
            <w:bottom w:w="0" w:type="dxa"/>
            <w:right w:w="108" w:type="dxa"/>
          </w:tblCellMar>
        </w:tblPrEx>
        <w:trPr>
          <w:gridAfter w:val="1"/>
          <w:wAfter w:w="20" w:type="dxa"/>
          <w:trHeight w:val="548" w:hRule="atLeast"/>
        </w:trPr>
        <w:tc>
          <w:tcPr>
            <w:tcW w:w="202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3315"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331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4171"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gridAfter w:val="1"/>
          <w:wAfter w:w="20" w:type="dxa"/>
          <w:trHeight w:val="548" w:hRule="atLeast"/>
        </w:trPr>
        <w:tc>
          <w:tcPr>
            <w:tcW w:w="202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3315"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331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4171"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gridAfter w:val="1"/>
          <w:wAfter w:w="20" w:type="dxa"/>
          <w:trHeight w:val="548" w:hRule="atLeast"/>
        </w:trPr>
        <w:tc>
          <w:tcPr>
            <w:tcW w:w="431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栏次</w:t>
            </w:r>
          </w:p>
        </w:tc>
        <w:tc>
          <w:tcPr>
            <w:tcW w:w="331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w:t>
            </w:r>
          </w:p>
        </w:tc>
        <w:tc>
          <w:tcPr>
            <w:tcW w:w="33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2</w:t>
            </w:r>
          </w:p>
        </w:tc>
        <w:tc>
          <w:tcPr>
            <w:tcW w:w="417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3</w:t>
            </w:r>
          </w:p>
        </w:tc>
      </w:tr>
      <w:tr>
        <w:tblPrEx>
          <w:tblLayout w:type="fixed"/>
          <w:tblCellMar>
            <w:top w:w="0" w:type="dxa"/>
            <w:left w:w="108" w:type="dxa"/>
            <w:bottom w:w="0" w:type="dxa"/>
            <w:right w:w="108" w:type="dxa"/>
          </w:tblCellMar>
        </w:tblPrEx>
        <w:trPr>
          <w:gridAfter w:val="1"/>
          <w:wAfter w:w="20" w:type="dxa"/>
          <w:trHeight w:val="548" w:hRule="atLeast"/>
        </w:trPr>
        <w:tc>
          <w:tcPr>
            <w:tcW w:w="431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合计</w:t>
            </w:r>
          </w:p>
        </w:tc>
        <w:tc>
          <w:tcPr>
            <w:tcW w:w="331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33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417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gridAfter w:val="1"/>
          <w:wAfter w:w="20" w:type="dxa"/>
          <w:trHeight w:val="548" w:hRule="atLeast"/>
        </w:trPr>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331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417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gridAfter w:val="1"/>
          <w:wAfter w:w="20" w:type="dxa"/>
          <w:trHeight w:val="548" w:hRule="atLeast"/>
        </w:trPr>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417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gridAfter w:val="1"/>
          <w:wAfter w:w="20" w:type="dxa"/>
          <w:trHeight w:val="548" w:hRule="atLeast"/>
        </w:trPr>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331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417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gridAfter w:val="1"/>
          <w:wAfter w:w="20" w:type="dxa"/>
          <w:trHeight w:val="548" w:hRule="atLeast"/>
        </w:trPr>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417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gridAfter w:val="1"/>
          <w:wAfter w:w="20" w:type="dxa"/>
          <w:trHeight w:val="548" w:hRule="atLeast"/>
        </w:trPr>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417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gridAfter w:val="1"/>
          <w:wAfter w:w="20" w:type="dxa"/>
          <w:trHeight w:val="548" w:hRule="atLeast"/>
        </w:trPr>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417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gridAfter w:val="1"/>
          <w:wAfter w:w="20" w:type="dxa"/>
          <w:trHeight w:val="976" w:hRule="atLeast"/>
        </w:trPr>
        <w:tc>
          <w:tcPr>
            <w:tcW w:w="15120" w:type="dxa"/>
            <w:gridSpan w:val="17"/>
            <w:tcBorders>
              <w:top w:val="nil"/>
              <w:left w:val="nil"/>
              <w:bottom w:val="nil"/>
              <w:right w:val="nil"/>
            </w:tcBorders>
            <w:shd w:val="clear" w:color="auto" w:fill="auto"/>
            <w:vAlign w:val="center"/>
          </w:tcPr>
          <w:p>
            <w:pPr>
              <w:widowControl/>
              <w:jc w:val="left"/>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注：本表反映部门本年度国有资本经营预算财政拨款支出情况。</w:t>
            </w:r>
          </w:p>
          <w:p>
            <w:pPr>
              <w:widowControl/>
              <w:jc w:val="left"/>
              <w:textAlignment w:val="center"/>
              <w:rPr>
                <w:rFonts w:ascii="宋体" w:hAnsi="宋体" w:eastAsia="宋体" w:cs="宋体"/>
                <w:color w:val="000000"/>
                <w:kern w:val="0"/>
                <w:sz w:val="24"/>
                <w:szCs w:val="24"/>
              </w:rPr>
            </w:pPr>
          </w:p>
          <w:p>
            <w:pPr>
              <w:widowControl/>
              <w:jc w:val="left"/>
              <w:textAlignment w:val="center"/>
              <w:rPr>
                <w:rFonts w:ascii="宋体" w:hAnsi="宋体" w:eastAsia="宋体" w:cs="宋体"/>
                <w:color w:val="000000"/>
                <w:kern w:val="0"/>
                <w:sz w:val="24"/>
                <w:szCs w:val="24"/>
              </w:rPr>
            </w:pPr>
            <w:r>
              <w:rPr>
                <w:rFonts w:hint="eastAsia" w:ascii="楷体" w:hAnsi="楷体" w:eastAsia="楷体" w:cs="楷体"/>
                <w:b/>
                <w:bCs/>
                <w:kern w:val="0"/>
                <w:sz w:val="24"/>
                <w:szCs w:val="24"/>
              </w:rPr>
              <w:t>说明：我单位没有使用国有资本经营预算安排的支出，故本表无数据。</w:t>
            </w:r>
          </w:p>
        </w:tc>
      </w:tr>
      <w:tr>
        <w:tblPrEx>
          <w:tblLayout w:type="fixed"/>
          <w:tblCellMar>
            <w:top w:w="0" w:type="dxa"/>
            <w:left w:w="108" w:type="dxa"/>
            <w:bottom w:w="0" w:type="dxa"/>
            <w:right w:w="108" w:type="dxa"/>
          </w:tblCellMar>
        </w:tblPrEx>
        <w:trPr>
          <w:trHeight w:val="840" w:hRule="atLeast"/>
        </w:trPr>
        <w:tc>
          <w:tcPr>
            <w:tcW w:w="15140" w:type="dxa"/>
            <w:gridSpan w:val="18"/>
            <w:tcBorders>
              <w:top w:val="nil"/>
              <w:left w:val="nil"/>
              <w:bottom w:val="nil"/>
              <w:right w:val="nil"/>
            </w:tcBorders>
            <w:shd w:val="clear" w:color="auto" w:fill="FFFFFF"/>
            <w:vAlign w:val="center"/>
          </w:tcPr>
          <w:p>
            <w:pPr>
              <w:widowControl/>
              <w:jc w:val="center"/>
              <w:textAlignment w:val="center"/>
              <w:rPr>
                <w:rFonts w:ascii="华文中宋" w:hAnsi="华文中宋" w:eastAsia="华文中宋" w:cs="华文中宋"/>
                <w:color w:val="000000"/>
                <w:kern w:val="0"/>
                <w:sz w:val="32"/>
                <w:szCs w:val="32"/>
              </w:rPr>
            </w:pPr>
          </w:p>
          <w:p>
            <w:pPr>
              <w:widowControl/>
              <w:jc w:val="center"/>
              <w:textAlignment w:val="center"/>
              <w:rPr>
                <w:rFonts w:ascii="华文中宋" w:hAnsi="华文中宋" w:eastAsia="华文中宋" w:cs="华文中宋"/>
                <w:color w:val="000000"/>
                <w:sz w:val="32"/>
                <w:szCs w:val="32"/>
              </w:rPr>
            </w:pPr>
            <w:r>
              <w:rPr>
                <w:rFonts w:hint="eastAsia" w:ascii="华文中宋" w:hAnsi="华文中宋" w:eastAsia="华文中宋" w:cs="华文中宋"/>
                <w:color w:val="000000"/>
                <w:kern w:val="0"/>
                <w:sz w:val="32"/>
                <w:szCs w:val="32"/>
              </w:rPr>
              <w:t>财政拨款“三公”经费支出决算表</w:t>
            </w:r>
          </w:p>
        </w:tc>
      </w:tr>
      <w:tr>
        <w:tblPrEx>
          <w:tblLayout w:type="fixed"/>
          <w:tblCellMar>
            <w:top w:w="0" w:type="dxa"/>
            <w:left w:w="108" w:type="dxa"/>
            <w:bottom w:w="0" w:type="dxa"/>
            <w:right w:w="108" w:type="dxa"/>
          </w:tblCellMar>
        </w:tblPrEx>
        <w:trPr>
          <w:trHeight w:val="420" w:hRule="atLeast"/>
        </w:trPr>
        <w:tc>
          <w:tcPr>
            <w:tcW w:w="1260"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gridSpan w:val="3"/>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gridSpan w:val="2"/>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gridSpan w:val="2"/>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gridSpan w:val="2"/>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70" w:type="dxa"/>
            <w:gridSpan w:val="2"/>
            <w:tcBorders>
              <w:top w:val="nil"/>
              <w:left w:val="nil"/>
              <w:bottom w:val="nil"/>
              <w:right w:val="nil"/>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公开09表</w:t>
            </w:r>
          </w:p>
        </w:tc>
      </w:tr>
      <w:tr>
        <w:tblPrEx>
          <w:tblLayout w:type="fixed"/>
          <w:tblCellMar>
            <w:top w:w="0" w:type="dxa"/>
            <w:left w:w="108" w:type="dxa"/>
            <w:bottom w:w="0" w:type="dxa"/>
            <w:right w:w="108" w:type="dxa"/>
          </w:tblCellMar>
        </w:tblPrEx>
        <w:trPr>
          <w:trHeight w:val="420" w:hRule="atLeast"/>
        </w:trPr>
        <w:tc>
          <w:tcPr>
            <w:tcW w:w="3782" w:type="dxa"/>
            <w:gridSpan w:val="5"/>
            <w:tcBorders>
              <w:top w:val="nil"/>
              <w:left w:val="nil"/>
              <w:bottom w:val="nil"/>
              <w:right w:val="nil"/>
            </w:tcBorders>
            <w:shd w:val="clear" w:color="auto" w:fill="FFFFFF"/>
            <w:noWrap/>
            <w:vAlign w:val="center"/>
          </w:tcPr>
          <w:p>
            <w:pPr>
              <w:rPr>
                <w:rFonts w:ascii="宋体" w:hAnsi="宋体" w:eastAsia="宋体" w:cs="宋体"/>
                <w:color w:val="000000"/>
                <w:sz w:val="20"/>
                <w:szCs w:val="20"/>
              </w:rPr>
            </w:pPr>
            <w:r>
              <w:rPr>
                <w:rFonts w:hint="eastAsia" w:ascii="宋体" w:hAnsi="宋体" w:eastAsia="宋体" w:cs="宋体"/>
                <w:color w:val="000000"/>
                <w:kern w:val="0"/>
                <w:sz w:val="20"/>
                <w:szCs w:val="20"/>
              </w:rPr>
              <w:t>部门：湖南省棉花科学研究所</w:t>
            </w:r>
          </w:p>
        </w:tc>
        <w:tc>
          <w:tcPr>
            <w:tcW w:w="1261" w:type="dxa"/>
            <w:gridSpan w:val="2"/>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gridSpan w:val="2"/>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gridSpan w:val="2"/>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70" w:type="dxa"/>
            <w:gridSpan w:val="2"/>
            <w:tcBorders>
              <w:top w:val="nil"/>
              <w:left w:val="nil"/>
              <w:bottom w:val="nil"/>
              <w:right w:val="nil"/>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766" w:hRule="atLeast"/>
        </w:trPr>
        <w:tc>
          <w:tcPr>
            <w:tcW w:w="756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预算数</w:t>
            </w:r>
          </w:p>
        </w:tc>
        <w:tc>
          <w:tcPr>
            <w:tcW w:w="757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决算数</w:t>
            </w:r>
          </w:p>
        </w:tc>
      </w:tr>
      <w:tr>
        <w:tblPrEx>
          <w:tblLayout w:type="fixed"/>
          <w:tblCellMar>
            <w:top w:w="0" w:type="dxa"/>
            <w:left w:w="108" w:type="dxa"/>
            <w:bottom w:w="0" w:type="dxa"/>
            <w:right w:w="108" w:type="dxa"/>
          </w:tblCellMar>
        </w:tblPrEx>
        <w:trPr>
          <w:trHeight w:val="822"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合计</w:t>
            </w:r>
          </w:p>
        </w:tc>
        <w:tc>
          <w:tcPr>
            <w:tcW w:w="126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因公出国（境）费</w:t>
            </w:r>
          </w:p>
        </w:tc>
        <w:tc>
          <w:tcPr>
            <w:tcW w:w="378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公务用车购置及运行维护费</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公务接待费</w:t>
            </w:r>
          </w:p>
        </w:tc>
        <w:tc>
          <w:tcPr>
            <w:tcW w:w="126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合计</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因公出国（境）费</w:t>
            </w:r>
          </w:p>
        </w:tc>
        <w:tc>
          <w:tcPr>
            <w:tcW w:w="378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公务用车购置及运行维护费</w:t>
            </w:r>
          </w:p>
        </w:tc>
        <w:tc>
          <w:tcPr>
            <w:tcW w:w="127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公务接待费</w:t>
            </w:r>
          </w:p>
        </w:tc>
      </w:tr>
      <w:tr>
        <w:tblPrEx>
          <w:tblLayout w:type="fixed"/>
          <w:tblCellMar>
            <w:top w:w="0" w:type="dxa"/>
            <w:left w:w="108" w:type="dxa"/>
            <w:bottom w:w="0" w:type="dxa"/>
            <w:right w:w="108" w:type="dxa"/>
          </w:tblCellMar>
        </w:tblPrEx>
        <w:trPr>
          <w:trHeight w:val="1274"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26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小计</w:t>
            </w:r>
          </w:p>
        </w:tc>
        <w:tc>
          <w:tcPr>
            <w:tcW w:w="12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公务用车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购置费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公务用车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运行维护费</w:t>
            </w: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26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2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公务用车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购置费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公务用车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运行维护费</w:t>
            </w:r>
          </w:p>
        </w:tc>
        <w:tc>
          <w:tcPr>
            <w:tcW w:w="12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r>
      <w:tr>
        <w:tblPrEx>
          <w:tblLayout w:type="fixed"/>
          <w:tblCellMar>
            <w:top w:w="0" w:type="dxa"/>
            <w:left w:w="108" w:type="dxa"/>
            <w:bottom w:w="0" w:type="dxa"/>
            <w:right w:w="108" w:type="dxa"/>
          </w:tblCellMar>
        </w:tblPrEx>
        <w:trPr>
          <w:trHeight w:val="766"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w:t>
            </w:r>
          </w:p>
        </w:tc>
        <w:tc>
          <w:tcPr>
            <w:tcW w:w="12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3</w:t>
            </w:r>
          </w:p>
        </w:tc>
        <w:tc>
          <w:tcPr>
            <w:tcW w:w="12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5</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6</w:t>
            </w:r>
          </w:p>
        </w:tc>
        <w:tc>
          <w:tcPr>
            <w:tcW w:w="12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7</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8</w:t>
            </w:r>
          </w:p>
        </w:tc>
        <w:tc>
          <w:tcPr>
            <w:tcW w:w="12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9</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11</w:t>
            </w:r>
          </w:p>
        </w:tc>
        <w:tc>
          <w:tcPr>
            <w:tcW w:w="12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12</w:t>
            </w:r>
          </w:p>
        </w:tc>
      </w:tr>
      <w:tr>
        <w:tblPrEx>
          <w:tblLayout w:type="fixed"/>
          <w:tblCellMar>
            <w:top w:w="0" w:type="dxa"/>
            <w:left w:w="108" w:type="dxa"/>
            <w:bottom w:w="0" w:type="dxa"/>
            <w:right w:w="108" w:type="dxa"/>
          </w:tblCellMar>
        </w:tblPrEx>
        <w:trPr>
          <w:trHeight w:val="1165"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rPr>
              <w:t>12.00</w:t>
            </w:r>
          </w:p>
        </w:tc>
        <w:tc>
          <w:tcPr>
            <w:tcW w:w="12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rPr>
              <w:t>6.00</w:t>
            </w:r>
          </w:p>
        </w:tc>
        <w:tc>
          <w:tcPr>
            <w:tcW w:w="12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rPr>
              <w:t>6.00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rPr>
              <w:t>6.00</w:t>
            </w:r>
          </w:p>
        </w:tc>
        <w:tc>
          <w:tcPr>
            <w:tcW w:w="12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rPr>
              <w:t>12.00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rPr>
              <w:t>0.00</w:t>
            </w:r>
          </w:p>
        </w:tc>
        <w:tc>
          <w:tcPr>
            <w:tcW w:w="12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rPr>
              <w:t>6.00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rPr>
              <w:t>6.00</w:t>
            </w:r>
          </w:p>
        </w:tc>
        <w:tc>
          <w:tcPr>
            <w:tcW w:w="12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rPr>
              <w:t>6.00</w:t>
            </w:r>
          </w:p>
        </w:tc>
      </w:tr>
      <w:tr>
        <w:tblPrEx>
          <w:tblLayout w:type="fixed"/>
          <w:tblCellMar>
            <w:top w:w="0" w:type="dxa"/>
            <w:left w:w="108" w:type="dxa"/>
            <w:bottom w:w="0" w:type="dxa"/>
            <w:right w:w="108" w:type="dxa"/>
          </w:tblCellMar>
        </w:tblPrEx>
        <w:trPr>
          <w:trHeight w:val="1226" w:hRule="atLeast"/>
        </w:trPr>
        <w:tc>
          <w:tcPr>
            <w:tcW w:w="15140" w:type="dxa"/>
            <w:gridSpan w:val="18"/>
            <w:tcBorders>
              <w:top w:val="nil"/>
              <w:left w:val="nil"/>
              <w:bottom w:val="nil"/>
              <w:right w:val="nil"/>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pPr>
        <w:autoSpaceDE w:val="0"/>
        <w:autoSpaceDN w:val="0"/>
        <w:adjustRightInd w:val="0"/>
        <w:ind w:left="315" w:leftChars="150"/>
        <w:jc w:val="center"/>
        <w:rPr>
          <w:rFonts w:ascii="宋体" w:eastAsia="宋体" w:cs="宋体"/>
          <w:kern w:val="0"/>
          <w:sz w:val="24"/>
          <w:szCs w:val="24"/>
        </w:rPr>
      </w:pPr>
    </w:p>
    <w:p>
      <w:pPr>
        <w:widowControl/>
        <w:rPr>
          <w:sz w:val="72"/>
          <w:szCs w:val="72"/>
        </w:rPr>
        <w:sectPr>
          <w:pgSz w:w="16838" w:h="11906" w:orient="landscape"/>
          <w:pgMar w:top="720" w:right="720" w:bottom="720" w:left="720" w:header="851" w:footer="992" w:gutter="0"/>
          <w:cols w:space="425" w:num="1"/>
          <w:docGrid w:type="lines" w:linePitch="312" w:charSpace="0"/>
        </w:sectPr>
      </w:pPr>
      <w:r>
        <w:br w:type="page"/>
      </w:r>
    </w:p>
    <w:p>
      <w:pPr>
        <w:pStyle w:val="16"/>
        <w:rPr>
          <w:sz w:val="72"/>
          <w:szCs w:val="72"/>
        </w:rPr>
      </w:pPr>
    </w:p>
    <w:p>
      <w:pPr>
        <w:pStyle w:val="16"/>
        <w:rPr>
          <w:sz w:val="72"/>
          <w:szCs w:val="72"/>
        </w:rPr>
      </w:pPr>
    </w:p>
    <w:p>
      <w:pPr>
        <w:pStyle w:val="16"/>
        <w:rPr>
          <w:sz w:val="72"/>
          <w:szCs w:val="72"/>
        </w:rPr>
      </w:pPr>
    </w:p>
    <w:p>
      <w:pPr>
        <w:pStyle w:val="16"/>
        <w:jc w:val="center"/>
        <w:rPr>
          <w:sz w:val="72"/>
          <w:szCs w:val="72"/>
        </w:rPr>
      </w:pPr>
    </w:p>
    <w:p>
      <w:pPr>
        <w:pStyle w:val="16"/>
        <w:jc w:val="center"/>
        <w:rPr>
          <w:rFonts w:ascii="方正小标宋_GBK" w:hAnsi="方正小标宋_GBK" w:eastAsia="方正小标宋_GBK" w:cs="方正小标宋_GBK"/>
          <w:sz w:val="72"/>
          <w:szCs w:val="72"/>
        </w:rPr>
      </w:pPr>
    </w:p>
    <w:p>
      <w:pPr>
        <w:pStyle w:val="16"/>
        <w:jc w:val="center"/>
        <w:rPr>
          <w:rFonts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16"/>
        <w:jc w:val="center"/>
        <w:rPr>
          <w:rFonts w:ascii="方正小标宋_GBK" w:hAnsi="方正小标宋_GBK" w:eastAsia="方正小标宋_GBK" w:cs="方正小标宋_GBK"/>
          <w:sz w:val="70"/>
          <w:szCs w:val="70"/>
        </w:rPr>
      </w:pPr>
    </w:p>
    <w:p>
      <w:pPr>
        <w:pStyle w:val="16"/>
        <w:jc w:val="center"/>
        <w:rPr>
          <w:rFonts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2022年度部门决算情况说明</w:t>
      </w:r>
    </w:p>
    <w:p>
      <w:pPr>
        <w:widowControl/>
        <w:jc w:val="left"/>
        <w:rPr>
          <w:rFonts w:asciiTheme="minorEastAsia" w:hAnsiTheme="minorEastAsia"/>
          <w:sz w:val="32"/>
          <w:szCs w:val="32"/>
        </w:rPr>
      </w:pPr>
      <w:r>
        <w:br w:type="page"/>
      </w:r>
    </w:p>
    <w:p>
      <w:pPr>
        <w:pStyle w:val="16"/>
        <w:spacing w:line="600" w:lineRule="exact"/>
        <w:ind w:firstLine="640" w:firstLineChars="200"/>
        <w:rPr>
          <w:rFonts w:hAnsi="黑体"/>
          <w:bCs/>
          <w:sz w:val="32"/>
          <w:szCs w:val="32"/>
        </w:rPr>
      </w:pPr>
      <w:r>
        <w:rPr>
          <w:rFonts w:hint="eastAsia" w:hAnsi="黑体"/>
          <w:bCs/>
          <w:sz w:val="32"/>
          <w:szCs w:val="32"/>
        </w:rPr>
        <w:t>一、收入支出决算总体情况说明</w:t>
      </w:r>
    </w:p>
    <w:p>
      <w:pPr>
        <w:pStyle w:val="16"/>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2022年度收、支总计4632.50万元。与上年相比，增加1372.05万元，增长42.08%，主要是因为2022年棉花专项经费增加。</w:t>
      </w:r>
    </w:p>
    <w:p>
      <w:pPr>
        <w:pStyle w:val="16"/>
        <w:spacing w:line="600" w:lineRule="exact"/>
        <w:ind w:firstLine="640" w:firstLineChars="200"/>
        <w:rPr>
          <w:rFonts w:hAnsi="黑体"/>
          <w:bCs/>
          <w:sz w:val="32"/>
          <w:szCs w:val="32"/>
        </w:rPr>
      </w:pPr>
      <w:r>
        <w:rPr>
          <w:rFonts w:hint="eastAsia" w:hAnsi="黑体"/>
          <w:bCs/>
          <w:sz w:val="32"/>
          <w:szCs w:val="32"/>
        </w:rPr>
        <w:t>二、收入决算情况说明</w:t>
      </w:r>
    </w:p>
    <w:p>
      <w:pPr>
        <w:pStyle w:val="16"/>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2022年度收入合计3898.77万元，其中：财政拨款收入3189.92万元，占81.82%；上级补助收入0万元，占0%；事业收入76.80万元，占1.97%；经营收入0万元，占0%；附属单位上缴收入0万元，占0%；其他收入632.05万元，占16.21%。</w:t>
      </w:r>
    </w:p>
    <w:p>
      <w:pPr>
        <w:pStyle w:val="16"/>
        <w:spacing w:line="600" w:lineRule="exact"/>
        <w:ind w:firstLine="640" w:firstLineChars="200"/>
        <w:rPr>
          <w:rFonts w:hAnsi="黑体"/>
          <w:bCs/>
          <w:sz w:val="32"/>
          <w:szCs w:val="32"/>
        </w:rPr>
      </w:pPr>
      <w:r>
        <w:rPr>
          <w:rFonts w:hint="eastAsia" w:hAnsi="黑体"/>
          <w:bCs/>
          <w:sz w:val="32"/>
          <w:szCs w:val="32"/>
        </w:rPr>
        <w:t>三、支出决算情况说明</w:t>
      </w:r>
    </w:p>
    <w:p>
      <w:pPr>
        <w:pStyle w:val="16"/>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2022年度支出合计3343.31万元，其中：基本支出1368.87万元，占40.94%；项目支出1974.44万元，占59.06%；上缴上级支出0万元，占0%；经营支出0万元，占0%；对附属单位补助支出0万元，占0%。</w:t>
      </w:r>
    </w:p>
    <w:p>
      <w:pPr>
        <w:pStyle w:val="16"/>
        <w:spacing w:line="600" w:lineRule="exact"/>
        <w:ind w:firstLine="640" w:firstLineChars="200"/>
        <w:rPr>
          <w:rFonts w:hAnsi="黑体"/>
          <w:bCs/>
          <w:sz w:val="32"/>
          <w:szCs w:val="32"/>
        </w:rPr>
      </w:pPr>
      <w:r>
        <w:rPr>
          <w:rFonts w:hint="eastAsia" w:hAnsi="黑体"/>
          <w:bCs/>
          <w:sz w:val="32"/>
          <w:szCs w:val="32"/>
        </w:rPr>
        <w:t>四、财政拨款收入支出决算总体情况说明</w:t>
      </w:r>
    </w:p>
    <w:p>
      <w:pPr>
        <w:pStyle w:val="16"/>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2022年度财政拨款收、支总计3284.53万元，与上年相比，增加1255.74万元,增长61.90%，</w:t>
      </w:r>
      <w:r>
        <w:rPr>
          <w:rFonts w:hint="eastAsia" w:ascii="Times New Roman" w:hAnsi="Times New Roman" w:eastAsia="仿宋_GB2312"/>
          <w:color w:val="auto"/>
          <w:sz w:val="32"/>
          <w:szCs w:val="32"/>
        </w:rPr>
        <w:t>主要是因为2022年棉</w:t>
      </w:r>
      <w:r>
        <w:rPr>
          <w:rFonts w:hint="eastAsia" w:ascii="Times New Roman" w:hAnsi="Times New Roman" w:eastAsia="仿宋_GB2312"/>
          <w:sz w:val="32"/>
          <w:szCs w:val="32"/>
        </w:rPr>
        <w:t>花专项经费增加。</w:t>
      </w:r>
    </w:p>
    <w:p>
      <w:pPr>
        <w:pStyle w:val="16"/>
        <w:spacing w:line="600" w:lineRule="exact"/>
        <w:ind w:firstLine="640" w:firstLineChars="200"/>
        <w:rPr>
          <w:rFonts w:hAnsi="黑体"/>
          <w:bCs/>
          <w:sz w:val="32"/>
          <w:szCs w:val="32"/>
        </w:rPr>
      </w:pPr>
      <w:r>
        <w:rPr>
          <w:rFonts w:hint="eastAsia" w:hAnsi="黑体"/>
          <w:bCs/>
          <w:sz w:val="32"/>
          <w:szCs w:val="32"/>
        </w:rPr>
        <w:t>五、一般公共预算财政拨款支出决算情况说明</w:t>
      </w:r>
    </w:p>
    <w:p>
      <w:pPr>
        <w:pStyle w:val="16"/>
        <w:spacing w:line="600" w:lineRule="exact"/>
        <w:ind w:firstLine="640" w:firstLineChars="200"/>
        <w:rPr>
          <w:rFonts w:ascii="楷体" w:hAnsi="楷体" w:eastAsia="楷体" w:cs="楷体"/>
          <w:bCs/>
          <w:sz w:val="32"/>
          <w:szCs w:val="32"/>
        </w:rPr>
      </w:pPr>
      <w:r>
        <w:rPr>
          <w:rFonts w:hint="eastAsia" w:ascii="楷体" w:hAnsi="楷体" w:eastAsia="楷体" w:cs="楷体"/>
          <w:bCs/>
          <w:sz w:val="32"/>
          <w:szCs w:val="32"/>
        </w:rPr>
        <w:t>（一）财政拨款支出决算总体情况</w:t>
      </w:r>
    </w:p>
    <w:p>
      <w:pPr>
        <w:pStyle w:val="16"/>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sz w:val="32"/>
          <w:szCs w:val="32"/>
        </w:rPr>
        <w:t>2022年度财政拨款支出2387.17万元，占本年支出合计的71.40%，与上年相比，财政拨款支出增加519.29万元，增长27.80%，</w:t>
      </w:r>
      <w:r>
        <w:rPr>
          <w:rFonts w:hint="eastAsia" w:ascii="Times New Roman" w:hAnsi="Times New Roman" w:eastAsia="仿宋_GB2312"/>
          <w:color w:val="auto"/>
          <w:sz w:val="32"/>
          <w:szCs w:val="32"/>
        </w:rPr>
        <w:t>主要是因为本年增加棉花项目支出。</w:t>
      </w:r>
    </w:p>
    <w:p>
      <w:pPr>
        <w:pStyle w:val="16"/>
        <w:spacing w:line="600" w:lineRule="exact"/>
        <w:ind w:firstLine="640" w:firstLineChars="200"/>
        <w:rPr>
          <w:rFonts w:ascii="楷体" w:hAnsi="楷体" w:eastAsia="楷体" w:cs="楷体"/>
          <w:bCs/>
          <w:sz w:val="32"/>
          <w:szCs w:val="32"/>
        </w:rPr>
      </w:pPr>
      <w:r>
        <w:rPr>
          <w:rFonts w:hint="eastAsia" w:ascii="楷体" w:hAnsi="楷体" w:eastAsia="楷体" w:cs="楷体"/>
          <w:bCs/>
          <w:sz w:val="32"/>
          <w:szCs w:val="32"/>
        </w:rPr>
        <w:t>（二）财政拨款支出决算结构情况</w:t>
      </w:r>
    </w:p>
    <w:p>
      <w:pPr>
        <w:pStyle w:val="16"/>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2022年度财政拨款支出2387.17万元，主要用于以下方面：科学技术（类）支出35.59万元，占1.49%；社会保障和就业（类）支出97.91万元，占4.10%；节能环保（类）支出20.00万元，占0.84%;农林水（类）支出2233.68万元，占93.57%。</w:t>
      </w:r>
    </w:p>
    <w:p>
      <w:pPr>
        <w:pStyle w:val="16"/>
        <w:spacing w:line="600" w:lineRule="exact"/>
        <w:ind w:firstLine="640" w:firstLineChars="200"/>
        <w:rPr>
          <w:rFonts w:ascii="楷体" w:hAnsi="楷体" w:eastAsia="楷体" w:cs="楷体"/>
          <w:bCs/>
          <w:sz w:val="32"/>
          <w:szCs w:val="32"/>
        </w:rPr>
      </w:pPr>
      <w:r>
        <w:rPr>
          <w:rFonts w:hint="eastAsia" w:ascii="楷体" w:hAnsi="楷体" w:eastAsia="楷体" w:cs="楷体"/>
          <w:bCs/>
          <w:sz w:val="32"/>
          <w:szCs w:val="32"/>
        </w:rPr>
        <w:t>（三）财政拨款支出决算具体情况</w:t>
      </w:r>
    </w:p>
    <w:p>
      <w:pPr>
        <w:pStyle w:val="16"/>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2022年度财政拨款支出年初预算数为1482.96万元，支出决算数为2387.17万元，完成年初预算的</w:t>
      </w:r>
      <w:r>
        <w:rPr>
          <w:rFonts w:hint="eastAsia" w:ascii="Times New Roman" w:hAnsi="Times New Roman" w:eastAsia="仿宋_GB2312"/>
          <w:sz w:val="32"/>
          <w:szCs w:val="32"/>
          <w:lang w:val="en-US" w:eastAsia="zh-CN"/>
        </w:rPr>
        <w:t>160.97</w:t>
      </w:r>
      <w:r>
        <w:rPr>
          <w:rFonts w:hint="eastAsia" w:ascii="Times New Roman" w:hAnsi="Times New Roman" w:eastAsia="仿宋_GB2312"/>
          <w:sz w:val="32"/>
          <w:szCs w:val="32"/>
        </w:rPr>
        <w:t>%，其中：</w:t>
      </w:r>
    </w:p>
    <w:p>
      <w:pPr>
        <w:pStyle w:val="16"/>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1、科学技术（类）基础研究（款）自然科学基金（项）。</w:t>
      </w:r>
    </w:p>
    <w:p>
      <w:pPr>
        <w:pStyle w:val="16"/>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年初预算为3.11万元，支出决算为3.11万元，完成年初预算的100%。</w:t>
      </w:r>
    </w:p>
    <w:p>
      <w:pPr>
        <w:pStyle w:val="16"/>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2、科学技术（类）科学技术普及（款）学术交流活动（项）。</w:t>
      </w:r>
    </w:p>
    <w:p>
      <w:pPr>
        <w:pStyle w:val="16"/>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年初预算为15.72万元，支出决算为32.48万元，完成年初预算的</w:t>
      </w:r>
      <w:r>
        <w:rPr>
          <w:rFonts w:hint="eastAsia" w:ascii="Times New Roman" w:hAnsi="Times New Roman" w:eastAsia="仿宋_GB2312"/>
          <w:sz w:val="32"/>
          <w:szCs w:val="32"/>
          <w:lang w:val="en-US" w:eastAsia="zh-CN"/>
        </w:rPr>
        <w:t>206.62</w:t>
      </w:r>
      <w:r>
        <w:rPr>
          <w:rFonts w:hint="eastAsia" w:ascii="Times New Roman" w:hAnsi="Times New Roman" w:eastAsia="仿宋_GB2312"/>
          <w:sz w:val="32"/>
          <w:szCs w:val="32"/>
        </w:rPr>
        <w:t>%，决算数大于年初预算数的主要原因是：年中追加科普项目资金。</w:t>
      </w:r>
    </w:p>
    <w:p>
      <w:pPr>
        <w:pStyle w:val="16"/>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3、社会保障和就业（类）行政事业单位养老支出（款）机关事业单位基本养老保险缴费支出（项）。</w:t>
      </w:r>
    </w:p>
    <w:p>
      <w:pPr>
        <w:pStyle w:val="16"/>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年初预算为93.09万元，支出决算为93.09万元，完成年初预算的100%。</w:t>
      </w:r>
    </w:p>
    <w:p>
      <w:pPr>
        <w:pStyle w:val="16"/>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4、社会保障和就业（类）抚恤（款）死亡抚恤（项）。</w:t>
      </w:r>
    </w:p>
    <w:p>
      <w:pPr>
        <w:pStyle w:val="16"/>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年初预算为0万元，支出决算为4.82万元，决算数大于年初预算数的主要原因是：年中追加抚恤金。</w:t>
      </w:r>
    </w:p>
    <w:p>
      <w:pPr>
        <w:pStyle w:val="16"/>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5、节能环保（类）自然生态保护（款）农村环境保护（项）。</w:t>
      </w:r>
    </w:p>
    <w:p>
      <w:pPr>
        <w:pStyle w:val="16"/>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年初预算为0万元，支出决算为20.00万元，决算数大于年初预算数的主要原因是：年中追加农村生物多样性保护（农业农村生物资源调查）项目资金。</w:t>
      </w:r>
    </w:p>
    <w:p>
      <w:pPr>
        <w:pStyle w:val="16"/>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6、农林水（类）农业农村（款）行政运行（项）。</w:t>
      </w:r>
    </w:p>
    <w:p>
      <w:pPr>
        <w:pStyle w:val="16"/>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年初预算为0万元，支出决算为136.74万元，决算数大于年初预算数的主要原因是：年中追加绩效奖金。</w:t>
      </w:r>
    </w:p>
    <w:p>
      <w:pPr>
        <w:pStyle w:val="16"/>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7、农林水（类）农业农村（款）事业运行（项）。</w:t>
      </w:r>
    </w:p>
    <w:p>
      <w:pPr>
        <w:pStyle w:val="16"/>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年初预算为1097.27万元，支出决算为1097.27万元，完成年初预算的100%。</w:t>
      </w:r>
    </w:p>
    <w:p>
      <w:pPr>
        <w:pStyle w:val="16"/>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8、农林水（类）农业农村（款）科技转化与推广服务（项）。</w:t>
      </w:r>
    </w:p>
    <w:p>
      <w:pPr>
        <w:pStyle w:val="16"/>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年初预算为11.18万元，支出决算为11.18万元，完成年初预算的100%。</w:t>
      </w:r>
    </w:p>
    <w:p>
      <w:pPr>
        <w:pStyle w:val="16"/>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9、农林水（类）农业农村（款）统计监测与信息服务（项）。</w:t>
      </w:r>
    </w:p>
    <w:p>
      <w:pPr>
        <w:pStyle w:val="16"/>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年初预算为0万元，支出决算为19.68万元，决算数大于年初预算数的主要原因是：年中追加农业生态环境监测与保护项目资金。</w:t>
      </w:r>
    </w:p>
    <w:p>
      <w:pPr>
        <w:pStyle w:val="16"/>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10、农林水（类）农业农村（款）农业生产发展（项）。</w:t>
      </w:r>
    </w:p>
    <w:p>
      <w:pPr>
        <w:pStyle w:val="16"/>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年初预算为242.59万元，支出决算为240.10万元，完成年初预算的95.05%，决算数小于年初预算数的主要原因是：因疫情影响项目劳务费有结余。</w:t>
      </w:r>
    </w:p>
    <w:p>
      <w:pPr>
        <w:pStyle w:val="16"/>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11、农林水（类）农业农村（款）农业资源保护修复与利用（项）。</w:t>
      </w:r>
    </w:p>
    <w:p>
      <w:pPr>
        <w:pStyle w:val="16"/>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年初预算为0万元，支出决算为15.35万元，决算数大于年初预算数的主要原因是：年中追加2022年农业种质资源保护与利用项目资金。</w:t>
      </w:r>
    </w:p>
    <w:p>
      <w:pPr>
        <w:pStyle w:val="16"/>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12、农林水（类）农业农村（款）其他农业农村支出（项）。</w:t>
      </w:r>
    </w:p>
    <w:p>
      <w:pPr>
        <w:pStyle w:val="16"/>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年初预算为20.00万元，支出决算为141.28万元，完成年初预算的</w:t>
      </w:r>
      <w:r>
        <w:rPr>
          <w:rFonts w:hint="eastAsia" w:ascii="Times New Roman" w:hAnsi="Times New Roman" w:eastAsia="仿宋_GB2312"/>
          <w:sz w:val="32"/>
          <w:szCs w:val="32"/>
          <w:lang w:val="en-US" w:eastAsia="zh-CN"/>
        </w:rPr>
        <w:t>706.40</w:t>
      </w:r>
      <w:r>
        <w:rPr>
          <w:rFonts w:hint="eastAsia" w:ascii="Times New Roman" w:hAnsi="Times New Roman" w:eastAsia="仿宋_GB2312"/>
          <w:sz w:val="32"/>
          <w:szCs w:val="32"/>
        </w:rPr>
        <w:t>%，决算数大于年初预算数的主要原因是：年中追加现代农业产业技术体系建设项目、中央成品油价格调整对渔业补助资金和渔业增殖放流项目资金。</w:t>
      </w:r>
    </w:p>
    <w:p>
      <w:pPr>
        <w:pStyle w:val="16"/>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13、农林水（类）目标价格补贴（款）棉花目标价格补贴（项）。</w:t>
      </w:r>
    </w:p>
    <w:p>
      <w:pPr>
        <w:pStyle w:val="16"/>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年初预算为0万元，支出决算为532.08万元，决算数大于年初预算数的主要原因是：年中追加棉花项目资金。</w:t>
      </w:r>
    </w:p>
    <w:p>
      <w:pPr>
        <w:pStyle w:val="16"/>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14、农林水（类）其他农林水支出（款）其他农林水支出（项）。</w:t>
      </w:r>
    </w:p>
    <w:p>
      <w:pPr>
        <w:pStyle w:val="16"/>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年初预算为0万元，支出决算为40.00万元，完决算数大于年初预算数的主要原因是：年中追加农业生产保障服务体系能力建设提升项目资金。</w:t>
      </w:r>
    </w:p>
    <w:p>
      <w:pPr>
        <w:pStyle w:val="16"/>
        <w:spacing w:line="600" w:lineRule="exact"/>
        <w:ind w:firstLine="640" w:firstLineChars="200"/>
        <w:rPr>
          <w:rFonts w:hAnsi="黑体"/>
          <w:bCs/>
          <w:sz w:val="32"/>
          <w:szCs w:val="32"/>
        </w:rPr>
      </w:pPr>
      <w:r>
        <w:rPr>
          <w:rFonts w:hint="eastAsia" w:hAnsi="黑体"/>
          <w:bCs/>
          <w:sz w:val="32"/>
          <w:szCs w:val="32"/>
        </w:rPr>
        <w:t>六、一般公共预算财政拨款基本支出决算情况说明</w:t>
      </w:r>
    </w:p>
    <w:p>
      <w:pPr>
        <w:pStyle w:val="16"/>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2022年度财政拨款基本支出1331.92万元，其中：</w:t>
      </w:r>
    </w:p>
    <w:p>
      <w:pPr>
        <w:pStyle w:val="16"/>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b/>
          <w:bCs/>
          <w:sz w:val="32"/>
          <w:szCs w:val="32"/>
        </w:rPr>
        <w:t>人员经费</w:t>
      </w:r>
      <w:r>
        <w:rPr>
          <w:rFonts w:hint="eastAsia" w:ascii="Times New Roman" w:hAnsi="Times New Roman" w:eastAsia="仿宋_GB2312"/>
          <w:sz w:val="32"/>
          <w:szCs w:val="32"/>
        </w:rPr>
        <w:t>1242.60万元，占基本支出的93.29%,主要包括基本工资、津贴补贴、伙食补助费、绩效工资、机关事业单位基本养老保险缴费、职工基本医疗保险缴费、住房公积金、退休费、奖励金等。</w:t>
      </w:r>
    </w:p>
    <w:p>
      <w:pPr>
        <w:pStyle w:val="16"/>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b/>
          <w:bCs/>
          <w:sz w:val="32"/>
          <w:szCs w:val="32"/>
        </w:rPr>
        <w:t>公用经费</w:t>
      </w:r>
      <w:r>
        <w:rPr>
          <w:rFonts w:hint="eastAsia" w:ascii="Times New Roman" w:hAnsi="Times New Roman" w:eastAsia="仿宋_GB2312"/>
          <w:sz w:val="32"/>
          <w:szCs w:val="32"/>
        </w:rPr>
        <w:t>89.32万元，占基本支出的6.71%，主要包括办公费、印刷费、咨询费、电费、邮电费、培训费、工会经费、公务用车运行维护费等。</w:t>
      </w:r>
    </w:p>
    <w:p>
      <w:pPr>
        <w:pStyle w:val="16"/>
        <w:numPr>
          <w:ilvl w:val="0"/>
          <w:numId w:val="1"/>
        </w:numPr>
        <w:spacing w:line="600" w:lineRule="exact"/>
        <w:ind w:firstLine="640" w:firstLineChars="200"/>
        <w:rPr>
          <w:rFonts w:hAnsi="黑体"/>
          <w:bCs/>
          <w:sz w:val="32"/>
          <w:szCs w:val="32"/>
        </w:rPr>
      </w:pPr>
      <w:r>
        <w:rPr>
          <w:rFonts w:hint="eastAsia" w:hAnsi="黑体"/>
          <w:bCs/>
          <w:sz w:val="32"/>
          <w:szCs w:val="32"/>
        </w:rPr>
        <w:t>财政拨款三公经费支出决算情况说明</w:t>
      </w:r>
    </w:p>
    <w:p>
      <w:pPr>
        <w:pStyle w:val="16"/>
        <w:spacing w:line="600" w:lineRule="exact"/>
        <w:ind w:firstLine="640" w:firstLineChars="200"/>
        <w:rPr>
          <w:rFonts w:ascii="楷体" w:hAnsi="楷体" w:eastAsia="楷体" w:cs="楷体"/>
          <w:b/>
          <w:sz w:val="32"/>
          <w:szCs w:val="32"/>
        </w:rPr>
      </w:pPr>
      <w:r>
        <w:rPr>
          <w:rFonts w:hint="eastAsia" w:ascii="楷体" w:hAnsi="楷体" w:eastAsia="楷体" w:cs="楷体"/>
          <w:b/>
          <w:sz w:val="32"/>
          <w:szCs w:val="32"/>
        </w:rPr>
        <w:t>（一）“三公”经费财政拨款支出决算总体情况说明</w:t>
      </w:r>
    </w:p>
    <w:p>
      <w:pPr>
        <w:pStyle w:val="16"/>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“三公”经费财政拨款支出预算为12.00万元，支出决算为12.00万元，完成预算的100%，其中：</w:t>
      </w:r>
    </w:p>
    <w:p>
      <w:pPr>
        <w:pStyle w:val="16"/>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因公出国（境）费支出预算为0万元，支出决算为0万元，与上年相比持平。</w:t>
      </w:r>
    </w:p>
    <w:p>
      <w:pPr>
        <w:pStyle w:val="16"/>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公务接待费支出预算为6万元，支出决算为6万元，完成预算的100%，决，与上年相比减少2万元，减少25.00%,减少的主要原因是厉行节约，压减公务接待费。</w:t>
      </w:r>
    </w:p>
    <w:p>
      <w:pPr>
        <w:pStyle w:val="16"/>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公务用车购置费支出预算为0万元，支出决算为0万元，与上年持平。</w:t>
      </w:r>
    </w:p>
    <w:p>
      <w:pPr>
        <w:pStyle w:val="16"/>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公务用车运行维护费支出预算为6万元，支出决算为6万元，完成预算的100%，与上年持平。</w:t>
      </w:r>
    </w:p>
    <w:p>
      <w:pPr>
        <w:pStyle w:val="16"/>
        <w:spacing w:line="600" w:lineRule="exact"/>
        <w:ind w:firstLine="640" w:firstLineChars="200"/>
        <w:rPr>
          <w:rFonts w:ascii="楷体" w:hAnsi="楷体" w:eastAsia="楷体" w:cs="楷体"/>
          <w:b/>
          <w:sz w:val="32"/>
          <w:szCs w:val="32"/>
        </w:rPr>
      </w:pPr>
      <w:r>
        <w:rPr>
          <w:rFonts w:hint="eastAsia" w:ascii="楷体" w:hAnsi="楷体" w:eastAsia="楷体" w:cs="楷体"/>
          <w:b/>
          <w:sz w:val="32"/>
          <w:szCs w:val="32"/>
        </w:rPr>
        <w:t>（二）“三公”经费财政拨款支出决算具体情况说明</w:t>
      </w:r>
    </w:p>
    <w:p>
      <w:pPr>
        <w:pStyle w:val="16"/>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2022年度“三公”经费财政拨款支出决算中，公务接待费支出决算6万元，占50.00%,因公出国（境）费支出决算0万元，占0%,公务用车购置费及运行维护费支出决算6万元，占50.00%。其中：</w:t>
      </w:r>
    </w:p>
    <w:p>
      <w:pPr>
        <w:pStyle w:val="16"/>
        <w:spacing w:line="600" w:lineRule="exact"/>
        <w:ind w:firstLine="800" w:firstLineChars="250"/>
        <w:rPr>
          <w:rFonts w:ascii="楷体" w:hAnsi="楷体" w:eastAsia="仿宋_GB2312" w:cs="楷体"/>
          <w:b/>
          <w:bCs/>
          <w:i/>
          <w:color w:val="auto"/>
          <w:sz w:val="32"/>
          <w:szCs w:val="32"/>
        </w:rPr>
      </w:pPr>
      <w:r>
        <w:rPr>
          <w:rFonts w:hint="eastAsia" w:ascii="Times New Roman" w:hAnsi="Times New Roman" w:eastAsia="仿宋_GB2312"/>
          <w:sz w:val="32"/>
          <w:szCs w:val="32"/>
        </w:rPr>
        <w:t>1、因公出国（境）费支出决算为0万元，</w:t>
      </w:r>
      <w:r>
        <w:rPr>
          <w:rFonts w:hint="eastAsia" w:ascii="Times New Roman" w:hAnsi="Times New Roman" w:eastAsia="仿宋_GB2312"/>
          <w:sz w:val="32"/>
          <w:szCs w:val="32"/>
          <w:highlight w:val="none"/>
        </w:rPr>
        <w:t>，全年安排因公出国（境）团组0个，累计0人次</w:t>
      </w:r>
      <w:r>
        <w:rPr>
          <w:rFonts w:hint="eastAsia" w:ascii="Times New Roman" w:hAnsi="Times New Roman" w:eastAsia="仿宋_GB2312"/>
          <w:sz w:val="32"/>
          <w:szCs w:val="32"/>
        </w:rPr>
        <w:t>。</w:t>
      </w:r>
    </w:p>
    <w:p>
      <w:pPr>
        <w:pStyle w:val="16"/>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2、公务接待费支出决算为6万元，全年共接待来访团组73个、来宾357人次，主要是省市县等相关部门、企业进行调研、考察、项目对接等发生的接待支出。</w:t>
      </w:r>
    </w:p>
    <w:p>
      <w:pPr>
        <w:spacing w:line="600" w:lineRule="exact"/>
        <w:ind w:firstLine="800" w:firstLineChars="250"/>
        <w:rPr>
          <w:rFonts w:ascii="楷体" w:hAnsi="楷体" w:eastAsia="楷体" w:cs="楷体"/>
          <w:b/>
          <w:bCs/>
          <w:i/>
          <w:kern w:val="0"/>
          <w:sz w:val="32"/>
          <w:szCs w:val="32"/>
        </w:rPr>
      </w:pPr>
      <w:r>
        <w:rPr>
          <w:rFonts w:hint="eastAsia" w:ascii="Times New Roman" w:hAnsi="Times New Roman" w:eastAsia="仿宋_GB2312"/>
          <w:sz w:val="32"/>
          <w:szCs w:val="32"/>
        </w:rPr>
        <w:t>3、公务用车购置费及运行维护费支出决算为6万元，其中：公务用车购置费0万元</w:t>
      </w:r>
      <w:r>
        <w:rPr>
          <w:rFonts w:hint="eastAsia" w:ascii="Times New Roman" w:hAnsi="Times New Roman" w:eastAsia="仿宋_GB2312"/>
          <w:sz w:val="32"/>
          <w:szCs w:val="32"/>
        </w:rPr>
        <w:t>，单位本级更新公务用车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w:t>
      </w:r>
      <w:r>
        <w:rPr>
          <w:rFonts w:hint="eastAsia" w:ascii="Times New Roman" w:hAnsi="Times New Roman" w:eastAsia="仿宋_GB2312"/>
          <w:color w:val="000000" w:themeColor="text1"/>
          <w:sz w:val="32"/>
          <w:szCs w:val="32"/>
        </w:rPr>
        <w:t>。</w:t>
      </w:r>
      <w:r>
        <w:rPr>
          <w:rFonts w:hint="eastAsia" w:ascii="Times New Roman" w:hAnsi="Times New Roman" w:eastAsia="仿宋_GB2312"/>
          <w:sz w:val="32"/>
          <w:szCs w:val="32"/>
        </w:rPr>
        <w:t>公务用车运行维护费6万元，主要是车辆燃油、保险、维修、通行费等支出，截止2022年12月31日，我单位开支财政拨款的公务用车保有量为2辆。</w:t>
      </w:r>
    </w:p>
    <w:p>
      <w:pPr>
        <w:pStyle w:val="16"/>
        <w:spacing w:line="600" w:lineRule="exact"/>
        <w:ind w:firstLine="640" w:firstLineChars="200"/>
        <w:rPr>
          <w:rFonts w:hAnsi="黑体"/>
          <w:bCs/>
          <w:sz w:val="32"/>
          <w:szCs w:val="32"/>
        </w:rPr>
      </w:pPr>
      <w:r>
        <w:rPr>
          <w:rFonts w:hint="eastAsia" w:hAnsi="黑体"/>
          <w:bCs/>
          <w:sz w:val="32"/>
          <w:szCs w:val="32"/>
        </w:rPr>
        <w:t>八、政府性基金预算收入支出决算情况</w:t>
      </w:r>
    </w:p>
    <w:p>
      <w:pPr>
        <w:pStyle w:val="16"/>
        <w:spacing w:line="600" w:lineRule="exact"/>
        <w:rPr>
          <w:rFonts w:ascii="Times New Roman" w:hAnsi="Times New Roman" w:eastAsia="仿宋_GB2312" w:cstheme="minorBidi"/>
          <w:color w:val="auto"/>
          <w:kern w:val="2"/>
          <w:sz w:val="32"/>
          <w:szCs w:val="32"/>
        </w:rPr>
      </w:pPr>
      <w:r>
        <w:rPr>
          <w:rFonts w:hint="eastAsia" w:ascii="Times New Roman" w:hAnsi="Times New Roman" w:eastAsia="仿宋_GB2312" w:cstheme="minorBidi"/>
          <w:color w:val="auto"/>
          <w:kern w:val="2"/>
          <w:sz w:val="32"/>
          <w:szCs w:val="32"/>
        </w:rPr>
        <w:t xml:space="preserve">    本单位2022年无政府性基金收支</w:t>
      </w:r>
    </w:p>
    <w:p>
      <w:pPr>
        <w:pStyle w:val="16"/>
        <w:spacing w:line="600" w:lineRule="exact"/>
        <w:ind w:firstLine="640" w:firstLineChars="200"/>
        <w:rPr>
          <w:rFonts w:ascii="Times New Roman" w:hAnsi="Times New Roman" w:eastAsia="仿宋_GB2312"/>
          <w:b/>
          <w:sz w:val="32"/>
          <w:szCs w:val="32"/>
        </w:rPr>
      </w:pPr>
      <w:r>
        <w:rPr>
          <w:rFonts w:hint="eastAsia" w:ascii="Times New Roman" w:hAnsi="Times New Roman" w:eastAsia="仿宋_GB2312"/>
          <w:b/>
          <w:sz w:val="32"/>
          <w:szCs w:val="32"/>
        </w:rPr>
        <w:t>九、关于机关运行经费支出说明</w:t>
      </w:r>
    </w:p>
    <w:p>
      <w:pPr>
        <w:pStyle w:val="16"/>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本部门2022年度无机关运行经费支出。</w:t>
      </w:r>
    </w:p>
    <w:p>
      <w:pPr>
        <w:pStyle w:val="16"/>
        <w:spacing w:line="600" w:lineRule="exact"/>
        <w:ind w:firstLine="640" w:firstLineChars="200"/>
        <w:rPr>
          <w:rFonts w:hAnsi="黑体"/>
          <w:bCs/>
          <w:sz w:val="32"/>
          <w:szCs w:val="32"/>
        </w:rPr>
      </w:pPr>
      <w:r>
        <w:rPr>
          <w:rFonts w:hint="eastAsia" w:hAnsi="黑体"/>
          <w:bCs/>
          <w:sz w:val="32"/>
          <w:szCs w:val="32"/>
        </w:rPr>
        <w:t>十、一般性支出情况说明</w:t>
      </w:r>
    </w:p>
    <w:p>
      <w:pPr>
        <w:pStyle w:val="16"/>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2022年本部门开支会议费22.87万元，其中：</w:t>
      </w:r>
    </w:p>
    <w:p>
      <w:pPr>
        <w:pStyle w:val="16"/>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1、农机评价进展推进会，0.17万元，31人；</w:t>
      </w:r>
    </w:p>
    <w:p>
      <w:pPr>
        <w:pStyle w:val="16"/>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2、棉花播种机械田间测试评价会，0.21万元，40人；</w:t>
      </w:r>
    </w:p>
    <w:p>
      <w:pPr>
        <w:pStyle w:val="16"/>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3、地方标准审查会，0.28万元，36人；</w:t>
      </w:r>
    </w:p>
    <w:p>
      <w:pPr>
        <w:pStyle w:val="16"/>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4、2022年湖南棉花项目指南审议会，0.43万元，10人；</w:t>
      </w:r>
    </w:p>
    <w:p>
      <w:pPr>
        <w:pStyle w:val="16"/>
        <w:numPr>
          <w:ilvl w:val="0"/>
          <w:numId w:val="2"/>
        </w:numPr>
        <w:spacing w:line="600" w:lineRule="exact"/>
        <w:ind w:firstLine="640"/>
        <w:rPr>
          <w:rFonts w:ascii="Times New Roman" w:hAnsi="Times New Roman" w:eastAsia="仿宋_GB2312"/>
          <w:sz w:val="32"/>
          <w:szCs w:val="32"/>
        </w:rPr>
      </w:pPr>
      <w:r>
        <w:rPr>
          <w:rFonts w:hint="eastAsia" w:ascii="Times New Roman" w:hAnsi="Times New Roman" w:eastAsia="仿宋_GB2312"/>
          <w:sz w:val="32"/>
          <w:szCs w:val="32"/>
        </w:rPr>
        <w:t>棉花专家指导组第二次全会，1.00万元，28人；</w:t>
      </w:r>
    </w:p>
    <w:p>
      <w:pPr>
        <w:pStyle w:val="16"/>
        <w:numPr>
          <w:ilvl w:val="0"/>
          <w:numId w:val="2"/>
        </w:numPr>
        <w:spacing w:line="600" w:lineRule="exact"/>
        <w:ind w:firstLine="640"/>
        <w:rPr>
          <w:rFonts w:ascii="Times New Roman" w:hAnsi="Times New Roman" w:eastAsia="仿宋_GB2312"/>
          <w:sz w:val="32"/>
          <w:szCs w:val="32"/>
        </w:rPr>
      </w:pPr>
      <w:r>
        <w:rPr>
          <w:rFonts w:hint="eastAsia" w:ascii="Times New Roman" w:hAnsi="Times New Roman" w:eastAsia="仿宋_GB2312"/>
          <w:sz w:val="32"/>
          <w:szCs w:val="32"/>
        </w:rPr>
        <w:t>2022年湖南省棉花项目评审会，0.83万元，17人；</w:t>
      </w:r>
    </w:p>
    <w:p>
      <w:pPr>
        <w:pStyle w:val="16"/>
        <w:numPr>
          <w:ilvl w:val="0"/>
          <w:numId w:val="2"/>
        </w:numPr>
        <w:spacing w:line="600" w:lineRule="exact"/>
        <w:ind w:firstLine="640"/>
        <w:rPr>
          <w:rFonts w:ascii="Times New Roman" w:hAnsi="Times New Roman" w:eastAsia="仿宋_GB2312"/>
          <w:sz w:val="32"/>
          <w:szCs w:val="32"/>
        </w:rPr>
      </w:pPr>
      <w:r>
        <w:rPr>
          <w:rFonts w:ascii="Times New Roman" w:hAnsi="Times New Roman" w:eastAsia="仿宋_GB2312"/>
          <w:sz w:val="32"/>
          <w:szCs w:val="32"/>
        </w:rPr>
        <w:t>甘薯高产高效技术培训会</w:t>
      </w:r>
      <w:r>
        <w:rPr>
          <w:rFonts w:hint="eastAsia" w:ascii="Times New Roman" w:hAnsi="Times New Roman" w:eastAsia="仿宋_GB2312"/>
          <w:sz w:val="32"/>
          <w:szCs w:val="32"/>
        </w:rPr>
        <w:t>，1.45万元，55人；</w:t>
      </w:r>
    </w:p>
    <w:p>
      <w:pPr>
        <w:pStyle w:val="16"/>
        <w:numPr>
          <w:ilvl w:val="0"/>
          <w:numId w:val="2"/>
        </w:numPr>
        <w:spacing w:line="600" w:lineRule="exact"/>
        <w:ind w:firstLine="640"/>
        <w:rPr>
          <w:rFonts w:ascii="Times New Roman" w:hAnsi="Times New Roman" w:eastAsia="仿宋_GB2312"/>
          <w:sz w:val="32"/>
          <w:szCs w:val="32"/>
        </w:rPr>
      </w:pPr>
      <w:r>
        <w:rPr>
          <w:rFonts w:ascii="Times New Roman" w:hAnsi="Times New Roman" w:eastAsia="仿宋_GB2312"/>
          <w:sz w:val="32"/>
          <w:szCs w:val="32"/>
        </w:rPr>
        <w:t>参加中国作物学会棉花专业委员会第一届青年学术研讨会会议费</w:t>
      </w:r>
      <w:r>
        <w:rPr>
          <w:rFonts w:hint="eastAsia" w:ascii="Times New Roman" w:hAnsi="Times New Roman" w:eastAsia="仿宋_GB2312"/>
          <w:sz w:val="32"/>
          <w:szCs w:val="32"/>
        </w:rPr>
        <w:t>，0.32万元，4人；</w:t>
      </w:r>
    </w:p>
    <w:p>
      <w:pPr>
        <w:pStyle w:val="16"/>
        <w:numPr>
          <w:ilvl w:val="0"/>
          <w:numId w:val="2"/>
        </w:numPr>
        <w:spacing w:line="600" w:lineRule="exact"/>
        <w:ind w:firstLine="640"/>
        <w:rPr>
          <w:rFonts w:ascii="Times New Roman" w:hAnsi="Times New Roman" w:eastAsia="仿宋_GB2312"/>
          <w:sz w:val="32"/>
          <w:szCs w:val="32"/>
        </w:rPr>
      </w:pPr>
      <w:r>
        <w:rPr>
          <w:rFonts w:ascii="Times New Roman" w:hAnsi="Times New Roman" w:eastAsia="仿宋_GB2312"/>
          <w:sz w:val="32"/>
          <w:szCs w:val="32"/>
        </w:rPr>
        <w:t>中药材高效种植技术交流会</w:t>
      </w:r>
      <w:r>
        <w:rPr>
          <w:rFonts w:hint="eastAsia" w:ascii="Times New Roman" w:hAnsi="Times New Roman" w:eastAsia="仿宋_GB2312"/>
          <w:sz w:val="32"/>
          <w:szCs w:val="32"/>
        </w:rPr>
        <w:t>，1.90万元，51人；</w:t>
      </w:r>
    </w:p>
    <w:p>
      <w:pPr>
        <w:pStyle w:val="16"/>
        <w:numPr>
          <w:ilvl w:val="0"/>
          <w:numId w:val="2"/>
        </w:numPr>
        <w:spacing w:line="600" w:lineRule="exact"/>
        <w:ind w:firstLine="640"/>
        <w:rPr>
          <w:rFonts w:ascii="Times New Roman" w:hAnsi="Times New Roman" w:eastAsia="仿宋_GB2312"/>
          <w:sz w:val="32"/>
          <w:szCs w:val="32"/>
        </w:rPr>
      </w:pPr>
      <w:r>
        <w:rPr>
          <w:rFonts w:ascii="Times New Roman" w:hAnsi="Times New Roman" w:eastAsia="仿宋_GB2312"/>
          <w:sz w:val="32"/>
          <w:szCs w:val="32"/>
        </w:rPr>
        <w:t>参加中国作物学会棉花专业委员会第一届青年学术研讨会会议费</w:t>
      </w:r>
      <w:r>
        <w:rPr>
          <w:rFonts w:hint="eastAsia" w:ascii="Times New Roman" w:hAnsi="Times New Roman" w:eastAsia="仿宋_GB2312"/>
          <w:sz w:val="32"/>
          <w:szCs w:val="32"/>
        </w:rPr>
        <w:t>，0.16万元，2人；</w:t>
      </w:r>
    </w:p>
    <w:p>
      <w:pPr>
        <w:pStyle w:val="16"/>
        <w:numPr>
          <w:ilvl w:val="0"/>
          <w:numId w:val="2"/>
        </w:numPr>
        <w:spacing w:line="600" w:lineRule="exact"/>
        <w:ind w:firstLine="640"/>
        <w:rPr>
          <w:rFonts w:ascii="Times New Roman" w:hAnsi="Times New Roman" w:eastAsia="仿宋_GB2312"/>
          <w:sz w:val="32"/>
          <w:szCs w:val="32"/>
        </w:rPr>
      </w:pPr>
      <w:r>
        <w:rPr>
          <w:rFonts w:ascii="Times New Roman" w:hAnsi="Times New Roman" w:eastAsia="仿宋_GB2312"/>
          <w:sz w:val="32"/>
          <w:szCs w:val="32"/>
        </w:rPr>
        <w:t>棉花科技创新及科技服务项目验收会</w:t>
      </w:r>
      <w:r>
        <w:rPr>
          <w:rFonts w:hint="eastAsia" w:ascii="Times New Roman" w:hAnsi="Times New Roman" w:eastAsia="仿宋_GB2312"/>
          <w:sz w:val="32"/>
          <w:szCs w:val="32"/>
        </w:rPr>
        <w:t>，0.43万元，20人；</w:t>
      </w:r>
    </w:p>
    <w:p>
      <w:pPr>
        <w:pStyle w:val="16"/>
        <w:numPr>
          <w:ilvl w:val="0"/>
          <w:numId w:val="2"/>
        </w:numPr>
        <w:spacing w:line="600" w:lineRule="exact"/>
        <w:ind w:firstLine="640"/>
        <w:rPr>
          <w:rFonts w:ascii="Times New Roman" w:hAnsi="Times New Roman" w:eastAsia="仿宋_GB2312"/>
          <w:sz w:val="32"/>
          <w:szCs w:val="32"/>
        </w:rPr>
      </w:pPr>
      <w:r>
        <w:rPr>
          <w:rFonts w:ascii="Times New Roman" w:hAnsi="Times New Roman" w:eastAsia="仿宋_GB2312"/>
          <w:sz w:val="32"/>
          <w:szCs w:val="32"/>
        </w:rPr>
        <w:t>草地贪夜蛾综合防控技术集成与示范现场评议会</w:t>
      </w:r>
      <w:r>
        <w:rPr>
          <w:rFonts w:hint="eastAsia" w:ascii="Times New Roman" w:hAnsi="Times New Roman" w:eastAsia="仿宋_GB2312"/>
          <w:sz w:val="32"/>
          <w:szCs w:val="32"/>
        </w:rPr>
        <w:t>，0.07万元，12人；</w:t>
      </w:r>
    </w:p>
    <w:p>
      <w:pPr>
        <w:pStyle w:val="16"/>
        <w:numPr>
          <w:ilvl w:val="0"/>
          <w:numId w:val="2"/>
        </w:numPr>
        <w:spacing w:line="600" w:lineRule="exact"/>
        <w:ind w:firstLine="640"/>
        <w:rPr>
          <w:rFonts w:ascii="Times New Roman" w:hAnsi="Times New Roman" w:eastAsia="仿宋_GB2312"/>
          <w:sz w:val="32"/>
          <w:szCs w:val="32"/>
        </w:rPr>
      </w:pPr>
      <w:r>
        <w:rPr>
          <w:rFonts w:ascii="Times New Roman" w:hAnsi="Times New Roman" w:eastAsia="仿宋_GB2312"/>
          <w:sz w:val="32"/>
          <w:szCs w:val="32"/>
        </w:rPr>
        <w:t>严格管控区种植棉花示范县（片）种植技术培训会</w:t>
      </w:r>
      <w:r>
        <w:rPr>
          <w:rFonts w:hint="eastAsia" w:ascii="Times New Roman" w:hAnsi="Times New Roman" w:eastAsia="仿宋_GB2312"/>
          <w:sz w:val="32"/>
          <w:szCs w:val="32"/>
        </w:rPr>
        <w:t>，3.10万元，107人；</w:t>
      </w:r>
    </w:p>
    <w:p>
      <w:pPr>
        <w:pStyle w:val="16"/>
        <w:numPr>
          <w:ilvl w:val="0"/>
          <w:numId w:val="2"/>
        </w:numPr>
        <w:spacing w:line="600" w:lineRule="exact"/>
        <w:ind w:firstLine="640"/>
        <w:rPr>
          <w:rFonts w:ascii="Times New Roman" w:hAnsi="Times New Roman" w:eastAsia="仿宋_GB2312"/>
          <w:sz w:val="32"/>
          <w:szCs w:val="32"/>
        </w:rPr>
      </w:pPr>
      <w:r>
        <w:rPr>
          <w:rFonts w:ascii="Times New Roman" w:hAnsi="Times New Roman" w:eastAsia="仿宋_GB2312"/>
          <w:sz w:val="32"/>
          <w:szCs w:val="32"/>
        </w:rPr>
        <w:t>参加全国棉花学会会议注册费</w:t>
      </w:r>
      <w:r>
        <w:rPr>
          <w:rFonts w:hint="eastAsia" w:ascii="Times New Roman" w:hAnsi="Times New Roman" w:eastAsia="仿宋_GB2312"/>
          <w:sz w:val="32"/>
          <w:szCs w:val="32"/>
        </w:rPr>
        <w:t>，0.40万元，4人；</w:t>
      </w:r>
    </w:p>
    <w:p>
      <w:pPr>
        <w:pStyle w:val="16"/>
        <w:numPr>
          <w:ilvl w:val="0"/>
          <w:numId w:val="2"/>
        </w:numPr>
        <w:spacing w:line="600" w:lineRule="exact"/>
        <w:ind w:firstLine="640"/>
        <w:rPr>
          <w:rFonts w:ascii="Times New Roman" w:hAnsi="Times New Roman" w:eastAsia="仿宋_GB2312"/>
          <w:sz w:val="32"/>
          <w:szCs w:val="32"/>
        </w:rPr>
      </w:pPr>
      <w:r>
        <w:rPr>
          <w:rFonts w:ascii="Times New Roman" w:hAnsi="Times New Roman" w:eastAsia="仿宋_GB2312"/>
          <w:sz w:val="32"/>
          <w:szCs w:val="32"/>
        </w:rPr>
        <w:t>长江流域棉花生产技术交流会</w:t>
      </w:r>
      <w:r>
        <w:rPr>
          <w:rFonts w:hint="eastAsia" w:ascii="Times New Roman" w:hAnsi="Times New Roman" w:eastAsia="仿宋_GB2312"/>
          <w:sz w:val="32"/>
          <w:szCs w:val="32"/>
        </w:rPr>
        <w:t>，1.72万元，55人；</w:t>
      </w:r>
    </w:p>
    <w:p>
      <w:pPr>
        <w:pStyle w:val="16"/>
        <w:numPr>
          <w:ilvl w:val="0"/>
          <w:numId w:val="2"/>
        </w:numPr>
        <w:spacing w:line="600" w:lineRule="exact"/>
        <w:ind w:firstLine="640"/>
        <w:rPr>
          <w:rFonts w:ascii="Times New Roman" w:hAnsi="Times New Roman" w:eastAsia="仿宋_GB2312"/>
          <w:sz w:val="32"/>
          <w:szCs w:val="32"/>
        </w:rPr>
      </w:pPr>
      <w:r>
        <w:rPr>
          <w:rFonts w:ascii="Times New Roman" w:hAnsi="Times New Roman" w:eastAsia="仿宋_GB2312"/>
          <w:sz w:val="32"/>
          <w:szCs w:val="32"/>
        </w:rPr>
        <w:t>棉花生产技术及社会化服务项目培训会议</w:t>
      </w:r>
      <w:r>
        <w:rPr>
          <w:rFonts w:hint="eastAsia" w:ascii="Times New Roman" w:hAnsi="Times New Roman" w:eastAsia="仿宋_GB2312"/>
          <w:sz w:val="32"/>
          <w:szCs w:val="32"/>
        </w:rPr>
        <w:t>，4.24万元，107人；</w:t>
      </w:r>
    </w:p>
    <w:p>
      <w:pPr>
        <w:pStyle w:val="16"/>
        <w:numPr>
          <w:ilvl w:val="0"/>
          <w:numId w:val="2"/>
        </w:numPr>
        <w:tabs>
          <w:tab w:val="left" w:pos="2298"/>
        </w:tabs>
        <w:spacing w:line="600" w:lineRule="exact"/>
        <w:ind w:firstLine="640"/>
        <w:rPr>
          <w:rFonts w:ascii="Times New Roman" w:hAnsi="Times New Roman" w:eastAsia="仿宋_GB2312"/>
          <w:sz w:val="32"/>
          <w:szCs w:val="32"/>
        </w:rPr>
      </w:pPr>
      <w:r>
        <w:rPr>
          <w:rFonts w:hint="eastAsia" w:ascii="Times New Roman" w:hAnsi="Times New Roman" w:eastAsia="仿宋_GB2312"/>
          <w:sz w:val="32"/>
          <w:szCs w:val="32"/>
        </w:rPr>
        <w:t>棉花优质抗逆技术交流与研讨会，1.34万元，21人；</w:t>
      </w:r>
    </w:p>
    <w:p>
      <w:pPr>
        <w:pStyle w:val="16"/>
        <w:numPr>
          <w:ilvl w:val="0"/>
          <w:numId w:val="2"/>
        </w:numPr>
        <w:tabs>
          <w:tab w:val="left" w:pos="2298"/>
        </w:tabs>
        <w:spacing w:line="600" w:lineRule="exact"/>
        <w:ind w:firstLine="640"/>
        <w:rPr>
          <w:rFonts w:ascii="Times New Roman" w:hAnsi="Times New Roman" w:eastAsia="仿宋_GB2312"/>
          <w:sz w:val="32"/>
          <w:szCs w:val="32"/>
        </w:rPr>
      </w:pPr>
      <w:r>
        <w:rPr>
          <w:rFonts w:ascii="Times New Roman" w:hAnsi="Times New Roman" w:eastAsia="仿宋_GB2312"/>
          <w:sz w:val="32"/>
          <w:szCs w:val="32"/>
        </w:rPr>
        <w:t>棉花社会化服务项目工作调度会议</w:t>
      </w:r>
      <w:r>
        <w:rPr>
          <w:rFonts w:hint="eastAsia" w:ascii="Times New Roman" w:hAnsi="Times New Roman" w:eastAsia="仿宋_GB2312"/>
          <w:sz w:val="32"/>
          <w:szCs w:val="32"/>
        </w:rPr>
        <w:t>，1.38万元，41人；</w:t>
      </w:r>
    </w:p>
    <w:p>
      <w:pPr>
        <w:pStyle w:val="16"/>
        <w:numPr>
          <w:ilvl w:val="0"/>
          <w:numId w:val="2"/>
        </w:numPr>
        <w:tabs>
          <w:tab w:val="left" w:pos="2298"/>
        </w:tabs>
        <w:spacing w:line="600" w:lineRule="exact"/>
        <w:ind w:firstLine="640"/>
        <w:rPr>
          <w:rFonts w:ascii="Times New Roman" w:hAnsi="Times New Roman" w:eastAsia="仿宋_GB2312"/>
          <w:sz w:val="32"/>
          <w:szCs w:val="32"/>
        </w:rPr>
      </w:pPr>
      <w:r>
        <w:rPr>
          <w:rFonts w:ascii="Times New Roman" w:hAnsi="Times New Roman" w:eastAsia="仿宋_GB2312"/>
          <w:sz w:val="32"/>
          <w:szCs w:val="32"/>
        </w:rPr>
        <w:t>棉花生产研讨会</w:t>
      </w:r>
      <w:r>
        <w:rPr>
          <w:rFonts w:hint="eastAsia" w:ascii="Times New Roman" w:hAnsi="Times New Roman" w:eastAsia="仿宋_GB2312"/>
          <w:sz w:val="32"/>
          <w:szCs w:val="32"/>
        </w:rPr>
        <w:t>，0.27万元，15人；</w:t>
      </w:r>
    </w:p>
    <w:p>
      <w:pPr>
        <w:pStyle w:val="16"/>
        <w:numPr>
          <w:ilvl w:val="0"/>
          <w:numId w:val="2"/>
        </w:numPr>
        <w:tabs>
          <w:tab w:val="left" w:pos="2298"/>
        </w:tabs>
        <w:spacing w:line="600" w:lineRule="exact"/>
        <w:ind w:firstLine="640"/>
        <w:rPr>
          <w:rFonts w:ascii="Times New Roman" w:hAnsi="Times New Roman" w:eastAsia="仿宋_GB2312"/>
          <w:sz w:val="32"/>
          <w:szCs w:val="32"/>
        </w:rPr>
      </w:pPr>
      <w:r>
        <w:rPr>
          <w:rFonts w:ascii="Times New Roman" w:hAnsi="Times New Roman" w:eastAsia="仿宋_GB2312"/>
          <w:sz w:val="32"/>
          <w:szCs w:val="32"/>
        </w:rPr>
        <w:t>棉花生产工作部署会</w:t>
      </w:r>
      <w:r>
        <w:rPr>
          <w:rFonts w:hint="eastAsia" w:ascii="Times New Roman" w:hAnsi="Times New Roman" w:eastAsia="仿宋_GB2312"/>
          <w:sz w:val="32"/>
          <w:szCs w:val="32"/>
        </w:rPr>
        <w:t>，1.74万元，48人；</w:t>
      </w:r>
    </w:p>
    <w:p>
      <w:pPr>
        <w:pStyle w:val="16"/>
        <w:numPr>
          <w:ilvl w:val="0"/>
          <w:numId w:val="2"/>
        </w:numPr>
        <w:tabs>
          <w:tab w:val="left" w:pos="2298"/>
        </w:tabs>
        <w:spacing w:line="600" w:lineRule="exact"/>
        <w:ind w:firstLine="640"/>
        <w:rPr>
          <w:rFonts w:ascii="Times New Roman" w:hAnsi="Times New Roman" w:eastAsia="仿宋_GB2312"/>
          <w:sz w:val="32"/>
          <w:szCs w:val="32"/>
        </w:rPr>
      </w:pPr>
      <w:r>
        <w:rPr>
          <w:rFonts w:ascii="Times New Roman" w:hAnsi="Times New Roman" w:eastAsia="仿宋_GB2312"/>
          <w:sz w:val="32"/>
          <w:szCs w:val="32"/>
        </w:rPr>
        <w:t>棉花生产指导组对接会</w:t>
      </w:r>
      <w:r>
        <w:rPr>
          <w:rFonts w:hint="eastAsia" w:ascii="Times New Roman" w:hAnsi="Times New Roman" w:eastAsia="仿宋_GB2312"/>
          <w:sz w:val="32"/>
          <w:szCs w:val="32"/>
        </w:rPr>
        <w:t>，1.34万元，47人；</w:t>
      </w:r>
    </w:p>
    <w:p>
      <w:pPr>
        <w:pStyle w:val="16"/>
        <w:numPr>
          <w:ilvl w:val="0"/>
          <w:numId w:val="2"/>
        </w:numPr>
        <w:tabs>
          <w:tab w:val="left" w:pos="2298"/>
        </w:tabs>
        <w:spacing w:line="600" w:lineRule="exact"/>
        <w:ind w:firstLine="640"/>
        <w:rPr>
          <w:rFonts w:ascii="Times New Roman" w:hAnsi="Times New Roman" w:eastAsia="仿宋_GB2312"/>
          <w:sz w:val="32"/>
          <w:szCs w:val="32"/>
        </w:rPr>
      </w:pPr>
      <w:r>
        <w:rPr>
          <w:rFonts w:ascii="Times New Roman" w:hAnsi="Times New Roman" w:eastAsia="仿宋_GB2312"/>
          <w:sz w:val="32"/>
          <w:szCs w:val="32"/>
        </w:rPr>
        <w:t>除草剂在棉田杂草防控中的应用与再评价验收会</w:t>
      </w:r>
      <w:r>
        <w:rPr>
          <w:rFonts w:hint="eastAsia" w:ascii="Times New Roman" w:hAnsi="Times New Roman" w:eastAsia="仿宋_GB2312"/>
          <w:sz w:val="32"/>
          <w:szCs w:val="32"/>
        </w:rPr>
        <w:t>，0.06万元，10人；</w:t>
      </w:r>
    </w:p>
    <w:p>
      <w:pPr>
        <w:pStyle w:val="16"/>
        <w:numPr>
          <w:ilvl w:val="0"/>
          <w:numId w:val="2"/>
        </w:numPr>
        <w:tabs>
          <w:tab w:val="left" w:pos="2298"/>
        </w:tabs>
        <w:spacing w:line="600" w:lineRule="exact"/>
        <w:ind w:firstLine="640"/>
        <w:rPr>
          <w:rFonts w:ascii="Times New Roman" w:hAnsi="Times New Roman" w:eastAsia="仿宋_GB2312"/>
          <w:sz w:val="32"/>
          <w:szCs w:val="32"/>
        </w:rPr>
      </w:pPr>
      <w:r>
        <w:rPr>
          <w:rFonts w:ascii="Times New Roman" w:hAnsi="Times New Roman" w:eastAsia="仿宋_GB2312"/>
          <w:sz w:val="32"/>
          <w:szCs w:val="32"/>
        </w:rPr>
        <w:t>绿色轻简高效植棉技术服务项目验收会</w:t>
      </w:r>
      <w:r>
        <w:rPr>
          <w:rFonts w:hint="eastAsia" w:ascii="Times New Roman" w:hAnsi="Times New Roman" w:eastAsia="仿宋_GB2312"/>
          <w:sz w:val="32"/>
          <w:szCs w:val="32"/>
        </w:rPr>
        <w:t>，0.04万元，10人。</w:t>
      </w:r>
    </w:p>
    <w:p>
      <w:pPr>
        <w:pStyle w:val="16"/>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开支培训费12.23万元，人数452人，其中：</w:t>
      </w:r>
    </w:p>
    <w:p>
      <w:pPr>
        <w:pStyle w:val="16"/>
        <w:numPr>
          <w:ilvl w:val="0"/>
          <w:numId w:val="3"/>
        </w:numPr>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棉花千亩示范区技术培训，1.00万元，85人；</w:t>
      </w:r>
    </w:p>
    <w:p>
      <w:pPr>
        <w:pStyle w:val="16"/>
        <w:numPr>
          <w:ilvl w:val="0"/>
          <w:numId w:val="3"/>
        </w:num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棉花轻简栽培技术培训</w:t>
      </w:r>
      <w:r>
        <w:rPr>
          <w:rFonts w:hint="eastAsia" w:ascii="Times New Roman" w:hAnsi="Times New Roman" w:eastAsia="仿宋_GB2312"/>
          <w:sz w:val="32"/>
          <w:szCs w:val="32"/>
        </w:rPr>
        <w:t>，2.06万元，114人；</w:t>
      </w:r>
    </w:p>
    <w:p>
      <w:pPr>
        <w:pStyle w:val="16"/>
        <w:numPr>
          <w:ilvl w:val="0"/>
          <w:numId w:val="3"/>
        </w:num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棉花规模生产主体培训</w:t>
      </w:r>
      <w:r>
        <w:rPr>
          <w:rFonts w:hint="eastAsia" w:ascii="Times New Roman" w:hAnsi="Times New Roman" w:eastAsia="仿宋_GB2312"/>
          <w:sz w:val="32"/>
          <w:szCs w:val="32"/>
        </w:rPr>
        <w:t>，6.74万元，131人；</w:t>
      </w:r>
    </w:p>
    <w:p>
      <w:pPr>
        <w:pStyle w:val="16"/>
        <w:numPr>
          <w:ilvl w:val="0"/>
          <w:numId w:val="3"/>
        </w:num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全所礼仪知识、公文写作、讲解能力培训</w:t>
      </w:r>
      <w:r>
        <w:rPr>
          <w:rFonts w:hint="eastAsia" w:ascii="Times New Roman" w:hAnsi="Times New Roman" w:eastAsia="仿宋_GB2312"/>
          <w:sz w:val="32"/>
          <w:szCs w:val="32"/>
        </w:rPr>
        <w:t>，0.72万元，59人；</w:t>
      </w:r>
    </w:p>
    <w:p>
      <w:pPr>
        <w:pStyle w:val="16"/>
        <w:numPr>
          <w:ilvl w:val="0"/>
          <w:numId w:val="3"/>
        </w:num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在职人员继续教育培训</w:t>
      </w:r>
      <w:r>
        <w:rPr>
          <w:rFonts w:hint="eastAsia" w:ascii="Times New Roman" w:hAnsi="Times New Roman" w:eastAsia="仿宋_GB2312"/>
          <w:sz w:val="32"/>
          <w:szCs w:val="32"/>
        </w:rPr>
        <w:t>，1.71万元，63人。</w:t>
      </w:r>
    </w:p>
    <w:p>
      <w:pPr>
        <w:pStyle w:val="16"/>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本单位2022年未举办节庆、晚会、论坛、赛事活动。</w:t>
      </w:r>
    </w:p>
    <w:p>
      <w:pPr>
        <w:pStyle w:val="16"/>
        <w:spacing w:line="600" w:lineRule="exact"/>
        <w:ind w:firstLine="640" w:firstLineChars="200"/>
        <w:rPr>
          <w:rFonts w:hAnsi="黑体"/>
          <w:bCs/>
          <w:sz w:val="32"/>
          <w:szCs w:val="32"/>
        </w:rPr>
      </w:pPr>
      <w:r>
        <w:rPr>
          <w:rFonts w:hint="eastAsia" w:hAnsi="黑体"/>
          <w:bCs/>
          <w:sz w:val="32"/>
          <w:szCs w:val="32"/>
        </w:rPr>
        <w:t>十一、关于政府采购支出说明</w:t>
      </w:r>
    </w:p>
    <w:p>
      <w:pPr>
        <w:pStyle w:val="16"/>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本部门2022年度政府采购支出总额486.87万元，其中：政府采购货物支出224.34万元、政府采购工程支出144.18万元、政府采购服务支出118.35万元。授予中小企业合同金额486.87万元，占政府采购支出总额的100</w:t>
      </w:r>
      <w:bookmarkStart w:id="0" w:name="_GoBack"/>
      <w:bookmarkEnd w:id="0"/>
      <w:r>
        <w:rPr>
          <w:rFonts w:hint="eastAsia" w:ascii="Times New Roman" w:hAnsi="Times New Roman" w:eastAsia="仿宋_GB2312"/>
          <w:sz w:val="32"/>
          <w:szCs w:val="32"/>
        </w:rPr>
        <w:t>%，其中：授予小微企业合同金额486.87万元，占政府采购支出总额的100%。货物采购授予中小企业合同金额占货物支出金额的100%，工程采购授予中小企业合同金额占工程支出金额的100%，服务采购授予中小企业合同金额占服务支出金额的100%。</w:t>
      </w:r>
    </w:p>
    <w:p>
      <w:pPr>
        <w:pStyle w:val="16"/>
        <w:spacing w:line="600" w:lineRule="exact"/>
        <w:ind w:firstLine="640" w:firstLineChars="200"/>
        <w:rPr>
          <w:rFonts w:hAnsi="黑体"/>
          <w:bCs/>
          <w:sz w:val="32"/>
          <w:szCs w:val="32"/>
        </w:rPr>
      </w:pPr>
      <w:r>
        <w:rPr>
          <w:rFonts w:hint="eastAsia" w:hAnsi="黑体"/>
          <w:bCs/>
          <w:sz w:val="32"/>
          <w:szCs w:val="32"/>
        </w:rPr>
        <w:t>十二、关于国有资产占用情况说明</w:t>
      </w:r>
    </w:p>
    <w:p>
      <w:pPr>
        <w:pStyle w:val="16"/>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截至2022年12月31日，本单位共有车辆2辆，其中，主要领导干部用车0辆，机要通信用车0辆、应急保障用车0辆、执法执勤用车0辆、特种专业技术用车0辆、其他用车2辆，其他用车主要是科技服务下乡车辆及农用车；单位价值50万元以上通用设备0台（套）；单位价值100万元以上专用设备0台（套）。</w:t>
      </w:r>
    </w:p>
    <w:p>
      <w:pPr>
        <w:pStyle w:val="16"/>
        <w:spacing w:line="600" w:lineRule="exact"/>
        <w:ind w:firstLine="640" w:firstLineChars="200"/>
        <w:rPr>
          <w:rFonts w:hAnsi="黑体"/>
          <w:bCs/>
          <w:sz w:val="32"/>
          <w:szCs w:val="32"/>
        </w:rPr>
      </w:pPr>
      <w:r>
        <w:rPr>
          <w:rFonts w:hint="eastAsia" w:hAnsi="黑体"/>
          <w:bCs/>
          <w:sz w:val="32"/>
          <w:szCs w:val="32"/>
        </w:rPr>
        <w:t>十三、关于</w:t>
      </w:r>
      <w:r>
        <w:rPr>
          <w:rFonts w:hint="eastAsia" w:ascii="Times New Roman" w:hAnsi="Times New Roman" w:eastAsia="仿宋_GB2312"/>
          <w:sz w:val="32"/>
          <w:szCs w:val="32"/>
        </w:rPr>
        <w:t>2022</w:t>
      </w:r>
      <w:r>
        <w:rPr>
          <w:rFonts w:hint="eastAsia" w:hAnsi="黑体"/>
          <w:bCs/>
          <w:sz w:val="32"/>
          <w:szCs w:val="32"/>
        </w:rPr>
        <w:t>年度预算绩效情况的说明</w:t>
      </w:r>
    </w:p>
    <w:p>
      <w:pPr>
        <w:pStyle w:val="16"/>
        <w:spacing w:line="600" w:lineRule="exact"/>
        <w:ind w:firstLine="640" w:firstLineChars="200"/>
        <w:rPr>
          <w:rFonts w:ascii="楷体" w:hAnsi="楷体" w:eastAsia="楷体" w:cs="楷体"/>
          <w:b/>
          <w:bCs/>
          <w:sz w:val="32"/>
          <w:szCs w:val="32"/>
        </w:rPr>
      </w:pPr>
      <w:r>
        <w:rPr>
          <w:rFonts w:hint="eastAsia" w:ascii="楷体" w:hAnsi="楷体" w:eastAsia="楷体" w:cs="楷体"/>
          <w:b/>
          <w:bCs/>
          <w:sz w:val="32"/>
          <w:szCs w:val="32"/>
        </w:rPr>
        <w:t>（一）部门整体支出绩效情况</w:t>
      </w:r>
    </w:p>
    <w:p>
      <w:pPr>
        <w:pStyle w:val="16"/>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1、运行成本</w:t>
      </w:r>
    </w:p>
    <w:p>
      <w:pPr>
        <w:pStyle w:val="16"/>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全年预算数4632.50万元，决算数3343.31万元，执行率72.17%，我单位全年整体支出控制在预算范围内。</w:t>
      </w:r>
    </w:p>
    <w:p>
      <w:pPr>
        <w:pStyle w:val="16"/>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人员经费预算数1272.63万元，决算数1272.63万元，公用经费</w:t>
      </w:r>
      <w:r>
        <w:rPr>
          <w:rFonts w:hint="eastAsia" w:ascii="Times New Roman" w:hAnsi="Times New Roman" w:eastAsia="仿宋_GB2312"/>
          <w:color w:val="auto"/>
          <w:sz w:val="32"/>
          <w:szCs w:val="32"/>
        </w:rPr>
        <w:t>预算</w:t>
      </w:r>
      <w:r>
        <w:rPr>
          <w:rFonts w:hint="eastAsia" w:ascii="Times New Roman" w:hAnsi="Times New Roman" w:eastAsia="仿宋_GB2312"/>
          <w:sz w:val="32"/>
          <w:szCs w:val="32"/>
        </w:rPr>
        <w:t>数139.74万元，决算数96.24万元，均控制在预算范围内。</w:t>
      </w:r>
    </w:p>
    <w:p>
      <w:pPr>
        <w:pStyle w:val="16"/>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“三公”经费财政拨款支出预算为12.00万元，支出决算为12.00万元，控制在预算范围内。</w:t>
      </w:r>
    </w:p>
    <w:p>
      <w:pPr>
        <w:pStyle w:val="16"/>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color w:val="auto"/>
          <w:sz w:val="32"/>
          <w:szCs w:val="32"/>
        </w:rPr>
        <w:t>会议费预算24.83万元，决算22.87万元，培训费预算12.41万元，决算12.23万元，</w:t>
      </w:r>
      <w:r>
        <w:rPr>
          <w:rFonts w:hint="eastAsia" w:ascii="Times New Roman" w:hAnsi="Times New Roman" w:eastAsia="仿宋_GB2312"/>
          <w:sz w:val="32"/>
          <w:szCs w:val="32"/>
        </w:rPr>
        <w:t>均控制在预算范围内。</w:t>
      </w:r>
    </w:p>
    <w:p>
      <w:pPr>
        <w:pStyle w:val="16"/>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2、管理效率</w:t>
      </w:r>
    </w:p>
    <w:p>
      <w:pPr>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今</w:t>
      </w:r>
      <w:r>
        <w:rPr>
          <w:rFonts w:hint="eastAsia" w:ascii="仿宋_GB2312" w:eastAsia="仿宋_GB2312" w:cs="Times New Roman" w:hAnsiTheme="minorEastAsia"/>
          <w:sz w:val="32"/>
          <w:szCs w:val="32"/>
        </w:rPr>
        <w:t>年以来，共有9个棉花品种参加长江流域国家区试；5个品种参加了湖南、江苏等省级区域试验；1个品种通过国家审定；3个品种通过</w:t>
      </w:r>
      <w:r>
        <w:rPr>
          <w:rFonts w:hint="eastAsia" w:ascii="仿宋_GB2312" w:hAnsi="Calibri" w:eastAsia="仿宋_GB2312" w:cs="Times New Roman"/>
          <w:sz w:val="32"/>
          <w:szCs w:val="32"/>
        </w:rPr>
        <w:t>湖南省审定，另有1个品种进入省审待审。共发表论文18篇，其中SCI论文9篇，CSCD论文3篇。申报国际与国家发明专利11项，获授权国际发明专利2项、国家发明专利3项。获软件著作权15项，实用新型专利1项。制定地方标准和行业规程20项，其中已颁布实施8项。棉油双直播生产技术被同时评为2022年农业部和湖南省农业主推技术。2人通过正高评审，2人通过副高评审。成功恢复启动湖南省棉花产业技术体系，赵瑞元研究员成功获聘体系首席专家。在旱粮研究方面，初步构建了甘薯脱毒组培</w:t>
      </w:r>
      <w:r>
        <w:rPr>
          <w:rFonts w:ascii="仿宋_GB2312" w:hAnsi="Calibri" w:eastAsia="仿宋_GB2312" w:cs="Times New Roman"/>
          <w:sz w:val="32"/>
          <w:szCs w:val="32"/>
        </w:rPr>
        <w:t>多个品种的</w:t>
      </w:r>
      <w:r>
        <w:rPr>
          <w:rFonts w:hint="eastAsia" w:ascii="仿宋_GB2312" w:hAnsi="Calibri" w:eastAsia="仿宋_GB2312" w:cs="Times New Roman"/>
          <w:sz w:val="32"/>
          <w:szCs w:val="32"/>
        </w:rPr>
        <w:t>从茎尖到成苗的一整套技术体系，甘薯脱毒种</w:t>
      </w:r>
      <w:r>
        <w:rPr>
          <w:rFonts w:ascii="仿宋_GB2312" w:hAnsi="Calibri" w:eastAsia="仿宋_GB2312" w:cs="Times New Roman"/>
          <w:sz w:val="32"/>
          <w:szCs w:val="32"/>
        </w:rPr>
        <w:t>市场供不应求</w:t>
      </w:r>
      <w:r>
        <w:rPr>
          <w:rFonts w:hint="eastAsia" w:ascii="仿宋_GB2312" w:hAnsi="Calibri" w:eastAsia="仿宋_GB2312" w:cs="Times New Roman"/>
          <w:sz w:val="32"/>
          <w:szCs w:val="32"/>
        </w:rPr>
        <w:t>。</w:t>
      </w:r>
    </w:p>
    <w:p>
      <w:pPr>
        <w:pStyle w:val="16"/>
        <w:numPr>
          <w:ilvl w:val="0"/>
          <w:numId w:val="4"/>
        </w:numPr>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履职效能</w:t>
      </w:r>
    </w:p>
    <w:p>
      <w:pPr>
        <w:pStyle w:val="8"/>
        <w:widowControl/>
        <w:shd w:val="clear" w:color="auto" w:fill="FFFFFF"/>
        <w:spacing w:beforeAutospacing="0" w:afterAutospacing="0" w:line="560" w:lineRule="exact"/>
        <w:ind w:firstLine="640" w:firstLineChars="200"/>
        <w:jc w:val="both"/>
        <w:rPr>
          <w:rFonts w:ascii="仿宋_GB2312" w:hAnsi="Calibri" w:eastAsia="仿宋_GB2312" w:cs="Times New Roman"/>
          <w:kern w:val="2"/>
          <w:sz w:val="32"/>
          <w:szCs w:val="32"/>
        </w:rPr>
      </w:pPr>
      <w:r>
        <w:rPr>
          <w:rFonts w:hint="eastAsia" w:ascii="仿宋_GB2312" w:hAnsi="Calibri" w:eastAsia="仿宋_GB2312" w:cs="Times New Roman"/>
          <w:kern w:val="2"/>
          <w:sz w:val="32"/>
          <w:szCs w:val="32"/>
        </w:rPr>
        <w:t>（1）棉花科研再上新台阶。我们继续强化我所全省棉花科研领头雁和主力军作用，全力助推全省棉花产业发展。一是参与棉花生产咨询决策。1月14日，厅种植业处组织召开2022年全省棉花生产工作部署会，时任所党委书记、所长曾球在会上作专题发言，提出切实可行的意见建议，会议明确了2022年全省棉花生产目标“提单产、提质量、稳效益”，计划面积100万亩，多措并举推进“百千万”示范片建设。5月16-17日，协助厅种植业处推动在澧县召开了全省棉花生产现场推进会。二是推进百千万棉花示范片建设。我所12名专家每人负责全省1-2个县百千万示范片棉花生产技术指导任务，在示范区推行棉花轻简化管理、优质棉订单生产模式及高效生产模式等，提高棉农植棉收益，推进全省棉花生产高质量发展。自年初示范片选址，到棉花播种及苗期、蕾期管理等，每名专家集中或各自到示范点开展技术指导和技术培训等人均30次以上。三是加强百亩攻关田示范创建。依托省棉花科技项目支撑，分别在鼎城、桃源、安乡、贺家山等地建设优质棉、机采棉、多抗高产棉花新品种及病虫草害绿色防控等技术百亩攻关片6个，并建设集中连片50亩的新品种展示示范片3个。9月5-8日，对百亩攻关片和新品种展示示范片统一测产，在今年60年不遇的大旱极端天气年份下，移栽棉田平均亩产292.8公斤（单铃重以5g计），直播棉田平均亩产312公斤（单铃重以4.8g计）。四是加快推进采棉机械化。与农业农村部南京农机化所合作，联合研制出履带式刷辊式采棉机样机，进而促成了与央企——铁建重工的合作。7月20-21日，中国工程院院士陈学庚专程带领国家棉花生产全程机械化专家组来我所调研，表示对以湖南为代表的长江流域棉花生产有了全面认识，支持我所与铁建重工联合研制摘锭式采棉机，并将以湖南为试点建立长江流域机械化采棉示范基地。五是推进数字棉花建设。我所与湖南大学合作，率先使用人工智能和大数据技术，开发病虫害智能识别APP，探索棉农“傻瓜式”植棉。这项跨学科、跨领域的联合攻关走在了全国棉花科研界的前列。六是开展重金属污染耕地替代种植研究。2022年，我们在益阳泥江口镇重金属污染耕地开展替代植棉百亩科研攻关田试验示范，耕地平均PH值5.2，镉等重金属含量为国家农用地土壤污染风险管控值（2.0mg/kg）1.4-15.2倍，经测产，最高亩产可达300kg，极大地提振了重金属污染耕地植棉的信心。</w:t>
      </w:r>
    </w:p>
    <w:p>
      <w:pPr>
        <w:pStyle w:val="8"/>
        <w:widowControl/>
        <w:shd w:val="clear" w:color="auto" w:fill="FFFFFF"/>
        <w:spacing w:beforeAutospacing="0" w:afterAutospacing="0" w:line="560" w:lineRule="exact"/>
        <w:ind w:firstLine="640" w:firstLineChars="200"/>
        <w:jc w:val="both"/>
        <w:rPr>
          <w:rFonts w:ascii="仿宋_GB2312" w:hAnsi="Calibri" w:eastAsia="仿宋_GB2312" w:cs="Times New Roman"/>
          <w:kern w:val="2"/>
          <w:sz w:val="32"/>
          <w:szCs w:val="32"/>
        </w:rPr>
      </w:pPr>
      <w:r>
        <w:rPr>
          <w:rFonts w:hint="eastAsia" w:ascii="仿宋_GB2312" w:hAnsi="Calibri" w:eastAsia="仿宋_GB2312" w:cs="Times New Roman"/>
          <w:kern w:val="2"/>
          <w:sz w:val="32"/>
          <w:szCs w:val="32"/>
        </w:rPr>
        <w:t>（2）旱粮研究取得新突破。6月6日，省委农办主任，省农业农村厅党组书记、厅长袁延文莅临我所，高度肯定我所甘薯科研取得的成效，并指示要“对接产业、对接市场，推广甘薯脱毒组培苗”。我们按照指示精神，进一步理清思路，明确发展方向，以甘薯脱毒种苗组培、扩繁供应为突破口，引领旱粮产业做大做强。一是甘薯脱毒组培进展迅速。甘薯实验室脱毒组培取得突破性进展，</w:t>
      </w:r>
      <w:r>
        <w:rPr>
          <w:rFonts w:ascii="仿宋_GB2312" w:hAnsi="Calibri" w:eastAsia="仿宋_GB2312" w:cs="Times New Roman"/>
          <w:kern w:val="2"/>
          <w:sz w:val="32"/>
          <w:szCs w:val="32"/>
        </w:rPr>
        <w:t>茎尖消毒灭菌效果</w:t>
      </w:r>
      <w:r>
        <w:rPr>
          <w:rFonts w:hint="eastAsia" w:ascii="仿宋_GB2312" w:hAnsi="Calibri" w:eastAsia="仿宋_GB2312" w:cs="Times New Roman"/>
          <w:kern w:val="2"/>
          <w:sz w:val="32"/>
          <w:szCs w:val="32"/>
        </w:rPr>
        <w:t>最高</w:t>
      </w:r>
      <w:r>
        <w:rPr>
          <w:rFonts w:ascii="仿宋_GB2312" w:hAnsi="Calibri" w:eastAsia="仿宋_GB2312" w:cs="Times New Roman"/>
          <w:kern w:val="2"/>
          <w:sz w:val="32"/>
          <w:szCs w:val="32"/>
        </w:rPr>
        <w:t>达到9</w:t>
      </w:r>
      <w:r>
        <w:rPr>
          <w:rFonts w:hint="eastAsia" w:ascii="仿宋_GB2312" w:hAnsi="Calibri" w:eastAsia="仿宋_GB2312" w:cs="Times New Roman"/>
          <w:kern w:val="2"/>
          <w:sz w:val="32"/>
          <w:szCs w:val="32"/>
        </w:rPr>
        <w:t>0</w:t>
      </w:r>
      <w:r>
        <w:rPr>
          <w:rFonts w:ascii="仿宋_GB2312" w:hAnsi="Calibri" w:eastAsia="仿宋_GB2312" w:cs="Times New Roman"/>
          <w:kern w:val="2"/>
          <w:sz w:val="32"/>
          <w:szCs w:val="32"/>
        </w:rPr>
        <w:t>%，诱导出芽率</w:t>
      </w:r>
      <w:r>
        <w:rPr>
          <w:rFonts w:hint="eastAsia" w:ascii="仿宋_GB2312" w:hAnsi="Calibri" w:eastAsia="仿宋_GB2312" w:cs="Times New Roman"/>
          <w:kern w:val="2"/>
          <w:sz w:val="32"/>
          <w:szCs w:val="32"/>
        </w:rPr>
        <w:t>最高</w:t>
      </w:r>
      <w:r>
        <w:rPr>
          <w:rFonts w:ascii="仿宋_GB2312" w:hAnsi="Calibri" w:eastAsia="仿宋_GB2312" w:cs="Times New Roman"/>
          <w:kern w:val="2"/>
          <w:sz w:val="32"/>
          <w:szCs w:val="32"/>
        </w:rPr>
        <w:t>达到80%</w:t>
      </w:r>
      <w:r>
        <w:rPr>
          <w:rFonts w:hint="eastAsia" w:ascii="仿宋_GB2312" w:hAnsi="Calibri" w:eastAsia="仿宋_GB2312" w:cs="Times New Roman"/>
          <w:kern w:val="2"/>
          <w:sz w:val="32"/>
          <w:szCs w:val="32"/>
        </w:rPr>
        <w:t>。</w:t>
      </w:r>
      <w:r>
        <w:rPr>
          <w:rFonts w:ascii="仿宋_GB2312" w:hAnsi="Calibri" w:eastAsia="仿宋_GB2312" w:cs="Times New Roman"/>
          <w:kern w:val="2"/>
          <w:sz w:val="32"/>
          <w:szCs w:val="32"/>
        </w:rPr>
        <w:t>1-10月，完成甘薯茎尖脱毒组培3916个，切段快繁3220个，移栽组培苗1730株，另有试管苗500余株。</w:t>
      </w:r>
      <w:r>
        <w:rPr>
          <w:rFonts w:hint="eastAsia" w:ascii="仿宋_GB2312" w:hAnsi="Calibri" w:eastAsia="仿宋_GB2312" w:cs="Times New Roman"/>
          <w:kern w:val="2"/>
          <w:sz w:val="32"/>
          <w:szCs w:val="32"/>
        </w:rPr>
        <w:t>二是脱毒组培苗市场走俏。甘薯脱毒组培苗在产量、品质、抗逆等方面具有突出优势。我所成为全省第一家直接面向市场、面向生产、面向农户的甘薯脱毒苗扩繁科研机构，今年</w:t>
      </w:r>
      <w:r>
        <w:rPr>
          <w:rFonts w:ascii="仿宋_GB2312" w:hAnsi="Calibri" w:eastAsia="仿宋_GB2312" w:cs="Times New Roman"/>
          <w:kern w:val="2"/>
          <w:sz w:val="32"/>
          <w:szCs w:val="32"/>
        </w:rPr>
        <w:t>累计</w:t>
      </w:r>
      <w:r>
        <w:rPr>
          <w:rFonts w:hint="eastAsia" w:ascii="仿宋_GB2312" w:hAnsi="Calibri" w:eastAsia="仿宋_GB2312" w:cs="Times New Roman"/>
          <w:kern w:val="2"/>
          <w:sz w:val="32"/>
          <w:szCs w:val="32"/>
        </w:rPr>
        <w:t>扩繁脱毒</w:t>
      </w:r>
      <w:r>
        <w:rPr>
          <w:rFonts w:ascii="仿宋_GB2312" w:hAnsi="Calibri" w:eastAsia="仿宋_GB2312" w:cs="Times New Roman"/>
          <w:kern w:val="2"/>
          <w:sz w:val="32"/>
          <w:szCs w:val="32"/>
        </w:rPr>
        <w:t>组培原种苗</w:t>
      </w:r>
      <w:r>
        <w:rPr>
          <w:rFonts w:hint="eastAsia" w:ascii="仿宋_GB2312" w:hAnsi="Calibri" w:eastAsia="仿宋_GB2312" w:cs="Times New Roman"/>
          <w:kern w:val="2"/>
          <w:sz w:val="32"/>
          <w:szCs w:val="32"/>
        </w:rPr>
        <w:t>50</w:t>
      </w:r>
      <w:r>
        <w:rPr>
          <w:rFonts w:ascii="仿宋_GB2312" w:hAnsi="Calibri" w:eastAsia="仿宋_GB2312" w:cs="Times New Roman"/>
          <w:kern w:val="2"/>
          <w:sz w:val="32"/>
          <w:szCs w:val="32"/>
        </w:rPr>
        <w:t>万株，</w:t>
      </w:r>
      <w:r>
        <w:rPr>
          <w:rFonts w:hint="eastAsia" w:ascii="仿宋_GB2312" w:hAnsi="Calibri" w:eastAsia="仿宋_GB2312" w:cs="Times New Roman"/>
          <w:kern w:val="2"/>
          <w:sz w:val="32"/>
          <w:szCs w:val="32"/>
        </w:rPr>
        <w:t>供应到</w:t>
      </w:r>
      <w:r>
        <w:rPr>
          <w:rFonts w:ascii="仿宋_GB2312" w:hAnsi="Calibri" w:eastAsia="仿宋_GB2312" w:cs="Times New Roman"/>
          <w:kern w:val="2"/>
          <w:sz w:val="32"/>
          <w:szCs w:val="32"/>
        </w:rPr>
        <w:t>长沙、衡阳、怀化、益阳</w:t>
      </w:r>
      <w:r>
        <w:rPr>
          <w:rFonts w:hint="eastAsia" w:ascii="仿宋_GB2312" w:hAnsi="Calibri" w:eastAsia="仿宋_GB2312" w:cs="Times New Roman"/>
          <w:kern w:val="2"/>
          <w:sz w:val="32"/>
          <w:szCs w:val="32"/>
        </w:rPr>
        <w:t>、</w:t>
      </w:r>
      <w:r>
        <w:rPr>
          <w:rFonts w:ascii="仿宋_GB2312" w:hAnsi="Calibri" w:eastAsia="仿宋_GB2312" w:cs="Times New Roman"/>
          <w:kern w:val="2"/>
          <w:sz w:val="32"/>
          <w:szCs w:val="32"/>
        </w:rPr>
        <w:t>娄底、常德、岳阳</w:t>
      </w:r>
      <w:r>
        <w:rPr>
          <w:rFonts w:hint="eastAsia" w:ascii="仿宋_GB2312" w:hAnsi="Calibri" w:eastAsia="仿宋_GB2312" w:cs="Times New Roman"/>
          <w:kern w:val="2"/>
          <w:sz w:val="32"/>
          <w:szCs w:val="32"/>
        </w:rPr>
        <w:t>、张家界、永州</w:t>
      </w:r>
      <w:r>
        <w:rPr>
          <w:rFonts w:ascii="仿宋_GB2312" w:hAnsi="Calibri" w:eastAsia="仿宋_GB2312" w:cs="Times New Roman"/>
          <w:kern w:val="2"/>
          <w:sz w:val="32"/>
          <w:szCs w:val="32"/>
        </w:rPr>
        <w:t>等</w:t>
      </w:r>
      <w:r>
        <w:rPr>
          <w:rFonts w:hint="eastAsia" w:ascii="仿宋_GB2312" w:hAnsi="Calibri" w:eastAsia="仿宋_GB2312" w:cs="Times New Roman"/>
          <w:kern w:val="2"/>
          <w:sz w:val="32"/>
          <w:szCs w:val="32"/>
        </w:rPr>
        <w:t>9个市16个县市区，得到了甘薯种植企业、</w:t>
      </w:r>
      <w:r>
        <w:rPr>
          <w:rFonts w:ascii="仿宋_GB2312" w:hAnsi="Calibri" w:eastAsia="仿宋_GB2312" w:cs="Times New Roman"/>
          <w:kern w:val="2"/>
          <w:sz w:val="32"/>
          <w:szCs w:val="32"/>
        </w:rPr>
        <w:t>合作社、大户</w:t>
      </w:r>
      <w:r>
        <w:rPr>
          <w:rFonts w:hint="eastAsia" w:ascii="仿宋_GB2312" w:hAnsi="Calibri" w:eastAsia="仿宋_GB2312" w:cs="Times New Roman"/>
          <w:kern w:val="2"/>
          <w:sz w:val="32"/>
          <w:szCs w:val="32"/>
        </w:rPr>
        <w:t>的一致认可，</w:t>
      </w:r>
      <w:r>
        <w:rPr>
          <w:rFonts w:ascii="仿宋_GB2312" w:hAnsi="Calibri" w:eastAsia="仿宋_GB2312" w:cs="Times New Roman"/>
          <w:kern w:val="2"/>
          <w:sz w:val="32"/>
          <w:szCs w:val="32"/>
        </w:rPr>
        <w:t>市场供不应求。</w:t>
      </w:r>
      <w:r>
        <w:rPr>
          <w:rFonts w:hint="eastAsia" w:ascii="仿宋_GB2312" w:hAnsi="Calibri" w:eastAsia="仿宋_GB2312" w:cs="Times New Roman"/>
          <w:kern w:val="2"/>
          <w:sz w:val="32"/>
          <w:szCs w:val="32"/>
        </w:rPr>
        <w:t>目前已有4家公司与我所签下意向订单，我们还在衡南县与企业联合创建“甘薯优质种苗繁育基地”。三是加强产业合作促发展。我所旱粮研究团队深入娄底、湘西甘薯种植基地、甘薯加工企业，了解甘薯产业现状与企业科技需求，实地调研林下粮种植、甘薯加工产品及效益情况等，发挥科技优势，与企业开展深入合作，助力打造特色小镇，推进甘薯产业发展。</w:t>
      </w:r>
    </w:p>
    <w:p>
      <w:pPr>
        <w:pStyle w:val="8"/>
        <w:widowControl/>
        <w:shd w:val="clear" w:color="auto" w:fill="FFFFFF"/>
        <w:spacing w:beforeAutospacing="0" w:afterAutospacing="0" w:line="560" w:lineRule="exact"/>
        <w:ind w:firstLine="627" w:firstLineChars="196"/>
        <w:jc w:val="both"/>
        <w:rPr>
          <w:rFonts w:ascii="仿宋_GB2312" w:hAnsi="Calibri" w:eastAsia="仿宋_GB2312" w:cs="Times New Roman"/>
          <w:kern w:val="2"/>
          <w:sz w:val="32"/>
          <w:szCs w:val="32"/>
        </w:rPr>
      </w:pPr>
      <w:r>
        <w:rPr>
          <w:rFonts w:hint="eastAsia" w:ascii="仿宋_GB2312" w:hAnsi="Calibri" w:eastAsia="仿宋_GB2312" w:cs="Times New Roman"/>
          <w:kern w:val="2"/>
          <w:sz w:val="32"/>
          <w:szCs w:val="32"/>
        </w:rPr>
        <w:t>（3）油料和中药材研究有新进展。一是品种选育出成果。选育5个油菜新品种晟湘油3号、7号、88、135、501和1个油葵新品种湘YD3，已获得品种登记证书。选育的花生新品种晟花B1申请新品种保护权。甘薯、紫苏等7个品种（系）正在开展品种登记测试试验。二是资源普查工作有进展。组织开展特色及其他作物普查9批32人次，前往龙山、岳阳、平江、浏阳、涟源、石门、凤凰、泸溪、临武、道县、双牌等</w:t>
      </w:r>
      <w:r>
        <w:rPr>
          <w:rFonts w:ascii="仿宋_GB2312" w:hAnsi="Calibri" w:eastAsia="仿宋_GB2312" w:cs="Times New Roman"/>
          <w:kern w:val="2"/>
          <w:sz w:val="32"/>
          <w:szCs w:val="32"/>
        </w:rPr>
        <w:t>8个市州、16个县区、23个乡镇</w:t>
      </w:r>
      <w:r>
        <w:rPr>
          <w:rFonts w:hint="eastAsia" w:ascii="仿宋_GB2312" w:hAnsi="Calibri" w:eastAsia="仿宋_GB2312" w:cs="Times New Roman"/>
          <w:kern w:val="2"/>
          <w:sz w:val="32"/>
          <w:szCs w:val="32"/>
        </w:rPr>
        <w:t>，</w:t>
      </w:r>
      <w:r>
        <w:rPr>
          <w:rFonts w:ascii="仿宋_GB2312" w:hAnsi="Calibri" w:eastAsia="仿宋_GB2312" w:cs="Times New Roman"/>
          <w:kern w:val="2"/>
          <w:sz w:val="32"/>
          <w:szCs w:val="32"/>
        </w:rPr>
        <w:t>总行程6251km，</w:t>
      </w:r>
      <w:r>
        <w:rPr>
          <w:rFonts w:hint="eastAsia" w:ascii="仿宋_GB2312" w:hAnsi="Calibri" w:eastAsia="仿宋_GB2312" w:cs="Times New Roman"/>
          <w:kern w:val="2"/>
          <w:sz w:val="32"/>
          <w:szCs w:val="32"/>
        </w:rPr>
        <w:t>共收集资源80份并进行保存种植。三是产业合作有成效。借助甘薯、紫苏等产业走俏形势，和长沙县供销系统、“湘野红姐”公司、益阳恒正农业发展公司、汉寿聚农种养专业合作社等政府部门和企业、合作社开展科研合作，建设展示示范基地15个，示范面积120亩。</w:t>
      </w:r>
    </w:p>
    <w:p>
      <w:pPr>
        <w:pStyle w:val="16"/>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4、社会效应</w:t>
      </w:r>
    </w:p>
    <w:p>
      <w:pPr>
        <w:pStyle w:val="16"/>
        <w:spacing w:line="600" w:lineRule="exact"/>
        <w:ind w:firstLine="640" w:firstLineChars="200"/>
        <w:rPr>
          <w:rFonts w:ascii="Times New Roman" w:hAnsi="Times New Roman" w:eastAsia="仿宋_GB2312"/>
          <w:sz w:val="32"/>
          <w:szCs w:val="32"/>
        </w:rPr>
      </w:pPr>
      <w:r>
        <w:rPr>
          <w:rFonts w:hint="eastAsia" w:ascii="仿宋_GB2312" w:eastAsia="仿宋_GB2312"/>
          <w:sz w:val="32"/>
          <w:szCs w:val="32"/>
        </w:rPr>
        <w:t>落实厅中心工作和重点工作，抽调15人分赴全省74个粮食主产县市区参加全省早稻集中化育秧生产督导、早稻面积核查工作，抽调9人次参加耕地抛荒核查，抽调11人次参加全省晚稻面积核查，抽调8人次参加全省抗旱保收指导服务。</w:t>
      </w:r>
      <w:r>
        <w:rPr>
          <w:rFonts w:hint="eastAsia" w:ascii="仿宋_GB2312" w:eastAsia="仿宋_GB2312"/>
          <w:kern w:val="2"/>
          <w:sz w:val="32"/>
          <w:szCs w:val="32"/>
        </w:rPr>
        <w:t>继续承担全省棉油轮作试点督查和技术指导服务工作，棉花专家服务团队开展集中督导和相关棉油轮作技术专题培训。</w:t>
      </w:r>
      <w:r>
        <w:rPr>
          <w:rFonts w:ascii="仿宋_GB2312" w:eastAsia="仿宋_GB2312"/>
          <w:sz w:val="32"/>
          <w:szCs w:val="32"/>
        </w:rPr>
        <w:t>5</w:t>
      </w:r>
      <w:r>
        <w:rPr>
          <w:rFonts w:hint="eastAsia" w:ascii="仿宋_GB2312" w:eastAsia="仿宋_GB2312"/>
          <w:sz w:val="32"/>
          <w:szCs w:val="32"/>
        </w:rPr>
        <w:t>月</w:t>
      </w:r>
      <w:r>
        <w:rPr>
          <w:rFonts w:ascii="仿宋_GB2312" w:eastAsia="仿宋_GB2312"/>
          <w:sz w:val="32"/>
          <w:szCs w:val="32"/>
        </w:rPr>
        <w:t>7</w:t>
      </w:r>
      <w:r>
        <w:rPr>
          <w:rFonts w:hint="eastAsia" w:ascii="仿宋_GB2312" w:eastAsia="仿宋_GB2312"/>
          <w:sz w:val="32"/>
          <w:szCs w:val="32"/>
        </w:rPr>
        <w:t>日，与常德市农业农村局联合举办技术培训班，常德市10个棉花县区生产技术人员及</w:t>
      </w:r>
      <w:r>
        <w:rPr>
          <w:rFonts w:ascii="仿宋_GB2312" w:eastAsia="仿宋_GB2312"/>
          <w:sz w:val="32"/>
          <w:szCs w:val="32"/>
        </w:rPr>
        <w:t>50</w:t>
      </w:r>
      <w:r>
        <w:rPr>
          <w:rFonts w:hint="eastAsia" w:ascii="仿宋_GB2312" w:eastAsia="仿宋_GB2312"/>
          <w:sz w:val="32"/>
          <w:szCs w:val="32"/>
        </w:rPr>
        <w:t>亩以上种植大户</w:t>
      </w:r>
      <w:r>
        <w:rPr>
          <w:rFonts w:ascii="仿宋_GB2312" w:eastAsia="仿宋_GB2312"/>
          <w:sz w:val="32"/>
          <w:szCs w:val="32"/>
        </w:rPr>
        <w:t>130</w:t>
      </w:r>
      <w:r>
        <w:rPr>
          <w:rFonts w:hint="eastAsia" w:ascii="仿宋_GB2312" w:eastAsia="仿宋_GB2312"/>
          <w:sz w:val="32"/>
          <w:szCs w:val="32"/>
        </w:rPr>
        <w:t>余人参加培训，极大地提高了棉花规模生产主体植棉技术水平。举办2期“农广助农”甘薯、中药材领军人才培训班，组织多种形式的技术培训班、现场观摩会，累计培训甘薯和中药材技术推广人员和农民700余人次，覆盖14个市州52个县市区。制作“棉花十问”科普小视频、“棉花十技”专家小课堂，推介到学习强国、红网时刻、潇湘三农、中国农技推广等媒介平台，点击率超过2万。</w:t>
      </w:r>
    </w:p>
    <w:p>
      <w:pPr>
        <w:pStyle w:val="16"/>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5、可持续发展能力</w:t>
      </w:r>
    </w:p>
    <w:p>
      <w:pPr>
        <w:pStyle w:val="16"/>
        <w:spacing w:line="600" w:lineRule="exact"/>
        <w:ind w:firstLine="640" w:firstLineChars="200"/>
        <w:rPr>
          <w:rFonts w:ascii="Times New Roman" w:hAnsi="Times New Roman" w:eastAsia="仿宋_GB2312"/>
          <w:sz w:val="32"/>
          <w:szCs w:val="32"/>
        </w:rPr>
      </w:pPr>
      <w:r>
        <w:rPr>
          <w:rFonts w:hint="eastAsia" w:ascii="仿宋_GB2312" w:eastAsia="仿宋_GB2312"/>
          <w:sz w:val="32"/>
          <w:szCs w:val="32"/>
        </w:rPr>
        <w:t>对茅湾各项科研要素进行全面升级改造。新建病虫害监测预警设施，实现数据自动采集、自动无线网络传输，随时监控田间害虫发生趋势情况。新建429m</w:t>
      </w:r>
      <w:r>
        <w:rPr>
          <w:rFonts w:hint="eastAsia" w:ascii="仿宋_GB2312" w:eastAsia="仿宋_GB2312"/>
          <w:sz w:val="32"/>
          <w:szCs w:val="32"/>
          <w:vertAlign w:val="superscript"/>
        </w:rPr>
        <w:t>3</w:t>
      </w:r>
      <w:r>
        <w:rPr>
          <w:rFonts w:hint="eastAsia" w:ascii="仿宋_GB2312" w:eastAsia="仿宋_GB2312"/>
          <w:sz w:val="32"/>
          <w:szCs w:val="32"/>
        </w:rPr>
        <w:t>的种质资源保存库，其中中长期库135 m</w:t>
      </w:r>
      <w:r>
        <w:rPr>
          <w:rFonts w:hint="eastAsia" w:ascii="仿宋_GB2312" w:eastAsia="仿宋_GB2312"/>
          <w:sz w:val="32"/>
          <w:szCs w:val="32"/>
          <w:vertAlign w:val="superscript"/>
        </w:rPr>
        <w:t>3</w:t>
      </w:r>
      <w:r>
        <w:rPr>
          <w:rFonts w:hint="eastAsia" w:ascii="仿宋_GB2312" w:eastAsia="仿宋_GB2312"/>
          <w:sz w:val="32"/>
          <w:szCs w:val="32"/>
        </w:rPr>
        <w:t>（-18±2℃），短期库294 m</w:t>
      </w:r>
      <w:r>
        <w:rPr>
          <w:rFonts w:hint="eastAsia" w:ascii="仿宋_GB2312" w:eastAsia="仿宋_GB2312"/>
          <w:sz w:val="32"/>
          <w:szCs w:val="32"/>
          <w:vertAlign w:val="superscript"/>
        </w:rPr>
        <w:t>3</w:t>
      </w:r>
      <w:r>
        <w:rPr>
          <w:rFonts w:hint="eastAsia" w:ascii="仿宋_GB2312" w:eastAsia="仿宋_GB2312"/>
          <w:sz w:val="32"/>
          <w:szCs w:val="32"/>
        </w:rPr>
        <w:t>（-4±2℃），能保存种质资源20000份以上。联合研制采棉机、棉花播种机，购置了拖拉机、小型开沟机、植保无人机、激光平地仪等农机设备，提升了田间管理机械化水平。完善桥南、茅湾两院监控系统和“一键联网报警系统”</w:t>
      </w:r>
    </w:p>
    <w:p>
      <w:pPr>
        <w:pStyle w:val="16"/>
        <w:numPr>
          <w:ilvl w:val="0"/>
          <w:numId w:val="3"/>
        </w:numPr>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服务对象满意度</w:t>
      </w:r>
    </w:p>
    <w:p>
      <w:pPr>
        <w:pStyle w:val="16"/>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通过各项工作的扎实开展，我单位2022年服务对象、干部职工满意度均为95%以上。</w:t>
      </w:r>
    </w:p>
    <w:p>
      <w:pPr>
        <w:pStyle w:val="16"/>
        <w:spacing w:line="600" w:lineRule="exact"/>
        <w:ind w:firstLine="640" w:firstLineChars="200"/>
        <w:rPr>
          <w:rFonts w:ascii="楷体" w:hAnsi="楷体" w:eastAsia="楷体" w:cs="楷体"/>
          <w:b/>
          <w:bCs/>
          <w:sz w:val="32"/>
          <w:szCs w:val="32"/>
        </w:rPr>
      </w:pPr>
      <w:r>
        <w:rPr>
          <w:rFonts w:hint="eastAsia" w:ascii="楷体" w:hAnsi="楷体" w:eastAsia="楷体" w:cs="楷体"/>
          <w:b/>
          <w:bCs/>
          <w:sz w:val="32"/>
          <w:szCs w:val="32"/>
        </w:rPr>
        <w:t>（二）存在的问题及原因分析</w:t>
      </w:r>
    </w:p>
    <w:p>
      <w:pPr>
        <w:pStyle w:val="16"/>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单位整体支出预算执行率不高，我单位整体支出预算执行率为72.17%，导致我所2022年度预算执行率偏低的主要原因是棉花项目执行率偏低。根据项目批复，该项目为跨年项目，实施期为2022年7月至2023年6月。</w:t>
      </w:r>
    </w:p>
    <w:p>
      <w:pPr>
        <w:pStyle w:val="16"/>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下一步改进措施：一是年初下达的预算及时用款，足额保障单位正常运转，二是定期对预算执行情况进行分析，项目要做到尽早规划、尽早实施，项目实施完毕后要合法、合规、及时办理资金支付 ，提高资金的执行率。</w:t>
      </w:r>
    </w:p>
    <w:p>
      <w:pPr>
        <w:pStyle w:val="16"/>
        <w:rPr>
          <w:sz w:val="72"/>
          <w:szCs w:val="72"/>
        </w:rPr>
      </w:pPr>
    </w:p>
    <w:p>
      <w:pPr>
        <w:pStyle w:val="16"/>
        <w:jc w:val="center"/>
        <w:rPr>
          <w:sz w:val="72"/>
          <w:szCs w:val="72"/>
        </w:rPr>
      </w:pPr>
    </w:p>
    <w:p>
      <w:pPr>
        <w:pStyle w:val="16"/>
        <w:jc w:val="center"/>
        <w:rPr>
          <w:sz w:val="72"/>
          <w:szCs w:val="72"/>
        </w:rPr>
      </w:pPr>
    </w:p>
    <w:p>
      <w:pPr>
        <w:pStyle w:val="16"/>
        <w:jc w:val="center"/>
        <w:rPr>
          <w:sz w:val="72"/>
          <w:szCs w:val="72"/>
        </w:rPr>
      </w:pPr>
    </w:p>
    <w:p>
      <w:pPr>
        <w:pStyle w:val="16"/>
        <w:jc w:val="center"/>
        <w:rPr>
          <w:sz w:val="72"/>
          <w:szCs w:val="72"/>
        </w:rPr>
      </w:pPr>
    </w:p>
    <w:p>
      <w:pPr>
        <w:pStyle w:val="16"/>
        <w:jc w:val="center"/>
        <w:rPr>
          <w:rFonts w:ascii="方正小标宋_GBK" w:hAnsi="方正小标宋_GBK" w:eastAsia="方正小标宋_GBK" w:cs="方正小标宋_GBK"/>
          <w:sz w:val="72"/>
          <w:szCs w:val="72"/>
        </w:rPr>
      </w:pPr>
    </w:p>
    <w:p>
      <w:pPr>
        <w:pStyle w:val="16"/>
        <w:jc w:val="center"/>
        <w:rPr>
          <w:rFonts w:ascii="方正小标宋_GBK" w:hAnsi="方正小标宋_GBK" w:eastAsia="方正小标宋_GBK" w:cs="方正小标宋_GBK"/>
          <w:sz w:val="72"/>
          <w:szCs w:val="72"/>
        </w:rPr>
      </w:pPr>
    </w:p>
    <w:p>
      <w:pPr>
        <w:pStyle w:val="16"/>
        <w:jc w:val="center"/>
        <w:rPr>
          <w:rFonts w:ascii="方正小标宋_GBK" w:hAnsi="方正小标宋_GBK" w:eastAsia="方正小标宋_GBK" w:cs="方正小标宋_GBK"/>
          <w:sz w:val="72"/>
          <w:szCs w:val="72"/>
        </w:rPr>
      </w:pPr>
    </w:p>
    <w:p>
      <w:pPr>
        <w:pStyle w:val="16"/>
        <w:jc w:val="center"/>
        <w:rPr>
          <w:rFonts w:ascii="方正小标宋_GBK" w:hAnsi="方正小标宋_GBK" w:eastAsia="方正小标宋_GBK" w:cs="方正小标宋_GBK"/>
          <w:sz w:val="72"/>
          <w:szCs w:val="72"/>
        </w:rPr>
      </w:pPr>
    </w:p>
    <w:p>
      <w:pPr>
        <w:pStyle w:val="16"/>
        <w:jc w:val="center"/>
        <w:rPr>
          <w:rFonts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pPr>
        <w:jc w:val="center"/>
        <w:rPr>
          <w:rFonts w:ascii="方正小标宋_GBK" w:hAnsi="方正小标宋_GBK" w:eastAsia="方正小标宋_GBK" w:cs="方正小标宋_GBK"/>
          <w:color w:val="000000"/>
          <w:kern w:val="0"/>
          <w:sz w:val="70"/>
          <w:szCs w:val="70"/>
        </w:rPr>
      </w:pPr>
    </w:p>
    <w:p>
      <w:pPr>
        <w:jc w:val="center"/>
        <w:rPr>
          <w:rFonts w:ascii="方正小标宋_GBK" w:hAnsi="方正小标宋_GBK" w:eastAsia="方正小标宋_GBK" w:cs="方正小标宋_GBK"/>
          <w:color w:val="000000"/>
          <w:kern w:val="0"/>
          <w:sz w:val="70"/>
          <w:szCs w:val="70"/>
        </w:rPr>
      </w:pPr>
      <w:r>
        <w:rPr>
          <w:rFonts w:hint="eastAsia" w:ascii="方正小标宋_GBK" w:hAnsi="方正小标宋_GBK" w:eastAsia="方正小标宋_GBK" w:cs="方正小标宋_GBK"/>
          <w:color w:val="000000"/>
          <w:kern w:val="0"/>
          <w:sz w:val="70"/>
          <w:szCs w:val="70"/>
        </w:rPr>
        <w:t>名词解释</w:t>
      </w:r>
    </w:p>
    <w:p>
      <w:pPr>
        <w:widowControl/>
        <w:jc w:val="left"/>
        <w:rPr>
          <w:rFonts w:cs="黑体" w:asciiTheme="minorEastAsia" w:hAnsiTheme="minorEastAsia"/>
          <w:color w:val="000000"/>
          <w:kern w:val="0"/>
          <w:sz w:val="32"/>
          <w:szCs w:val="32"/>
        </w:rPr>
      </w:pPr>
      <w:r>
        <w:br w:type="page"/>
      </w:r>
    </w:p>
    <w:p>
      <w:pPr>
        <w:pStyle w:val="16"/>
        <w:ind w:firstLine="600" w:firstLineChars="200"/>
        <w:rPr>
          <w:rFonts w:ascii="Times New Roman" w:hAnsi="仿宋" w:eastAsia="仿宋" w:cs="Times New Roman"/>
          <w:color w:val="000000" w:themeColor="text1"/>
          <w:sz w:val="30"/>
          <w:szCs w:val="30"/>
        </w:rPr>
      </w:pPr>
      <w:r>
        <w:rPr>
          <w:rFonts w:hint="eastAsia" w:ascii="Times New Roman" w:hAnsi="仿宋" w:eastAsia="仿宋" w:cs="Times New Roman"/>
          <w:color w:val="000000" w:themeColor="text1"/>
          <w:sz w:val="30"/>
          <w:szCs w:val="30"/>
        </w:rPr>
        <w:t>（一）基</w:t>
      </w:r>
      <w:r>
        <w:rPr>
          <w:rFonts w:ascii="Times New Roman" w:hAnsi="仿宋" w:eastAsia="仿宋" w:cs="Times New Roman"/>
          <w:color w:val="000000" w:themeColor="text1"/>
          <w:sz w:val="30"/>
          <w:szCs w:val="30"/>
        </w:rPr>
        <w:t>本支出：指为保障机构正常运转、完成日常工作任务而 发生的各项支出，包括人员支出和公用支出。</w:t>
      </w:r>
    </w:p>
    <w:p>
      <w:pPr>
        <w:pStyle w:val="16"/>
        <w:ind w:firstLine="450" w:firstLineChars="150"/>
        <w:rPr>
          <w:rFonts w:ascii="Times New Roman" w:hAnsi="仿宋" w:eastAsia="仿宋" w:cs="Times New Roman"/>
          <w:color w:val="000000" w:themeColor="text1"/>
          <w:sz w:val="30"/>
          <w:szCs w:val="30"/>
        </w:rPr>
      </w:pPr>
      <w:r>
        <w:rPr>
          <w:rFonts w:hint="eastAsia" w:ascii="Times New Roman" w:hAnsi="仿宋" w:eastAsia="仿宋" w:cs="Times New Roman"/>
          <w:color w:val="000000" w:themeColor="text1"/>
          <w:sz w:val="30"/>
          <w:szCs w:val="30"/>
        </w:rPr>
        <w:t>（二）</w:t>
      </w:r>
      <w:r>
        <w:rPr>
          <w:rFonts w:ascii="Times New Roman" w:hAnsi="仿宋" w:eastAsia="仿宋" w:cs="Times New Roman"/>
          <w:color w:val="000000" w:themeColor="text1"/>
          <w:sz w:val="30"/>
          <w:szCs w:val="30"/>
        </w:rPr>
        <w:t xml:space="preserve"> 项目支出：指在基本支出以外为完成相关行政任务和事业 发展目标所发生的各项支出。 </w:t>
      </w:r>
    </w:p>
    <w:p>
      <w:pPr>
        <w:pStyle w:val="16"/>
        <w:ind w:firstLine="600" w:firstLineChars="200"/>
        <w:rPr>
          <w:rFonts w:ascii="仿宋" w:hAnsi="仿宋" w:eastAsia="仿宋"/>
          <w:bCs/>
          <w:sz w:val="32"/>
          <w:szCs w:val="32"/>
        </w:rPr>
      </w:pPr>
      <w:r>
        <w:rPr>
          <w:rFonts w:hint="eastAsia" w:ascii="Times New Roman" w:hAnsi="仿宋" w:eastAsia="仿宋" w:cs="Times New Roman"/>
          <w:color w:val="000000" w:themeColor="text1"/>
          <w:sz w:val="30"/>
          <w:szCs w:val="30"/>
        </w:rPr>
        <w:t>（三）</w:t>
      </w:r>
      <w:r>
        <w:rPr>
          <w:rFonts w:hint="eastAsia" w:ascii="仿宋" w:hAnsi="仿宋" w:eastAsia="仿宋"/>
          <w:bCs/>
          <w:sz w:val="32"/>
          <w:szCs w:val="32"/>
        </w:rPr>
        <w:t>“三公”经费:纳入省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ind w:firstLine="600" w:firstLineChars="200"/>
        <w:jc w:val="left"/>
        <w:rPr>
          <w:rFonts w:ascii="黑体" w:eastAsia="黑体" w:cs="黑体"/>
          <w:color w:val="000000" w:themeColor="text1"/>
          <w:kern w:val="0"/>
          <w:sz w:val="70"/>
          <w:szCs w:val="70"/>
        </w:rPr>
      </w:pPr>
      <w:r>
        <w:rPr>
          <w:rFonts w:hint="eastAsia" w:ascii="Times New Roman" w:hAnsi="仿宋" w:eastAsia="仿宋" w:cs="Times New Roman"/>
          <w:color w:val="000000" w:themeColor="text1"/>
          <w:sz w:val="30"/>
          <w:szCs w:val="30"/>
        </w:rPr>
        <w:t>（四）</w:t>
      </w:r>
      <w:r>
        <w:rPr>
          <w:rFonts w:ascii="Times New Roman" w:hAnsi="仿宋" w:eastAsia="仿宋" w:cs="Times New Roman"/>
          <w:color w:val="000000" w:themeColor="text1"/>
          <w:sz w:val="30"/>
          <w:szCs w:val="30"/>
        </w:rPr>
        <w:t>机关运行经费：是指各部门的公用经费，包括办公及印刷 费、邮电费、差旅费、会议费、福利费、日常维修费、专用材 料及一般设备购置费、办公用房水电费、办公用房取暖费、办公用房物业管理费、公务用车运行维护费以及其他费用。</w:t>
      </w:r>
    </w:p>
    <w:p>
      <w:pPr>
        <w:pStyle w:val="16"/>
        <w:jc w:val="center"/>
        <w:rPr>
          <w:sz w:val="72"/>
          <w:szCs w:val="7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17227F"/>
    <w:multiLevelType w:val="singleLevel"/>
    <w:tmpl w:val="8617227F"/>
    <w:lvl w:ilvl="0" w:tentative="0">
      <w:start w:val="1"/>
      <w:numFmt w:val="decimal"/>
      <w:suff w:val="nothing"/>
      <w:lvlText w:val="%1、"/>
      <w:lvlJc w:val="left"/>
    </w:lvl>
  </w:abstractNum>
  <w:abstractNum w:abstractNumId="1">
    <w:nsid w:val="900479E4"/>
    <w:multiLevelType w:val="singleLevel"/>
    <w:tmpl w:val="900479E4"/>
    <w:lvl w:ilvl="0" w:tentative="0">
      <w:start w:val="3"/>
      <w:numFmt w:val="decimal"/>
      <w:suff w:val="nothing"/>
      <w:lvlText w:val="%1、"/>
      <w:lvlJc w:val="left"/>
    </w:lvl>
  </w:abstractNum>
  <w:abstractNum w:abstractNumId="2">
    <w:nsid w:val="1F9FCDFA"/>
    <w:multiLevelType w:val="singleLevel"/>
    <w:tmpl w:val="1F9FCDFA"/>
    <w:lvl w:ilvl="0" w:tentative="0">
      <w:start w:val="5"/>
      <w:numFmt w:val="decimal"/>
      <w:suff w:val="nothing"/>
      <w:lvlText w:val="%1、"/>
      <w:lvlJc w:val="left"/>
      <w:pPr>
        <w:ind w:left="-10"/>
      </w:pPr>
    </w:lvl>
  </w:abstractNum>
  <w:abstractNum w:abstractNumId="3">
    <w:nsid w:val="609032D8"/>
    <w:multiLevelType w:val="singleLevel"/>
    <w:tmpl w:val="609032D8"/>
    <w:lvl w:ilvl="0" w:tentative="0">
      <w:start w:val="7"/>
      <w:numFmt w:val="chineseCounting"/>
      <w:suff w:val="nothing"/>
      <w:lvlText w:val="%1、"/>
      <w:lvlJc w:val="left"/>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1"/>
  <w:bordersDoNotSurroundFooter w:val="1"/>
  <w:doNotTrackMove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EC20BB"/>
    <w:rsid w:val="000453C0"/>
    <w:rsid w:val="00090161"/>
    <w:rsid w:val="00092873"/>
    <w:rsid w:val="001018C4"/>
    <w:rsid w:val="00132526"/>
    <w:rsid w:val="00143FB6"/>
    <w:rsid w:val="001A131A"/>
    <w:rsid w:val="002778D4"/>
    <w:rsid w:val="002B55FB"/>
    <w:rsid w:val="002C36DA"/>
    <w:rsid w:val="002F343E"/>
    <w:rsid w:val="003070F9"/>
    <w:rsid w:val="00370B77"/>
    <w:rsid w:val="00381F6B"/>
    <w:rsid w:val="003C2324"/>
    <w:rsid w:val="00454074"/>
    <w:rsid w:val="004B3572"/>
    <w:rsid w:val="00535678"/>
    <w:rsid w:val="00573A56"/>
    <w:rsid w:val="005F7C45"/>
    <w:rsid w:val="00601599"/>
    <w:rsid w:val="00604E60"/>
    <w:rsid w:val="006C390A"/>
    <w:rsid w:val="006D0FF5"/>
    <w:rsid w:val="006F70BD"/>
    <w:rsid w:val="007562AD"/>
    <w:rsid w:val="007A7C51"/>
    <w:rsid w:val="0082791A"/>
    <w:rsid w:val="00855668"/>
    <w:rsid w:val="008B71E7"/>
    <w:rsid w:val="0092485B"/>
    <w:rsid w:val="00926392"/>
    <w:rsid w:val="009C5C5E"/>
    <w:rsid w:val="00A02F63"/>
    <w:rsid w:val="00A4230F"/>
    <w:rsid w:val="00A7605C"/>
    <w:rsid w:val="00AC767A"/>
    <w:rsid w:val="00AE5639"/>
    <w:rsid w:val="00C960E0"/>
    <w:rsid w:val="00CA400E"/>
    <w:rsid w:val="00CB4F4E"/>
    <w:rsid w:val="00CC31E8"/>
    <w:rsid w:val="00CC71F7"/>
    <w:rsid w:val="00D060C9"/>
    <w:rsid w:val="00D745B4"/>
    <w:rsid w:val="00DA05EA"/>
    <w:rsid w:val="00E938FD"/>
    <w:rsid w:val="00EB0608"/>
    <w:rsid w:val="00EC20BB"/>
    <w:rsid w:val="00EE64C3"/>
    <w:rsid w:val="058338CE"/>
    <w:rsid w:val="0AB91DB1"/>
    <w:rsid w:val="1B567004"/>
    <w:rsid w:val="2F1A059A"/>
    <w:rsid w:val="339C3D29"/>
    <w:rsid w:val="3AE90739"/>
    <w:rsid w:val="4839115A"/>
    <w:rsid w:val="4BAF2A97"/>
    <w:rsid w:val="4BFB33C0"/>
    <w:rsid w:val="5677540F"/>
    <w:rsid w:val="5DD97CE3"/>
    <w:rsid w:val="65BB67A5"/>
    <w:rsid w:val="6CBE7F6B"/>
    <w:rsid w:val="6F01454B"/>
    <w:rsid w:val="7A2F093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2"/>
    <w:basedOn w:val="3"/>
    <w:qFormat/>
    <w:uiPriority w:val="99"/>
    <w:pPr>
      <w:ind w:firstLine="420" w:firstLineChars="200"/>
    </w:pPr>
    <w:rPr>
      <w:rFonts w:eastAsia="宋体"/>
    </w:rPr>
  </w:style>
  <w:style w:type="paragraph" w:styleId="3">
    <w:name w:val="Body Text Indent"/>
    <w:basedOn w:val="1"/>
    <w:qFormat/>
    <w:uiPriority w:val="99"/>
    <w:pPr>
      <w:spacing w:after="120"/>
      <w:ind w:left="420" w:leftChars="200"/>
    </w:pPr>
  </w:style>
  <w:style w:type="paragraph" w:styleId="4">
    <w:name w:val="Body Text Indent 2"/>
    <w:basedOn w:val="1"/>
    <w:unhideWhenUsed/>
    <w:qFormat/>
    <w:uiPriority w:val="99"/>
    <w:pPr>
      <w:spacing w:before="100" w:beforeAutospacing="1" w:after="120" w:line="480" w:lineRule="auto"/>
      <w:ind w:left="200" w:leftChars="200"/>
    </w:pPr>
  </w:style>
  <w:style w:type="paragraph" w:styleId="5">
    <w:name w:val="Balloon Text"/>
    <w:basedOn w:val="1"/>
    <w:link w:val="18"/>
    <w:semiHidden/>
    <w:unhideWhenUsed/>
    <w:qFormat/>
    <w:uiPriority w:val="99"/>
    <w:rPr>
      <w:sz w:val="18"/>
      <w:szCs w:val="18"/>
    </w:rPr>
  </w:style>
  <w:style w:type="paragraph" w:styleId="6">
    <w:name w:val="footer"/>
    <w:basedOn w:val="1"/>
    <w:link w:val="23"/>
    <w:unhideWhenUsed/>
    <w:qFormat/>
    <w:uiPriority w:val="99"/>
    <w:pPr>
      <w:tabs>
        <w:tab w:val="center" w:pos="4153"/>
        <w:tab w:val="right" w:pos="8306"/>
      </w:tabs>
      <w:snapToGrid w:val="0"/>
      <w:jc w:val="left"/>
    </w:pPr>
    <w:rPr>
      <w:sz w:val="18"/>
      <w:szCs w:val="18"/>
    </w:rPr>
  </w:style>
  <w:style w:type="paragraph" w:styleId="7">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qFormat/>
    <w:uiPriority w:val="99"/>
    <w:pPr>
      <w:spacing w:beforeAutospacing="1" w:afterAutospacing="1"/>
      <w:jc w:val="left"/>
    </w:pPr>
    <w:rPr>
      <w:rFonts w:eastAsia="宋体"/>
      <w:kern w:val="0"/>
      <w:sz w:val="24"/>
    </w:rPr>
  </w:style>
  <w:style w:type="table" w:styleId="10">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style>
  <w:style w:type="paragraph" w:customStyle="1" w:styleId="12">
    <w:name w:val="Footer"/>
    <w:basedOn w:val="1"/>
    <w:link w:val="15"/>
    <w:unhideWhenUsed/>
    <w:qFormat/>
    <w:uiPriority w:val="99"/>
    <w:pPr>
      <w:tabs>
        <w:tab w:val="center" w:pos="4153"/>
        <w:tab w:val="right" w:pos="8306"/>
      </w:tabs>
      <w:snapToGrid w:val="0"/>
      <w:jc w:val="left"/>
    </w:pPr>
    <w:rPr>
      <w:sz w:val="18"/>
      <w:szCs w:val="18"/>
    </w:rPr>
  </w:style>
  <w:style w:type="paragraph" w:customStyle="1" w:styleId="13">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4">
    <w:name w:val="页眉 Char"/>
    <w:basedOn w:val="11"/>
    <w:link w:val="13"/>
    <w:qFormat/>
    <w:uiPriority w:val="99"/>
    <w:rPr>
      <w:sz w:val="18"/>
      <w:szCs w:val="18"/>
    </w:rPr>
  </w:style>
  <w:style w:type="character" w:customStyle="1" w:styleId="15">
    <w:name w:val="页脚 Char"/>
    <w:basedOn w:val="11"/>
    <w:link w:val="12"/>
    <w:qFormat/>
    <w:uiPriority w:val="99"/>
    <w:rPr>
      <w:sz w:val="18"/>
      <w:szCs w:val="18"/>
    </w:rPr>
  </w:style>
  <w:style w:type="paragraph" w:customStyle="1" w:styleId="16">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7">
    <w:name w:val="List Paragraph"/>
    <w:basedOn w:val="1"/>
    <w:qFormat/>
    <w:uiPriority w:val="34"/>
    <w:pPr>
      <w:ind w:firstLine="420" w:firstLineChars="200"/>
    </w:pPr>
  </w:style>
  <w:style w:type="character" w:customStyle="1" w:styleId="18">
    <w:name w:val="批注框文本 Char"/>
    <w:basedOn w:val="11"/>
    <w:link w:val="5"/>
    <w:semiHidden/>
    <w:qFormat/>
    <w:uiPriority w:val="99"/>
    <w:rPr>
      <w:sz w:val="18"/>
      <w:szCs w:val="18"/>
    </w:rPr>
  </w:style>
  <w:style w:type="character" w:customStyle="1" w:styleId="19">
    <w:name w:val="font01"/>
    <w:basedOn w:val="11"/>
    <w:qFormat/>
    <w:uiPriority w:val="0"/>
    <w:rPr>
      <w:rFonts w:hint="eastAsia" w:ascii="宋体" w:hAnsi="宋体" w:eastAsia="宋体" w:cs="宋体"/>
      <w:color w:val="000000"/>
      <w:sz w:val="22"/>
      <w:szCs w:val="22"/>
      <w:u w:val="none"/>
    </w:rPr>
  </w:style>
  <w:style w:type="character" w:customStyle="1" w:styleId="20">
    <w:name w:val="font21"/>
    <w:basedOn w:val="11"/>
    <w:qFormat/>
    <w:uiPriority w:val="0"/>
    <w:rPr>
      <w:rFonts w:hint="eastAsia" w:ascii="宋体" w:hAnsi="宋体" w:eastAsia="宋体" w:cs="宋体"/>
      <w:color w:val="000000"/>
      <w:sz w:val="24"/>
      <w:szCs w:val="24"/>
      <w:u w:val="none"/>
    </w:rPr>
  </w:style>
  <w:style w:type="character" w:customStyle="1" w:styleId="21">
    <w:name w:val="font11"/>
    <w:basedOn w:val="11"/>
    <w:qFormat/>
    <w:uiPriority w:val="0"/>
    <w:rPr>
      <w:rFonts w:hint="eastAsia" w:ascii="宋体" w:hAnsi="宋体" w:eastAsia="宋体" w:cs="宋体"/>
      <w:color w:val="000000"/>
      <w:sz w:val="24"/>
      <w:szCs w:val="24"/>
      <w:u w:val="none"/>
    </w:rPr>
  </w:style>
  <w:style w:type="character" w:customStyle="1" w:styleId="22">
    <w:name w:val="页眉 Char1"/>
    <w:basedOn w:val="11"/>
    <w:link w:val="7"/>
    <w:qFormat/>
    <w:uiPriority w:val="99"/>
    <w:rPr>
      <w:rFonts w:asciiTheme="minorHAnsi" w:hAnsiTheme="minorHAnsi" w:eastAsiaTheme="minorEastAsia" w:cstheme="minorBidi"/>
      <w:kern w:val="2"/>
      <w:sz w:val="18"/>
      <w:szCs w:val="18"/>
    </w:rPr>
  </w:style>
  <w:style w:type="character" w:customStyle="1" w:styleId="23">
    <w:name w:val="页脚 Char1"/>
    <w:basedOn w:val="11"/>
    <w:link w:val="6"/>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1" Type="http://schemas.openxmlformats.org/officeDocument/2006/relationships/fontTable" Target="fontTable.xml"/><Relationship Id="rId20" Type="http://schemas.openxmlformats.org/officeDocument/2006/relationships/customXml" Target="../customXml/item10.xml"/><Relationship Id="rId2" Type="http://schemas.openxmlformats.org/officeDocument/2006/relationships/settings" Target="settings.xml"/><Relationship Id="rId19" Type="http://schemas.openxmlformats.org/officeDocument/2006/relationships/customXml" Target="../customXml/item9.xml"/><Relationship Id="rId18" Type="http://schemas.openxmlformats.org/officeDocument/2006/relationships/customXml" Target="../customXml/item8.xml"/><Relationship Id="rId17" Type="http://schemas.openxmlformats.org/officeDocument/2006/relationships/customXml" Target="../customXml/item7.xml"/><Relationship Id="rId16" Type="http://schemas.openxmlformats.org/officeDocument/2006/relationships/customXml" Target="../customXml/item6.xml"/><Relationship Id="rId15" Type="http://schemas.openxmlformats.org/officeDocument/2006/relationships/customXml" Target="../customXml/item5.xml"/><Relationship Id="rId14" Type="http://schemas.openxmlformats.org/officeDocument/2006/relationships/customXml" Target="../customXml/item4.xml"/><Relationship Id="rId13" Type="http://schemas.openxmlformats.org/officeDocument/2006/relationships/customXml" Target="../customXml/item3.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10.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

<file path=customXml/item2.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greatwall</cp:lastModifiedBy>
  <cp:lastPrinted>2023-08-15T09:28:45Z</cp:lastPrinted>
  <dcterms:modified xsi:type="dcterms:W3CDTF">2023-08-15T09:28:46Z</dcterms:modified>
  <cp:revision>67</cp:revision>
</cp:coreProperties>
</file>

<file path=customXml/item3.xml><?xml version="1.0" encoding="utf-8"?>
<Properties xmlns:vt="http://schemas.openxmlformats.org/officeDocument/2006/docPropsVTypes" xmlns="http://schemas.openxmlformats.org/officeDocument/2006/custom-properties">
  <property fmtid="{D5CDD505-2E9C-101B-9397-08002B2CF9AE}" pid="2" name="KSOProductBuildVer">
    <vt:lpstr>2052-11.8.2.10125</vt:lpstr>
  </property>
</Properties>
</file>

<file path=customXml/item4.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

<file path=customXml/item5.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Office_11.8.2.10125_F1E327BC-269C-435d-A152-05C5408002CA</Application>
  <DocSecurity>0</DocSecurity>
</Properties>
</file>

<file path=customXml/item6.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Office_11.8.2.10125_F1E327BC-269C-435d-A152-05C5408002CA</Application>
  <DocSecurity>0</DocSecurity>
</Properties>
</file>

<file path=customXml/item7.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greatwall</cp:lastModifiedBy>
  <cp:lastPrinted>2023-08-15T09:28:45Z</cp:lastPrinted>
  <dcterms:modified xsi:type="dcterms:W3CDTF">2023-08-15T09:28:46Z</dcterms:modified>
  <cp:revision>67</cp:revision>
</cp:coreProperties>
</file>

<file path=customXml/item8.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greatwall</cp:lastModifiedBy>
  <cp:revision>67</cp:revision>
  <cp:lastPrinted>2023-08-15T09:28:45Z</cp:lastPrinted>
  <dcterms:created xsi:type="dcterms:W3CDTF">2020-07-04T18:32:00Z</dcterms:created>
  <dcterms:modified xsi:type="dcterms:W3CDTF">2023-08-15T09:28:46Z</dcterms:modified>
</cp:coreProperties>
</file>

<file path=customXml/item9.xml><?xml version="1.0" encoding="utf-8"?>
<Properties xmlns:vt="http://schemas.openxmlformats.org/officeDocument/2006/docPropsVTypes" xmlns="http://schemas.openxmlformats.org/officeDocument/2006/extended-properties">
  <Template>Normal</Template>
  <TotalTime>37</TotalTime>
  <Pages>24</Pages>
  <Words>1347</Words>
  <Characters>7679</Characters>
  <Application>WPS Office_11.8.2.10125_F1E327BC-269C-435d-A152-05C5408002CA</Application>
  <DocSecurity>0</DocSecurity>
  <Lines>63</Lines>
  <Paragraphs>18</Paragraphs>
  <Company>Microsoft</Company>
  <CharactersWithSpaces>9008</CharactersWithSpaces>
  <AppVersion>14.0000</AppVersion>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1A99AD2B-B773-4743-B42D-8F4E0E1C05AB}">
  <ds:schemaRefs/>
</ds:datastoreItem>
</file>

<file path=customXml/itemProps2.xml><?xml version="1.0" encoding="utf-8"?>
<ds:datastoreItem xmlns:ds="http://schemas.openxmlformats.org/officeDocument/2006/customXml" ds:itemID="{11C97CF2-848D-4040-9303-43D019250FC3}">
  <ds:schemaRefs/>
</ds:datastoreItem>
</file>

<file path=customXml/itemProps3.xml><?xml version="1.0" encoding="utf-8"?>
<ds:datastoreItem xmlns:ds="http://schemas.openxmlformats.org/officeDocument/2006/customXml" ds:itemID="{C9629CBA-F1BD-4125-B602-4C6953CC192F}">
  <ds:schemaRefs/>
</ds:datastoreItem>
</file>

<file path=customXml/itemProps4.xml><?xml version="1.0" encoding="utf-8"?>
<ds:datastoreItem xmlns:ds="http://schemas.openxmlformats.org/officeDocument/2006/customXml" ds:itemID="{3F4C5C08-F82A-4B47-BCFC-E36BB60B1E76}">
  <ds:schemaRefs/>
</ds:datastoreItem>
</file>

<file path=customXml/itemProps5.xml><?xml version="1.0" encoding="utf-8"?>
<ds:datastoreItem xmlns:ds="http://schemas.openxmlformats.org/officeDocument/2006/customXml" ds:itemID="{9F09D53E-DCBB-42A7-BE32-CAC4DF04C76F}">
  <ds:schemaRefs/>
</ds:datastoreItem>
</file>

<file path=customXml/itemProps6.xml><?xml version="1.0" encoding="utf-8"?>
<ds:datastoreItem xmlns:ds="http://schemas.openxmlformats.org/officeDocument/2006/customXml" ds:itemID="{666A94CD-A845-4F13-B870-DD639D1B3590}">
  <ds:schemaRefs/>
</ds:datastoreItem>
</file>

<file path=customXml/itemProps7.xml><?xml version="1.0" encoding="utf-8"?>
<ds:datastoreItem xmlns:ds="http://schemas.openxmlformats.org/officeDocument/2006/customXml" ds:itemID="{1A4D4F20-C53B-4619-91C8-F5E9ED601BBD}">
  <ds:schemaRefs/>
</ds:datastoreItem>
</file>

<file path=customXml/itemProps8.xml><?xml version="1.0" encoding="utf-8"?>
<ds:datastoreItem xmlns:ds="http://schemas.openxmlformats.org/officeDocument/2006/customXml" ds:itemID="{3917660C-BB29-4316-95FB-28F4E56E4650}">
  <ds:schemaRefs/>
</ds:datastoreItem>
</file>

<file path=customXml/itemProps9.xml><?xml version="1.0" encoding="utf-8"?>
<ds:datastoreItem xmlns:ds="http://schemas.openxmlformats.org/officeDocument/2006/customXml" ds:itemID="{75962772-6673-48B3-B2E7-2DA40DDD71A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1484</Words>
  <Characters>8465</Characters>
  <Lines>70</Lines>
  <Paragraphs>19</Paragraphs>
  <TotalTime>0</TotalTime>
  <ScaleCrop>false</ScaleCrop>
  <LinksUpToDate>false</LinksUpToDate>
  <CharactersWithSpaces>9930</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ok</cp:lastModifiedBy>
  <cp:lastPrinted>2023-09-12T09:12:00Z</cp:lastPrinted>
  <dcterms:modified xsi:type="dcterms:W3CDTF">2023-11-01T09:44:03Z</dcterms:modified>
  <cp:revision>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