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202</w:t>
      </w:r>
      <w:r>
        <w:rPr>
          <w:rFonts w:hint="eastAsia" w:ascii="方正小标宋_GBK" w:hAnsi="方正小标宋_GBK" w:eastAsia="方正小标宋_GBK" w:cs="方正小标宋_GBK"/>
          <w:sz w:val="52"/>
          <w:szCs w:val="52"/>
          <w:lang w:val="en-US" w:eastAsia="zh-CN"/>
        </w:rPr>
        <w:t>2</w:t>
      </w:r>
      <w:r>
        <w:rPr>
          <w:rFonts w:hint="eastAsia" w:ascii="方正小标宋_GBK" w:hAnsi="方正小标宋_GBK" w:eastAsia="方正小标宋_GBK" w:cs="方正小标宋_GBK"/>
          <w:sz w:val="52"/>
          <w:szCs w:val="52"/>
        </w:rPr>
        <w:t>年度</w:t>
      </w:r>
    </w:p>
    <w:p>
      <w:pPr>
        <w:pStyle w:val="12"/>
        <w:jc w:val="center"/>
        <w:rPr>
          <w:rFonts w:hint="eastAsia" w:ascii="方正小标宋_GBK" w:hAnsi="方正小标宋_GBK" w:eastAsia="方正小标宋_GBK" w:cs="方正小标宋_GBK"/>
          <w:sz w:val="52"/>
          <w:szCs w:val="52"/>
        </w:rPr>
      </w:pPr>
    </w:p>
    <w:p>
      <w:pPr>
        <w:pStyle w:val="12"/>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湖南省农民科技教育培训中心部门决算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ind w:firstLine="4337" w:firstLineChars="1200"/>
        <w:jc w:val="both"/>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湖南省农民科技教育培训中心概况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 xml:space="preserve">第一部分 </w:t>
      </w:r>
    </w:p>
    <w:p>
      <w:pPr>
        <w:pStyle w:val="12"/>
        <w:jc w:val="center"/>
        <w:rPr>
          <w:rFonts w:hint="eastAsia" w:ascii="方正小标宋_GBK" w:hAnsi="方正小标宋_GBK" w:eastAsia="方正小标宋_GBK" w:cs="方正小标宋_GBK"/>
          <w:sz w:val="52"/>
          <w:szCs w:val="52"/>
        </w:rPr>
      </w:pPr>
    </w:p>
    <w:p>
      <w:pPr>
        <w:pStyle w:val="12"/>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湖南省农民科技教育培训中心概况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省农民科技教育培训中心（省农广校）1981年经省政府批准成立，是一所集新型职业农民教育培训、技术推广、科学普及和信息传播等多种功能为一体的政府公益性教育培训机构。</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（一）机构设置</w:t>
      </w:r>
    </w:p>
    <w:p>
      <w:pPr>
        <w:widowControl/>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湖南省农民科技教育培训中心内设机构包括：办公室、财务科、人事科、教务科、教材科、声像科、培训开发科、职业技能鉴定科、农民体育健身科、体系建设科10个内部机构。</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eastAsia="zh-CN"/>
        </w:rPr>
        <w:t>（二）</w:t>
      </w:r>
      <w:r>
        <w:rPr>
          <w:rFonts w:hint="eastAsia" w:ascii="楷体" w:hAnsi="楷体" w:eastAsia="楷体" w:cs="楷体"/>
          <w:b w:val="0"/>
          <w:bCs/>
          <w:sz w:val="32"/>
          <w:szCs w:val="32"/>
        </w:rPr>
        <w:t>决算单位构成</w:t>
      </w:r>
    </w:p>
    <w:p>
      <w:pPr>
        <w:widowControl/>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湖南省农民科技教育培训中心202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年部门决算汇总公开单位构成包括：湖南省农民科技教育培训中心单位本级。</w:t>
      </w:r>
    </w:p>
    <w:p>
      <w:pPr>
        <w:widowControl/>
        <w:spacing w:line="600" w:lineRule="exact"/>
        <w:ind w:firstLine="640" w:firstLineChars="200"/>
        <w:rPr>
          <w:rFonts w:hint="eastAsia" w:ascii="Times New Roman" w:hAnsi="Times New Roman" w:eastAsia="仿宋_GB2312" w:cs="仿宋_GB2312"/>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both"/>
        <w:rPr>
          <w:sz w:val="72"/>
          <w:szCs w:val="72"/>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center"/>
        <w:rPr>
          <w:rFonts w:hint="eastAsia" w:ascii="Times New Roman" w:hAnsi="Times New Roman" w:eastAsia="方正小标宋_GBK" w:cs="Times New Roman"/>
          <w:color w:val="000000"/>
          <w:kern w:val="0"/>
          <w:sz w:val="36"/>
          <w:szCs w:val="36"/>
          <w:lang w:eastAsia="zh-CN"/>
        </w:rPr>
      </w:pPr>
      <w:r>
        <w:rPr>
          <w:rFonts w:hint="eastAsia" w:ascii="Times New Roman" w:hAnsi="Times New Roman" w:eastAsia="方正小标宋_GBK" w:cs="Times New Roman"/>
          <w:color w:val="000000"/>
          <w:kern w:val="0"/>
          <w:sz w:val="36"/>
          <w:szCs w:val="36"/>
          <w:lang w:eastAsia="zh-CN"/>
        </w:rPr>
        <w:drawing>
          <wp:inline distT="0" distB="0" distL="114300" distR="114300">
            <wp:extent cx="7924165" cy="6641465"/>
            <wp:effectExtent l="0" t="0" r="635" b="6985"/>
            <wp:docPr id="8" name="图片 8" descr="1692688978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92688978558"/>
                    <pic:cNvPicPr>
                      <a:picLocks noChangeAspect="1"/>
                    </pic:cNvPicPr>
                  </pic:nvPicPr>
                  <pic:blipFill>
                    <a:blip r:embed="rId4"/>
                    <a:stretch>
                      <a:fillRect/>
                    </a:stretch>
                  </pic:blipFill>
                  <pic:spPr>
                    <a:xfrm>
                      <a:off x="0" y="0"/>
                      <a:ext cx="7924165" cy="6641465"/>
                    </a:xfrm>
                    <a:prstGeom prst="rect">
                      <a:avLst/>
                    </a:prstGeom>
                  </pic:spPr>
                </pic:pic>
              </a:graphicData>
            </a:graphic>
          </wp:inline>
        </w:drawing>
      </w:r>
    </w:p>
    <w:p>
      <w:pPr>
        <w:widowControl/>
        <w:rPr>
          <w:rFonts w:ascii="Times New Roman" w:hAnsi="Times New Roman" w:eastAsia="方正小标宋_GBK" w:cs="Times New Roman"/>
          <w:color w:val="000000"/>
          <w:kern w:val="0"/>
          <w:sz w:val="36"/>
          <w:szCs w:val="36"/>
        </w:rPr>
      </w:pPr>
    </w:p>
    <w:p>
      <w:pPr>
        <w:widowControl/>
        <w:jc w:val="both"/>
        <w:rPr>
          <w:rFonts w:hint="eastAsia" w:ascii="Times New Roman" w:hAnsi="Times New Roman" w:eastAsia="方正小标宋_GBK" w:cs="Times New Roman"/>
          <w:kern w:val="0"/>
          <w:sz w:val="36"/>
          <w:szCs w:val="36"/>
          <w:lang w:eastAsia="zh-CN"/>
        </w:rPr>
      </w:pPr>
      <w:bookmarkStart w:id="0" w:name="RANGE!A1:I22"/>
      <w:bookmarkEnd w:id="0"/>
      <w:bookmarkStart w:id="1" w:name="RANGE!A1:F16"/>
      <w:r>
        <w:rPr>
          <w:rFonts w:hint="eastAsia" w:ascii="Times New Roman" w:hAnsi="Times New Roman" w:eastAsia="方正小标宋_GBK" w:cs="Times New Roman"/>
          <w:kern w:val="0"/>
          <w:sz w:val="36"/>
          <w:szCs w:val="36"/>
          <w:lang w:eastAsia="zh-CN"/>
        </w:rPr>
        <w:drawing>
          <wp:inline distT="0" distB="0" distL="114300" distR="114300">
            <wp:extent cx="9776460" cy="3562350"/>
            <wp:effectExtent l="0" t="0" r="15240" b="0"/>
            <wp:docPr id="9" name="图片 9" descr="1692689004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92689004739"/>
                    <pic:cNvPicPr>
                      <a:picLocks noChangeAspect="1"/>
                    </pic:cNvPicPr>
                  </pic:nvPicPr>
                  <pic:blipFill>
                    <a:blip r:embed="rId5"/>
                    <a:stretch>
                      <a:fillRect/>
                    </a:stretch>
                  </pic:blipFill>
                  <pic:spPr>
                    <a:xfrm>
                      <a:off x="0" y="0"/>
                      <a:ext cx="9776460" cy="3562350"/>
                    </a:xfrm>
                    <a:prstGeom prst="rect">
                      <a:avLst/>
                    </a:prstGeom>
                  </pic:spPr>
                </pic:pic>
              </a:graphicData>
            </a:graphic>
          </wp:inline>
        </w:drawing>
      </w:r>
    </w:p>
    <w:p>
      <w:pPr>
        <w:widowControl/>
        <w:jc w:val="center"/>
        <w:rPr>
          <w:rFonts w:hint="eastAsia" w:ascii="Times New Roman" w:hAnsi="Times New Roman" w:eastAsia="方正小标宋_GBK" w:cs="Times New Roman"/>
          <w:kern w:val="0"/>
          <w:sz w:val="36"/>
          <w:szCs w:val="36"/>
          <w:lang w:eastAsia="zh-CN"/>
        </w:rPr>
      </w:pPr>
    </w:p>
    <w:p>
      <w:pPr>
        <w:widowControl/>
        <w:jc w:val="center"/>
        <w:rPr>
          <w:rFonts w:hint="eastAsia" w:ascii="Times New Roman" w:hAnsi="Times New Roman" w:eastAsia="方正小标宋_GBK" w:cs="Times New Roman"/>
          <w:kern w:val="0"/>
          <w:sz w:val="36"/>
          <w:szCs w:val="36"/>
          <w:lang w:eastAsia="zh-CN"/>
        </w:rPr>
      </w:pPr>
    </w:p>
    <w:p>
      <w:pPr>
        <w:widowControl/>
        <w:jc w:val="center"/>
        <w:rPr>
          <w:rFonts w:hint="eastAsia" w:ascii="Times New Roman" w:hAnsi="Times New Roman" w:eastAsia="方正小标宋_GBK" w:cs="Times New Roman"/>
          <w:kern w:val="0"/>
          <w:sz w:val="36"/>
          <w:szCs w:val="36"/>
          <w:lang w:eastAsia="zh-CN"/>
        </w:rPr>
      </w:pPr>
      <w:r>
        <w:rPr>
          <w:rFonts w:hint="eastAsia" w:ascii="Times New Roman" w:hAnsi="Times New Roman" w:eastAsia="方正小标宋_GBK" w:cs="Times New Roman"/>
          <w:kern w:val="0"/>
          <w:sz w:val="36"/>
          <w:szCs w:val="36"/>
          <w:lang w:eastAsia="zh-CN"/>
        </w:rPr>
        <w:drawing>
          <wp:inline distT="0" distB="0" distL="114300" distR="114300">
            <wp:extent cx="9772015" cy="3968115"/>
            <wp:effectExtent l="0" t="0" r="635" b="13335"/>
            <wp:docPr id="10" name="图片 10" descr="1692689023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92689023623"/>
                    <pic:cNvPicPr>
                      <a:picLocks noChangeAspect="1"/>
                    </pic:cNvPicPr>
                  </pic:nvPicPr>
                  <pic:blipFill>
                    <a:blip r:embed="rId6"/>
                    <a:stretch>
                      <a:fillRect/>
                    </a:stretch>
                  </pic:blipFill>
                  <pic:spPr>
                    <a:xfrm>
                      <a:off x="0" y="0"/>
                      <a:ext cx="9772015" cy="3968115"/>
                    </a:xfrm>
                    <a:prstGeom prst="rect">
                      <a:avLst/>
                    </a:prstGeom>
                  </pic:spPr>
                </pic:pic>
              </a:graphicData>
            </a:graphic>
          </wp:inline>
        </w:drawing>
      </w:r>
    </w:p>
    <w:p>
      <w:pPr>
        <w:widowControl/>
        <w:jc w:val="both"/>
        <w:rPr>
          <w:rFonts w:hint="eastAsia" w:ascii="Times New Roman" w:hAnsi="Times New Roman" w:eastAsia="方正小标宋_GBK" w:cs="Times New Roman"/>
          <w:kern w:val="0"/>
          <w:sz w:val="36"/>
          <w:szCs w:val="36"/>
          <w:lang w:eastAsia="zh-CN"/>
        </w:rPr>
      </w:pPr>
    </w:p>
    <w:p>
      <w:pPr>
        <w:widowControl/>
        <w:jc w:val="both"/>
        <w:rPr>
          <w:rFonts w:hint="eastAsia" w:ascii="Times New Roman" w:hAnsi="Times New Roman" w:eastAsia="方正小标宋_GBK" w:cs="Times New Roman"/>
          <w:kern w:val="0"/>
          <w:sz w:val="36"/>
          <w:szCs w:val="36"/>
          <w:lang w:eastAsia="zh-CN"/>
        </w:rPr>
      </w:pPr>
    </w:p>
    <w:p>
      <w:pPr>
        <w:widowControl/>
        <w:jc w:val="both"/>
        <w:rPr>
          <w:rFonts w:hint="eastAsia" w:ascii="Times New Roman" w:hAnsi="Times New Roman" w:eastAsia="方正小标宋_GBK" w:cs="Times New Roman"/>
          <w:kern w:val="0"/>
          <w:sz w:val="36"/>
          <w:szCs w:val="36"/>
          <w:lang w:eastAsia="zh-CN"/>
        </w:rPr>
      </w:pPr>
    </w:p>
    <w:p>
      <w:pPr>
        <w:widowControl/>
        <w:jc w:val="center"/>
        <w:rPr>
          <w:rFonts w:hint="eastAsia" w:ascii="Times New Roman" w:hAnsi="Times New Roman" w:eastAsia="方正小标宋_GBK" w:cs="Times New Roman"/>
          <w:kern w:val="0"/>
          <w:sz w:val="36"/>
          <w:szCs w:val="36"/>
          <w:lang w:eastAsia="zh-CN"/>
        </w:rPr>
      </w:pPr>
      <w:r>
        <w:rPr>
          <w:rFonts w:hint="eastAsia" w:ascii="Times New Roman" w:hAnsi="Times New Roman" w:eastAsia="方正小标宋_GBK" w:cs="Times New Roman"/>
          <w:kern w:val="0"/>
          <w:sz w:val="36"/>
          <w:szCs w:val="36"/>
          <w:lang w:eastAsia="zh-CN"/>
        </w:rPr>
        <w:drawing>
          <wp:inline distT="0" distB="0" distL="114300" distR="114300">
            <wp:extent cx="8909685" cy="6640195"/>
            <wp:effectExtent l="0" t="0" r="5715" b="8255"/>
            <wp:docPr id="11" name="图片 11" descr="1692689052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92689052784"/>
                    <pic:cNvPicPr>
                      <a:picLocks noChangeAspect="1"/>
                    </pic:cNvPicPr>
                  </pic:nvPicPr>
                  <pic:blipFill>
                    <a:blip r:embed="rId7"/>
                    <a:stretch>
                      <a:fillRect/>
                    </a:stretch>
                  </pic:blipFill>
                  <pic:spPr>
                    <a:xfrm>
                      <a:off x="0" y="0"/>
                      <a:ext cx="8909685" cy="6640195"/>
                    </a:xfrm>
                    <a:prstGeom prst="rect">
                      <a:avLst/>
                    </a:prstGeom>
                  </pic:spPr>
                </pic:pic>
              </a:graphicData>
            </a:graphic>
          </wp:inline>
        </w:drawing>
      </w:r>
    </w:p>
    <w:p>
      <w:pPr>
        <w:widowControl/>
        <w:jc w:val="center"/>
        <w:rPr>
          <w:rFonts w:hint="eastAsia" w:ascii="Times New Roman" w:hAnsi="Times New Roman" w:eastAsia="方正小标宋_GBK" w:cs="Times New Roman"/>
          <w:kern w:val="0"/>
          <w:sz w:val="36"/>
          <w:szCs w:val="36"/>
          <w:lang w:eastAsia="zh-CN"/>
        </w:rPr>
      </w:pPr>
      <w:r>
        <w:rPr>
          <w:rFonts w:hint="eastAsia" w:ascii="Times New Roman" w:hAnsi="Times New Roman" w:eastAsia="方正小标宋_GBK" w:cs="Times New Roman"/>
          <w:kern w:val="0"/>
          <w:sz w:val="36"/>
          <w:szCs w:val="36"/>
          <w:lang w:eastAsia="zh-CN"/>
        </w:rPr>
        <w:drawing>
          <wp:inline distT="0" distB="0" distL="114300" distR="114300">
            <wp:extent cx="7419975" cy="4038600"/>
            <wp:effectExtent l="0" t="0" r="9525" b="0"/>
            <wp:docPr id="12" name="图片 12" descr="169268907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92689071100"/>
                    <pic:cNvPicPr>
                      <a:picLocks noChangeAspect="1"/>
                    </pic:cNvPicPr>
                  </pic:nvPicPr>
                  <pic:blipFill>
                    <a:blip r:embed="rId8"/>
                    <a:stretch>
                      <a:fillRect/>
                    </a:stretch>
                  </pic:blipFill>
                  <pic:spPr>
                    <a:xfrm>
                      <a:off x="0" y="0"/>
                      <a:ext cx="7419975" cy="4038600"/>
                    </a:xfrm>
                    <a:prstGeom prst="rect">
                      <a:avLst/>
                    </a:prstGeom>
                  </pic:spPr>
                </pic:pic>
              </a:graphicData>
            </a:graphic>
          </wp:inline>
        </w:drawing>
      </w:r>
    </w:p>
    <w:p>
      <w:pPr>
        <w:widowControl/>
        <w:jc w:val="center"/>
        <w:rPr>
          <w:rFonts w:hint="eastAsia" w:ascii="Times New Roman" w:hAnsi="Times New Roman" w:eastAsia="方正小标宋_GBK" w:cs="Times New Roman"/>
          <w:kern w:val="0"/>
          <w:sz w:val="36"/>
          <w:szCs w:val="36"/>
          <w:lang w:eastAsia="zh-CN"/>
        </w:rPr>
      </w:pPr>
    </w:p>
    <w:p>
      <w:pPr>
        <w:widowControl/>
        <w:jc w:val="center"/>
        <w:rPr>
          <w:rFonts w:hint="eastAsia" w:ascii="Times New Roman" w:hAnsi="Times New Roman" w:eastAsia="方正小标宋_GBK" w:cs="Times New Roman"/>
          <w:kern w:val="0"/>
          <w:sz w:val="36"/>
          <w:szCs w:val="36"/>
          <w:lang w:eastAsia="zh-CN"/>
        </w:rPr>
      </w:pPr>
      <w:r>
        <w:rPr>
          <w:rFonts w:hint="eastAsia" w:ascii="Times New Roman" w:hAnsi="Times New Roman" w:eastAsia="方正小标宋_GBK" w:cs="Times New Roman"/>
          <w:kern w:val="0"/>
          <w:sz w:val="36"/>
          <w:szCs w:val="36"/>
          <w:lang w:eastAsia="zh-CN"/>
        </w:rPr>
        <w:drawing>
          <wp:inline distT="0" distB="0" distL="114300" distR="114300">
            <wp:extent cx="9774555" cy="5774055"/>
            <wp:effectExtent l="0" t="0" r="17145" b="17145"/>
            <wp:docPr id="13" name="图片 13" descr="1692689103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92689103770"/>
                    <pic:cNvPicPr>
                      <a:picLocks noChangeAspect="1"/>
                    </pic:cNvPicPr>
                  </pic:nvPicPr>
                  <pic:blipFill>
                    <a:blip r:embed="rId9"/>
                    <a:stretch>
                      <a:fillRect/>
                    </a:stretch>
                  </pic:blipFill>
                  <pic:spPr>
                    <a:xfrm>
                      <a:off x="0" y="0"/>
                      <a:ext cx="9774555" cy="5774055"/>
                    </a:xfrm>
                    <a:prstGeom prst="rect">
                      <a:avLst/>
                    </a:prstGeom>
                  </pic:spPr>
                </pic:pic>
              </a:graphicData>
            </a:graphic>
          </wp:inline>
        </w:drawing>
      </w:r>
    </w:p>
    <w:p>
      <w:pPr>
        <w:widowControl/>
        <w:jc w:val="center"/>
        <w:rPr>
          <w:rFonts w:hint="eastAsia" w:ascii="Times New Roman" w:hAnsi="Times New Roman" w:eastAsia="方正小标宋_GBK" w:cs="Times New Roman"/>
          <w:kern w:val="0"/>
          <w:sz w:val="36"/>
          <w:szCs w:val="36"/>
          <w:lang w:eastAsia="zh-CN"/>
        </w:rPr>
      </w:pPr>
    </w:p>
    <w:tbl>
      <w:tblPr>
        <w:tblStyle w:val="7"/>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240"/>
        <w:gridCol w:w="1402"/>
        <w:gridCol w:w="901"/>
        <w:gridCol w:w="240"/>
        <w:gridCol w:w="978"/>
        <w:gridCol w:w="1307"/>
        <w:gridCol w:w="812"/>
        <w:gridCol w:w="1925"/>
        <w:gridCol w:w="194"/>
        <w:gridCol w:w="2119"/>
        <w:gridCol w:w="424"/>
        <w:gridCol w:w="1695"/>
        <w:gridCol w:w="1880"/>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15"/>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0" w:type="dxa"/>
          <w:trHeight w:val="417" w:hRule="atLeast"/>
        </w:trPr>
        <w:tc>
          <w:tcPr>
            <w:tcW w:w="3546" w:type="dxa"/>
            <w:gridSpan w:val="4"/>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w:t>
            </w:r>
            <w:r>
              <w:rPr>
                <w:rFonts w:hint="eastAsia" w:ascii="Times New Roman" w:hAnsi="Times New Roman" w:eastAsia="仿宋_GB2312" w:cs="Times New Roman"/>
                <w:kern w:val="0"/>
                <w:szCs w:val="21"/>
              </w:rPr>
              <w:t>湖南省农民科技教育培训中心</w:t>
            </w: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85"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737"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737"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575"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5"/>
                <w:lang w:val="en-US" w:eastAsia="zh-CN"/>
              </w:rPr>
              <w:t xml:space="preserve">   </w:t>
            </w:r>
            <w:r>
              <w:rPr>
                <w:rStyle w:val="16"/>
                <w:lang w:val="en-US" w:eastAsia="zh-CN"/>
              </w:rPr>
              <w:t>目</w:t>
            </w:r>
          </w:p>
        </w:tc>
        <w:tc>
          <w:tcPr>
            <w:tcW w:w="21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5" w:hRule="atLeast"/>
        </w:trPr>
        <w:tc>
          <w:tcPr>
            <w:tcW w:w="15360" w:type="dxa"/>
            <w:gridSpan w:val="15"/>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bookmarkEnd w:id="1"/>
    </w:tbl>
    <w:p>
      <w:pPr>
        <w:widowControl/>
        <w:jc w:val="left"/>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7"/>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46"/>
        <w:gridCol w:w="240"/>
        <w:gridCol w:w="2285"/>
        <w:gridCol w:w="2737"/>
        <w:gridCol w:w="2737"/>
        <w:gridCol w:w="35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354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85"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737"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737"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575"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3546"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w:t>
            </w:r>
            <w:r>
              <w:rPr>
                <w:rFonts w:hint="eastAsia" w:ascii="Times New Roman" w:hAnsi="Times New Roman" w:eastAsia="仿宋_GB2312" w:cs="Times New Roman"/>
                <w:kern w:val="0"/>
                <w:szCs w:val="21"/>
              </w:rPr>
              <w:t>湖南省农民科技教育培训中心</w:t>
            </w: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85"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737"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737"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575"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60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7"/>
                <w:lang w:val="en-US" w:eastAsia="zh-CN"/>
              </w:rPr>
              <w:t>目</w:t>
            </w:r>
          </w:p>
        </w:tc>
        <w:tc>
          <w:tcPr>
            <w:tcW w:w="90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3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60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60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37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37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5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autoSpaceDE w:val="0"/>
        <w:autoSpaceDN w:val="0"/>
        <w:adjustRightInd w:val="0"/>
        <w:ind w:left="315" w:leftChars="150"/>
        <w:jc w:val="left"/>
        <w:rPr>
          <w:rFonts w:hint="eastAsia" w:ascii="宋体" w:eastAsia="宋体" w:cs="宋体"/>
          <w:kern w:val="0"/>
          <w:sz w:val="24"/>
          <w:szCs w:val="24"/>
          <w:lang w:eastAsia="zh-CN"/>
        </w:rPr>
      </w:pPr>
      <w:r>
        <w:rPr>
          <w:rFonts w:hint="eastAsia" w:ascii="宋体" w:eastAsia="宋体" w:cs="宋体"/>
          <w:kern w:val="0"/>
          <w:sz w:val="24"/>
          <w:szCs w:val="24"/>
          <w:lang w:eastAsia="zh-CN"/>
        </w:rPr>
        <w:drawing>
          <wp:inline distT="0" distB="0" distL="114300" distR="114300">
            <wp:extent cx="9775190" cy="1957070"/>
            <wp:effectExtent l="0" t="0" r="16510" b="5080"/>
            <wp:docPr id="14" name="图片 14" descr="1692689122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92689122511"/>
                    <pic:cNvPicPr>
                      <a:picLocks noChangeAspect="1"/>
                    </pic:cNvPicPr>
                  </pic:nvPicPr>
                  <pic:blipFill>
                    <a:blip r:embed="rId10"/>
                    <a:stretch>
                      <a:fillRect/>
                    </a:stretch>
                  </pic:blipFill>
                  <pic:spPr>
                    <a:xfrm>
                      <a:off x="0" y="0"/>
                      <a:ext cx="9775190" cy="1957070"/>
                    </a:xfrm>
                    <a:prstGeom prst="rect">
                      <a:avLst/>
                    </a:prstGeom>
                  </pic:spPr>
                </pic:pic>
              </a:graphicData>
            </a:graphic>
          </wp:inline>
        </w:drawing>
      </w: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1827.28</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194.4</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9.62</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年初结转和结余减少</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1804.6</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1804.46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99.99</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0.14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0.01</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1546.73</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696.17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45.01</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850.56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54.99</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1827.13</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170.28</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8.53</w:t>
      </w:r>
      <w:r>
        <w:rPr>
          <w:rFonts w:hint="eastAsia" w:ascii="Times New Roman" w:hAnsi="Times New Roman" w:eastAsia="仿宋_GB2312"/>
          <w:sz w:val="32"/>
          <w:szCs w:val="32"/>
        </w:rPr>
        <w:t>%，主要是</w:t>
      </w:r>
      <w:r>
        <w:rPr>
          <w:rFonts w:hint="eastAsia" w:ascii="Times New Roman" w:hAnsi="Times New Roman" w:eastAsia="仿宋_GB2312"/>
          <w:sz w:val="32"/>
          <w:szCs w:val="32"/>
          <w:lang w:val="en-US" w:eastAsia="zh-CN"/>
        </w:rPr>
        <w:t>年初财政拨款结转和结余减少。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1546.71</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99.99</w:t>
      </w:r>
      <w:r>
        <w:rPr>
          <w:rFonts w:hint="eastAsia" w:ascii="Times New Roman" w:hAnsi="Times New Roman" w:eastAsia="仿宋_GB2312"/>
          <w:sz w:val="32"/>
          <w:szCs w:val="32"/>
        </w:rPr>
        <w:t>%，与上年相比，财政拨款支出减少</w:t>
      </w:r>
      <w:r>
        <w:rPr>
          <w:rFonts w:hint="eastAsia" w:ascii="Times New Roman" w:hAnsi="Times New Roman" w:eastAsia="仿宋_GB2312"/>
          <w:sz w:val="32"/>
          <w:szCs w:val="32"/>
          <w:lang w:val="en-US" w:eastAsia="zh-CN"/>
        </w:rPr>
        <w:t>321.49</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17.21</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2022年受疫情影响，部分培训项目未按计划开展，导致项目支出减少。</w:t>
      </w:r>
    </w:p>
    <w:p>
      <w:pPr>
        <w:pStyle w:val="12"/>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1546.71</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72.83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4.71</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1473.88万元，占95.29%。</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1584.95</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1546.71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97.59</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w:t>
      </w:r>
      <w:r>
        <w:rPr>
          <w:rFonts w:hint="eastAsia" w:ascii="Times New Roman" w:hAnsi="Times New Roman" w:eastAsia="仿宋_GB2312"/>
          <w:sz w:val="32"/>
          <w:szCs w:val="32"/>
          <w:lang w:eastAsia="zh-CN"/>
        </w:rPr>
        <w:t>社会保障和就业</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行政事业单位养老支出</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机关事业单位基本养老保险缴费支出</w:t>
      </w:r>
      <w:r>
        <w:rPr>
          <w:rFonts w:hint="eastAsia" w:ascii="Times New Roman" w:hAnsi="Times New Roman" w:eastAsia="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0000FF"/>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72.83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89.91</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eastAsia="zh-CN"/>
        </w:rPr>
        <w:t>人员调整年中执行与年初预算测算有一定差异</w:t>
      </w:r>
      <w:r>
        <w:rPr>
          <w:rFonts w:hint="eastAsia" w:ascii="Times New Roman" w:hAnsi="Times New Roman" w:eastAsia="仿宋_GB2312"/>
          <w:color w:val="auto"/>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w:t>
      </w:r>
      <w:r>
        <w:rPr>
          <w:rFonts w:hint="eastAsia" w:ascii="Times New Roman" w:hAnsi="Times New Roman" w:eastAsia="仿宋_GB2312"/>
          <w:color w:val="auto"/>
          <w:sz w:val="32"/>
          <w:szCs w:val="32"/>
          <w:lang w:eastAsia="zh-CN"/>
        </w:rPr>
        <w:t>农林水</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eastAsia="zh-CN"/>
        </w:rPr>
        <w:t>农业农村</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eastAsia="zh-CN"/>
        </w:rPr>
        <w:t>行政运行</w:t>
      </w:r>
      <w:r>
        <w:rPr>
          <w:rFonts w:hint="eastAsia" w:ascii="Times New Roman" w:hAnsi="Times New Roman" w:eastAsia="仿宋_GB2312"/>
          <w:color w:val="auto"/>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年初预算</w:t>
      </w:r>
      <w:r>
        <w:rPr>
          <w:rFonts w:hint="eastAsia" w:ascii="Times New Roman" w:hAnsi="Times New Roman" w:eastAsia="仿宋_GB2312"/>
          <w:color w:val="auto"/>
          <w:sz w:val="32"/>
          <w:szCs w:val="32"/>
          <w:lang w:eastAsia="zh-CN"/>
        </w:rPr>
        <w:t>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lang w:eastAsia="zh-CN"/>
        </w:rPr>
        <w:t>万元</w:t>
      </w:r>
      <w:r>
        <w:rPr>
          <w:rFonts w:hint="eastAsia" w:ascii="Times New Roman" w:hAnsi="Times New Roman" w:eastAsia="仿宋_GB2312"/>
          <w:color w:val="auto"/>
          <w:sz w:val="32"/>
          <w:szCs w:val="32"/>
        </w:rPr>
        <w:t>，支出决算为</w:t>
      </w:r>
      <w:r>
        <w:rPr>
          <w:rFonts w:hint="eastAsia" w:ascii="Times New Roman" w:hAnsi="Times New Roman" w:eastAsia="仿宋_GB2312"/>
          <w:color w:val="auto"/>
          <w:sz w:val="32"/>
          <w:szCs w:val="32"/>
          <w:lang w:val="en-US" w:eastAsia="zh-CN"/>
        </w:rPr>
        <w:t>14.74</w:t>
      </w:r>
      <w:r>
        <w:rPr>
          <w:rFonts w:hint="eastAsia" w:ascii="Times New Roman" w:hAnsi="Times New Roman" w:eastAsia="仿宋_GB2312"/>
          <w:color w:val="auto"/>
          <w:sz w:val="32"/>
          <w:szCs w:val="32"/>
        </w:rPr>
        <w:t>万元，决算数</w:t>
      </w:r>
      <w:r>
        <w:rPr>
          <w:rFonts w:hint="eastAsia" w:ascii="Times New Roman" w:hAnsi="Times New Roman" w:eastAsia="仿宋_GB2312"/>
          <w:color w:val="auto"/>
          <w:sz w:val="32"/>
          <w:szCs w:val="32"/>
          <w:lang w:eastAsia="zh-CN"/>
        </w:rPr>
        <w:t>大于</w:t>
      </w:r>
      <w:r>
        <w:rPr>
          <w:rFonts w:hint="eastAsia" w:ascii="Times New Roman" w:hAnsi="Times New Roman" w:eastAsia="仿宋_GB2312"/>
          <w:color w:val="auto"/>
          <w:sz w:val="32"/>
          <w:szCs w:val="32"/>
        </w:rPr>
        <w:t>年初预算数的主要原因是</w:t>
      </w:r>
      <w:r>
        <w:rPr>
          <w:rFonts w:hint="eastAsia" w:ascii="Times New Roman" w:hAnsi="Times New Roman" w:eastAsia="仿宋_GB2312"/>
          <w:color w:val="auto"/>
          <w:sz w:val="32"/>
          <w:szCs w:val="32"/>
          <w:lang w:eastAsia="zh-CN"/>
        </w:rPr>
        <w:t>：年中追加绩效奖金</w:t>
      </w:r>
      <w:r>
        <w:rPr>
          <w:rFonts w:hint="eastAsia" w:ascii="Times New Roman" w:hAnsi="Times New Roman" w:eastAsia="仿宋_GB2312"/>
          <w:color w:val="auto"/>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lang w:eastAsia="zh-CN"/>
        </w:rPr>
        <w:t>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农业农村</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一般行政管理事务</w:t>
      </w:r>
      <w:r>
        <w:rPr>
          <w:rFonts w:hint="eastAsia" w:ascii="Times New Roman" w:hAnsi="Times New Roman" w:eastAsia="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w:t>
      </w:r>
      <w:r>
        <w:rPr>
          <w:rFonts w:hint="eastAsia" w:ascii="Times New Roman" w:hAnsi="Times New Roman" w:eastAsia="仿宋_GB2312"/>
          <w:color w:val="auto"/>
          <w:sz w:val="32"/>
          <w:szCs w:val="32"/>
          <w:lang w:eastAsia="zh-CN"/>
        </w:rPr>
        <w:t>预算为</w:t>
      </w:r>
      <w:r>
        <w:rPr>
          <w:rFonts w:hint="eastAsia" w:ascii="Times New Roman" w:hAnsi="Times New Roman" w:eastAsia="仿宋_GB2312"/>
          <w:color w:val="auto"/>
          <w:sz w:val="32"/>
          <w:szCs w:val="32"/>
          <w:lang w:val="en-US" w:eastAsia="zh-CN"/>
        </w:rPr>
        <w:t>669.28</w:t>
      </w:r>
      <w:r>
        <w:rPr>
          <w:rFonts w:hint="eastAsia" w:ascii="Times New Roman" w:hAnsi="Times New Roman" w:eastAsia="仿宋_GB2312"/>
          <w:color w:val="auto"/>
          <w:sz w:val="32"/>
          <w:szCs w:val="32"/>
          <w:lang w:eastAsia="zh-CN"/>
        </w:rPr>
        <w:t>万</w:t>
      </w:r>
      <w:r>
        <w:rPr>
          <w:rFonts w:hint="eastAsia" w:ascii="Times New Roman" w:hAnsi="Times New Roman" w:eastAsia="仿宋_GB2312"/>
          <w:sz w:val="32"/>
          <w:szCs w:val="32"/>
        </w:rPr>
        <w:t>元，支出决算为</w:t>
      </w:r>
      <w:r>
        <w:rPr>
          <w:rFonts w:hint="eastAsia" w:ascii="Times New Roman" w:hAnsi="Times New Roman" w:eastAsia="仿宋_GB2312"/>
          <w:sz w:val="32"/>
          <w:szCs w:val="32"/>
          <w:lang w:val="en-US" w:eastAsia="zh-CN"/>
        </w:rPr>
        <w:t>626.49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93.61</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eastAsia="zh-CN"/>
        </w:rPr>
        <w:t>受疫情影响，“农广助农”产业领军人才培训及“三农”干部走出去</w:t>
      </w:r>
      <w:r>
        <w:rPr>
          <w:rFonts w:hint="eastAsia" w:ascii="Times New Roman" w:hAnsi="Times New Roman" w:eastAsia="仿宋_GB2312"/>
          <w:color w:val="auto"/>
          <w:sz w:val="32"/>
          <w:szCs w:val="32"/>
          <w:lang w:eastAsia="zh-CN"/>
        </w:rPr>
        <w:t>培训等项目未</w:t>
      </w:r>
      <w:r>
        <w:rPr>
          <w:rFonts w:hint="eastAsia" w:ascii="Times New Roman" w:hAnsi="Times New Roman" w:eastAsia="仿宋_GB2312"/>
          <w:sz w:val="32"/>
          <w:szCs w:val="32"/>
          <w:lang w:eastAsia="zh-CN"/>
        </w:rPr>
        <w:t>按计划开展。</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农业农村</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事业运行</w:t>
      </w:r>
      <w:r>
        <w:rPr>
          <w:rFonts w:hint="eastAsia" w:ascii="Times New Roman" w:hAnsi="Times New Roman" w:eastAsia="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w:t>
      </w:r>
      <w:r>
        <w:rPr>
          <w:rFonts w:hint="eastAsia" w:ascii="Times New Roman" w:hAnsi="Times New Roman" w:eastAsia="仿宋_GB2312"/>
          <w:color w:val="auto"/>
          <w:sz w:val="32"/>
          <w:szCs w:val="32"/>
        </w:rPr>
        <w:t>为</w:t>
      </w:r>
      <w:r>
        <w:rPr>
          <w:rFonts w:hint="eastAsia" w:ascii="Times New Roman" w:hAnsi="Times New Roman" w:eastAsia="仿宋_GB2312"/>
          <w:color w:val="auto"/>
          <w:sz w:val="32"/>
          <w:szCs w:val="32"/>
          <w:lang w:val="en-US" w:eastAsia="zh-CN"/>
        </w:rPr>
        <w:t>686.27</w:t>
      </w:r>
      <w:r>
        <w:rPr>
          <w:rFonts w:hint="eastAsia" w:ascii="Times New Roman" w:hAnsi="Times New Roman" w:eastAsia="仿宋_GB2312"/>
          <w:color w:val="auto"/>
          <w:sz w:val="32"/>
          <w:szCs w:val="32"/>
        </w:rPr>
        <w:t>万</w:t>
      </w:r>
      <w:r>
        <w:rPr>
          <w:rFonts w:hint="eastAsia" w:ascii="Times New Roman" w:hAnsi="Times New Roman" w:eastAsia="仿宋_GB2312"/>
          <w:sz w:val="32"/>
          <w:szCs w:val="32"/>
        </w:rPr>
        <w:t>元，支出决算为</w:t>
      </w:r>
      <w:r>
        <w:rPr>
          <w:rFonts w:hint="eastAsia" w:ascii="Times New Roman" w:hAnsi="Times New Roman" w:eastAsia="仿宋_GB2312"/>
          <w:sz w:val="32"/>
          <w:szCs w:val="32"/>
          <w:lang w:val="en-US" w:eastAsia="zh-CN"/>
        </w:rPr>
        <w:t>608.58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88.68</w:t>
      </w:r>
      <w:r>
        <w:rPr>
          <w:rFonts w:hint="eastAsia" w:ascii="Times New Roman" w:hAnsi="Times New Roman" w:eastAsia="仿宋_GB2312"/>
          <w:sz w:val="32"/>
          <w:szCs w:val="32"/>
        </w:rPr>
        <w:t>%，决算数小于年初预算数的主要原因是：受</w:t>
      </w:r>
      <w:r>
        <w:rPr>
          <w:rFonts w:hint="eastAsia" w:ascii="Times New Roman" w:hAnsi="Times New Roman" w:eastAsia="仿宋_GB2312"/>
          <w:sz w:val="32"/>
          <w:szCs w:val="32"/>
          <w:lang w:eastAsia="zh-CN"/>
        </w:rPr>
        <w:t>政策</w:t>
      </w:r>
      <w:r>
        <w:rPr>
          <w:rFonts w:hint="eastAsia" w:ascii="Times New Roman" w:hAnsi="Times New Roman" w:eastAsia="仿宋_GB2312"/>
          <w:sz w:val="32"/>
          <w:szCs w:val="32"/>
        </w:rPr>
        <w:t>影响，</w:t>
      </w:r>
      <w:r>
        <w:rPr>
          <w:rFonts w:hint="eastAsia" w:ascii="Times New Roman" w:hAnsi="Times New Roman" w:eastAsia="仿宋_GB2312"/>
          <w:sz w:val="32"/>
          <w:szCs w:val="32"/>
          <w:lang w:eastAsia="zh-CN"/>
        </w:rPr>
        <w:t>年终奖金未发放</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lang w:eastAsia="zh-CN"/>
        </w:rPr>
        <w:t>农林水</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农业农村</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农业生产发展</w:t>
      </w:r>
      <w:r>
        <w:rPr>
          <w:rFonts w:hint="eastAsia" w:ascii="Times New Roman" w:hAnsi="Times New Roman" w:eastAsia="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w:t>
      </w:r>
      <w:r>
        <w:rPr>
          <w:rFonts w:hint="eastAsia" w:ascii="Times New Roman" w:hAnsi="Times New Roman" w:eastAsia="仿宋_GB2312"/>
          <w:color w:val="auto"/>
          <w:sz w:val="32"/>
          <w:szCs w:val="32"/>
        </w:rPr>
        <w:t>为</w:t>
      </w:r>
      <w:r>
        <w:rPr>
          <w:rFonts w:hint="eastAsia" w:ascii="Times New Roman" w:hAnsi="Times New Roman" w:eastAsia="仿宋_GB2312"/>
          <w:color w:val="auto"/>
          <w:sz w:val="32"/>
          <w:szCs w:val="32"/>
          <w:lang w:val="en-US" w:eastAsia="zh-CN"/>
        </w:rPr>
        <w:t>148.4</w:t>
      </w:r>
      <w:r>
        <w:rPr>
          <w:rFonts w:hint="eastAsia" w:ascii="Times New Roman" w:hAnsi="Times New Roman" w:eastAsia="仿宋_GB2312"/>
          <w:color w:val="auto"/>
          <w:sz w:val="32"/>
          <w:szCs w:val="32"/>
        </w:rPr>
        <w:t>万元</w:t>
      </w:r>
      <w:r>
        <w:rPr>
          <w:rFonts w:hint="eastAsia" w:ascii="Times New Roman" w:hAnsi="Times New Roman" w:eastAsia="仿宋_GB2312"/>
          <w:sz w:val="32"/>
          <w:szCs w:val="32"/>
        </w:rPr>
        <w:t>，支出决算为</w:t>
      </w:r>
      <w:r>
        <w:rPr>
          <w:rFonts w:hint="eastAsia" w:ascii="Times New Roman" w:hAnsi="Times New Roman" w:eastAsia="仿宋_GB2312"/>
          <w:sz w:val="32"/>
          <w:szCs w:val="32"/>
          <w:lang w:val="en-US" w:eastAsia="zh-CN"/>
        </w:rPr>
        <w:t>148.4</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6、</w:t>
      </w:r>
      <w:r>
        <w:rPr>
          <w:rFonts w:hint="eastAsia" w:ascii="Times New Roman" w:hAnsi="Times New Roman" w:eastAsia="仿宋_GB2312"/>
          <w:color w:val="auto"/>
          <w:sz w:val="32"/>
          <w:szCs w:val="32"/>
          <w:lang w:eastAsia="zh-CN"/>
        </w:rPr>
        <w:t>农林水</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eastAsia="zh-CN"/>
        </w:rPr>
        <w:t>农业农村</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eastAsia="zh-CN"/>
        </w:rPr>
        <w:t>农业资源保护修复与利用</w:t>
      </w:r>
      <w:r>
        <w:rPr>
          <w:rFonts w:hint="eastAsia" w:ascii="Times New Roman" w:hAnsi="Times New Roman" w:eastAsia="仿宋_GB2312"/>
          <w:color w:val="auto"/>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19.59</w:t>
      </w:r>
      <w:r>
        <w:rPr>
          <w:rFonts w:hint="eastAsia" w:ascii="Times New Roman" w:hAnsi="Times New Roman" w:eastAsia="仿宋_GB2312"/>
          <w:color w:val="auto"/>
          <w:sz w:val="32"/>
          <w:szCs w:val="32"/>
        </w:rPr>
        <w:t>万元，决算数</w:t>
      </w:r>
      <w:r>
        <w:rPr>
          <w:rFonts w:hint="eastAsia" w:ascii="Times New Roman" w:hAnsi="Times New Roman" w:eastAsia="仿宋_GB2312"/>
          <w:color w:val="auto"/>
          <w:sz w:val="32"/>
          <w:szCs w:val="32"/>
          <w:lang w:eastAsia="zh-CN"/>
        </w:rPr>
        <w:t>大于</w:t>
      </w:r>
      <w:r>
        <w:rPr>
          <w:rFonts w:hint="eastAsia" w:ascii="Times New Roman" w:hAnsi="Times New Roman" w:eastAsia="仿宋_GB2312"/>
          <w:color w:val="auto"/>
          <w:sz w:val="32"/>
          <w:szCs w:val="32"/>
        </w:rPr>
        <w:t>年初预算数的主要原因是</w:t>
      </w:r>
      <w:r>
        <w:rPr>
          <w:rFonts w:hint="eastAsia" w:ascii="Times New Roman" w:hAnsi="Times New Roman" w:eastAsia="仿宋_GB2312"/>
          <w:color w:val="auto"/>
          <w:sz w:val="32"/>
          <w:szCs w:val="32"/>
          <w:lang w:eastAsia="zh-CN"/>
        </w:rPr>
        <w:t>：年中追加农业种质资源保护与利用培训项目资金。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7、</w:t>
      </w:r>
      <w:r>
        <w:rPr>
          <w:rFonts w:hint="eastAsia" w:ascii="Times New Roman" w:hAnsi="Times New Roman" w:eastAsia="仿宋_GB2312"/>
          <w:color w:val="auto"/>
          <w:sz w:val="32"/>
          <w:szCs w:val="32"/>
          <w:lang w:eastAsia="zh-CN"/>
        </w:rPr>
        <w:t>农林水</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eastAsia="zh-CN"/>
        </w:rPr>
        <w:t>农业农村</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eastAsia="zh-CN"/>
        </w:rPr>
        <w:t>其他农业农村支出</w:t>
      </w:r>
      <w:r>
        <w:rPr>
          <w:rFonts w:hint="eastAsia" w:ascii="Times New Roman" w:hAnsi="Times New Roman" w:eastAsia="仿宋_GB2312"/>
          <w:color w:val="auto"/>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56.08</w:t>
      </w:r>
      <w:r>
        <w:rPr>
          <w:rFonts w:hint="eastAsia" w:ascii="Times New Roman" w:hAnsi="Times New Roman" w:eastAsia="仿宋_GB2312"/>
          <w:color w:val="auto"/>
          <w:sz w:val="32"/>
          <w:szCs w:val="32"/>
        </w:rPr>
        <w:t>万元，决算数</w:t>
      </w:r>
      <w:r>
        <w:rPr>
          <w:rFonts w:hint="eastAsia" w:ascii="Times New Roman" w:hAnsi="Times New Roman" w:eastAsia="仿宋_GB2312"/>
          <w:color w:val="auto"/>
          <w:sz w:val="32"/>
          <w:szCs w:val="32"/>
          <w:lang w:eastAsia="zh-CN"/>
        </w:rPr>
        <w:t>大于</w:t>
      </w:r>
      <w:r>
        <w:rPr>
          <w:rFonts w:hint="eastAsia" w:ascii="Times New Roman" w:hAnsi="Times New Roman" w:eastAsia="仿宋_GB2312"/>
          <w:color w:val="auto"/>
          <w:sz w:val="32"/>
          <w:szCs w:val="32"/>
        </w:rPr>
        <w:t>年初预算数的主要原因是：</w:t>
      </w:r>
      <w:r>
        <w:rPr>
          <w:rFonts w:hint="eastAsia" w:ascii="Times New Roman" w:hAnsi="Times New Roman" w:eastAsia="仿宋_GB2312"/>
          <w:color w:val="auto"/>
          <w:sz w:val="32"/>
          <w:szCs w:val="32"/>
          <w:lang w:eastAsia="zh-CN"/>
        </w:rPr>
        <w:t>年中追加厅机关培训项目资金</w:t>
      </w:r>
      <w:r>
        <w:rPr>
          <w:rFonts w:hint="eastAsia" w:ascii="Times New Roman" w:hAnsi="Times New Roman" w:eastAsia="仿宋_GB2312"/>
          <w:color w:val="auto"/>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696.15</w:t>
      </w:r>
      <w:r>
        <w:rPr>
          <w:rFonts w:hint="eastAsia" w:ascii="Times New Roman" w:hAnsi="Times New Roman" w:eastAsia="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557.88</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80.14</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主要包括基本工资、津贴补贴、伙食补助费</w:t>
      </w:r>
      <w:r>
        <w:rPr>
          <w:rFonts w:hint="eastAsia" w:ascii="Times New Roman" w:hAnsi="Times New Roman" w:eastAsia="仿宋_GB2312"/>
          <w:sz w:val="32"/>
          <w:szCs w:val="32"/>
          <w:lang w:eastAsia="zh-CN"/>
        </w:rPr>
        <w:t>、绩效工资、住房公积金、机关事业单位基本养老保险缴费等。</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138.27</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19.86</w:t>
      </w:r>
      <w:r>
        <w:rPr>
          <w:rFonts w:hint="eastAsia" w:ascii="Times New Roman" w:hAnsi="Times New Roman" w:eastAsia="仿宋_GB2312"/>
          <w:sz w:val="32"/>
          <w:szCs w:val="32"/>
        </w:rPr>
        <w:t>%，主要包括办公费</w:t>
      </w:r>
      <w:r>
        <w:rPr>
          <w:rFonts w:hint="eastAsia" w:ascii="Times New Roman" w:hAnsi="Times New Roman" w:eastAsia="仿宋_GB2312"/>
          <w:sz w:val="32"/>
          <w:szCs w:val="32"/>
          <w:lang w:eastAsia="zh-CN"/>
        </w:rPr>
        <w:t>、差旅费、公务接待费、劳务费、工会经费、福利费、其他交通费等</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4.9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1.87</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38.16</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4.9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1.87</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38.16</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eastAsia="zh-CN"/>
        </w:rPr>
        <w:t>厉行节约，压减三公经费开支</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2.71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12.41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eastAsia="zh-CN"/>
        </w:rPr>
        <w:t>认真贯彻中央八项规定精神和厉行节约要求，压减三公经费开支</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1.87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w:t>
      </w:r>
      <w:r>
        <w:rPr>
          <w:rFonts w:hint="eastAsia" w:ascii="Times New Roman" w:hAnsi="Times New Roman" w:eastAsia="仿宋_GB2312"/>
          <w:sz w:val="32"/>
          <w:szCs w:val="32"/>
          <w:lang w:eastAsia="zh-CN"/>
        </w:rPr>
        <w:t>次。</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公务接待费支出决算为1.87万元，全年共接待14个市州及所辖县市区农广校、省级示范性农民田间学校等来访34个，来宾122人次，主要是各市州及所辖县市区农广校到省校来汇报工作、对接培训事宜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rPr>
        <w:t>，单位本级更新公务用车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本单位无政府性基金收支。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本单位无机关运行经费。</w:t>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一般性支出情况说明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2022年本部门开支会议费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开支培训费</w:t>
      </w:r>
      <w:r>
        <w:rPr>
          <w:rFonts w:hint="eastAsia" w:ascii="Times New Roman" w:hAnsi="Times New Roman" w:eastAsia="仿宋_GB2312"/>
          <w:sz w:val="32"/>
          <w:szCs w:val="32"/>
          <w:lang w:val="en-US" w:eastAsia="zh-CN"/>
        </w:rPr>
        <w:t>761.49</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主要用于以下六个方面：</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一是用于举办</w:t>
      </w:r>
      <w:bookmarkStart w:id="2" w:name="OLE_LINK1"/>
      <w:r>
        <w:rPr>
          <w:rFonts w:hint="eastAsia" w:ascii="Times New Roman" w:hAnsi="Times New Roman" w:eastAsia="仿宋_GB2312"/>
          <w:sz w:val="32"/>
          <w:szCs w:val="32"/>
          <w:lang w:eastAsia="zh-CN"/>
        </w:rPr>
        <w:t>“农广助农”产业领军人才培训班</w:t>
      </w:r>
      <w:bookmarkEnd w:id="2"/>
      <w:r>
        <w:rPr>
          <w:rFonts w:hint="eastAsia" w:ascii="Times New Roman" w:hAnsi="Times New Roman" w:eastAsia="仿宋_GB2312"/>
          <w:sz w:val="32"/>
          <w:szCs w:val="32"/>
          <w:lang w:val="en-US" w:eastAsia="zh-CN"/>
        </w:rPr>
        <w:t>46期，培训5819人次，</w:t>
      </w:r>
      <w:r>
        <w:rPr>
          <w:rFonts w:hint="eastAsia" w:ascii="Times New Roman" w:hAnsi="Times New Roman" w:eastAsia="仿宋_GB2312"/>
          <w:sz w:val="32"/>
          <w:szCs w:val="32"/>
          <w:lang w:eastAsia="zh-CN"/>
        </w:rPr>
        <w:t>开支培训费</w:t>
      </w:r>
      <w:r>
        <w:rPr>
          <w:rFonts w:hint="eastAsia" w:ascii="Times New Roman" w:hAnsi="Times New Roman" w:eastAsia="仿宋_GB2312"/>
          <w:sz w:val="32"/>
          <w:szCs w:val="32"/>
          <w:lang w:val="en-US" w:eastAsia="zh-CN"/>
        </w:rPr>
        <w:t>450.77</w:t>
      </w:r>
      <w:r>
        <w:rPr>
          <w:rFonts w:hint="eastAsia" w:ascii="Times New Roman" w:hAnsi="Times New Roman" w:eastAsia="仿宋_GB2312"/>
          <w:sz w:val="32"/>
          <w:szCs w:val="32"/>
          <w:lang w:eastAsia="zh-CN"/>
        </w:rPr>
        <w:t>万元。主要培训全省各市州、县市区农业产业领军人才、家庭农场主、合作社理事长等新型农业经营主体。</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二是用于开展</w:t>
      </w:r>
      <w:bookmarkStart w:id="3" w:name="OLE_LINK4"/>
      <w:r>
        <w:rPr>
          <w:rFonts w:hint="eastAsia" w:ascii="Times New Roman" w:hAnsi="Times New Roman" w:eastAsia="仿宋_GB2312"/>
          <w:sz w:val="32"/>
          <w:szCs w:val="32"/>
          <w:lang w:val="en-US" w:eastAsia="zh-CN"/>
        </w:rPr>
        <w:t>“三农”干部走出去培训班</w:t>
      </w:r>
      <w:bookmarkEnd w:id="3"/>
      <w:r>
        <w:rPr>
          <w:rFonts w:hint="eastAsia" w:ascii="Times New Roman" w:hAnsi="Times New Roman" w:eastAsia="仿宋_GB2312"/>
          <w:sz w:val="32"/>
          <w:szCs w:val="32"/>
          <w:lang w:val="en-US" w:eastAsia="zh-CN"/>
        </w:rPr>
        <w:t>3期，培训139人次，开支培训费33.24万元。主要培训全省各市州、县市区“三农”战线的干部。</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三是用于开展</w:t>
      </w:r>
      <w:bookmarkStart w:id="4" w:name="OLE_LINK2"/>
      <w:r>
        <w:rPr>
          <w:rFonts w:hint="eastAsia" w:ascii="Times New Roman" w:hAnsi="Times New Roman" w:eastAsia="仿宋_GB2312"/>
          <w:sz w:val="32"/>
          <w:szCs w:val="32"/>
          <w:lang w:val="en-US" w:eastAsia="zh-CN"/>
        </w:rPr>
        <w:t>厅机关12个处室培训班</w:t>
      </w:r>
      <w:bookmarkEnd w:id="4"/>
      <w:r>
        <w:rPr>
          <w:rFonts w:hint="eastAsia" w:ascii="Times New Roman" w:hAnsi="Times New Roman" w:eastAsia="仿宋_GB2312"/>
          <w:sz w:val="32"/>
          <w:szCs w:val="32"/>
          <w:lang w:val="en-US" w:eastAsia="zh-CN"/>
        </w:rPr>
        <w:t>13期，培训1727人次，开支培训费97.65万元，主要培训全省农业农村厅系统干部。</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四是用于农民田间学校开展农业实用技术培训班34期，培训2668人次，开支培训费120.19万元。主要是农业实用新技术的培训推广。</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五是用于各类培训的调研差旅费和培训教材编印等工作经费59.64万元。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15</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15</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15</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15</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bookmarkStart w:id="5" w:name="_GoBack"/>
      <w:bookmarkEnd w:id="5"/>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2022年</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我</w:t>
      </w:r>
      <w:r>
        <w:rPr>
          <w:rFonts w:hint="eastAsia" w:ascii="Times New Roman" w:hAnsi="Times New Roman" w:eastAsia="仿宋_GB2312"/>
          <w:color w:val="auto"/>
          <w:sz w:val="32"/>
          <w:szCs w:val="32"/>
        </w:rPr>
        <w:t>中心以习近平新时代中国特色社会主义思想为指导，深入学习领会党的二十大精神，认真贯彻落实省委决策部署和厅党组重点工作要求，以党的建设为引领，积极发挥农民教育培训专门机构主力军作用，高质量开展农民教育培训工作，加快培养高素质农民和实用人才，取得了较好成效。</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严控运行成本</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color w:val="auto"/>
          <w:sz w:val="32"/>
          <w:szCs w:val="32"/>
        </w:rPr>
        <w:t>2022年“三公”经费支出</w:t>
      </w:r>
      <w:r>
        <w:rPr>
          <w:rFonts w:hint="eastAsia" w:ascii="Times New Roman" w:hAnsi="Times New Roman" w:eastAsia="仿宋_GB2312"/>
          <w:color w:val="auto"/>
          <w:sz w:val="32"/>
          <w:szCs w:val="32"/>
          <w:lang w:val="en-US" w:eastAsia="zh-CN"/>
        </w:rPr>
        <w:t>1.87</w:t>
      </w:r>
      <w:r>
        <w:rPr>
          <w:rFonts w:hint="eastAsia" w:ascii="Times New Roman" w:hAnsi="Times New Roman" w:eastAsia="仿宋_GB2312"/>
          <w:color w:val="auto"/>
          <w:sz w:val="32"/>
          <w:szCs w:val="32"/>
        </w:rPr>
        <w:t>万元。其中公务接待费</w:t>
      </w:r>
      <w:r>
        <w:rPr>
          <w:rFonts w:hint="eastAsia" w:ascii="Times New Roman" w:hAnsi="Times New Roman" w:eastAsia="仿宋_GB2312"/>
          <w:color w:val="auto"/>
          <w:sz w:val="32"/>
          <w:szCs w:val="32"/>
          <w:lang w:val="en-US" w:eastAsia="zh-CN"/>
        </w:rPr>
        <w:t>1.87</w:t>
      </w:r>
      <w:r>
        <w:rPr>
          <w:rFonts w:hint="eastAsia" w:ascii="Times New Roman" w:hAnsi="Times New Roman" w:eastAsia="仿宋_GB2312"/>
          <w:color w:val="auto"/>
          <w:sz w:val="32"/>
          <w:szCs w:val="32"/>
        </w:rPr>
        <w:t>万元、公务用车运行维护费</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万元、车辆购置费支出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万元，较年初预算</w:t>
      </w:r>
      <w:r>
        <w:rPr>
          <w:rFonts w:hint="eastAsia" w:ascii="Times New Roman" w:hAnsi="Times New Roman" w:eastAsia="仿宋_GB2312"/>
          <w:color w:val="auto"/>
          <w:sz w:val="32"/>
          <w:szCs w:val="32"/>
          <w:lang w:val="en-US" w:eastAsia="zh-CN"/>
        </w:rPr>
        <w:t>4.9</w:t>
      </w:r>
      <w:r>
        <w:rPr>
          <w:rFonts w:hint="eastAsia" w:ascii="Times New Roman" w:hAnsi="Times New Roman" w:eastAsia="仿宋_GB2312"/>
          <w:color w:val="auto"/>
          <w:sz w:val="32"/>
          <w:szCs w:val="32"/>
        </w:rPr>
        <w:t>万元节约</w:t>
      </w:r>
      <w:r>
        <w:rPr>
          <w:rFonts w:hint="eastAsia" w:ascii="Times New Roman" w:hAnsi="Times New Roman" w:eastAsia="仿宋_GB2312"/>
          <w:color w:val="auto"/>
          <w:sz w:val="32"/>
          <w:szCs w:val="32"/>
          <w:lang w:val="en-US" w:eastAsia="zh-CN"/>
        </w:rPr>
        <w:t>3.03</w:t>
      </w:r>
      <w:r>
        <w:rPr>
          <w:rFonts w:hint="eastAsia" w:ascii="Times New Roman" w:hAnsi="Times New Roman" w:eastAsia="仿宋_GB2312"/>
          <w:color w:val="auto"/>
          <w:sz w:val="32"/>
          <w:szCs w:val="32"/>
        </w:rPr>
        <w:t>万元，节约比为</w:t>
      </w:r>
      <w:r>
        <w:rPr>
          <w:rFonts w:hint="eastAsia" w:ascii="Times New Roman" w:hAnsi="Times New Roman" w:eastAsia="仿宋_GB2312"/>
          <w:color w:val="auto"/>
          <w:sz w:val="32"/>
          <w:szCs w:val="32"/>
          <w:lang w:val="en-US" w:eastAsia="zh-CN"/>
        </w:rPr>
        <w:t>61.84</w:t>
      </w:r>
      <w:r>
        <w:rPr>
          <w:rFonts w:hint="eastAsia" w:ascii="Times New Roman" w:hAnsi="Times New Roman" w:eastAsia="仿宋_GB2312"/>
          <w:color w:val="auto"/>
          <w:sz w:val="32"/>
          <w:szCs w:val="32"/>
        </w:rPr>
        <w:t>%。培训费年初预算为</w:t>
      </w:r>
      <w:r>
        <w:rPr>
          <w:rFonts w:hint="eastAsia" w:ascii="Times New Roman" w:hAnsi="Times New Roman" w:eastAsia="仿宋_GB2312"/>
          <w:color w:val="auto"/>
          <w:sz w:val="32"/>
          <w:szCs w:val="32"/>
          <w:lang w:val="en-US" w:eastAsia="zh-CN"/>
        </w:rPr>
        <w:t>804.28</w:t>
      </w:r>
      <w:r>
        <w:rPr>
          <w:rFonts w:hint="eastAsia" w:ascii="Times New Roman" w:hAnsi="Times New Roman" w:eastAsia="仿宋_GB2312"/>
          <w:color w:val="auto"/>
          <w:sz w:val="32"/>
          <w:szCs w:val="32"/>
        </w:rPr>
        <w:t>万元，决算数为</w:t>
      </w:r>
      <w:r>
        <w:rPr>
          <w:rFonts w:hint="eastAsia" w:ascii="Times New Roman" w:hAnsi="Times New Roman" w:eastAsia="仿宋_GB2312"/>
          <w:color w:val="auto"/>
          <w:sz w:val="32"/>
          <w:szCs w:val="32"/>
          <w:lang w:val="en-US" w:eastAsia="zh-CN"/>
        </w:rPr>
        <w:t>761.49</w:t>
      </w:r>
      <w:r>
        <w:rPr>
          <w:rFonts w:hint="eastAsia" w:ascii="Times New Roman" w:hAnsi="Times New Roman" w:eastAsia="仿宋_GB2312"/>
          <w:color w:val="auto"/>
          <w:sz w:val="32"/>
          <w:szCs w:val="32"/>
        </w:rPr>
        <w:t>万元，均合理控制在预算以内</w:t>
      </w:r>
      <w:r>
        <w:rPr>
          <w:rFonts w:hint="eastAsia" w:ascii="Times New Roman" w:hAnsi="Times New Roman" w:eastAsia="仿宋_GB2312"/>
          <w:color w:val="auto"/>
          <w:sz w:val="32"/>
          <w:szCs w:val="32"/>
          <w:lang w:eastAsia="zh-CN"/>
        </w:rPr>
        <w:t>。</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提高管理效率</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一是持续开展“农广助农”产业领军人才培训。围绕全省农业优势特色产业，协同产业属地基层农广校，联合省畜牧兽医研究所、省棉科所、省蚕科所等科研院所，联系产业重点品牌，面向产业生产加工主要从业人员，开展产业技术培训，2022年，共组织培训46期，培训5819人次。二是精心组织“三农”干部走出去培训。通过集合全省乡村振兴、脱贫攻坚、优势特色产业等工作领域的优秀“三农”干部，实地走访全国“三农”工作典型示范地，考察交流“三农”工作先进模式，为我省“三农”工作积累先进经验。2022年，共组织3期，培训139人次。三是积极承办厅机关处室培训。根据厅党组决定和计划财务处安排，2022年承接了厅机关处室的培训任务，全年实际完成17处室的培训班17期</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共计2341人。为组织实施好厅机关培训工作，我们进行了多次专题研究，制定了实施方案，组建了5个专门培训工作小组，每个组5人对接3-4个处室，明确责任分工，加强协调配合，突出培训实效，为厅机关行政工作开展提供了有力的服务支撑，获得了厅领导、厅机关行政处室的充分肯定。四是大力开展农民田间学校和现场教学点实用技术培训。按照省级指导监督、市级主办、县级协办、省级农民田间学校和现场教学点具体承办的方式，围绕属地主导产业或特色产业，为从业高素质农民开展实用技术培训。2022年，新增认定省级农民田间学校5所（目前共30所），开办实用技术培训34期，培训2668人次；积极推荐长沙市宁乡市湖南湘都生态农业发展有限公司农民田间学校、永州市祁阳市德辉现代农业开发有限公司农民田间学校成功遴选为全国共享农民田间学校。</w:t>
      </w:r>
      <w:r>
        <w:rPr>
          <w:rFonts w:hint="eastAsia" w:ascii="Times New Roman" w:hAnsi="Times New Roman" w:eastAsia="仿宋_GB2312"/>
          <w:color w:val="auto"/>
          <w:sz w:val="32"/>
          <w:szCs w:val="32"/>
          <w:lang w:eastAsia="zh-CN"/>
        </w:rPr>
        <w:t>五是持续开展农业种质资源普查培训。2022年，共组织</w:t>
      </w:r>
      <w:r>
        <w:rPr>
          <w:rFonts w:hint="eastAsia" w:ascii="Times New Roman" w:hAnsi="Times New Roman" w:eastAsia="仿宋_GB2312"/>
          <w:color w:val="auto"/>
          <w:sz w:val="32"/>
          <w:szCs w:val="32"/>
          <w:lang w:val="en-US" w:eastAsia="zh-CN"/>
        </w:rPr>
        <w:t>4</w:t>
      </w:r>
      <w:r>
        <w:rPr>
          <w:rFonts w:hint="eastAsia" w:ascii="Times New Roman" w:hAnsi="Times New Roman" w:eastAsia="仿宋_GB2312"/>
          <w:color w:val="auto"/>
          <w:sz w:val="32"/>
          <w:szCs w:val="32"/>
          <w:lang w:eastAsia="zh-CN"/>
        </w:rPr>
        <w:t>期，培训</w:t>
      </w:r>
      <w:r>
        <w:rPr>
          <w:rFonts w:hint="eastAsia" w:ascii="Times New Roman" w:hAnsi="Times New Roman" w:eastAsia="仿宋_GB2312"/>
          <w:color w:val="auto"/>
          <w:sz w:val="32"/>
          <w:szCs w:val="32"/>
          <w:lang w:val="en-US" w:eastAsia="zh-CN"/>
        </w:rPr>
        <w:t>476</w:t>
      </w:r>
      <w:r>
        <w:rPr>
          <w:rFonts w:hint="eastAsia" w:ascii="Times New Roman" w:hAnsi="Times New Roman" w:eastAsia="仿宋_GB2312"/>
          <w:color w:val="auto"/>
          <w:sz w:val="32"/>
          <w:szCs w:val="32"/>
          <w:lang w:eastAsia="zh-CN"/>
        </w:rPr>
        <w:t>人次；助力</w:t>
      </w:r>
      <w:r>
        <w:rPr>
          <w:rFonts w:hint="eastAsia" w:ascii="Times New Roman" w:hAnsi="Times New Roman" w:eastAsia="仿宋_GB2312"/>
          <w:sz w:val="32"/>
          <w:szCs w:val="32"/>
          <w:lang w:val="en-US" w:eastAsia="zh-CN"/>
        </w:rPr>
        <w:t>农作物、微生物、水产养殖及畜禽遗传资源普查顺利完成</w:t>
      </w:r>
      <w:r>
        <w:rPr>
          <w:rFonts w:hint="eastAsia" w:ascii="Times New Roman" w:hAnsi="Times New Roman" w:eastAsia="仿宋_GB2312"/>
          <w:color w:val="auto"/>
          <w:sz w:val="32"/>
          <w:szCs w:val="32"/>
          <w:lang w:eastAsia="zh-CN"/>
        </w:rPr>
        <w:t>。</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提升履职效能</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color w:val="auto"/>
          <w:sz w:val="32"/>
          <w:szCs w:val="32"/>
          <w:lang w:eastAsia="zh-CN"/>
        </w:rPr>
        <w:t>为农服务工作不断提质扩面。一是积极参与广播电视栏目制作。围绕湖南特色产业积极申报摄制专题，组织建立省、市、县三级协作组织，协助央视《田间示范秀》栏目组驻湘摄制。2022年，共通过中央校申报摄制专题25个，拟筹拍7个，已完成摄制的衡阳耒阳《手艺留住特色茶》节目于2022年10月25日在CCTV-17农业农村频道播出。积极参与中央校广播电视节目选题征集，组织全省农广校系统结合各地产业特色实际确定节目选题，经认真核实后积极申报，2022年，共择优推荐节目选题20个。二是参与实施中央农广校与抖音合作项目。中央校与抖音合作发起《新农人计划2022·来抖音学农技》项目以来，我校把握机遇，充分发动全省农广校体系，广泛物色优秀农技短视</w:t>
      </w:r>
      <w:r>
        <w:rPr>
          <w:rFonts w:hint="eastAsia" w:ascii="Times New Roman" w:hAnsi="Times New Roman" w:eastAsia="仿宋_GB2312"/>
          <w:sz w:val="32"/>
          <w:szCs w:val="32"/>
          <w:lang w:eastAsia="zh-CN"/>
        </w:rPr>
        <w:t>频创作人员，积极推荐申报项目创作者，全省共推荐申报51人，目前，中央校已审核通过15人，并通过“农广新天地”官方抖音账号为各创作者引流，在抖音农技类节目中推送播出。三是积极参与厅机关工作。9月26日至10月23日，派出一名副校长先后赴张家界市永定区、常德市桃花源旅游管理区、汉寿县、郴州市桂东县、临武县5个县（区），就2020年以来由农业农村部门批复实施的高标准农田建设项目进行专项监督检查；11月21日至30日，根据湘委振组〔2022〕3号文件精神和厅机关统一安排，派出一名副校长参与对郴州市及其所辖县市区党委、政府推进乡村振兴战略实绩工作进行的实地督查，并撰写督察报告，圆满完成检查督查任务。</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促进良好社会效应</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eastAsia="zh-CN"/>
        </w:rPr>
        <w:t>引导开展冬春农业科技大培训。2021-2022年冬春农闲季节，指导各市州、县市区农广校积极发挥促进冬季农业生产和春耕、春播、春种的主力军作用，采取多渠道、多形式的培训方式，共计举办各类培训班4050期，发放技术资料129万余份，培训农民63.8万余人。</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增强可持续发展能力</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eastAsia="zh-CN"/>
        </w:rPr>
        <w:t>抓精农民教育培训，持续强化农民教育培训品牌建设。推动“农广助农”产业领军人才培训提质增效；推动“三农”干部走出去培训扩面提质；推动农民田间学校实用技术培训精品办学；引导基层农广校积极参与高素质农民培育工程，利用冬闲季节广泛开展农民科技大培训；切实加强厅机关处室培训，提升支撑服务能力和水平；稳步、安全恢复开展“优秀农民境外培训计划”。</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提高服务对象满意度</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通过线上调查和实地访问的方式进行满意度调查，2022年，“农广助农”产业领军人才培训项目的服务对象满意度为9</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lang w:eastAsia="zh-CN"/>
        </w:rPr>
        <w:t>%；“三农”干部走出去培训项目的服务对象满意度为9</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lang w:eastAsia="zh-CN"/>
        </w:rPr>
        <w:t>%；厅机关培训项目的服务对象满意度为</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%；农民田间学校实用技术培训项目的服务对象满意度为</w:t>
      </w:r>
      <w:r>
        <w:rPr>
          <w:rFonts w:hint="eastAsia" w:ascii="Times New Roman" w:hAnsi="Times New Roman" w:eastAsia="仿宋_GB2312"/>
          <w:sz w:val="32"/>
          <w:szCs w:val="32"/>
          <w:lang w:val="en-US" w:eastAsia="zh-CN"/>
        </w:rPr>
        <w:t>99</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（二）存在的问题及原因分析</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1、部分项目预算编制不精准。</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原因分析：一是预算编制前与业务科室沟通不充分；二是预算细化不足。</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2、部分项目预算执行率不高。</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原因分析：一是受政策调整、突发疫情等因素影响，导致部分出省、出境精品培训项目未能按计划开展，省内培训项目也逐步收缩场次规模；二是部分项目为预算追加资金项目，且下达时间较晚。</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（三）下一步改进措施</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1、加强与各业务科室沟通，细化预算编制，确保</w:t>
      </w:r>
      <w:r>
        <w:rPr>
          <w:rFonts w:hint="default" w:ascii="Times New Roman" w:hAnsi="Times New Roman" w:eastAsia="仿宋_GB2312"/>
          <w:sz w:val="32"/>
          <w:szCs w:val="32"/>
          <w:lang w:val="en-US" w:eastAsia="zh-CN"/>
        </w:rPr>
        <w:t>预算编制</w:t>
      </w:r>
      <w:r>
        <w:rPr>
          <w:rFonts w:hint="eastAsia" w:ascii="Times New Roman" w:hAnsi="Times New Roman" w:eastAsia="仿宋_GB2312"/>
          <w:sz w:val="32"/>
          <w:szCs w:val="32"/>
          <w:lang w:val="en-US" w:eastAsia="zh-CN"/>
        </w:rPr>
        <w:t>的</w:t>
      </w:r>
      <w:r>
        <w:rPr>
          <w:rFonts w:hint="default" w:ascii="Times New Roman" w:hAnsi="Times New Roman" w:eastAsia="仿宋_GB2312"/>
          <w:sz w:val="32"/>
          <w:szCs w:val="32"/>
          <w:lang w:val="en-US" w:eastAsia="zh-CN"/>
        </w:rPr>
        <w:t>合理</w:t>
      </w:r>
      <w:r>
        <w:rPr>
          <w:rFonts w:hint="eastAsia" w:ascii="Times New Roman" w:hAnsi="Times New Roman" w:eastAsia="仿宋_GB2312"/>
          <w:sz w:val="32"/>
          <w:szCs w:val="32"/>
          <w:lang w:val="en-US" w:eastAsia="zh-CN"/>
        </w:rPr>
        <w:t>性、</w:t>
      </w:r>
      <w:r>
        <w:rPr>
          <w:rFonts w:hint="default" w:ascii="Times New Roman" w:hAnsi="Times New Roman" w:eastAsia="仿宋_GB2312"/>
          <w:sz w:val="32"/>
          <w:szCs w:val="32"/>
          <w:lang w:val="en-US" w:eastAsia="zh-CN"/>
        </w:rPr>
        <w:t>精准</w:t>
      </w:r>
      <w:r>
        <w:rPr>
          <w:rFonts w:hint="eastAsia" w:ascii="Times New Roman" w:hAnsi="Times New Roman" w:eastAsia="仿宋_GB2312"/>
          <w:sz w:val="32"/>
          <w:szCs w:val="32"/>
          <w:lang w:val="en-US" w:eastAsia="zh-CN"/>
        </w:rPr>
        <w:t>性、</w:t>
      </w:r>
      <w:r>
        <w:rPr>
          <w:rFonts w:hint="default" w:ascii="Times New Roman" w:hAnsi="Times New Roman" w:eastAsia="仿宋_GB2312"/>
          <w:sz w:val="32"/>
          <w:szCs w:val="32"/>
          <w:lang w:val="en-US" w:eastAsia="zh-CN"/>
        </w:rPr>
        <w:t>科学</w:t>
      </w:r>
      <w:r>
        <w:rPr>
          <w:rFonts w:hint="eastAsia" w:ascii="Times New Roman" w:hAnsi="Times New Roman" w:eastAsia="仿宋_GB2312"/>
          <w:sz w:val="32"/>
          <w:szCs w:val="32"/>
          <w:lang w:val="en-US" w:eastAsia="zh-CN"/>
        </w:rPr>
        <w:t>性。</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2、通过定期对项目实施和预算执行情况进行梳理，及时掌握项目进度，督促项目按时完成，提高预算执行率。</w:t>
      </w:r>
    </w:p>
    <w:p>
      <w:pPr>
        <w:pStyle w:val="12"/>
        <w:jc w:val="both"/>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widowControl/>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lang w:eastAsia="zh-CN"/>
        </w:rPr>
        <w:t>一、</w:t>
      </w:r>
      <w:r>
        <w:rPr>
          <w:rFonts w:hint="eastAsia" w:cs="黑体" w:asciiTheme="minorEastAsia" w:hAnsiTheme="minorEastAsia"/>
          <w:kern w:val="0"/>
          <w:sz w:val="32"/>
          <w:szCs w:val="32"/>
        </w:rPr>
        <w:t>基本支出：指为保障机构正常运转、完成日常工作任务</w:t>
      </w:r>
      <w:r>
        <w:rPr>
          <w:rFonts w:cs="黑体" w:asciiTheme="minorEastAsia" w:hAnsiTheme="minorEastAsia"/>
          <w:kern w:val="0"/>
          <w:sz w:val="32"/>
          <w:szCs w:val="32"/>
        </w:rPr>
        <w:t xml:space="preserve">而发生的人员支出和公用支出。 </w:t>
      </w:r>
    </w:p>
    <w:p>
      <w:pPr>
        <w:widowControl/>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lang w:eastAsia="zh-CN"/>
        </w:rPr>
        <w:t>二、</w:t>
      </w:r>
      <w:r>
        <w:rPr>
          <w:rFonts w:cs="黑体" w:asciiTheme="minorEastAsia" w:hAnsiTheme="minorEastAsia"/>
          <w:kern w:val="0"/>
          <w:sz w:val="32"/>
          <w:szCs w:val="32"/>
        </w:rPr>
        <w:t xml:space="preserve">项目支出：指在基本支出之外为完成特定行政任务和事业发展目标所发生的支出。 </w:t>
      </w:r>
    </w:p>
    <w:p>
      <w:pPr>
        <w:pStyle w:val="12"/>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eastAsia="zh-CN"/>
        </w:rPr>
        <w:t>三、</w:t>
      </w:r>
      <w:r>
        <w:rPr>
          <w:rFonts w:hint="eastAsia" w:asciiTheme="minorEastAsia" w:hAnsiTheme="minorEastAsia" w:eastAsiaTheme="minorEastAsia"/>
          <w:color w:val="auto"/>
          <w:sz w:val="32"/>
          <w:szCs w:val="32"/>
        </w:rPr>
        <w:t>“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CB6427-6CB3-4221-A665-1837DE2457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00000000" w:usb1="00000000" w:usb2="00000000" w:usb3="00000000" w:csb0="00000000" w:csb1="00000000"/>
    <w:embedRegular r:id="rId2" w:fontKey="{092ABF1D-8E9F-4BE7-9228-B7460E453C52}"/>
  </w:font>
  <w:font w:name="仿宋_GB2312">
    <w:panose1 w:val="02010609030101010101"/>
    <w:charset w:val="86"/>
    <w:family w:val="auto"/>
    <w:pitch w:val="default"/>
    <w:sig w:usb0="00000000" w:usb1="00000000" w:usb2="00000000" w:usb3="00000000" w:csb0="00000000" w:csb1="00000000"/>
    <w:embedRegular r:id="rId3" w:fontKey="{BF0F23EA-5199-4D4F-A808-2A4DAF209AF6}"/>
  </w:font>
  <w:font w:name="楷体">
    <w:panose1 w:val="02010609060101010101"/>
    <w:charset w:val="86"/>
    <w:family w:val="auto"/>
    <w:pitch w:val="default"/>
    <w:sig w:usb0="800002BF" w:usb1="38CF7CFA" w:usb2="00000016" w:usb3="00000000" w:csb0="00040001" w:csb1="00000000"/>
    <w:embedRegular r:id="rId4" w:fontKey="{36AB7D8D-A819-48FA-BE55-F5536CF9F48A}"/>
  </w:font>
  <w:font w:name="华文中宋">
    <w:panose1 w:val="02010600040101010101"/>
    <w:charset w:val="86"/>
    <w:family w:val="auto"/>
    <w:pitch w:val="default"/>
    <w:sig w:usb0="00000287" w:usb1="080F0000" w:usb2="00000000" w:usb3="00000000" w:csb0="0004009F" w:csb1="DFD70000"/>
    <w:embedRegular r:id="rId5" w:fontKey="{182DD40E-CD3E-44D9-B4FF-F2447E1611E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C1185"/>
    <w:multiLevelType w:val="singleLevel"/>
    <w:tmpl w:val="2F5C1185"/>
    <w:lvl w:ilvl="0" w:tentative="0">
      <w:start w:val="10"/>
      <w:numFmt w:val="chineseCounting"/>
      <w:suff w:val="nothing"/>
      <w:lvlText w:val="%1、"/>
      <w:lvlJc w:val="left"/>
      <w:rPr>
        <w:rFonts w:hint="eastAsia"/>
      </w:rPr>
    </w:lvl>
  </w:abstractNum>
  <w:abstractNum w:abstractNumId="1">
    <w:nsid w:val="4F1864A8"/>
    <w:multiLevelType w:val="singleLevel"/>
    <w:tmpl w:val="4F1864A8"/>
    <w:lvl w:ilvl="0" w:tentative="0">
      <w:start w:val="1"/>
      <w:numFmt w:val="decimal"/>
      <w:suff w:val="nothing"/>
      <w:lvlText w:val="%1、"/>
      <w:lvlJc w:val="left"/>
    </w:lvl>
  </w:abstractNum>
  <w:abstractNum w:abstractNumId="2">
    <w:nsid w:val="59ADCABA"/>
    <w:multiLevelType w:val="multilevel"/>
    <w:tmpl w:val="59ADCABA"/>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TrueTypeFonts/>
  <w:saveSubsetFonts/>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0YzE3MjBiMzZiNjBiOGQxNmVjNjI1ZTI4Y2E1YmEifQ=="/>
  </w:docVars>
  <w:rsids>
    <w:rsidRoot w:val="00000000"/>
    <w:rsid w:val="024B498E"/>
    <w:rsid w:val="029D11AD"/>
    <w:rsid w:val="0388408C"/>
    <w:rsid w:val="05D25881"/>
    <w:rsid w:val="067556FF"/>
    <w:rsid w:val="08935065"/>
    <w:rsid w:val="09B31EA0"/>
    <w:rsid w:val="0FDD6083"/>
    <w:rsid w:val="12BB3B21"/>
    <w:rsid w:val="140F6954"/>
    <w:rsid w:val="153E27FD"/>
    <w:rsid w:val="17F31BEB"/>
    <w:rsid w:val="189D61FF"/>
    <w:rsid w:val="1B952F4B"/>
    <w:rsid w:val="1C822E71"/>
    <w:rsid w:val="1D0C481B"/>
    <w:rsid w:val="1E971AFC"/>
    <w:rsid w:val="1F4B6285"/>
    <w:rsid w:val="273F48DE"/>
    <w:rsid w:val="29772782"/>
    <w:rsid w:val="298A7967"/>
    <w:rsid w:val="2A1F1FB7"/>
    <w:rsid w:val="2C0029D1"/>
    <w:rsid w:val="2C7566AC"/>
    <w:rsid w:val="2ED70A17"/>
    <w:rsid w:val="305E32AF"/>
    <w:rsid w:val="30AC166C"/>
    <w:rsid w:val="30ED2C17"/>
    <w:rsid w:val="31AE4CF9"/>
    <w:rsid w:val="37F15A53"/>
    <w:rsid w:val="392A6B99"/>
    <w:rsid w:val="3B46555B"/>
    <w:rsid w:val="3D745150"/>
    <w:rsid w:val="3FA359CD"/>
    <w:rsid w:val="40025FFB"/>
    <w:rsid w:val="47F66ED9"/>
    <w:rsid w:val="4A4A0A2E"/>
    <w:rsid w:val="4A7C1F87"/>
    <w:rsid w:val="4A9072BE"/>
    <w:rsid w:val="4B7221BB"/>
    <w:rsid w:val="4BA85655"/>
    <w:rsid w:val="4D9D5447"/>
    <w:rsid w:val="4DC5326C"/>
    <w:rsid w:val="4FBE24FB"/>
    <w:rsid w:val="4FF133FD"/>
    <w:rsid w:val="51557079"/>
    <w:rsid w:val="51C15D6C"/>
    <w:rsid w:val="52554706"/>
    <w:rsid w:val="55822C11"/>
    <w:rsid w:val="56BE6367"/>
    <w:rsid w:val="58AC7E6C"/>
    <w:rsid w:val="59A10973"/>
    <w:rsid w:val="5B033038"/>
    <w:rsid w:val="61FC4B9F"/>
    <w:rsid w:val="62652744"/>
    <w:rsid w:val="6A2C0430"/>
    <w:rsid w:val="6A69121E"/>
    <w:rsid w:val="6A75369D"/>
    <w:rsid w:val="6ADF0020"/>
    <w:rsid w:val="6B154BC8"/>
    <w:rsid w:val="6B793C57"/>
    <w:rsid w:val="6C1B6D96"/>
    <w:rsid w:val="6DDD7FD2"/>
    <w:rsid w:val="70027824"/>
    <w:rsid w:val="72A465D8"/>
    <w:rsid w:val="7A9A12F5"/>
    <w:rsid w:val="7B4A4D1D"/>
    <w:rsid w:val="7C1A7DEB"/>
    <w:rsid w:val="7CB2250D"/>
    <w:rsid w:val="7DD32DF2"/>
    <w:rsid w:val="7E184B8C"/>
    <w:rsid w:val="7EC47E0B"/>
    <w:rsid w:val="7FB04D35"/>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2"/>
    <w:qFormat/>
    <w:uiPriority w:val="0"/>
    <w:pPr>
      <w:ind w:firstLine="420" w:firstLineChars="200"/>
    </w:p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 w:type="character" w:customStyle="1" w:styleId="18">
    <w:name w:val="font3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ebc799b-72a4-4885-99d2-2e98b448bdd5}">
  <ds:schemaRefs/>
</ds:datastoreItem>
</file>

<file path=customXml/itemProps2.xml><?xml version="1.0" encoding="utf-8"?>
<ds:datastoreItem xmlns:ds="http://schemas.openxmlformats.org/officeDocument/2006/customXml" ds:itemID="{a96a0e69-51c5-4e57-98a6-d24bdfba80c5}">
  <ds:schemaRefs/>
</ds:datastoreItem>
</file>

<file path=customXml/itemProps3.xml><?xml version="1.0" encoding="utf-8"?>
<ds:datastoreItem xmlns:ds="http://schemas.openxmlformats.org/officeDocument/2006/customXml" ds:itemID="{f04ccadc-4dff-4efd-ae0e-a4a47134ad3c}">
  <ds:schemaRefs/>
</ds:datastoreItem>
</file>

<file path=customXml/itemProps4.xml><?xml version="1.0" encoding="utf-8"?>
<ds:datastoreItem xmlns:ds="http://schemas.openxmlformats.org/officeDocument/2006/customXml" ds:itemID="{3a3315a7-7a6f-46ff-a8c3-85bd4969aa9f}">
  <ds:schemaRefs/>
</ds:datastoreItem>
</file>

<file path=customXml/itemProps5.xml><?xml version="1.0" encoding="utf-8"?>
<ds:datastoreItem xmlns:ds="http://schemas.openxmlformats.org/officeDocument/2006/customXml" ds:itemID="{66885fde-a539-4850-90aa-ccccb310e8a9}">
  <ds:schemaRefs/>
</ds:datastoreItem>
</file>

<file path=customXml/itemProps6.xml><?xml version="1.0" encoding="utf-8"?>
<ds:datastoreItem xmlns:ds="http://schemas.openxmlformats.org/officeDocument/2006/customXml" ds:itemID="{6500484b-b14b-431f-943d-e1a13e8ffb65}">
  <ds:schemaRefs/>
</ds:datastoreItem>
</file>

<file path=customXml/itemProps7.xml><?xml version="1.0" encoding="utf-8"?>
<ds:datastoreItem xmlns:ds="http://schemas.openxmlformats.org/officeDocument/2006/customXml" ds:itemID="{2e167433-e134-4b6f-956d-8ef8ebaf8e04}">
  <ds:schemaRefs/>
</ds:datastoreItem>
</file>

<file path=customXml/itemProps8.xml><?xml version="1.0" encoding="utf-8"?>
<ds:datastoreItem xmlns:ds="http://schemas.openxmlformats.org/officeDocument/2006/customXml" ds:itemID="{0191f3d7-ab56-4ee7-bfab-ab65d1674ae8}">
  <ds:schemaRefs/>
</ds:datastoreItem>
</file>

<file path=customXml/itemProps9.xml><?xml version="1.0" encoding="utf-8"?>
<ds:datastoreItem xmlns:ds="http://schemas.openxmlformats.org/officeDocument/2006/customXml" ds:itemID="{f55534de-2033-4c80-9bb4-9057961f176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2023-09-03T03:41:00Z</cp:lastPrinted>
  <dcterms:modified xsi:type="dcterms:W3CDTF">2023-11-01T12:24:50Z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5E0B575608BC4056B01C2431D32A30D9_12</vt:lpwstr>
  </property>
</Properties>
</file>