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2022年度</w:t>
      </w:r>
    </w:p>
    <w:p>
      <w:pPr>
        <w:pStyle w:val="10"/>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湖南省蚕桑科学研究所单位决算</w:t>
      </w:r>
    </w:p>
    <w:p>
      <w:pPr>
        <w:pStyle w:val="10"/>
        <w:jc w:val="center"/>
        <w:rPr>
          <w:rFonts w:ascii="方正小标宋_GBK" w:hAnsi="方正小标宋_GBK" w:eastAsia="方正小标宋_GBK" w:cs="方正小标宋_GBK"/>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both"/>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hAnsi="黑体"/>
          <w:bCs/>
          <w:sz w:val="28"/>
          <w:szCs w:val="28"/>
        </w:rPr>
      </w:pPr>
      <w:r>
        <w:rPr>
          <w:rFonts w:hint="eastAsia" w:hAnsi="黑体"/>
          <w:bCs/>
          <w:sz w:val="28"/>
          <w:szCs w:val="28"/>
        </w:rPr>
        <w:t>第一部分湖南省蚕桑科学研究所单位概况</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0"/>
        <w:spacing w:line="500" w:lineRule="exact"/>
        <w:rPr>
          <w:rFonts w:hAnsi="黑体"/>
          <w:bCs/>
          <w:sz w:val="28"/>
          <w:szCs w:val="28"/>
        </w:rPr>
      </w:pPr>
      <w:r>
        <w:rPr>
          <w:rFonts w:hint="eastAsia" w:hAnsi="黑体"/>
          <w:bCs/>
          <w:sz w:val="28"/>
          <w:szCs w:val="28"/>
        </w:rPr>
        <w:t>第二部分部门决算表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0"/>
        <w:spacing w:line="500" w:lineRule="exact"/>
        <w:rPr>
          <w:rFonts w:hAnsi="黑体"/>
          <w:bCs/>
          <w:sz w:val="28"/>
          <w:szCs w:val="28"/>
        </w:rPr>
      </w:pPr>
      <w:r>
        <w:rPr>
          <w:rFonts w:hint="eastAsia" w:hAnsi="黑体"/>
          <w:bCs/>
          <w:sz w:val="28"/>
          <w:szCs w:val="28"/>
        </w:rPr>
        <w:t>第三部分部门决算情况说明</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0"/>
        <w:spacing w:line="500" w:lineRule="exact"/>
        <w:rPr>
          <w:rFonts w:hAnsi="黑体"/>
          <w:bCs/>
          <w:sz w:val="28"/>
          <w:szCs w:val="28"/>
        </w:rPr>
      </w:pPr>
      <w:r>
        <w:rPr>
          <w:rFonts w:hint="eastAsia" w:hAnsi="黑体"/>
          <w:bCs/>
          <w:sz w:val="28"/>
          <w:szCs w:val="28"/>
        </w:rPr>
        <w:t>第四部分名词解释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ascii="方正小标宋_GBK" w:hAnsi="方正小标宋_GBK" w:eastAsia="方正小标宋_GBK" w:cs="方正小标宋_GBK"/>
          <w:sz w:val="72"/>
          <w:szCs w:val="72"/>
        </w:rPr>
      </w:pPr>
    </w:p>
    <w:p>
      <w:pPr>
        <w:pStyle w:val="10"/>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0"/>
        <w:jc w:val="center"/>
        <w:rPr>
          <w:rFonts w:ascii="方正小标宋_GBK" w:hAnsi="方正小标宋_GBK" w:eastAsia="方正小标宋_GBK" w:cs="方正小标宋_GBK"/>
          <w:sz w:val="84"/>
          <w:szCs w:val="84"/>
        </w:rPr>
      </w:pPr>
    </w:p>
    <w:p>
      <w:pPr>
        <w:pStyle w:val="10"/>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湖南省蚕桑科学研究所单位概况</w:t>
      </w:r>
    </w:p>
    <w:p>
      <w:pPr>
        <w:jc w:val="center"/>
        <w:rPr>
          <w:rFonts w:ascii="方正小标宋_GBK" w:hAnsi="方正小标宋_GBK" w:eastAsia="方正小标宋_GBK" w:cs="方正小标宋_GBK"/>
          <w:sz w:val="72"/>
          <w:szCs w:val="72"/>
        </w:rPr>
      </w:pPr>
    </w:p>
    <w:p>
      <w:pPr>
        <w:jc w:val="center"/>
        <w:rPr>
          <w:rFonts w:ascii="方正小标宋_GBK" w:hAnsi="方正小标宋_GBK" w:eastAsia="方正小标宋_GBK" w:cs="方正小标宋_GBK"/>
          <w:sz w:val="72"/>
          <w:szCs w:val="72"/>
        </w:rPr>
      </w:pPr>
    </w:p>
    <w:p>
      <w:pPr>
        <w:jc w:val="center"/>
        <w:rPr>
          <w:rFonts w:ascii="方正小标宋_GBK" w:hAnsi="方正小标宋_GBK" w:eastAsia="方正小标宋_GBK" w:cs="方正小标宋_GBK"/>
          <w:sz w:val="72"/>
          <w:szCs w:val="72"/>
        </w:rPr>
      </w:pPr>
    </w:p>
    <w:p>
      <w:pPr>
        <w:jc w:val="center"/>
        <w:rPr>
          <w:rFonts w:ascii="方正小标宋_GBK" w:hAnsi="方正小标宋_GBK" w:eastAsia="方正小标宋_GBK" w:cs="方正小标宋_GBK"/>
          <w:sz w:val="30"/>
          <w:szCs w:val="30"/>
        </w:rPr>
      </w:pPr>
    </w:p>
    <w:p>
      <w:pPr>
        <w:pStyle w:val="11"/>
        <w:numPr>
          <w:ilvl w:val="0"/>
          <w:numId w:val="1"/>
        </w:numPr>
        <w:ind w:firstLineChars="0"/>
        <w:jc w:val="left"/>
        <w:rPr>
          <w:rFonts w:ascii="黑体" w:hAnsi="黑体" w:eastAsia="黑体" w:cs="黑体"/>
          <w:sz w:val="32"/>
          <w:szCs w:val="32"/>
        </w:rPr>
      </w:pPr>
      <w:r>
        <w:rPr>
          <w:rFonts w:hint="eastAsia" w:ascii="黑体" w:hAnsi="黑体" w:eastAsia="黑体" w:cs="黑体"/>
          <w:sz w:val="32"/>
          <w:szCs w:val="32"/>
        </w:rPr>
        <w:t>部门职责</w:t>
      </w:r>
    </w:p>
    <w:p>
      <w:pPr>
        <w:widowControl/>
        <w:spacing w:line="600" w:lineRule="exact"/>
        <w:ind w:firstLine="640" w:firstLineChars="200"/>
        <w:rPr>
          <w:rFonts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湖南省蚕桑科学研究所创建于1941年，隶属湖南省农业农村厅。系正处级公益一类全额拨款事业单位，是全省唯一的蚕桑专业研究所。宗旨是开展蚕桑科学研究，促进科技发展。业务范围：蚕桑科学研究、新品种研究、新品种技术推广等相关社会服务。</w:t>
      </w:r>
    </w:p>
    <w:p>
      <w:pPr>
        <w:widowControl/>
        <w:spacing w:line="600" w:lineRule="exact"/>
        <w:rPr>
          <w:rFonts w:ascii="黑体" w:hAnsi="黑体" w:eastAsia="黑体" w:cs="黑体"/>
          <w:bCs/>
          <w:kern w:val="0"/>
          <w:sz w:val="32"/>
          <w:szCs w:val="32"/>
        </w:rPr>
      </w:pPr>
      <w:r>
        <w:rPr>
          <w:rFonts w:hint="eastAsia" w:ascii="黑体" w:hAnsi="黑体" w:eastAsia="黑体" w:cs="黑体"/>
          <w:bCs/>
          <w:kern w:val="0"/>
          <w:sz w:val="32"/>
          <w:szCs w:val="32"/>
        </w:rPr>
        <w:t>二、机构设置及决算单位构成</w:t>
      </w:r>
    </w:p>
    <w:p>
      <w:pPr>
        <w:widowControl/>
        <w:spacing w:line="600" w:lineRule="exact"/>
        <w:ind w:firstLine="640" w:firstLineChars="2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湖南省蚕桑科学研究所内设机构包括：蚕品种研究室、蚕种繁育室、桑品种研究室、蚕桑资源研究室、新技术开发服务中心、蚕业资源保护中心、澧县试验示范基地、科研管理科、办公室、组织人事科、计财科、工会、纪检监察室、国家蚕桑产业技术体系长沙综合试验站。</w:t>
      </w:r>
    </w:p>
    <w:p>
      <w:pPr>
        <w:widowControl/>
        <w:spacing w:line="600" w:lineRule="exact"/>
        <w:ind w:firstLine="640" w:firstLineChars="2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（二）决算单位构成。湖南省蚕桑科学研究所2022年部门决算汇总公开单位构成包括：湖南省蚕桑科学研究所本级。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jc w:val="center"/>
        <w:rPr>
          <w:rFonts w:ascii="方正小标宋_GBK" w:hAnsi="方正小标宋_GBK" w:eastAsia="方正小标宋_GBK" w:cs="方正小标宋_GBK"/>
          <w:sz w:val="84"/>
          <w:szCs w:val="84"/>
        </w:rPr>
      </w:pPr>
    </w:p>
    <w:p>
      <w:pPr>
        <w:pStyle w:val="10"/>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0"/>
        <w:jc w:val="center"/>
        <w:rPr>
          <w:rFonts w:ascii="方正小标宋_GBK" w:hAnsi="方正小标宋_GBK" w:eastAsia="方正小标宋_GBK" w:cs="方正小标宋_GBK"/>
          <w:sz w:val="84"/>
          <w:szCs w:val="84"/>
        </w:rPr>
      </w:pPr>
    </w:p>
    <w:p>
      <w:pPr>
        <w:pStyle w:val="10"/>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kern w:val="0"/>
          <w:sz w:val="32"/>
          <w:szCs w:val="32"/>
        </w:rPr>
      </w:pPr>
      <w:r>
        <w:drawing>
          <wp:inline distT="0" distB="0" distL="114300" distR="114300">
            <wp:extent cx="9631680" cy="6601460"/>
            <wp:effectExtent l="0" t="0" r="762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9631680" cy="6601460"/>
                    </a:xfrm>
                    <a:prstGeom prst="rect">
                      <a:avLst/>
                    </a:prstGeom>
                    <a:noFill/>
                    <a:ln>
                      <a:noFill/>
                    </a:ln>
                  </pic:spPr>
                </pic:pic>
              </a:graphicData>
            </a:graphic>
          </wp:inline>
        </w:drawing>
      </w:r>
    </w:p>
    <w:p>
      <w:pPr>
        <w:widowControl/>
        <w:rPr>
          <w:rFonts w:ascii="Times New Roman" w:hAnsi="Times New Roman" w:eastAsia="方正小标宋_GBK" w:cs="Times New Roman"/>
          <w:color w:val="000000"/>
          <w:kern w:val="0"/>
          <w:sz w:val="36"/>
          <w:szCs w:val="36"/>
        </w:rPr>
      </w:pPr>
      <w:r>
        <w:drawing>
          <wp:inline distT="0" distB="0" distL="114300" distR="114300">
            <wp:extent cx="9632950" cy="4340860"/>
            <wp:effectExtent l="0" t="0" r="6350" b="254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5"/>
                    <a:stretch>
                      <a:fillRect/>
                    </a:stretch>
                  </pic:blipFill>
                  <pic:spPr>
                    <a:xfrm>
                      <a:off x="0" y="0"/>
                      <a:ext cx="9632950" cy="4340860"/>
                    </a:xfrm>
                    <a:prstGeom prst="rect">
                      <a:avLst/>
                    </a:prstGeom>
                    <a:noFill/>
                    <a:ln>
                      <a:noFill/>
                    </a:ln>
                  </pic:spPr>
                </pic:pic>
              </a:graphicData>
            </a:graphic>
          </wp:inline>
        </w:drawing>
      </w:r>
      <w:r>
        <w:drawing>
          <wp:inline distT="0" distB="0" distL="114300" distR="114300">
            <wp:extent cx="9627235" cy="5125085"/>
            <wp:effectExtent l="0" t="0" r="12065" b="571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6"/>
                    <a:stretch>
                      <a:fillRect/>
                    </a:stretch>
                  </pic:blipFill>
                  <pic:spPr>
                    <a:xfrm>
                      <a:off x="0" y="0"/>
                      <a:ext cx="9627235" cy="5125085"/>
                    </a:xfrm>
                    <a:prstGeom prst="rect">
                      <a:avLst/>
                    </a:prstGeom>
                    <a:noFill/>
                    <a:ln>
                      <a:noFill/>
                    </a:ln>
                  </pic:spPr>
                </pic:pic>
              </a:graphicData>
            </a:graphic>
          </wp:inline>
        </w:drawing>
      </w:r>
      <w:r>
        <w:drawing>
          <wp:inline distT="0" distB="0" distL="114300" distR="114300">
            <wp:extent cx="9610090" cy="6229985"/>
            <wp:effectExtent l="0" t="0" r="3810" b="571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7"/>
                    <a:stretch>
                      <a:fillRect/>
                    </a:stretch>
                  </pic:blipFill>
                  <pic:spPr>
                    <a:xfrm>
                      <a:off x="0" y="0"/>
                      <a:ext cx="9610090" cy="6229985"/>
                    </a:xfrm>
                    <a:prstGeom prst="rect">
                      <a:avLst/>
                    </a:prstGeom>
                    <a:noFill/>
                    <a:ln>
                      <a:noFill/>
                    </a:ln>
                  </pic:spPr>
                </pic:pic>
              </a:graphicData>
            </a:graphic>
          </wp:inline>
        </w:drawing>
      </w:r>
    </w:p>
    <w:p>
      <w:pPr>
        <w:widowControl/>
      </w:pPr>
    </w:p>
    <w:p>
      <w:pPr>
        <w:widowControl/>
      </w:pPr>
      <w:r>
        <w:drawing>
          <wp:inline distT="0" distB="0" distL="114300" distR="114300">
            <wp:extent cx="9634855" cy="5617210"/>
            <wp:effectExtent l="0" t="0" r="4445" b="889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8"/>
                    <a:stretch>
                      <a:fillRect/>
                    </a:stretch>
                  </pic:blipFill>
                  <pic:spPr>
                    <a:xfrm>
                      <a:off x="0" y="0"/>
                      <a:ext cx="9634855" cy="5617210"/>
                    </a:xfrm>
                    <a:prstGeom prst="rect">
                      <a:avLst/>
                    </a:prstGeom>
                    <a:noFill/>
                    <a:ln>
                      <a:noFill/>
                    </a:ln>
                  </pic:spPr>
                </pic:pic>
              </a:graphicData>
            </a:graphic>
          </wp:inline>
        </w:drawing>
      </w:r>
    </w:p>
    <w:p>
      <w:pPr>
        <w:widowControl/>
      </w:pPr>
    </w:p>
    <w:p>
      <w:pPr>
        <w:widowControl/>
        <w:ind w:left="-420" w:leftChars="-200"/>
        <w:jc w:val="center"/>
      </w:pPr>
      <w:bookmarkStart w:id="0" w:name="RANGE!A1:I22"/>
      <w:bookmarkEnd w:id="0"/>
      <w:bookmarkStart w:id="1" w:name="RANGE!A1:F16"/>
    </w:p>
    <w:p>
      <w:pPr>
        <w:widowControl/>
        <w:jc w:val="center"/>
      </w:pPr>
    </w:p>
    <w:p>
      <w:pPr>
        <w:widowControl/>
        <w:jc w:val="center"/>
      </w:pPr>
    </w:p>
    <w:p>
      <w:pPr>
        <w:widowControl/>
        <w:jc w:val="center"/>
      </w:pPr>
      <w:r>
        <w:drawing>
          <wp:inline distT="0" distB="0" distL="114300" distR="114300">
            <wp:extent cx="9627870" cy="5915660"/>
            <wp:effectExtent l="0" t="0" r="11430" b="2540"/>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9"/>
                    <a:stretch>
                      <a:fillRect/>
                    </a:stretch>
                  </pic:blipFill>
                  <pic:spPr>
                    <a:xfrm>
                      <a:off x="0" y="0"/>
                      <a:ext cx="9627870" cy="5915660"/>
                    </a:xfrm>
                    <a:prstGeom prst="rect">
                      <a:avLst/>
                    </a:prstGeom>
                    <a:noFill/>
                    <a:ln>
                      <a:noFill/>
                    </a:ln>
                  </pic:spPr>
                </pic:pic>
              </a:graphicData>
            </a:graphic>
          </wp:inline>
        </w:drawing>
      </w:r>
    </w:p>
    <w:bookmarkEnd w:id="1"/>
    <w:p>
      <w:pPr>
        <w:widowControl/>
        <w:ind w:left="1058" w:hanging="1058" w:hangingChars="504"/>
        <w:jc w:val="left"/>
      </w:pPr>
    </w:p>
    <w:p>
      <w:pPr>
        <w:widowControl/>
        <w:ind w:left="1058" w:hanging="1058" w:hangingChars="504"/>
        <w:jc w:val="left"/>
      </w:pPr>
    </w:p>
    <w:p>
      <w:pPr>
        <w:widowControl/>
        <w:ind w:left="1058" w:hanging="1058" w:hangingChars="504"/>
        <w:jc w:val="left"/>
      </w:pPr>
    </w:p>
    <w:p>
      <w:pPr>
        <w:widowControl/>
        <w:ind w:left="1058" w:hanging="1058" w:hangingChars="504"/>
        <w:jc w:val="left"/>
      </w:pPr>
    </w:p>
    <w:p>
      <w:pPr>
        <w:widowControl/>
        <w:ind w:left="1058" w:hanging="1058" w:hangingChars="504"/>
        <w:jc w:val="left"/>
      </w:pPr>
    </w:p>
    <w:p>
      <w:pPr>
        <w:widowControl/>
        <w:ind w:left="1058" w:hanging="1058" w:hangingChars="504"/>
        <w:jc w:val="left"/>
      </w:pPr>
    </w:p>
    <w:p>
      <w:pPr>
        <w:widowControl/>
        <w:jc w:val="center"/>
        <w:rPr>
          <w:rFonts w:ascii="Times New Roman" w:hAnsi="Times New Roman" w:eastAsia="方正小标宋_GBK" w:cs="Times New Roman"/>
          <w:color w:val="000000"/>
          <w:kern w:val="0"/>
          <w:sz w:val="36"/>
          <w:szCs w:val="36"/>
        </w:rPr>
      </w:pPr>
    </w:p>
    <w:tbl>
      <w:tblPr>
        <w:tblStyle w:val="5"/>
        <w:tblW w:w="15360" w:type="dxa"/>
        <w:tblInd w:w="88" w:type="dxa"/>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tblGrid>
      <w:tr>
        <w:tblPrEx>
          <w:tblLayout w:type="fixed"/>
          <w:tblCellMar>
            <w:top w:w="0" w:type="dxa"/>
            <w:left w:w="108" w:type="dxa"/>
            <w:bottom w:w="0" w:type="dxa"/>
            <w:right w:w="108" w:type="dxa"/>
          </w:tblCellMar>
        </w:tblPrEx>
        <w:trPr>
          <w:trHeight w:val="690" w:hRule="atLeast"/>
        </w:trPr>
        <w:tc>
          <w:tcPr>
            <w:tcW w:w="15360" w:type="dxa"/>
            <w:gridSpan w:val="9"/>
            <w:tcBorders>
              <w:top w:val="nil"/>
              <w:left w:val="nil"/>
              <w:bottom w:val="nil"/>
              <w:right w:val="nil"/>
            </w:tcBorders>
            <w:shd w:val="clear" w:color="auto" w:fill="FFFFFF"/>
            <w:vAlign w:val="center"/>
          </w:tcPr>
          <w:p>
            <w:pPr>
              <w:widowControl/>
              <w:jc w:val="center"/>
              <w:textAlignment w:val="center"/>
              <w:rPr>
                <w:rFonts w:cs="华文中宋" w:asciiTheme="minorEastAsia" w:hAnsiTheme="minorEastAsia"/>
                <w:color w:val="000000"/>
                <w:sz w:val="32"/>
                <w:szCs w:val="32"/>
              </w:rPr>
            </w:pPr>
            <w:r>
              <w:rPr>
                <w:rFonts w:hint="eastAsia" w:cs="华文中宋" w:asciiTheme="minorEastAsia" w:hAnsiTheme="minorEastAsia"/>
                <w:color w:val="000000"/>
                <w:kern w:val="0"/>
                <w:sz w:val="32"/>
                <w:szCs w:val="32"/>
              </w:rPr>
              <w:t>政府性基金预算财政拨款收入支出决算表</w:t>
            </w:r>
          </w:p>
        </w:tc>
      </w:tr>
      <w:tr>
        <w:tblPrEx>
          <w:tblLayout w:type="fixed"/>
          <w:tblCellMar>
            <w:top w:w="0" w:type="dxa"/>
            <w:left w:w="108" w:type="dxa"/>
            <w:bottom w:w="0" w:type="dxa"/>
            <w:right w:w="108" w:type="dxa"/>
          </w:tblCellMar>
        </w:tblPrEx>
        <w:trPr>
          <w:trHeight w:val="345" w:hRule="atLeast"/>
        </w:trPr>
        <w:tc>
          <w:tcPr>
            <w:tcW w:w="1003"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40"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1402"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2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公开07表</w:t>
            </w:r>
          </w:p>
        </w:tc>
      </w:tr>
      <w:tr>
        <w:tblPrEx>
          <w:tblLayout w:type="fixed"/>
          <w:tblCellMar>
            <w:top w:w="0" w:type="dxa"/>
            <w:left w:w="108" w:type="dxa"/>
            <w:bottom w:w="0" w:type="dxa"/>
            <w:right w:w="108" w:type="dxa"/>
          </w:tblCellMar>
        </w:tblPrEx>
        <w:trPr>
          <w:trHeight w:val="690" w:hRule="atLeast"/>
        </w:trPr>
        <w:tc>
          <w:tcPr>
            <w:tcW w:w="4764" w:type="dxa"/>
            <w:gridSpan w:val="4"/>
            <w:tcBorders>
              <w:top w:val="nil"/>
              <w:left w:val="nil"/>
              <w:bottom w:val="nil"/>
              <w:right w:val="nil"/>
            </w:tcBorders>
            <w:shd w:val="clear" w:color="auto" w:fill="FFFFFF"/>
            <w:noWrap/>
            <w:vAlign w:val="center"/>
          </w:tcPr>
          <w:p>
            <w:pPr>
              <w:rPr>
                <w:rFonts w:ascii="宋体" w:hAnsi="宋体" w:eastAsia="宋体" w:cs="宋体"/>
                <w:color w:val="000000"/>
                <w:sz w:val="20"/>
                <w:szCs w:val="20"/>
              </w:rPr>
            </w:pPr>
            <w:r>
              <w:rPr>
                <w:rFonts w:hint="eastAsia" w:ascii="宋体" w:hAnsi="宋体" w:eastAsia="宋体" w:cs="宋体"/>
                <w:color w:val="000000"/>
                <w:kern w:val="0"/>
                <w:sz w:val="20"/>
                <w:szCs w:val="20"/>
              </w:rPr>
              <w:t>部门：湖南省蚕桑科学研究所</w:t>
            </w: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2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Style w:val="14"/>
                <w:rFonts w:hint="default"/>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年末结转和结余</w:t>
            </w:r>
          </w:p>
        </w:tc>
      </w:tr>
      <w:tr>
        <w:tblPrEx>
          <w:tblLayout w:type="fixed"/>
          <w:tblCellMar>
            <w:top w:w="0" w:type="dxa"/>
            <w:left w:w="108" w:type="dxa"/>
            <w:bottom w:w="0" w:type="dxa"/>
            <w:right w:w="108" w:type="dxa"/>
          </w:tblCellMar>
        </w:tblPrEx>
        <w:trPr>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6</w:t>
            </w:r>
          </w:p>
        </w:tc>
      </w:tr>
      <w:tr>
        <w:tblPrEx>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725" w:hRule="atLeast"/>
        </w:trPr>
        <w:tc>
          <w:tcPr>
            <w:tcW w:w="15360" w:type="dxa"/>
            <w:gridSpan w:val="9"/>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注：本表反映部门本年度政府性基金预算财政拨款收入、支出及结转和结余情况。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说明：我单位没有政府性基金收入，也没有使用政府性基金安排的支出，故本表无数据。</w:t>
            </w:r>
          </w:p>
        </w:tc>
      </w:tr>
    </w:tbl>
    <w:p>
      <w:pPr>
        <w:widowControl/>
        <w:jc w:val="center"/>
        <w:rPr>
          <w:rFonts w:ascii="Times New Roman" w:hAnsi="Times New Roman" w:eastAsia="方正小标宋_GBK" w:cs="Times New Roman"/>
          <w:color w:val="000000"/>
          <w:kern w:val="0"/>
          <w:sz w:val="36"/>
          <w:szCs w:val="36"/>
        </w:rPr>
      </w:pPr>
    </w:p>
    <w:tbl>
      <w:tblPr>
        <w:tblStyle w:val="5"/>
        <w:tblW w:w="15120" w:type="dxa"/>
        <w:tblInd w:w="-25" w:type="dxa"/>
        <w:tblLayout w:type="fixed"/>
        <w:tblCellMar>
          <w:top w:w="0" w:type="dxa"/>
          <w:left w:w="108" w:type="dxa"/>
          <w:bottom w:w="0" w:type="dxa"/>
          <w:right w:w="108" w:type="dxa"/>
        </w:tblCellMar>
      </w:tblPr>
      <w:tblGrid>
        <w:gridCol w:w="1326"/>
        <w:gridCol w:w="701"/>
        <w:gridCol w:w="2292"/>
        <w:gridCol w:w="3315"/>
        <w:gridCol w:w="3315"/>
        <w:gridCol w:w="4171"/>
      </w:tblGrid>
      <w:tr>
        <w:tblPrEx>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widowControl/>
              <w:jc w:val="center"/>
              <w:textAlignment w:val="center"/>
              <w:rPr>
                <w:rFonts w:cs="华文中宋" w:asciiTheme="minorEastAsia" w:hAnsiTheme="minorEastAsia"/>
                <w:color w:val="000000"/>
                <w:sz w:val="32"/>
                <w:szCs w:val="32"/>
              </w:rPr>
            </w:pPr>
            <w:r>
              <w:rPr>
                <w:rFonts w:hint="eastAsia" w:cs="华文中宋" w:asciiTheme="minorEastAsia" w:hAnsiTheme="minorEastAsia"/>
                <w:color w:val="000000"/>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701"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292"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4171"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公开08表</w:t>
            </w:r>
          </w:p>
        </w:tc>
      </w:tr>
      <w:tr>
        <w:tblPrEx>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ascii="宋体" w:hAnsi="宋体" w:eastAsia="宋体" w:cs="宋体"/>
                <w:color w:val="000000"/>
                <w:sz w:val="20"/>
                <w:szCs w:val="20"/>
              </w:rPr>
            </w:pPr>
            <w:r>
              <w:rPr>
                <w:rFonts w:hint="eastAsia" w:ascii="宋体" w:hAnsi="宋体" w:eastAsia="宋体" w:cs="宋体"/>
                <w:color w:val="000000"/>
                <w:kern w:val="0"/>
                <w:sz w:val="20"/>
                <w:szCs w:val="20"/>
              </w:rPr>
              <w:t>部门：湖南省蚕桑科学研究所</w:t>
            </w: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4171"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Style w:val="15"/>
                <w:rFonts w:hint="default"/>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r>
      <w:tr>
        <w:tblPrEx>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r>
      <w:tr>
        <w:tblPrEx>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注：本表反映部门本年度国有资本经营预算财政拨款支出情况。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说明：我单位没有使用国有资本经营预算安排的支出，故本表无数据。</w:t>
            </w:r>
          </w:p>
        </w:tc>
      </w:tr>
    </w:tbl>
    <w:p>
      <w:pPr>
        <w:widowControl/>
        <w:jc w:val="center"/>
        <w:rPr>
          <w:rFonts w:ascii="Times New Roman" w:hAnsi="Times New Roman" w:eastAsia="方正小标宋_GBK" w:cs="Times New Roman"/>
          <w:color w:val="000000"/>
          <w:kern w:val="0"/>
          <w:sz w:val="36"/>
          <w:szCs w:val="36"/>
        </w:rPr>
      </w:pPr>
    </w:p>
    <w:tbl>
      <w:tblPr>
        <w:tblStyle w:val="5"/>
        <w:tblW w:w="15140" w:type="dxa"/>
        <w:tblInd w:w="93" w:type="dxa"/>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kern w:val="0"/>
                <w:sz w:val="32"/>
                <w:szCs w:val="32"/>
              </w:rPr>
            </w:pPr>
          </w:p>
          <w:p>
            <w:pPr>
              <w:widowControl/>
              <w:jc w:val="center"/>
              <w:textAlignment w:val="center"/>
              <w:rPr>
                <w:rFonts w:cs="华文中宋" w:asciiTheme="minorEastAsia" w:hAnsiTheme="minorEastAsia"/>
                <w:color w:val="000000"/>
                <w:sz w:val="32"/>
                <w:szCs w:val="32"/>
              </w:rPr>
            </w:pPr>
            <w:r>
              <w:rPr>
                <w:rFonts w:hint="eastAsia" w:cs="华文中宋" w:asciiTheme="minorEastAsia" w:hAnsiTheme="minorEastAsia"/>
                <w:color w:val="000000"/>
                <w:kern w:val="0"/>
                <w:sz w:val="32"/>
                <w:szCs w:val="32"/>
              </w:rPr>
              <w:t>财政拨款“三公”经费支出决算表</w:t>
            </w:r>
          </w:p>
        </w:tc>
      </w:tr>
      <w:tr>
        <w:tblPrEx>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7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ascii="宋体" w:hAnsi="宋体" w:eastAsia="宋体" w:cs="宋体"/>
                <w:color w:val="000000"/>
                <w:sz w:val="20"/>
                <w:szCs w:val="20"/>
              </w:rPr>
            </w:pPr>
            <w:r>
              <w:rPr>
                <w:rFonts w:hint="eastAsia" w:ascii="宋体" w:hAnsi="宋体" w:eastAsia="宋体" w:cs="宋体"/>
                <w:color w:val="000000"/>
                <w:kern w:val="0"/>
                <w:sz w:val="20"/>
                <w:szCs w:val="20"/>
              </w:rPr>
              <w:t>部门：湖南省蚕桑科学研究所</w:t>
            </w: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7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决算数</w:t>
            </w:r>
          </w:p>
        </w:tc>
      </w:tr>
      <w:tr>
        <w:tblPrEx>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公务接待费</w:t>
            </w:r>
          </w:p>
        </w:tc>
      </w:tr>
      <w:tr>
        <w:tblPrEx>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12</w:t>
            </w:r>
          </w:p>
        </w:tc>
      </w:tr>
      <w:tr>
        <w:tblPrEx>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26.00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21.00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18.00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3.00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5.00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22.32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21.00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18.00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3.00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1.32</w:t>
            </w:r>
          </w:p>
        </w:tc>
      </w:tr>
      <w:tr>
        <w:tblPrEx>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rPr>
          <w:sz w:val="72"/>
          <w:szCs w:val="72"/>
        </w:rPr>
        <w:sectPr>
          <w:pgSz w:w="16838" w:h="11906" w:orient="landscape"/>
          <w:pgMar w:top="720" w:right="720" w:bottom="720" w:left="940" w:header="851" w:footer="992" w:gutter="0"/>
          <w:cols w:space="425" w:num="1"/>
          <w:docGrid w:type="lines" w:linePitch="312" w:charSpace="0"/>
        </w:sectPr>
      </w:pPr>
      <w:r>
        <w:br w:type="page"/>
      </w: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rFonts w:ascii="方正小标宋_GBK" w:hAnsi="方正小标宋_GBK" w:eastAsia="方正小标宋_GBK" w:cs="方正小标宋_GBK"/>
          <w:sz w:val="72"/>
          <w:szCs w:val="72"/>
        </w:rPr>
      </w:pPr>
    </w:p>
    <w:p>
      <w:pPr>
        <w:pStyle w:val="10"/>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0"/>
        <w:jc w:val="center"/>
        <w:rPr>
          <w:rFonts w:ascii="方正小标宋_GBK" w:hAnsi="方正小标宋_GBK" w:eastAsia="方正小标宋_GBK" w:cs="方正小标宋_GBK"/>
          <w:sz w:val="70"/>
          <w:szCs w:val="70"/>
        </w:rPr>
      </w:pPr>
    </w:p>
    <w:p>
      <w:pPr>
        <w:pStyle w:val="10"/>
        <w:jc w:val="center"/>
        <w:rPr>
          <w:rFonts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2022年度部门决算情况说明</w:t>
      </w:r>
    </w:p>
    <w:p>
      <w:pPr>
        <w:widowControl/>
        <w:jc w:val="left"/>
        <w:rPr>
          <w:rFonts w:asciiTheme="minorEastAsia" w:hAnsiTheme="minorEastAsia"/>
          <w:sz w:val="32"/>
          <w:szCs w:val="32"/>
        </w:rPr>
      </w:pPr>
      <w:r>
        <w:br w:type="page"/>
      </w:r>
    </w:p>
    <w:p>
      <w:pPr>
        <w:pStyle w:val="10"/>
        <w:spacing w:line="600" w:lineRule="exact"/>
        <w:ind w:firstLine="640" w:firstLineChars="200"/>
        <w:rPr>
          <w:rFonts w:hAnsi="黑体"/>
          <w:bCs/>
          <w:sz w:val="32"/>
          <w:szCs w:val="32"/>
        </w:rPr>
      </w:pPr>
      <w:r>
        <w:rPr>
          <w:rFonts w:hint="eastAsia" w:hAnsi="黑体"/>
          <w:bCs/>
          <w:sz w:val="32"/>
          <w:szCs w:val="32"/>
        </w:rPr>
        <w:t>一、收入支出决算总体情况说明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2022年度收、支总计2403.27万元。与上年相比，增加94.94万元，增长4.11%，主要是因为新增农业种质资源保护与种业发展等项目资金。</w:t>
      </w:r>
    </w:p>
    <w:p>
      <w:pPr>
        <w:pStyle w:val="10"/>
        <w:spacing w:line="600" w:lineRule="exact"/>
        <w:ind w:firstLine="640" w:firstLineChars="200"/>
        <w:rPr>
          <w:rFonts w:hAnsi="黑体"/>
          <w:bCs/>
          <w:sz w:val="32"/>
          <w:szCs w:val="32"/>
        </w:rPr>
      </w:pPr>
      <w:r>
        <w:rPr>
          <w:rFonts w:hint="eastAsia" w:hAnsi="黑体"/>
          <w:bCs/>
          <w:sz w:val="32"/>
          <w:szCs w:val="32"/>
        </w:rPr>
        <w:t>二、收入决算情况说明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2022年度收入合计2337.02万元，其中：财政拨款收入2161.57万元，占92.49%；上级补助收入0万元，占0%；事业收入0万元，占0%；经营收入0万元，占0%；附属单位上缴收入0万元，占0%；其他收入175.45万元，占7.51%。</w:t>
      </w:r>
    </w:p>
    <w:p>
      <w:pPr>
        <w:pStyle w:val="10"/>
        <w:spacing w:line="600" w:lineRule="exact"/>
        <w:ind w:firstLine="640" w:firstLineChars="200"/>
        <w:rPr>
          <w:rFonts w:hAnsi="黑体"/>
          <w:bCs/>
          <w:sz w:val="32"/>
          <w:szCs w:val="32"/>
        </w:rPr>
      </w:pPr>
      <w:r>
        <w:rPr>
          <w:rFonts w:hint="eastAsia" w:hAnsi="黑体"/>
          <w:bCs/>
          <w:sz w:val="32"/>
          <w:szCs w:val="32"/>
        </w:rPr>
        <w:t>三、支出决算情况说明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2022年度支出合计2346.40万元，其中：基本支出1947.94万元，占83.02%；项目支出398.46万元，占16.98%；上缴上级支出0万元，占0%；经营支出0万元，占0%；对附属单位补助支出0万元，占0%。</w:t>
      </w:r>
    </w:p>
    <w:p>
      <w:pPr>
        <w:pStyle w:val="10"/>
        <w:spacing w:line="600" w:lineRule="exact"/>
        <w:ind w:firstLine="640" w:firstLineChars="200"/>
        <w:rPr>
          <w:rFonts w:hAnsi="黑体"/>
          <w:bCs/>
          <w:sz w:val="32"/>
          <w:szCs w:val="32"/>
        </w:rPr>
      </w:pPr>
      <w:r>
        <w:rPr>
          <w:rFonts w:hint="eastAsia" w:hAnsi="黑体"/>
          <w:bCs/>
          <w:sz w:val="32"/>
          <w:szCs w:val="32"/>
        </w:rPr>
        <w:t>四、财政拨款收入支出决算总体情况说明</w:t>
      </w:r>
    </w:p>
    <w:p>
      <w:pPr>
        <w:pStyle w:val="10"/>
        <w:spacing w:line="600" w:lineRule="exact"/>
        <w:rPr>
          <w:rFonts w:ascii="Times New Roman" w:hAnsi="Times New Roman" w:eastAsia="仿宋_GB2312"/>
          <w:sz w:val="32"/>
          <w:szCs w:val="32"/>
        </w:rPr>
      </w:pPr>
      <w:r>
        <w:rPr>
          <w:rFonts w:hint="eastAsia" w:ascii="Times New Roman" w:hAnsi="Times New Roman" w:eastAsia="仿宋_GB2312"/>
          <w:sz w:val="32"/>
          <w:szCs w:val="32"/>
        </w:rPr>
        <w:t xml:space="preserve">    2022年度财政拨款收、支总计2227.82万元，与上年相比，增加142.56万元,增长6.84%，主要是因为新增农业种质资源保护与种业发展等项目资金。</w:t>
      </w:r>
    </w:p>
    <w:p>
      <w:pPr>
        <w:pStyle w:val="10"/>
        <w:spacing w:line="600" w:lineRule="exact"/>
        <w:ind w:firstLine="640" w:firstLineChars="200"/>
        <w:rPr>
          <w:rFonts w:hAnsi="黑体"/>
          <w:bCs/>
          <w:sz w:val="32"/>
          <w:szCs w:val="32"/>
        </w:rPr>
      </w:pPr>
      <w:r>
        <w:rPr>
          <w:rFonts w:hint="eastAsia" w:hAnsi="黑体"/>
          <w:bCs/>
          <w:sz w:val="32"/>
          <w:szCs w:val="32"/>
        </w:rPr>
        <w:t>五、一般公共预算财政拨款支出决算情况说明</w:t>
      </w:r>
    </w:p>
    <w:p>
      <w:pPr>
        <w:pStyle w:val="10"/>
        <w:spacing w:line="600" w:lineRule="exact"/>
        <w:ind w:firstLine="640" w:firstLineChars="200"/>
        <w:rPr>
          <w:rFonts w:ascii="楷体" w:hAnsi="楷体" w:eastAsia="楷体" w:cs="楷体"/>
          <w:bCs/>
          <w:sz w:val="32"/>
          <w:szCs w:val="32"/>
        </w:rPr>
      </w:pPr>
      <w:r>
        <w:rPr>
          <w:rFonts w:hint="eastAsia" w:ascii="楷体" w:hAnsi="楷体" w:eastAsia="楷体" w:cs="楷体"/>
          <w:bCs/>
          <w:sz w:val="32"/>
          <w:szCs w:val="32"/>
        </w:rPr>
        <w:t>（一）财政拨款支出决算总体情况</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2022年度财政拨款支出2170.94万元，占本年支出合计的92.</w:t>
      </w:r>
      <w:r>
        <w:rPr>
          <w:rFonts w:hint="eastAsia" w:ascii="Times New Roman" w:hAnsi="Times New Roman" w:eastAsia="仿宋_GB2312"/>
          <w:sz w:val="32"/>
          <w:szCs w:val="32"/>
          <w:lang w:val="en-US" w:eastAsia="zh-CN"/>
        </w:rPr>
        <w:t>89</w:t>
      </w:r>
      <w:r>
        <w:rPr>
          <w:rFonts w:hint="eastAsia" w:ascii="Times New Roman" w:hAnsi="Times New Roman" w:eastAsia="仿宋_GB2312"/>
          <w:sz w:val="32"/>
          <w:szCs w:val="32"/>
        </w:rPr>
        <w:t>%，与上年相比，财政拨款支出增加319.81万元，增长17.28%，主要是因为新增农业种质资源保护与种业发展等项目资金。</w:t>
      </w:r>
    </w:p>
    <w:p>
      <w:pPr>
        <w:pStyle w:val="10"/>
        <w:spacing w:line="600" w:lineRule="exact"/>
        <w:ind w:firstLine="480" w:firstLineChars="150"/>
        <w:rPr>
          <w:rFonts w:ascii="楷体" w:hAnsi="楷体" w:eastAsia="楷体" w:cs="楷体"/>
          <w:bCs/>
          <w:sz w:val="32"/>
          <w:szCs w:val="32"/>
        </w:rPr>
      </w:pPr>
      <w:r>
        <w:rPr>
          <w:rFonts w:hint="eastAsia" w:ascii="楷体" w:hAnsi="楷体" w:eastAsia="楷体" w:cs="楷体"/>
          <w:bCs/>
          <w:sz w:val="32"/>
          <w:szCs w:val="32"/>
        </w:rPr>
        <w:t>（二）财政拨款支出决算结构情况</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支出2170.94万元，主要用于以下方面：科学技术（类）支出19.68万元，占0.91%；社会保障和就业（类）支出190.00万元，占8.75%;农林水（类）支出1808.26万元，占83.29%;住房保障（类）支出153.00万元，占7.05%。</w:t>
      </w:r>
    </w:p>
    <w:p>
      <w:pPr>
        <w:pStyle w:val="10"/>
        <w:spacing w:line="600" w:lineRule="exact"/>
        <w:ind w:firstLine="800" w:firstLineChars="250"/>
        <w:rPr>
          <w:rFonts w:ascii="楷体" w:hAnsi="楷体" w:eastAsia="楷体" w:cs="楷体"/>
          <w:bCs/>
          <w:sz w:val="32"/>
          <w:szCs w:val="32"/>
        </w:rPr>
      </w:pPr>
      <w:r>
        <w:rPr>
          <w:rFonts w:hint="eastAsia" w:ascii="楷体" w:hAnsi="楷体" w:eastAsia="楷体" w:cs="楷体"/>
          <w:bCs/>
          <w:sz w:val="32"/>
          <w:szCs w:val="32"/>
        </w:rPr>
        <w:t>（三）财政拨款支出决算具体情况</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2022年度财政拨款支出年初预算数为1858.01万元，支出决算数为2170.94万元，完成年初预算的</w:t>
      </w:r>
      <w:r>
        <w:rPr>
          <w:rFonts w:hint="eastAsia" w:ascii="Times New Roman" w:hAnsi="Times New Roman" w:eastAsia="仿宋_GB2312"/>
          <w:sz w:val="32"/>
          <w:szCs w:val="32"/>
          <w:lang w:val="en-US" w:eastAsia="zh-CN"/>
        </w:rPr>
        <w:t>116.84</w:t>
      </w:r>
      <w:r>
        <w:rPr>
          <w:rFonts w:hint="eastAsia" w:ascii="Times New Roman" w:hAnsi="Times New Roman" w:eastAsia="仿宋_GB2312"/>
          <w:sz w:val="32"/>
          <w:szCs w:val="32"/>
        </w:rPr>
        <w:t>%，其中：</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1、科学技术（类）基础研究（款）自然科学基金（项）。</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年初预算为5.00万元，支出决算为0.77万元，完成年初预算的15.40%，决算数小于年初预算数的主要原因是：项目实施期为3年。</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2、科学技术（类）科技重大项目（款）重点研发计划（项）。</w:t>
      </w:r>
    </w:p>
    <w:p>
      <w:pPr>
        <w:pStyle w:val="10"/>
        <w:spacing w:line="600" w:lineRule="exact"/>
        <w:ind w:firstLine="800" w:firstLineChars="25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年初预算为41.68万元，支出决算为18.91万元，完成年初预算的45.37%，决算数小于年初预算数的主要原因是：项目实施期为3年</w:t>
      </w:r>
      <w:r>
        <w:rPr>
          <w:rFonts w:hint="eastAsia" w:ascii="Times New Roman" w:hAnsi="Times New Roman" w:eastAsia="仿宋_GB2312"/>
          <w:sz w:val="32"/>
          <w:szCs w:val="32"/>
          <w:lang w:eastAsia="zh-CN"/>
        </w:rPr>
        <w:t>。</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3、社会保障和就业（类）行政事业单位养老支出（款）机关事业单位基本养老保险缴费支出（项）。</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年初预算为190.00万元，支出决算为190.00万元，完成年初预算的100%。</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4、农林水（类）农业农村（款）行政运行（项）。</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年初预算为0万元，支出决算为171.81万元，决算数大于年初预算数的主要原因是：年中追加</w:t>
      </w:r>
      <w:r>
        <w:rPr>
          <w:rFonts w:hint="eastAsia" w:ascii="Times New Roman" w:hAnsi="Times New Roman" w:eastAsia="仿宋_GB2312"/>
          <w:sz w:val="32"/>
          <w:szCs w:val="32"/>
          <w:lang w:val="en-US" w:eastAsia="zh-CN"/>
        </w:rPr>
        <w:t>绩效奖金</w:t>
      </w:r>
      <w:r>
        <w:rPr>
          <w:rFonts w:hint="eastAsia" w:ascii="Times New Roman" w:hAnsi="Times New Roman" w:eastAsia="仿宋_GB2312"/>
          <w:sz w:val="32"/>
          <w:szCs w:val="32"/>
        </w:rPr>
        <w:t>。</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5、农林水（类）农业农村（款）事业运行（项）。</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年初预算为1328.76万元，支出决算为1325.08万元，完成年初预算的99.95%，决算数小于年初预算数的主要原因是：节约公务接待费未使用完，由财政收回。</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6、农林水（类）农业农村（款）病虫害控制（项）。</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年初预算为20.00万元，支出决算为20.00万元，完成年初预算的100%。</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7、农林水（类）农业农村（款）农产品质量安全（项）。</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年初预算为5.00万元，支出决算为5.00万元，完成年初预算的100%。</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8、农林水（类）农业农村（款）农业生产发展（项）。</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年初预算为84.57万元，支出决算为84.57万元，完成年初预算的100%。</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9、农林水（类）农业农村（款）农业资源保护修复与利用（项）。</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年初预算为30万元，支出决算为43.80万元，完成年初预算的</w:t>
      </w:r>
      <w:r>
        <w:rPr>
          <w:rFonts w:hint="eastAsia" w:ascii="Times New Roman" w:hAnsi="Times New Roman" w:eastAsia="仿宋_GB2312"/>
          <w:sz w:val="32"/>
          <w:szCs w:val="32"/>
          <w:lang w:val="en-US" w:eastAsia="zh-CN"/>
        </w:rPr>
        <w:t>146.00</w:t>
      </w:r>
      <w:r>
        <w:rPr>
          <w:rFonts w:hint="eastAsia" w:ascii="Times New Roman" w:hAnsi="Times New Roman" w:eastAsia="仿宋_GB2312"/>
          <w:sz w:val="32"/>
          <w:szCs w:val="32"/>
        </w:rPr>
        <w:t>%，决算数大于年初预算数的主要原因是：年中追加项目资金。</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10、农林水（类）农业农村（款）其他农业农村支出（项）。</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年初预算为0万元，支出决算为158.00万元，决算数大于年初预算数的主要原因是：年中追加项目资金。</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11、住房保障（类）住房改革支出（款）住房公积金（项）。</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年初预算为153.00万元，支出决算为153.00万元，完成年初预算的100%。</w:t>
      </w:r>
    </w:p>
    <w:p>
      <w:pPr>
        <w:pStyle w:val="10"/>
        <w:spacing w:line="600" w:lineRule="exact"/>
        <w:ind w:firstLine="640" w:firstLineChars="200"/>
        <w:rPr>
          <w:rFonts w:hAnsi="黑体"/>
          <w:bCs/>
          <w:sz w:val="32"/>
          <w:szCs w:val="32"/>
        </w:rPr>
      </w:pPr>
      <w:r>
        <w:rPr>
          <w:rFonts w:hint="eastAsia" w:hAnsi="黑体"/>
          <w:bCs/>
          <w:sz w:val="32"/>
          <w:szCs w:val="32"/>
        </w:rPr>
        <w:t>六、一般公共预算财政拨款基本支出决算情况说明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2022年度财政拨款基本支出1839.89万元，其中：</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rPr>
        <w:t>1552.81万元，占基本支出的84.40%,主要包括基本工资、津贴补贴、奖金、伙食补助费、绩效工资</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离休费、退休费、抚恤金、奖励金</w:t>
      </w:r>
      <w:r>
        <w:rPr>
          <w:rFonts w:hint="eastAsia" w:ascii="Times New Roman" w:hAnsi="Times New Roman" w:eastAsia="仿宋_GB2312"/>
          <w:sz w:val="32"/>
          <w:szCs w:val="32"/>
        </w:rPr>
        <w:t>等。</w:t>
      </w:r>
    </w:p>
    <w:p>
      <w:pPr>
        <w:pStyle w:val="10"/>
        <w:spacing w:line="600" w:lineRule="exact"/>
        <w:ind w:firstLine="640" w:firstLineChars="200"/>
        <w:rPr>
          <w:rFonts w:ascii="Times New Roman" w:hAnsi="Times New Roman" w:eastAsia="仿宋_GB2312"/>
          <w:b/>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rPr>
        <w:t>287.08万元，占基本支出的15.60%，主要包括办公费、印刷费、咨询费、水费、电费、物业管理费、差旅费、</w:t>
      </w:r>
      <w:r>
        <w:rPr>
          <w:rFonts w:hint="eastAsia" w:ascii="Times New Roman" w:hAnsi="Times New Roman" w:eastAsia="仿宋_GB2312"/>
          <w:sz w:val="32"/>
          <w:szCs w:val="32"/>
          <w:lang w:val="en-US" w:eastAsia="zh-CN"/>
        </w:rPr>
        <w:t>劳务费、</w:t>
      </w:r>
      <w:r>
        <w:rPr>
          <w:rFonts w:hint="eastAsia" w:ascii="Times New Roman" w:hAnsi="Times New Roman" w:eastAsia="仿宋_GB2312"/>
          <w:sz w:val="32"/>
          <w:szCs w:val="32"/>
        </w:rPr>
        <w:t>工会经费、福利费等。</w:t>
      </w:r>
    </w:p>
    <w:p>
      <w:pPr>
        <w:pStyle w:val="10"/>
        <w:numPr>
          <w:ilvl w:val="0"/>
          <w:numId w:val="2"/>
        </w:numPr>
        <w:spacing w:line="600" w:lineRule="exact"/>
        <w:ind w:firstLine="640" w:firstLineChars="200"/>
        <w:rPr>
          <w:rFonts w:hAnsi="黑体"/>
          <w:bCs/>
          <w:sz w:val="32"/>
          <w:szCs w:val="32"/>
        </w:rPr>
      </w:pPr>
      <w:r>
        <w:rPr>
          <w:rFonts w:hint="eastAsia" w:hAnsi="黑体"/>
          <w:bCs/>
          <w:sz w:val="32"/>
          <w:szCs w:val="32"/>
        </w:rPr>
        <w:t>财政拨款三公经费支出决算情况说明</w:t>
      </w:r>
    </w:p>
    <w:p>
      <w:pPr>
        <w:pStyle w:val="10"/>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（一）“三公”经费财政拨款支出决算总体情况说明</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“三公”经费财政拨款支出预算为26.00万元，支出决算为22.32万元，完成预算的85.85%，其中：</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因公出国（境）费支出预算为0万元，支出决算为0万元，上年决算为0万元。</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公务接待费支出预算为5.00万元，支出决算为1.32万元，完成预算的26.40%，决算数小于预算数的主要原因是厉行节约，压减一般性支出，与上年相比减少10.05万元，减少88.39%,减少的主要原因是厉行节约，压减一般性支出。</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公务用车购置费支出预算为18.00万元，支出决算为18.00万元，完成预算的100%，与上年相比增加18.00万元，增长100%,增长的主要原因是本年购置</w:t>
      </w:r>
      <w:r>
        <w:rPr>
          <w:rFonts w:hint="eastAsia" w:ascii="Times New Roman" w:hAnsi="Times New Roman" w:eastAsia="仿宋_GB2312"/>
          <w:sz w:val="32"/>
          <w:szCs w:val="32"/>
          <w:lang w:val="en-US" w:eastAsia="zh-CN"/>
        </w:rPr>
        <w:t>公</w:t>
      </w:r>
      <w:r>
        <w:rPr>
          <w:rFonts w:hint="eastAsia" w:ascii="Times New Roman" w:hAnsi="Times New Roman" w:eastAsia="仿宋_GB2312"/>
          <w:sz w:val="32"/>
          <w:szCs w:val="32"/>
        </w:rPr>
        <w:t>务用车一台。</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公务用车运行维护费支出预算为3.00万元，支出决算为3.00万元，完成预算的100%，与上年相比增加0.55万元，增长22.45%,增长的主要原因是油价上涨，车辆使用年限即将到期维修费用增加。</w:t>
      </w:r>
    </w:p>
    <w:p>
      <w:pPr>
        <w:pStyle w:val="10"/>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（二）“三公”经费财政拨款支出决算具体情况说明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2022年度“三公”经费财政拨款支出决算中，公务接待费支出决算1.32万元，占5.91%,因公出国（境）费支出决算0万元，占0%,公务用车购置费及运行维护费支出决算21.00万元，占94.09%。其中：</w:t>
      </w:r>
    </w:p>
    <w:p>
      <w:pPr>
        <w:pStyle w:val="10"/>
        <w:spacing w:line="600" w:lineRule="exact"/>
        <w:ind w:firstLine="800" w:firstLineChars="250"/>
        <w:rPr>
          <w:rFonts w:ascii="楷体" w:hAnsi="楷体" w:eastAsia="仿宋_GB2312" w:cs="楷体"/>
          <w:b/>
          <w:bCs/>
          <w:i/>
          <w:color w:val="auto"/>
          <w:sz w:val="32"/>
          <w:szCs w:val="32"/>
        </w:rPr>
      </w:pPr>
      <w:r>
        <w:rPr>
          <w:rFonts w:hint="eastAsia" w:ascii="Times New Roman" w:hAnsi="Times New Roman" w:eastAsia="仿宋_GB2312"/>
          <w:sz w:val="32"/>
          <w:szCs w:val="32"/>
        </w:rPr>
        <w:t>1、因公出国（境）费支出决算为0万元</w:t>
      </w:r>
      <w:r>
        <w:rPr>
          <w:rFonts w:hint="eastAsia" w:ascii="Times New Roman" w:hAnsi="Times New Roman" w:eastAsia="仿宋_GB2312"/>
          <w:sz w:val="32"/>
          <w:szCs w:val="32"/>
          <w:highlight w:val="none"/>
        </w:rPr>
        <w:t>，全年安排因公出国（境）团组0个，累计0人次</w:t>
      </w:r>
      <w:bookmarkStart w:id="2" w:name="_GoBack"/>
      <w:bookmarkEnd w:id="2"/>
      <w:r>
        <w:rPr>
          <w:rFonts w:hint="eastAsia" w:ascii="Times New Roman" w:hAnsi="Times New Roman" w:eastAsia="仿宋_GB2312"/>
          <w:sz w:val="32"/>
          <w:szCs w:val="32"/>
        </w:rPr>
        <w:t>。</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2、公务接待费支出决算为1.32万元，全年共接待来访团组13个、来宾98人次，主要是业务交流来访发生的接待支出。</w:t>
      </w:r>
    </w:p>
    <w:p>
      <w:pPr>
        <w:spacing w:line="600" w:lineRule="exact"/>
        <w:ind w:firstLine="800" w:firstLineChars="250"/>
        <w:rPr>
          <w:rFonts w:ascii="楷体" w:hAnsi="楷体" w:eastAsia="楷体" w:cs="楷体"/>
          <w:b/>
          <w:bCs/>
          <w:i/>
          <w:kern w:val="0"/>
          <w:sz w:val="32"/>
          <w:szCs w:val="32"/>
        </w:rPr>
      </w:pPr>
      <w:r>
        <w:rPr>
          <w:rFonts w:hint="eastAsia" w:ascii="Times New Roman" w:hAnsi="Times New Roman" w:eastAsia="仿宋_GB2312"/>
          <w:sz w:val="32"/>
          <w:szCs w:val="32"/>
        </w:rPr>
        <w:t>3、公务用车购置费及运行维护费支出决算为21.00万元，其中：公务用车购置费18.00万元，单位本级更新公务用车1辆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公务用车运行维护费3.00万元，主要是车辆维修、保障和燃油等支出，截止2022年12月31日，我单位开支财政拨款的公务用车保有量为1辆。</w:t>
      </w:r>
    </w:p>
    <w:p>
      <w:pPr>
        <w:pStyle w:val="10"/>
        <w:spacing w:line="600" w:lineRule="exact"/>
        <w:ind w:firstLine="640" w:firstLineChars="200"/>
        <w:rPr>
          <w:rFonts w:hAnsi="黑体"/>
          <w:bCs/>
          <w:sz w:val="32"/>
          <w:szCs w:val="32"/>
        </w:rPr>
      </w:pPr>
      <w:r>
        <w:rPr>
          <w:rFonts w:hint="eastAsia" w:hAnsi="黑体"/>
          <w:bCs/>
          <w:sz w:val="32"/>
          <w:szCs w:val="32"/>
        </w:rPr>
        <w:t>八、政府性基金预算收入支出决算情况</w:t>
      </w:r>
    </w:p>
    <w:p>
      <w:pPr>
        <w:pStyle w:val="10"/>
        <w:spacing w:line="600" w:lineRule="exact"/>
        <w:ind w:firstLine="640" w:firstLineChars="200"/>
        <w:rPr>
          <w:rFonts w:hint="eastAsia" w:ascii="楷体" w:hAnsi="楷体" w:eastAsia="楷体" w:cs="楷体"/>
          <w:iCs/>
          <w:color w:val="auto"/>
          <w:sz w:val="32"/>
          <w:szCs w:val="32"/>
          <w:lang w:eastAsia="zh-CN"/>
        </w:rPr>
      </w:pPr>
      <w:r>
        <w:rPr>
          <w:rFonts w:hint="eastAsia" w:ascii="楷体" w:hAnsi="楷体" w:eastAsia="楷体" w:cs="楷体"/>
          <w:iCs/>
          <w:color w:val="auto"/>
          <w:sz w:val="32"/>
          <w:szCs w:val="32"/>
        </w:rPr>
        <w:t>本单位无政府性基金收支</w:t>
      </w:r>
      <w:r>
        <w:rPr>
          <w:rFonts w:hint="eastAsia" w:ascii="楷体" w:hAnsi="楷体" w:eastAsia="楷体" w:cs="楷体"/>
          <w:iCs/>
          <w:color w:val="auto"/>
          <w:sz w:val="32"/>
          <w:szCs w:val="32"/>
          <w:lang w:eastAsia="zh-CN"/>
        </w:rPr>
        <w:t>。</w:t>
      </w:r>
    </w:p>
    <w:p>
      <w:pPr>
        <w:pStyle w:val="10"/>
        <w:spacing w:line="600" w:lineRule="exact"/>
        <w:ind w:firstLine="640" w:firstLineChars="200"/>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本部门2022年度</w:t>
      </w:r>
      <w:r>
        <w:rPr>
          <w:rFonts w:hint="eastAsia" w:ascii="Times New Roman" w:hAnsi="Times New Roman" w:eastAsia="仿宋_GB2312"/>
          <w:sz w:val="32"/>
          <w:szCs w:val="32"/>
          <w:lang w:val="en-US" w:eastAsia="zh-CN"/>
        </w:rPr>
        <w:t>无</w:t>
      </w:r>
      <w:r>
        <w:rPr>
          <w:rFonts w:hint="eastAsia" w:ascii="Times New Roman" w:hAnsi="Times New Roman" w:eastAsia="仿宋_GB2312"/>
          <w:sz w:val="32"/>
          <w:szCs w:val="32"/>
        </w:rPr>
        <w:t>机关运行经费支出。</w:t>
      </w:r>
    </w:p>
    <w:p>
      <w:pPr>
        <w:pStyle w:val="10"/>
        <w:spacing w:line="600" w:lineRule="exact"/>
        <w:ind w:firstLine="640" w:firstLineChars="200"/>
        <w:rPr>
          <w:rFonts w:hAnsi="黑体"/>
          <w:bCs/>
          <w:sz w:val="32"/>
          <w:szCs w:val="32"/>
        </w:rPr>
      </w:pPr>
      <w:r>
        <w:rPr>
          <w:rFonts w:hint="eastAsia" w:hAnsi="黑体"/>
          <w:bCs/>
          <w:sz w:val="32"/>
          <w:szCs w:val="32"/>
        </w:rPr>
        <w:t>十、一般性支出情况说明</w:t>
      </w:r>
    </w:p>
    <w:p>
      <w:pPr>
        <w:pStyle w:val="10"/>
        <w:spacing w:line="600" w:lineRule="exact"/>
        <w:ind w:firstLine="640" w:firstLineChars="200"/>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2022年本部门开支会议费10.67万元，用于召开中共湖南省蚕桑科学研究所委员会“学习宣传贯彻党的二十大精神 推动全所工作高质量发展”会议，10万元，人数78人；《桑蚕品种锦绣1号的繁育技术规程》等2个地方标准审定会0.67万元，15人；开支培训费3万元，用于开展凤凰蚕桑高效种养新技术培训培训，人数100人</w:t>
      </w:r>
      <w:r>
        <w:rPr>
          <w:rFonts w:hint="eastAsia" w:ascii="Times New Roman" w:hAnsi="Times New Roman" w:eastAsia="仿宋_GB2312"/>
          <w:sz w:val="32"/>
          <w:szCs w:val="32"/>
          <w:lang w:eastAsia="zh-CN"/>
        </w:rPr>
        <w:t>。</w:t>
      </w:r>
    </w:p>
    <w:p>
      <w:pPr>
        <w:pStyle w:val="10"/>
        <w:spacing w:line="600" w:lineRule="exact"/>
        <w:ind w:firstLine="640" w:firstLineChars="200"/>
        <w:rPr>
          <w:rFonts w:hAnsi="黑体"/>
          <w:bCs/>
          <w:sz w:val="32"/>
          <w:szCs w:val="32"/>
        </w:rPr>
      </w:pPr>
      <w:r>
        <w:rPr>
          <w:rFonts w:hint="eastAsia" w:hAnsi="黑体"/>
          <w:bCs/>
          <w:sz w:val="32"/>
          <w:szCs w:val="32"/>
        </w:rPr>
        <w:t>十一、关于政府采购支出说明</w:t>
      </w:r>
    </w:p>
    <w:p>
      <w:pPr>
        <w:pStyle w:val="10"/>
        <w:spacing w:line="600" w:lineRule="exact"/>
        <w:ind w:firstLine="640" w:firstLineChars="200"/>
        <w:rPr>
          <w:rFonts w:hint="eastAsia" w:ascii="Times New Roman" w:hAnsi="Times New Roman" w:eastAsia="仿宋_GB2312"/>
          <w:sz w:val="32"/>
          <w:szCs w:val="32"/>
          <w:lang w:eastAsia="zh-CN"/>
        </w:rPr>
      </w:pPr>
      <w:r>
        <w:rPr>
          <w:rFonts w:hint="eastAsia" w:ascii="Times New Roman" w:hAnsi="Times New Roman" w:eastAsia="仿宋_GB2312"/>
          <w:sz w:val="32"/>
          <w:szCs w:val="32"/>
        </w:rPr>
        <w:t>本部门2022年度政府采购支出总额0万元，其中：政府采购货物支出0万元、政府采购工程支出0万元、政府采购服务支出0万元。授予中小企业合同金额0万元，其中：授予小微企业合同金额0万元</w:t>
      </w:r>
      <w:r>
        <w:rPr>
          <w:rFonts w:hint="eastAsia" w:ascii="Times New Roman" w:hAnsi="Times New Roman" w:eastAsia="仿宋_GB2312"/>
          <w:sz w:val="32"/>
          <w:szCs w:val="32"/>
          <w:lang w:eastAsia="zh-CN"/>
        </w:rPr>
        <w:t>。</w:t>
      </w:r>
    </w:p>
    <w:p>
      <w:pPr>
        <w:pStyle w:val="10"/>
        <w:spacing w:line="600" w:lineRule="exact"/>
        <w:ind w:firstLine="640" w:firstLineChars="200"/>
        <w:rPr>
          <w:rFonts w:hAnsi="黑体"/>
          <w:bCs/>
          <w:sz w:val="32"/>
          <w:szCs w:val="32"/>
        </w:rPr>
      </w:pPr>
      <w:r>
        <w:rPr>
          <w:rFonts w:hint="eastAsia" w:hAnsi="黑体"/>
          <w:bCs/>
          <w:sz w:val="32"/>
          <w:szCs w:val="32"/>
        </w:rPr>
        <w:t>十二、关于国有资产占用情况说明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截至2022年12月31日，本单位共有车辆1辆，其中，主要领导干部用车0辆，机要通信用车0辆、应急保障用车0辆、执法执勤用车0辆、特种专业技术用车0辆、其他用车1辆，其他用车主要是业务用车；单位价值50万元以上通用设备0台（套）；单位价值100万元以上专用设备0台（套）。</w:t>
      </w:r>
    </w:p>
    <w:p>
      <w:pPr>
        <w:pStyle w:val="10"/>
        <w:spacing w:line="600" w:lineRule="exact"/>
        <w:ind w:firstLine="640" w:firstLineChars="200"/>
        <w:rPr>
          <w:rFonts w:hAnsi="黑体"/>
          <w:bCs/>
          <w:sz w:val="32"/>
          <w:szCs w:val="32"/>
        </w:rPr>
      </w:pPr>
      <w:r>
        <w:rPr>
          <w:rFonts w:hint="eastAsia" w:hAnsi="黑体"/>
          <w:bCs/>
          <w:sz w:val="32"/>
          <w:szCs w:val="32"/>
        </w:rPr>
        <w:t>十三、关于</w:t>
      </w:r>
      <w:r>
        <w:rPr>
          <w:rFonts w:hint="eastAsia" w:ascii="Times New Roman" w:hAnsi="Times New Roman" w:eastAsia="仿宋_GB2312"/>
          <w:sz w:val="32"/>
          <w:szCs w:val="32"/>
        </w:rPr>
        <w:t>2022</w:t>
      </w:r>
      <w:r>
        <w:rPr>
          <w:rFonts w:hint="eastAsia" w:hAnsi="黑体"/>
          <w:bCs/>
          <w:sz w:val="32"/>
          <w:szCs w:val="32"/>
        </w:rPr>
        <w:t>年度预算绩效情况的说明</w:t>
      </w:r>
    </w:p>
    <w:p>
      <w:pPr>
        <w:pStyle w:val="10"/>
        <w:spacing w:line="60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（一）部门整体支出绩效情况</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1、运行成本</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全年预算数2403.27万元，决算数2346.40万元，执行率97.63%，我单位全年整体预算执行率较好。</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人员经费预算数1559.27万元，决算数1559.27万元，公用经费数392.34万元，决算数388.66万元，均控制在预算范围内。</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“三公”经费财政拨款支出预算为26.00万元，支出决算为22.32万元，完成预算的85.85%，均控制在预算范围内。</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2、管理效率</w:t>
      </w:r>
    </w:p>
    <w:p>
      <w:pPr>
        <w:pStyle w:val="10"/>
        <w:spacing w:line="600" w:lineRule="exact"/>
        <w:ind w:firstLine="640" w:firstLineChars="200"/>
        <w:rPr>
          <w:rFonts w:ascii="Times New Roman" w:hAnsi="Times New Roman" w:eastAsia="仿宋_GB2312"/>
          <w:sz w:val="32"/>
          <w:szCs w:val="32"/>
        </w:rPr>
      </w:pPr>
      <w:r>
        <w:rPr>
          <w:rFonts w:hint="eastAsia" w:ascii="仿宋" w:hAnsi="仿宋" w:eastAsia="仿宋" w:cs="仿宋"/>
          <w:color w:val="auto"/>
          <w:sz w:val="32"/>
          <w:szCs w:val="32"/>
        </w:rPr>
        <w:t>围绕蚕品种选育、桑品种选育、蚕桑资源多元化开发利用、蚕桑机械与蚕业技术推广4个研究方向，</w:t>
      </w:r>
      <w:r>
        <w:rPr>
          <w:rFonts w:hint="eastAsia" w:ascii="仿宋" w:hAnsi="仿宋" w:eastAsia="仿宋" w:cs="仿宋"/>
          <w:color w:val="auto"/>
          <w:kern w:val="2"/>
          <w:sz w:val="32"/>
          <w:szCs w:val="32"/>
        </w:rPr>
        <w:t>共开展课题研究13项（其中国家自科基金项目1项，省农业厅科研计划课题3项，省科技厅课题2项，自选课题7项），获成果登记6项，已通过国家审定家蚕品种1对，通过省级审定家蚕品种1对，获国家发明专利2项，实用新型专利 6项，发表</w:t>
      </w:r>
      <w:r>
        <w:rPr>
          <w:rFonts w:hint="eastAsia" w:ascii="仿宋" w:hAnsi="仿宋" w:eastAsia="仿宋" w:cs="仿宋"/>
          <w:color w:val="auto"/>
          <w:sz w:val="32"/>
          <w:szCs w:val="32"/>
        </w:rPr>
        <w:t>高质量科技论文</w:t>
      </w:r>
      <w:r>
        <w:rPr>
          <w:rFonts w:hint="eastAsia" w:ascii="仿宋" w:hAnsi="仿宋" w:eastAsia="仿宋" w:cs="仿宋"/>
          <w:color w:val="auto"/>
          <w:kern w:val="2"/>
          <w:sz w:val="32"/>
          <w:szCs w:val="32"/>
        </w:rPr>
        <w:t>16 篇，其中SCI 论文 1 篇。</w:t>
      </w:r>
    </w:p>
    <w:p>
      <w:pPr>
        <w:pStyle w:val="10"/>
        <w:numPr>
          <w:ilvl w:val="0"/>
          <w:numId w:val="3"/>
        </w:num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履职效能</w:t>
      </w:r>
    </w:p>
    <w:p>
      <w:pPr>
        <w:pStyle w:val="10"/>
        <w:spacing w:line="600" w:lineRule="exact"/>
        <w:ind w:firstLine="640" w:firstLineChars="200"/>
        <w:rPr>
          <w:rFonts w:ascii="Times New Roman" w:hAnsi="Times New Roman" w:eastAsia="仿宋_GB2312"/>
          <w:sz w:val="32"/>
          <w:szCs w:val="32"/>
        </w:rPr>
      </w:pPr>
      <w:r>
        <w:rPr>
          <w:rFonts w:hint="eastAsia" w:ascii="仿宋" w:hAnsi="仿宋" w:eastAsia="仿宋" w:cs="仿宋"/>
          <w:sz w:val="32"/>
          <w:szCs w:val="32"/>
        </w:rPr>
        <w:t>本单位2022年在花垣、凤凰、道县、武冈等地示范推广“222”蚕桑高效种养模式，所长亲自挂帅，推广团队负责人及业务领导带队，率领专技人员深入田间地头和蚕室开展全程技术指导，为传统蚕桑产业发展探索有效途径。与此同时，狠抓“雅士林国际（长沙）蚕桑丝绸智造产业项目”</w:t>
      </w:r>
      <w:r>
        <w:rPr>
          <w:rFonts w:hint="eastAsia" w:ascii="仿宋" w:hAnsi="仿宋" w:eastAsia="仿宋" w:cs="仿宋"/>
          <w:color w:val="auto"/>
          <w:sz w:val="32"/>
          <w:szCs w:val="32"/>
        </w:rPr>
        <w:t>，截至目前，雅士林公司已投资约10亿元，完成现代化桑蚕人工饲料生产车间、第一期自动化养蚕工厂、智能化注塑厂以及蚕种繁育中心共30万平方米厂房建设，并已陆续投入使用，指导企业在浏阳市和花垣县建成高标准蚕种繁育桑园基地和饲料桑基地，并计划在新疆等地部署建设配套饲料桑园基地。积极推荐雅士林公司以省直企业身份申报2022年度农业产业化省级龙头企业，为打造我省蚕桑千亿产业奠定了坚实的基础。</w:t>
      </w:r>
    </w:p>
    <w:p>
      <w:pPr>
        <w:pStyle w:val="10"/>
        <w:numPr>
          <w:ilvl w:val="0"/>
          <w:numId w:val="4"/>
        </w:num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社会效应</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结合蚕桑行业优势，克服新冠疫情影响，创造性地开展了“蚕桑文化进校园”“大自然的公开课”等一系列科普研学活动，成为我所科研、科普“两手抓、两促进”的一道靓丽风景，被长沙市科技局评为优秀科普基地。</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5、可持续发展能力</w:t>
      </w:r>
    </w:p>
    <w:p>
      <w:pPr>
        <w:spacing w:line="560" w:lineRule="exact"/>
        <w:ind w:firstLine="640" w:firstLineChars="200"/>
        <w:rPr>
          <w:rFonts w:ascii="仿宋_GB2312" w:eastAsia="仿宋_GB2312"/>
          <w:sz w:val="32"/>
          <w:szCs w:val="32"/>
        </w:rPr>
      </w:pPr>
      <w:r>
        <w:rPr>
          <w:rFonts w:hint="eastAsia" w:ascii="仿宋" w:hAnsi="仿宋" w:eastAsia="仿宋" w:cs="仿宋"/>
          <w:color w:val="000000"/>
          <w:sz w:val="32"/>
          <w:szCs w:val="32"/>
        </w:rPr>
        <w:t>为规范我单位人事管理，加强科研人才队伍建设，促进我单位更快更好的发展，根据湘编办函〔2022〕143号文件、湘人社函〔2022〕175号文件精神和</w:t>
      </w:r>
      <w:r>
        <w:rPr>
          <w:rFonts w:hint="eastAsia" w:ascii="仿宋" w:hAnsi="仿宋" w:eastAsia="仿宋" w:cs="仿宋"/>
          <w:color w:val="000000"/>
          <w:kern w:val="0"/>
          <w:sz w:val="32"/>
          <w:szCs w:val="32"/>
        </w:rPr>
        <w:t>事业单位人事管理相关政策规定，并结合我单位实际情况，特调整我所岗位设置情况，其中专技岗位比例大幅度提高，为下一步人才储备打下良好基础。为鼓励科研人员做好科技创新工作，今年又根据新的发展情况，修订了</w:t>
      </w:r>
      <w:r>
        <w:rPr>
          <w:rFonts w:hint="eastAsia" w:ascii="仿宋_GB2312" w:eastAsia="仿宋_GB2312"/>
          <w:sz w:val="32"/>
          <w:szCs w:val="32"/>
        </w:rPr>
        <w:t>《湖南省蚕桑科学研究所科技创新管理及奖励办法》。</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6、服务对象满意度</w:t>
      </w:r>
    </w:p>
    <w:p>
      <w:pPr>
        <w:pStyle w:val="10"/>
        <w:spacing w:line="60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（二）存在的问题及原因分析</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项目支出预算执行率低，项目支出全年预算数451.66万元，决算数398.46万元，预算执行率为88.22%，原因</w:t>
      </w:r>
      <w:r>
        <w:rPr>
          <w:rFonts w:hint="eastAsia" w:ascii="Times New Roman" w:hAnsi="Times New Roman" w:eastAsia="仿宋_GB2312"/>
          <w:sz w:val="32"/>
          <w:szCs w:val="32"/>
          <w:lang w:val="en-US" w:eastAsia="zh-CN"/>
        </w:rPr>
        <w:t>为</w:t>
      </w:r>
      <w:r>
        <w:rPr>
          <w:rFonts w:hint="eastAsia" w:ascii="Times New Roman" w:hAnsi="Times New Roman" w:eastAsia="仿宋_GB2312"/>
          <w:sz w:val="32"/>
          <w:szCs w:val="32"/>
        </w:rPr>
        <w:t>部分项目分三年执行，本年为项目执行期第一年</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但资金已全部下达</w:t>
      </w:r>
      <w:r>
        <w:rPr>
          <w:rFonts w:hint="eastAsia" w:ascii="Times New Roman" w:hAnsi="Times New Roman" w:eastAsia="仿宋_GB2312"/>
          <w:sz w:val="32"/>
          <w:szCs w:val="32"/>
        </w:rPr>
        <w:t>。</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下一步改进措施：针对项目跨年度的问题，争取项目尽早计划、尽早铺排、尽早开展，项目完成后尽快完成费用的结算工作。</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rFonts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p>
    <w:p>
      <w:pPr>
        <w:widowControl/>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lang w:val="en-US" w:eastAsia="zh-CN"/>
        </w:rPr>
        <w:t>一、</w:t>
      </w:r>
      <w:r>
        <w:rPr>
          <w:rFonts w:hint="eastAsia" w:cs="黑体" w:asciiTheme="minorEastAsia" w:hAnsiTheme="minorEastAsia"/>
          <w:kern w:val="0"/>
          <w:sz w:val="32"/>
          <w:szCs w:val="32"/>
        </w:rPr>
        <w:t>基本支出：指为保障机构正常运转、完成日常工作任务而发生的各项支出，包括人员支出和公用支出。</w:t>
      </w:r>
    </w:p>
    <w:p>
      <w:pPr>
        <w:numPr>
          <w:ilvl w:val="0"/>
          <w:numId w:val="0"/>
        </w:numPr>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lang w:val="en-US" w:eastAsia="zh-CN"/>
        </w:rPr>
        <w:t>二、</w:t>
      </w:r>
      <w:r>
        <w:rPr>
          <w:rFonts w:hint="eastAsia" w:cs="黑体" w:asciiTheme="minorEastAsia" w:hAnsiTheme="minorEastAsia"/>
          <w:kern w:val="0"/>
          <w:sz w:val="32"/>
          <w:szCs w:val="32"/>
        </w:rPr>
        <w:t xml:space="preserve">项目支出：指在基本支出以外为完成相关行政任务和事业发展目标所发生的各项支出。 </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kern w:val="0"/>
          <w:sz w:val="32"/>
          <w:szCs w:val="32"/>
          <w:lang w:val="en-US" w:eastAsia="zh-CN"/>
        </w:rPr>
        <w:t>三、</w:t>
      </w:r>
      <w:r>
        <w:rPr>
          <w:rFonts w:hint="eastAsia" w:cs="黑体" w:asciiTheme="minorEastAsia" w:hAnsiTheme="minorEastAsia"/>
          <w:kern w:val="0"/>
          <w:sz w:val="32"/>
          <w:szCs w:val="32"/>
        </w:rPr>
        <w:t>“三公”经费：指通过财政拨款资金安排的因公出国（境）费、公务用车购置及运行费和公务接待费支出。</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0B67A9D"/>
    <w:multiLevelType w:val="singleLevel"/>
    <w:tmpl w:val="30B67A9D"/>
    <w:lvl w:ilvl="0" w:tentative="0">
      <w:start w:val="7"/>
      <w:numFmt w:val="chineseCounting"/>
      <w:suff w:val="nothing"/>
      <w:lvlText w:val="%1、"/>
      <w:lvlJc w:val="left"/>
      <w:rPr>
        <w:rFonts w:hint="eastAsia"/>
      </w:rPr>
    </w:lvl>
  </w:abstractNum>
  <w:abstractNum w:abstractNumId="2">
    <w:nsid w:val="3CB0AF8F"/>
    <w:multiLevelType w:val="singleLevel"/>
    <w:tmpl w:val="3CB0AF8F"/>
    <w:lvl w:ilvl="0" w:tentative="0">
      <w:start w:val="4"/>
      <w:numFmt w:val="decimal"/>
      <w:suff w:val="nothing"/>
      <w:lvlText w:val="%1、"/>
      <w:lvlJc w:val="left"/>
    </w:lvl>
  </w:abstractNum>
  <w:abstractNum w:abstractNumId="3">
    <w:nsid w:val="6DDA485D"/>
    <w:multiLevelType w:val="singleLevel"/>
    <w:tmpl w:val="6DDA485D"/>
    <w:lvl w:ilvl="0" w:tentative="0">
      <w:start w:val="3"/>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E21"/>
    <w:rsid w:val="002E5ABA"/>
    <w:rsid w:val="0060436B"/>
    <w:rsid w:val="00B96E21"/>
    <w:rsid w:val="00F5523C"/>
    <w:rsid w:val="00F715CF"/>
    <w:rsid w:val="060F2B2B"/>
    <w:rsid w:val="0E2B4B8C"/>
    <w:rsid w:val="18BD6C6F"/>
    <w:rsid w:val="1B27680B"/>
    <w:rsid w:val="1FA4570F"/>
    <w:rsid w:val="23DB7E57"/>
    <w:rsid w:val="252E1E8D"/>
    <w:rsid w:val="2B6C1754"/>
    <w:rsid w:val="319B28B4"/>
    <w:rsid w:val="38363DD2"/>
    <w:rsid w:val="3C621135"/>
    <w:rsid w:val="3CB52825"/>
    <w:rsid w:val="412E6A14"/>
    <w:rsid w:val="48DC4774"/>
    <w:rsid w:val="4ED622C2"/>
    <w:rsid w:val="54C7577A"/>
    <w:rsid w:val="5F5423C4"/>
    <w:rsid w:val="6E6A039F"/>
    <w:rsid w:val="706A2E6A"/>
    <w:rsid w:val="715F5602"/>
    <w:rsid w:val="7290605A"/>
    <w:rsid w:val="76DE51E4"/>
    <w:rsid w:val="793F1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 w:type="character" w:customStyle="1" w:styleId="13">
    <w:name w:val="font01"/>
    <w:basedOn w:val="7"/>
    <w:qFormat/>
    <w:uiPriority w:val="0"/>
    <w:rPr>
      <w:rFonts w:hint="eastAsia" w:ascii="宋体" w:hAnsi="宋体" w:eastAsia="宋体" w:cs="宋体"/>
      <w:color w:val="000000"/>
      <w:sz w:val="22"/>
      <w:szCs w:val="22"/>
      <w:u w:val="none"/>
    </w:rPr>
  </w:style>
  <w:style w:type="character" w:customStyle="1" w:styleId="14">
    <w:name w:val="font21"/>
    <w:basedOn w:val="7"/>
    <w:qFormat/>
    <w:uiPriority w:val="0"/>
    <w:rPr>
      <w:rFonts w:hint="eastAsia" w:ascii="宋体" w:hAnsi="宋体" w:eastAsia="宋体" w:cs="宋体"/>
      <w:color w:val="000000"/>
      <w:sz w:val="24"/>
      <w:szCs w:val="24"/>
      <w:u w:val="none"/>
    </w:rPr>
  </w:style>
  <w:style w:type="character" w:customStyle="1" w:styleId="15">
    <w:name w:val="font11"/>
    <w:basedOn w:val="7"/>
    <w:qFormat/>
    <w:uiPriority w:val="0"/>
    <w:rPr>
      <w:rFonts w:hint="eastAsia" w:ascii="宋体" w:hAnsi="宋体" w:eastAsia="宋体" w:cs="宋体"/>
      <w:color w:val="000000"/>
      <w:sz w:val="24"/>
      <w:szCs w:val="24"/>
      <w:u w:val="none"/>
    </w:rPr>
  </w:style>
  <w:style w:type="paragraph" w:customStyle="1" w:styleId="16">
    <w:name w:val="BodyText"/>
    <w:basedOn w:val="1"/>
    <w:link w:val="17"/>
    <w:qFormat/>
    <w:uiPriority w:val="0"/>
    <w:pPr>
      <w:spacing w:after="120"/>
      <w:textAlignment w:val="baseline"/>
    </w:pPr>
  </w:style>
  <w:style w:type="character" w:customStyle="1" w:styleId="17">
    <w:name w:val="BodyText Char"/>
    <w:link w:val="16"/>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5.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7.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8.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9.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073BAEB1-01B4-46A3-BB8B-66927AE3E3FB}">
  <ds:schemaRefs/>
</ds:datastoreItem>
</file>

<file path=customXml/itemProps2.xml><?xml version="1.0" encoding="utf-8"?>
<ds:datastoreItem xmlns:ds="http://schemas.openxmlformats.org/officeDocument/2006/customXml" ds:itemID="{357AB067-2DCD-4BDB-87F4-328CF44FBDE0}">
  <ds:schemaRefs/>
</ds:datastoreItem>
</file>

<file path=customXml/itemProps3.xml><?xml version="1.0" encoding="utf-8"?>
<ds:datastoreItem xmlns:ds="http://schemas.openxmlformats.org/officeDocument/2006/customXml" ds:itemID="{C914ECC2-03A6-4851-90CC-FD0A884DB681}">
  <ds:schemaRefs/>
</ds:datastoreItem>
</file>

<file path=customXml/itemProps4.xml><?xml version="1.0" encoding="utf-8"?>
<ds:datastoreItem xmlns:ds="http://schemas.openxmlformats.org/officeDocument/2006/customXml" ds:itemID="{F3FFD3E9-2375-49C6-BA2B-EC3D80D8FC29}">
  <ds:schemaRefs/>
</ds:datastoreItem>
</file>

<file path=customXml/itemProps5.xml><?xml version="1.0" encoding="utf-8"?>
<ds:datastoreItem xmlns:ds="http://schemas.openxmlformats.org/officeDocument/2006/customXml" ds:itemID="{BB51FAA4-A77E-4B82-8BEC-AA518B8898B5}">
  <ds:schemaRefs/>
</ds:datastoreItem>
</file>

<file path=customXml/itemProps6.xml><?xml version="1.0" encoding="utf-8"?>
<ds:datastoreItem xmlns:ds="http://schemas.openxmlformats.org/officeDocument/2006/customXml" ds:itemID="{3142CBA0-3E7F-49A9-9E73-F6CC4B2ACAA8}">
  <ds:schemaRefs/>
</ds:datastoreItem>
</file>

<file path=customXml/itemProps7.xml><?xml version="1.0" encoding="utf-8"?>
<ds:datastoreItem xmlns:ds="http://schemas.openxmlformats.org/officeDocument/2006/customXml" ds:itemID="{FCC96174-5548-4381-8E81-7EF9EAA24364}">
  <ds:schemaRefs/>
</ds:datastoreItem>
</file>

<file path=customXml/itemProps8.xml><?xml version="1.0" encoding="utf-8"?>
<ds:datastoreItem xmlns:ds="http://schemas.openxmlformats.org/officeDocument/2006/customXml" ds:itemID="{E905CE64-FD53-4F1D-BB7B-9C67ACEC6244}">
  <ds:schemaRefs/>
</ds:datastoreItem>
</file>

<file path=customXml/itemProps9.xml><?xml version="1.0" encoding="utf-8"?>
<ds:datastoreItem xmlns:ds="http://schemas.openxmlformats.org/officeDocument/2006/customXml" ds:itemID="{DDC0F34D-71A6-4F3E-A7AE-359B54E27F8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5249</Words>
  <Characters>5897</Characters>
  <Lines>45</Lines>
  <Paragraphs>12</Paragraphs>
  <TotalTime>0</TotalTime>
  <ScaleCrop>false</ScaleCrop>
  <LinksUpToDate>false</LinksUpToDate>
  <CharactersWithSpaces>5915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2023-11-01T09:31:31Z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