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p>
    <w:p>
      <w:pPr>
        <w:pStyle w:val="9"/>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9"/>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湖南省动物疫病预防</w:t>
      </w:r>
    </w:p>
    <w:p>
      <w:pPr>
        <w:pStyle w:val="9"/>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控制中心部门决算</w:t>
      </w:r>
    </w:p>
    <w:p>
      <w:pPr>
        <w:pStyle w:val="9"/>
        <w:jc w:val="center"/>
        <w:rPr>
          <w:rFonts w:ascii="方正小标宋_GBK" w:hAnsi="方正小标宋_GBK" w:eastAsia="方正小标宋_GBK" w:cs="方正小标宋_GBK"/>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spacing w:line="500" w:lineRule="exact"/>
        <w:ind w:firstLine="0" w:firstLineChars="0"/>
        <w:jc w:val="center"/>
        <w:rPr>
          <w:rFonts w:hint="eastAsia"/>
          <w:b/>
          <w:sz w:val="36"/>
          <w:szCs w:val="28"/>
        </w:rPr>
      </w:pPr>
    </w:p>
    <w:p>
      <w:pPr>
        <w:pStyle w:val="9"/>
        <w:spacing w:line="500" w:lineRule="exact"/>
        <w:ind w:firstLine="0" w:firstLineChars="0"/>
        <w:jc w:val="center"/>
        <w:rPr>
          <w:rFonts w:hint="eastAsia"/>
          <w:b/>
          <w:sz w:val="36"/>
          <w:szCs w:val="28"/>
        </w:rPr>
      </w:pPr>
    </w:p>
    <w:p>
      <w:pPr>
        <w:pStyle w:val="9"/>
        <w:spacing w:line="500" w:lineRule="exact"/>
        <w:ind w:firstLine="0" w:firstLineChars="0"/>
        <w:jc w:val="center"/>
        <w:rPr>
          <w:b/>
          <w:sz w:val="36"/>
          <w:szCs w:val="28"/>
        </w:rPr>
      </w:pPr>
      <w:r>
        <w:rPr>
          <w:rFonts w:hint="eastAsia"/>
          <w:b/>
          <w:sz w:val="36"/>
          <w:szCs w:val="28"/>
        </w:rPr>
        <w:t>目录</w:t>
      </w:r>
    </w:p>
    <w:p>
      <w:pPr>
        <w:pStyle w:val="9"/>
        <w:spacing w:line="500" w:lineRule="exact"/>
        <w:ind w:firstLine="280" w:firstLineChars="100"/>
        <w:rPr>
          <w:rFonts w:hAnsi="黑体"/>
          <w:bCs/>
          <w:sz w:val="28"/>
          <w:szCs w:val="28"/>
        </w:rPr>
      </w:pPr>
      <w:r>
        <w:rPr>
          <w:rFonts w:hint="eastAsia" w:hAnsi="黑体"/>
          <w:bCs/>
          <w:sz w:val="28"/>
          <w:szCs w:val="28"/>
        </w:rPr>
        <w:t>第一部分单位概况</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9"/>
        <w:spacing w:line="500" w:lineRule="exact"/>
        <w:ind w:firstLine="280" w:firstLineChars="100"/>
        <w:rPr>
          <w:rFonts w:hAnsi="黑体"/>
          <w:bCs/>
          <w:sz w:val="28"/>
          <w:szCs w:val="28"/>
        </w:rPr>
      </w:pPr>
      <w:r>
        <w:rPr>
          <w:rFonts w:hint="eastAsia" w:hAnsi="黑体"/>
          <w:bCs/>
          <w:sz w:val="28"/>
          <w:szCs w:val="28"/>
        </w:rPr>
        <w:t>第二部分部门决算表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9"/>
        <w:spacing w:line="500" w:lineRule="exact"/>
        <w:ind w:firstLine="280" w:firstLineChars="100"/>
        <w:rPr>
          <w:rFonts w:hAnsi="黑体"/>
          <w:bCs/>
          <w:sz w:val="28"/>
          <w:szCs w:val="28"/>
        </w:rPr>
      </w:pPr>
      <w:r>
        <w:rPr>
          <w:rFonts w:hint="eastAsia" w:hAnsi="黑体"/>
          <w:bCs/>
          <w:sz w:val="28"/>
          <w:szCs w:val="28"/>
        </w:rPr>
        <w:t>第三部分部门决算情况说明</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9"/>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9"/>
        <w:spacing w:line="500" w:lineRule="exact"/>
        <w:ind w:firstLine="560" w:firstLineChars="200"/>
        <w:rPr>
          <w:rFonts w:hint="eastAsia" w:ascii="方正小标宋_GBK" w:hAnsi="方正小标宋_GBK" w:eastAsia="方正小标宋_GBK" w:cs="方正小标宋_GBK"/>
          <w:sz w:val="84"/>
          <w:szCs w:val="84"/>
        </w:rPr>
      </w:pPr>
      <w:r>
        <w:rPr>
          <w:rFonts w:hint="eastAsia" w:hAnsi="黑体"/>
          <w:bCs/>
          <w:sz w:val="28"/>
          <w:szCs w:val="28"/>
        </w:rPr>
        <w:t>第四部分名词解释</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p>
    <w:p>
      <w:pPr>
        <w:pStyle w:val="9"/>
        <w:ind w:firstLine="3360" w:firstLineChars="400"/>
        <w:jc w:val="both"/>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9"/>
        <w:jc w:val="center"/>
        <w:rPr>
          <w:rFonts w:ascii="方正小标宋_GBK" w:hAnsi="方正小标宋_GBK" w:eastAsia="方正小标宋_GBK" w:cs="方正小标宋_GBK"/>
          <w:sz w:val="84"/>
          <w:szCs w:val="84"/>
        </w:rPr>
      </w:pPr>
    </w:p>
    <w:p>
      <w:pPr>
        <w:pStyle w:val="9"/>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pStyle w:val="10"/>
        <w:ind w:left="720" w:hanging="720" w:firstLineChars="0"/>
        <w:jc w:val="left"/>
        <w:rPr>
          <w:rFonts w:ascii="黑体" w:hAnsi="黑体" w:eastAsia="黑体" w:cs="黑体"/>
          <w:sz w:val="32"/>
          <w:szCs w:val="32"/>
        </w:rPr>
      </w:pPr>
    </w:p>
    <w:p>
      <w:pPr>
        <w:pStyle w:val="10"/>
        <w:ind w:firstLine="640"/>
        <w:jc w:val="left"/>
        <w:rPr>
          <w:rFonts w:ascii="黑体" w:hAnsi="黑体" w:eastAsia="黑体" w:cs="黑体"/>
          <w:sz w:val="32"/>
          <w:szCs w:val="32"/>
        </w:rPr>
      </w:pPr>
    </w:p>
    <w:p>
      <w:pPr>
        <w:pStyle w:val="10"/>
        <w:ind w:firstLine="640"/>
        <w:jc w:val="left"/>
        <w:rPr>
          <w:rFonts w:ascii="黑体" w:hAnsi="黑体" w:eastAsia="黑体" w:cs="黑体"/>
          <w:sz w:val="32"/>
          <w:szCs w:val="32"/>
        </w:rPr>
      </w:pPr>
    </w:p>
    <w:p>
      <w:pPr>
        <w:pStyle w:val="10"/>
        <w:ind w:firstLine="640"/>
        <w:jc w:val="left"/>
        <w:rPr>
          <w:rFonts w:ascii="黑体" w:hAnsi="黑体" w:eastAsia="黑体" w:cs="黑体"/>
          <w:sz w:val="32"/>
          <w:szCs w:val="32"/>
        </w:rPr>
      </w:pPr>
      <w:r>
        <w:rPr>
          <w:rFonts w:ascii="黑体" w:hAnsi="黑体" w:eastAsia="黑体" w:cs="黑体"/>
          <w:sz w:val="32"/>
          <w:szCs w:val="32"/>
        </w:rPr>
        <w:t>一、</w:t>
      </w:r>
      <w:r>
        <w:rPr>
          <w:rFonts w:hint="eastAsia" w:ascii="黑体" w:hAnsi="黑体" w:eastAsia="黑体" w:cs="黑体"/>
          <w:sz w:val="32"/>
          <w:szCs w:val="32"/>
        </w:rPr>
        <w:t>部门职责</w:t>
      </w:r>
    </w:p>
    <w:p>
      <w:pPr>
        <w:ind w:firstLine="640" w:firstLineChars="200"/>
        <w:jc w:val="left"/>
        <w:rPr>
          <w:rFonts w:asciiTheme="minorEastAsia" w:hAnsiTheme="minorEastAsia"/>
          <w:sz w:val="32"/>
          <w:szCs w:val="32"/>
        </w:rPr>
      </w:pPr>
      <w:r>
        <w:rPr>
          <w:rFonts w:hint="eastAsia" w:ascii="仿宋_GB2312" w:hAnsi="仿宋_GB2312" w:eastAsia="仿宋_GB2312" w:cs="仿宋_GB2312"/>
          <w:sz w:val="32"/>
          <w:szCs w:val="32"/>
        </w:rPr>
        <w:t>我单位是省农业农村厅直属具有独立法人资格的正处级公益一类事业单位，主要承担动物疫情预警和报告、动物新发病疑难病诊断、动物疫病监测、流行病学调查、疫病净化、省级应急防疫物资管理、疫情处置技术指导、动物疫病防控技术研究与推广等职能。</w:t>
      </w:r>
    </w:p>
    <w:p>
      <w:pPr>
        <w:widowControl/>
        <w:spacing w:line="600"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27" w:firstLineChars="196"/>
        <w:jc w:val="left"/>
        <w:rPr>
          <w:rFonts w:hint="eastAsia" w:ascii="仿宋" w:hAnsi="仿宋" w:eastAsia="仿宋" w:cs="仿宋"/>
          <w:bCs/>
          <w:kern w:val="0"/>
          <w:sz w:val="32"/>
          <w:szCs w:val="32"/>
        </w:rPr>
      </w:pPr>
      <w:r>
        <w:rPr>
          <w:rFonts w:hint="eastAsia" w:ascii="仿宋" w:hAnsi="仿宋" w:eastAsia="仿宋" w:cs="仿宋"/>
          <w:bCs/>
          <w:sz w:val="32"/>
          <w:szCs w:val="32"/>
        </w:rPr>
        <w:t>（一）</w:t>
      </w:r>
      <w:r>
        <w:rPr>
          <w:rFonts w:hint="eastAsia" w:ascii="Times New Roman" w:hAnsi="Times New Roman" w:eastAsia="仿宋_GB2312" w:cs="仿宋_GB2312"/>
          <w:bCs/>
          <w:kern w:val="0"/>
          <w:sz w:val="32"/>
          <w:szCs w:val="32"/>
        </w:rPr>
        <w:t>内设</w:t>
      </w:r>
      <w:r>
        <w:rPr>
          <w:rFonts w:hint="eastAsia" w:ascii="仿宋" w:hAnsi="仿宋" w:eastAsia="仿宋" w:cs="仿宋"/>
          <w:bCs/>
          <w:sz w:val="32"/>
          <w:szCs w:val="32"/>
        </w:rPr>
        <w:t>机构设置。湖南省动物疫病预防控制中心</w:t>
      </w:r>
      <w:r>
        <w:rPr>
          <w:rFonts w:hint="eastAsia" w:ascii="仿宋" w:hAnsi="仿宋" w:eastAsia="仿宋" w:cs="仿宋"/>
          <w:bCs/>
          <w:kern w:val="2"/>
          <w:sz w:val="32"/>
          <w:szCs w:val="32"/>
        </w:rPr>
        <w:t>内设机构包括</w:t>
      </w:r>
      <w:r>
        <w:rPr>
          <w:rFonts w:hint="eastAsia" w:ascii="仿宋" w:hAnsi="仿宋" w:eastAsia="仿宋" w:cs="仿宋"/>
          <w:bCs/>
          <w:sz w:val="32"/>
          <w:szCs w:val="32"/>
          <w:lang w:eastAsia="zh-CN"/>
        </w:rPr>
        <w:t>：</w:t>
      </w:r>
      <w:r>
        <w:rPr>
          <w:rFonts w:hint="eastAsia" w:ascii="仿宋" w:hAnsi="仿宋" w:eastAsia="仿宋" w:cs="仿宋"/>
          <w:bCs/>
          <w:sz w:val="32"/>
          <w:szCs w:val="32"/>
        </w:rPr>
        <w:t>综合、人事、计财、防控应急、防疫信息、检验一科、检验二科、防疫物资管理等8个科室。</w:t>
      </w:r>
    </w:p>
    <w:p>
      <w:pPr>
        <w:widowControl/>
        <w:spacing w:line="600" w:lineRule="exact"/>
        <w:ind w:firstLine="627" w:firstLineChars="196"/>
        <w:jc w:val="left"/>
        <w:rPr>
          <w:rFonts w:hint="eastAsia" w:ascii="仿宋" w:hAnsi="仿宋" w:eastAsia="仿宋" w:cs="仿宋"/>
          <w:bCs/>
          <w:kern w:val="2"/>
          <w:sz w:val="32"/>
          <w:szCs w:val="32"/>
          <w:lang w:eastAsia="zh-CN"/>
        </w:rPr>
      </w:pPr>
      <w:r>
        <w:rPr>
          <w:rFonts w:hint="eastAsia" w:ascii="仿宋" w:hAnsi="仿宋" w:eastAsia="仿宋" w:cs="仿宋"/>
          <w:bCs/>
          <w:kern w:val="0"/>
          <w:sz w:val="32"/>
          <w:szCs w:val="32"/>
        </w:rPr>
        <w:t>（二）决算单位构成。</w:t>
      </w:r>
      <w:r>
        <w:rPr>
          <w:rFonts w:hint="eastAsia" w:ascii="仿宋" w:hAnsi="仿宋" w:eastAsia="仿宋" w:cs="仿宋"/>
          <w:bCs/>
          <w:sz w:val="32"/>
          <w:szCs w:val="32"/>
        </w:rPr>
        <w:t>湖南省动物疫病预防控制中心</w:t>
      </w:r>
      <w:r>
        <w:rPr>
          <w:rFonts w:hint="eastAsia" w:ascii="仿宋" w:hAnsi="仿宋" w:eastAsia="仿宋" w:cs="仿宋"/>
          <w:bCs/>
          <w:kern w:val="2"/>
          <w:sz w:val="32"/>
          <w:szCs w:val="32"/>
        </w:rPr>
        <w:t>202</w:t>
      </w:r>
      <w:r>
        <w:rPr>
          <w:rFonts w:hint="eastAsia" w:ascii="仿宋" w:hAnsi="仿宋" w:eastAsia="仿宋" w:cs="仿宋"/>
          <w:bCs/>
          <w:kern w:val="2"/>
          <w:sz w:val="32"/>
          <w:szCs w:val="32"/>
          <w:lang w:val="en-US" w:eastAsia="zh-CN"/>
        </w:rPr>
        <w:t>2</w:t>
      </w:r>
      <w:r>
        <w:rPr>
          <w:rFonts w:hint="eastAsia" w:ascii="仿宋" w:hAnsi="仿宋" w:eastAsia="仿宋" w:cs="仿宋"/>
          <w:bCs/>
          <w:kern w:val="2"/>
          <w:sz w:val="32"/>
          <w:szCs w:val="32"/>
        </w:rPr>
        <w:t>年部门决算汇总公开单位构成包括：</w:t>
      </w:r>
      <w:r>
        <w:rPr>
          <w:rFonts w:hint="eastAsia" w:ascii="仿宋" w:hAnsi="仿宋" w:eastAsia="仿宋" w:cs="仿宋"/>
          <w:bCs/>
          <w:sz w:val="32"/>
          <w:szCs w:val="32"/>
        </w:rPr>
        <w:t>湖南省动物疫病预防控制中心</w:t>
      </w:r>
      <w:r>
        <w:rPr>
          <w:rFonts w:hint="eastAsia" w:ascii="仿宋" w:hAnsi="仿宋" w:eastAsia="仿宋" w:cs="仿宋"/>
          <w:bCs/>
          <w:kern w:val="2"/>
          <w:sz w:val="32"/>
          <w:szCs w:val="32"/>
        </w:rPr>
        <w:t>本级</w:t>
      </w:r>
      <w:r>
        <w:rPr>
          <w:rFonts w:hint="eastAsia" w:ascii="仿宋" w:hAnsi="仿宋" w:eastAsia="仿宋" w:cs="仿宋"/>
          <w:bCs/>
          <w:kern w:val="2"/>
          <w:sz w:val="32"/>
          <w:szCs w:val="32"/>
          <w:lang w:eastAsia="zh-CN"/>
        </w:rPr>
        <w:t>。</w:t>
      </w:r>
    </w:p>
    <w:p>
      <w:pPr>
        <w:widowControl/>
        <w:spacing w:line="600" w:lineRule="exact"/>
        <w:ind w:firstLine="627" w:firstLineChars="196"/>
        <w:jc w:val="left"/>
        <w:rPr>
          <w:rFonts w:ascii="Calibri" w:hAnsi="Calibri" w:eastAsia="仿宋_GB2312" w:cs="Times New Roman"/>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pStyle w:val="9"/>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9"/>
        <w:jc w:val="center"/>
        <w:rPr>
          <w:rFonts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p>
    <w:p>
      <w:pPr>
        <w:pStyle w:val="9"/>
        <w:jc w:val="both"/>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sectPr>
          <w:headerReference r:id="rId3" w:type="default"/>
          <w:footerReference r:id="rId4" w:type="default"/>
          <w:pgSz w:w="11906" w:h="16838"/>
          <w:pgMar w:top="720" w:right="720" w:bottom="720" w:left="720" w:header="851" w:footer="992" w:gutter="0"/>
          <w:cols w:space="425" w:num="1"/>
          <w:docGrid w:type="lines" w:linePitch="312" w:charSpace="0"/>
        </w:sectPr>
      </w:pPr>
    </w:p>
    <w:tbl>
      <w:tblPr>
        <w:tblStyle w:val="7"/>
        <w:tblpPr w:leftFromText="180" w:rightFromText="180" w:vertAnchor="text" w:horzAnchor="page" w:tblpX="1808" w:tblpY="612"/>
        <w:tblOverlap w:val="never"/>
        <w:tblW w:w="13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10"/>
        <w:gridCol w:w="960"/>
        <w:gridCol w:w="1890"/>
        <w:gridCol w:w="3630"/>
        <w:gridCol w:w="1260"/>
        <w:gridCol w:w="2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3770"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810" w:type="dxa"/>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9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89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6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220" w:type="dxa"/>
            <w:tcBorders>
              <w:top w:val="nil"/>
              <w:left w:val="nil"/>
              <w:bottom w:val="nil"/>
              <w:right w:val="nil"/>
            </w:tcBorders>
            <w:noWrap/>
            <w:vAlign w:val="bottom"/>
          </w:tcPr>
          <w:p>
            <w:pPr>
              <w:keepNext w:val="0"/>
              <w:keepLines w:val="0"/>
              <w:widowControl/>
              <w:suppressLineNumbers w:val="0"/>
              <w:jc w:val="left"/>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810" w:type="dxa"/>
            <w:tcBorders>
              <w:top w:val="nil"/>
              <w:left w:val="nil"/>
              <w:bottom w:val="single" w:color="auto" w:sz="4" w:space="0"/>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960" w:type="dxa"/>
            <w:tcBorders>
              <w:top w:val="nil"/>
              <w:left w:val="nil"/>
              <w:bottom w:val="single" w:color="auto" w:sz="4" w:space="0"/>
              <w:right w:val="nil"/>
            </w:tcBorders>
            <w:noWrap/>
            <w:vAlign w:val="center"/>
          </w:tcPr>
          <w:p>
            <w:pPr>
              <w:rPr>
                <w:rFonts w:hint="eastAsia" w:ascii="宋体" w:hAnsi="宋体" w:eastAsia="宋体" w:cs="宋体"/>
                <w:i w:val="0"/>
                <w:iCs w:val="0"/>
                <w:color w:val="000000"/>
                <w:sz w:val="22"/>
                <w:szCs w:val="22"/>
                <w:u w:val="none"/>
              </w:rPr>
            </w:pPr>
          </w:p>
        </w:tc>
        <w:tc>
          <w:tcPr>
            <w:tcW w:w="1890" w:type="dxa"/>
            <w:tcBorders>
              <w:top w:val="nil"/>
              <w:left w:val="nil"/>
              <w:bottom w:val="single" w:color="auto" w:sz="4" w:space="0"/>
              <w:right w:val="nil"/>
            </w:tcBorders>
            <w:noWrap/>
            <w:vAlign w:val="center"/>
          </w:tcPr>
          <w:p>
            <w:pPr>
              <w:rPr>
                <w:rFonts w:hint="eastAsia" w:ascii="宋体" w:hAnsi="宋体" w:eastAsia="宋体" w:cs="宋体"/>
                <w:i w:val="0"/>
                <w:iCs w:val="0"/>
                <w:color w:val="000000"/>
                <w:sz w:val="22"/>
                <w:szCs w:val="22"/>
                <w:u w:val="none"/>
              </w:rPr>
            </w:pPr>
          </w:p>
        </w:tc>
        <w:tc>
          <w:tcPr>
            <w:tcW w:w="3630" w:type="dxa"/>
            <w:tcBorders>
              <w:top w:val="nil"/>
              <w:left w:val="nil"/>
              <w:bottom w:val="single" w:color="auto" w:sz="4" w:space="0"/>
              <w:right w:val="nil"/>
            </w:tcBorders>
            <w:noWrap/>
            <w:vAlign w:val="center"/>
          </w:tcPr>
          <w:p>
            <w:pPr>
              <w:rPr>
                <w:rFonts w:hint="eastAsia" w:ascii="宋体" w:hAnsi="宋体" w:eastAsia="宋体" w:cs="宋体"/>
                <w:i w:val="0"/>
                <w:iCs w:val="0"/>
                <w:color w:val="000000"/>
                <w:sz w:val="22"/>
                <w:szCs w:val="22"/>
                <w:u w:val="none"/>
              </w:rPr>
            </w:pPr>
          </w:p>
        </w:tc>
        <w:tc>
          <w:tcPr>
            <w:tcW w:w="3480" w:type="dxa"/>
            <w:gridSpan w:val="2"/>
            <w:tcBorders>
              <w:top w:val="nil"/>
              <w:left w:val="nil"/>
              <w:bottom w:val="single" w:color="auto" w:sz="4" w:space="0"/>
              <w:right w:val="nil"/>
            </w:tcBorders>
            <w:noWrap/>
            <w:vAlign w:val="center"/>
          </w:tcPr>
          <w:p>
            <w:pPr>
              <w:keepNext w:val="0"/>
              <w:keepLines w:val="0"/>
              <w:widowControl/>
              <w:suppressLineNumbers w:val="0"/>
              <w:jc w:val="left"/>
              <w:textAlignment w:val="bottom"/>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660"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7110"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ind w:firstLine="3300" w:firstLineChars="1500"/>
              <w:jc w:val="left"/>
              <w:textAlignment w:val="bottom"/>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2"/>
                <w:szCs w:val="22"/>
                <w:u w:val="none"/>
                <w:lang w:val="en-US" w:eastAsia="zh-CN" w:bidi="ar-SA"/>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96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89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63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26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2220" w:type="dxa"/>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1,636.18</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1,636.18</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221.50</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63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1,857.68</w:t>
            </w:r>
          </w:p>
        </w:tc>
        <w:tc>
          <w:tcPr>
            <w:tcW w:w="36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2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3770" w:type="dxa"/>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3770" w:type="dxa"/>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
      <w:pPr>
        <w:rPr>
          <w:rFonts w:hint="default" w:eastAsia="宋体"/>
          <w:lang w:val="en-US" w:eastAsia="zh-CN"/>
        </w:rPr>
      </w:pPr>
      <w:r>
        <w:rPr>
          <w:rFonts w:hint="eastAsia"/>
          <w:lang w:val="en-US" w:eastAsia="zh-CN"/>
        </w:rPr>
        <w:t xml:space="preserve">                                                             </w:t>
      </w:r>
    </w:p>
    <w:p/>
    <w:p/>
    <w:p/>
    <w:p/>
    <w:p/>
    <w:p/>
    <w:p/>
    <w:p/>
    <w:tbl>
      <w:tblPr>
        <w:tblStyle w:val="7"/>
        <w:tblpPr w:leftFromText="180" w:rightFromText="180" w:vertAnchor="text" w:horzAnchor="page" w:tblpX="1703" w:tblpY="402"/>
        <w:tblOverlap w:val="never"/>
        <w:tblW w:w="137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3870"/>
        <w:gridCol w:w="1215"/>
        <w:gridCol w:w="1140"/>
        <w:gridCol w:w="1305"/>
        <w:gridCol w:w="1065"/>
        <w:gridCol w:w="1296"/>
        <w:gridCol w:w="1320"/>
        <w:gridCol w:w="1216"/>
        <w:gridCol w:w="1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9" w:hRule="atLeast"/>
        </w:trPr>
        <w:tc>
          <w:tcPr>
            <w:tcW w:w="13755" w:type="dxa"/>
            <w:gridSpan w:val="10"/>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ind w:firstLine="5622" w:firstLineChars="1400"/>
              <w:jc w:val="both"/>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收入决算表</w:t>
            </w:r>
          </w:p>
          <w:p>
            <w:pPr>
              <w:keepNext w:val="0"/>
              <w:keepLines w:val="0"/>
              <w:widowControl/>
              <w:suppressLineNumbers w:val="0"/>
              <w:jc w:val="left"/>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 xml:space="preserve">                                                                                                                     </w:t>
            </w:r>
            <w:r>
              <w:rPr>
                <w:rFonts w:hint="eastAsia" w:ascii="宋体" w:hAnsi="宋体" w:cs="宋体"/>
                <w:b w:val="0"/>
                <w:bCs w:val="0"/>
                <w:i w:val="0"/>
                <w:iCs w:val="0"/>
                <w:color w:val="000000"/>
                <w:kern w:val="0"/>
                <w:sz w:val="20"/>
                <w:szCs w:val="20"/>
                <w:u w:val="none"/>
                <w:lang w:val="en-US" w:eastAsia="zh-CN" w:bidi="ar"/>
              </w:rPr>
              <w:t>公开02表</w:t>
            </w:r>
          </w:p>
          <w:p>
            <w:pPr>
              <w:keepNext w:val="0"/>
              <w:keepLines w:val="0"/>
              <w:widowControl/>
              <w:suppressLineNumbers w:val="0"/>
              <w:jc w:val="left"/>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val="0"/>
                <w:bCs w:val="0"/>
                <w:i w:val="0"/>
                <w:iCs w:val="0"/>
                <w:color w:val="000000"/>
                <w:kern w:val="0"/>
                <w:sz w:val="20"/>
                <w:szCs w:val="20"/>
                <w:u w:val="none"/>
                <w:lang w:val="en-US" w:eastAsia="zh-CN" w:bidi="ar"/>
              </w:rPr>
              <w:t>编制单位：湖南省动物疫病预防控制中心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0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21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1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0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3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35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87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2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5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87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5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87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5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0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0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1,636.18</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1,636.18</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市场监督管理事务</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2013810</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质量基础</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1,562.68</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1,562.68</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农业农村</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1,562.68</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1,562.68</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2130101</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35.45</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35.45</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2130104</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577.23</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577.23</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2130108</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病虫害控制</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2130122</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2130199</w:t>
            </w:r>
          </w:p>
        </w:tc>
        <w:tc>
          <w:tcPr>
            <w:tcW w:w="38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1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3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3755" w:type="dxa"/>
            <w:gridSpan w:val="10"/>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43" w:type="dxa"/>
          <w:trHeight w:val="270" w:hRule="atLeast"/>
        </w:trPr>
        <w:tc>
          <w:tcPr>
            <w:tcW w:w="13612" w:type="dxa"/>
            <w:gridSpan w:val="9"/>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3755" w:type="dxa"/>
            <w:gridSpan w:val="10"/>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
    <w:tbl>
      <w:tblPr>
        <w:tblStyle w:val="7"/>
        <w:tblW w:w="14355" w:type="dxa"/>
        <w:tblInd w:w="6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514" w:hRule="atLeast"/>
        </w:trPr>
        <w:tc>
          <w:tcPr>
            <w:tcW w:w="14355" w:type="dxa"/>
            <w:tcBorders>
              <w:top w:val="nil"/>
              <w:left w:val="nil"/>
              <w:bottom w:val="nil"/>
              <w:right w:val="nil"/>
            </w:tcBorders>
            <w:noWrap/>
            <w:vAlign w:val="center"/>
          </w:tcPr>
          <w:tbl>
            <w:tblPr>
              <w:tblStyle w:val="7"/>
              <w:tblpPr w:leftFromText="180" w:rightFromText="180" w:vertAnchor="text" w:horzAnchor="page" w:tblpX="86" w:tblpY="349"/>
              <w:tblOverlap w:val="never"/>
              <w:tblW w:w="14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5"/>
              <w:gridCol w:w="4185"/>
              <w:gridCol w:w="339"/>
              <w:gridCol w:w="831"/>
              <w:gridCol w:w="549"/>
              <w:gridCol w:w="831"/>
              <w:gridCol w:w="759"/>
              <w:gridCol w:w="561"/>
              <w:gridCol w:w="1725"/>
              <w:gridCol w:w="1440"/>
              <w:gridCol w:w="1560"/>
              <w:gridCol w:w="240"/>
            </w:tblGrid>
            <w:tr>
              <w:tblPrEx>
                <w:tblLayout w:type="fixed"/>
                <w:tblCellMar>
                  <w:top w:w="0" w:type="dxa"/>
                  <w:left w:w="108" w:type="dxa"/>
                  <w:bottom w:w="0" w:type="dxa"/>
                  <w:right w:w="108" w:type="dxa"/>
                </w:tblCellMar>
              </w:tblPrEx>
              <w:trPr>
                <w:gridAfter w:val="1"/>
                <w:wAfter w:w="240" w:type="dxa"/>
                <w:trHeight w:val="510" w:hRule="atLeast"/>
              </w:trPr>
              <w:tc>
                <w:tcPr>
                  <w:tcW w:w="13865" w:type="dxa"/>
                  <w:gridSpan w:val="11"/>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0" w:type="dxa"/>
                <w:trHeight w:val="220" w:hRule="atLeast"/>
              </w:trPr>
              <w:tc>
                <w:tcPr>
                  <w:tcW w:w="13865" w:type="dxa"/>
                  <w:gridSpan w:val="11"/>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0" w:type="dxa"/>
                <w:trHeight w:val="270" w:hRule="atLeast"/>
              </w:trPr>
              <w:tc>
                <w:tcPr>
                  <w:tcW w:w="5609" w:type="dxa"/>
                  <w:gridSpan w:val="3"/>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1380"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90"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286"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000" w:type="dxa"/>
                  <w:gridSpan w:val="2"/>
                  <w:tcBorders>
                    <w:top w:val="nil"/>
                    <w:left w:val="nil"/>
                    <w:bottom w:val="nil"/>
                    <w:right w:val="nil"/>
                  </w:tcBorders>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2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17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38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3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4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trPr>
              <w:tc>
                <w:tcPr>
                  <w:tcW w:w="10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418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1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8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4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0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418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1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8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4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 w:hRule="atLeast"/>
              </w:trPr>
              <w:tc>
                <w:tcPr>
                  <w:tcW w:w="10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418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1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8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4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2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1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2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1,613.76</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661.02</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952.74</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市场监督管理事务</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2013810</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质量基础</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20609</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科技重大项目</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2060902</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重点研发计划</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4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1,535.29</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594.52</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940.77</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农业农村</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1,535.29</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594.52</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940.77</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2130101</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17.94</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17.94</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2130104</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576.58</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576.58</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2130106</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科技转化与推广服务</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2130108</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病虫害控制</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362.73</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362.73</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2130122</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564.40</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564.40</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2130199</w:t>
                  </w:r>
                </w:p>
              </w:tc>
              <w:tc>
                <w:tcPr>
                  <w:tcW w:w="4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13.54</w:t>
                  </w:r>
                </w:p>
              </w:tc>
              <w:tc>
                <w:tcPr>
                  <w:tcW w:w="138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13.54</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0" w:type="dxa"/>
                <w:trHeight w:val="300" w:hRule="atLeast"/>
              </w:trPr>
              <w:tc>
                <w:tcPr>
                  <w:tcW w:w="13865" w:type="dxa"/>
                  <w:gridSpan w:val="11"/>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0" w:type="dxa"/>
                <w:trHeight w:val="270" w:hRule="atLeast"/>
              </w:trPr>
              <w:tc>
                <w:tcPr>
                  <w:tcW w:w="13865" w:type="dxa"/>
                  <w:gridSpan w:val="11"/>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bl>
            <w:tblPr>
              <w:tblStyle w:val="7"/>
              <w:tblW w:w="139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4"/>
              <w:gridCol w:w="5"/>
              <w:gridCol w:w="480"/>
              <w:gridCol w:w="5"/>
              <w:gridCol w:w="1270"/>
              <w:gridCol w:w="5"/>
              <w:gridCol w:w="3515"/>
              <w:gridCol w:w="5"/>
              <w:gridCol w:w="640"/>
              <w:gridCol w:w="5"/>
              <w:gridCol w:w="1210"/>
              <w:gridCol w:w="5"/>
              <w:gridCol w:w="1135"/>
              <w:gridCol w:w="5"/>
              <w:gridCol w:w="1135"/>
              <w:gridCol w:w="5"/>
              <w:gridCol w:w="1257"/>
            </w:tblGrid>
            <w:tr>
              <w:tblPrEx>
                <w:tblLayout w:type="fixed"/>
                <w:tblCellMar>
                  <w:top w:w="0" w:type="dxa"/>
                  <w:left w:w="108" w:type="dxa"/>
                  <w:bottom w:w="0" w:type="dxa"/>
                  <w:right w:w="108" w:type="dxa"/>
                </w:tblCellMar>
              </w:tblPrEx>
              <w:trPr>
                <w:trHeight w:val="500" w:hRule="atLeast"/>
              </w:trPr>
              <w:tc>
                <w:tcPr>
                  <w:tcW w:w="13926" w:type="dxa"/>
                  <w:gridSpan w:val="17"/>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trPr>
              <w:tc>
                <w:tcPr>
                  <w:tcW w:w="3244" w:type="dxa"/>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485" w:type="dxa"/>
                  <w:gridSpan w:val="2"/>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1275" w:type="dxa"/>
                  <w:gridSpan w:val="2"/>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3520" w:type="dxa"/>
                  <w:gridSpan w:val="2"/>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645" w:type="dxa"/>
                  <w:gridSpan w:val="2"/>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1215" w:type="dxa"/>
                  <w:gridSpan w:val="2"/>
                  <w:tcBorders>
                    <w:top w:val="nil"/>
                    <w:left w:val="nil"/>
                    <w:bottom w:val="nil"/>
                    <w:right w:val="nil"/>
                  </w:tcBorders>
                  <w:noWrap/>
                  <w:vAlign w:val="center"/>
                </w:tcPr>
                <w:p>
                  <w:pPr>
                    <w:jc w:val="center"/>
                    <w:rPr>
                      <w:rFonts w:hint="eastAsia" w:ascii="宋体" w:hAnsi="宋体" w:eastAsia="宋体" w:cs="宋体"/>
                      <w:b/>
                      <w:bCs/>
                      <w:i w:val="0"/>
                      <w:iCs w:val="0"/>
                      <w:color w:val="000000"/>
                      <w:sz w:val="40"/>
                      <w:szCs w:val="40"/>
                      <w:u w:val="none"/>
                    </w:rPr>
                  </w:pPr>
                </w:p>
              </w:tc>
              <w:tc>
                <w:tcPr>
                  <w:tcW w:w="3542" w:type="dxa"/>
                  <w:gridSpan w:val="6"/>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24" w:type="dxa"/>
                  <w:gridSpan w:val="7"/>
                  <w:tcBorders>
                    <w:top w:val="nil"/>
                    <w:left w:val="nil"/>
                    <w:bottom w:val="nil"/>
                    <w:right w:val="nil"/>
                  </w:tcBorders>
                  <w:noWrap/>
                  <w:vAlign w:val="bottom"/>
                </w:tcPr>
                <w:p>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64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1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542" w:type="dxa"/>
                  <w:gridSpan w:val="6"/>
                  <w:tcBorders>
                    <w:top w:val="nil"/>
                    <w:left w:val="nil"/>
                    <w:bottom w:val="nil"/>
                    <w:right w:val="nil"/>
                  </w:tcBorders>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009"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8917" w:type="dxa"/>
                  <w:gridSpan w:val="11"/>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24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27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5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215"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1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2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324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4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7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5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6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15"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2"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1,636.18</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1,535.28</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1,535.28</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1,636.18</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1,613.76</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1,613.76</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221.50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243.92</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243.92</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221.50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24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4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1,857.68</w:t>
                  </w:r>
                </w:p>
              </w:tc>
              <w:tc>
                <w:tcPr>
                  <w:tcW w:w="35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2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1,857.68</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1,857.68</w:t>
                  </w:r>
                </w:p>
              </w:tc>
              <w:tc>
                <w:tcPr>
                  <w:tcW w:w="11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13926" w:type="dxa"/>
                  <w:gridSpan w:val="17"/>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24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8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7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520"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64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15"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40"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40"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62"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3926" w:type="dxa"/>
                  <w:gridSpan w:val="17"/>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p>
        </w:tc>
      </w:tr>
    </w:tbl>
    <w:tbl>
      <w:tblPr>
        <w:tblStyle w:val="7"/>
        <w:tblpPr w:leftFromText="180" w:rightFromText="180" w:vertAnchor="text" w:horzAnchor="page" w:tblpX="1928" w:tblpY="175"/>
        <w:tblOverlap w:val="never"/>
        <w:tblW w:w="131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4155"/>
        <w:gridCol w:w="2280"/>
        <w:gridCol w:w="2505"/>
        <w:gridCol w:w="2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3125" w:type="dxa"/>
            <w:gridSpan w:val="5"/>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730" w:type="dxa"/>
            <w:gridSpan w:val="2"/>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22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5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610" w:type="dxa"/>
            <w:tcBorders>
              <w:top w:val="nil"/>
              <w:left w:val="nil"/>
              <w:bottom w:val="nil"/>
              <w:right w:val="nil"/>
            </w:tcBorders>
            <w:noWrap/>
            <w:vAlign w:val="bottom"/>
          </w:tcPr>
          <w:p>
            <w:pPr>
              <w:keepNext w:val="0"/>
              <w:keepLines w:val="0"/>
              <w:widowControl/>
              <w:suppressLineNumbers w:val="0"/>
              <w:jc w:val="left"/>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 xml:space="preserve">      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730" w:type="dxa"/>
            <w:gridSpan w:val="2"/>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22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5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610" w:type="dxa"/>
            <w:tcBorders>
              <w:top w:val="nil"/>
              <w:left w:val="nil"/>
              <w:bottom w:val="nil"/>
              <w:right w:val="nil"/>
            </w:tcBorders>
            <w:noWrap/>
            <w:vAlign w:val="bottom"/>
          </w:tcPr>
          <w:p>
            <w:pPr>
              <w:keepNext w:val="0"/>
              <w:keepLines w:val="0"/>
              <w:widowControl/>
              <w:suppressLineNumbers w:val="0"/>
              <w:ind w:firstLine="600" w:firstLineChars="30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573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739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 w:hRule="atLeast"/>
        </w:trPr>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415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2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5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61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 w:hRule="atLeast"/>
        </w:trPr>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415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22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5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6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 w:hRule="atLeast"/>
        </w:trPr>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415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22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5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6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573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573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1,613.76</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661.02</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市场监督管理事务</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2013810</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质量基础</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20609</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科技重大项目</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2060902</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重点研发计划</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1,535.29</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594.52</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940.77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农业农村</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1,535.29</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594.52</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940.77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2130101</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17.94</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17.94</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2130104</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576.58</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576.58</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2130106</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科技转化与推广服务</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2130108</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病虫害控制</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362.73</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2130122</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农业生产发展</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564.40</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2130199</w:t>
            </w:r>
          </w:p>
        </w:tc>
        <w:tc>
          <w:tcPr>
            <w:tcW w:w="4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其他农业农村支出</w:t>
            </w:r>
          </w:p>
        </w:tc>
        <w:tc>
          <w:tcPr>
            <w:tcW w:w="22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13.54</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6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3125"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13125" w:type="dxa"/>
            <w:gridSpan w:val="5"/>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sectPr>
          <w:pgSz w:w="16838" w:h="11906" w:orient="landscape"/>
          <w:pgMar w:top="720" w:right="720" w:bottom="720" w:left="720" w:header="851" w:footer="992" w:gutter="0"/>
          <w:cols w:space="720" w:num="1"/>
          <w:docGrid w:type="lines" w:linePitch="312" w:charSpace="0"/>
        </w:sectPr>
      </w:pPr>
    </w:p>
    <w:tbl>
      <w:tblPr>
        <w:tblStyle w:val="7"/>
        <w:tblpPr w:leftFromText="180" w:rightFromText="180" w:vertAnchor="text" w:horzAnchor="page" w:tblpX="1463" w:tblpY="163"/>
        <w:tblOverlap w:val="never"/>
        <w:tblW w:w="147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5"/>
        <w:gridCol w:w="2730"/>
        <w:gridCol w:w="1020"/>
        <w:gridCol w:w="1155"/>
        <w:gridCol w:w="2475"/>
        <w:gridCol w:w="1065"/>
        <w:gridCol w:w="1125"/>
        <w:gridCol w:w="2955"/>
        <w:gridCol w:w="10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4752" w:type="dxa"/>
            <w:gridSpan w:val="9"/>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8535" w:type="dxa"/>
            <w:gridSpan w:val="5"/>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106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027" w:type="dxa"/>
            <w:gridSpan w:val="2"/>
            <w:tcBorders>
              <w:top w:val="nil"/>
              <w:left w:val="nil"/>
              <w:bottom w:val="nil"/>
              <w:right w:val="nil"/>
            </w:tcBorders>
            <w:noWrap/>
            <w:vAlign w:val="bottom"/>
          </w:tcPr>
          <w:p>
            <w:pPr>
              <w:keepNext w:val="0"/>
              <w:keepLines w:val="0"/>
              <w:widowControl/>
              <w:suppressLineNumbers w:val="0"/>
              <w:jc w:val="right"/>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 xml:space="preserve">          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8535" w:type="dxa"/>
            <w:gridSpan w:val="5"/>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106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027" w:type="dxa"/>
            <w:gridSpan w:val="2"/>
            <w:tcBorders>
              <w:top w:val="nil"/>
              <w:left w:val="nil"/>
              <w:bottom w:val="nil"/>
              <w:right w:val="nil"/>
            </w:tcBorders>
            <w:noWrap/>
            <w:vAlign w:val="bottom"/>
          </w:tcPr>
          <w:p>
            <w:pPr>
              <w:keepNext w:val="0"/>
              <w:keepLines w:val="0"/>
              <w:widowControl/>
              <w:suppressLineNumbers w:val="0"/>
              <w:ind w:firstLine="1000" w:firstLineChars="50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4905"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9847"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27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0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11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24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0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11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29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07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7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4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7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535.74</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105.08</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140.22</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30.49</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24.34</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189.52</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36.45</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4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29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4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29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45.56</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22.04</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34.52</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29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0.85</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2"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5"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29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4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29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27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14.27</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29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27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5.37</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295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0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273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4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26.57</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295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0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8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555.94</w:t>
            </w:r>
          </w:p>
        </w:tc>
        <w:tc>
          <w:tcPr>
            <w:tcW w:w="8775"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10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4752" w:type="dxa"/>
            <w:gridSpan w:val="9"/>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4752" w:type="dxa"/>
            <w:gridSpan w:val="9"/>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sectPr>
          <w:pgSz w:w="16838" w:h="11906" w:orient="landscape"/>
          <w:pgMar w:top="720" w:right="720" w:bottom="720" w:left="720" w:header="851" w:footer="992" w:gutter="0"/>
          <w:cols w:space="720" w:num="1"/>
          <w:docGrid w:type="lines" w:linePitch="312" w:charSpace="0"/>
        </w:sectPr>
      </w:pPr>
    </w:p>
    <w:p/>
    <w:p/>
    <w:p/>
    <w:p/>
    <w:tbl>
      <w:tblPr>
        <w:tblStyle w:val="7"/>
        <w:tblpPr w:leftFromText="180" w:rightFromText="180" w:vertAnchor="text" w:horzAnchor="page" w:tblpX="1463" w:tblpY="115"/>
        <w:tblOverlap w:val="never"/>
        <w:tblW w:w="143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1620"/>
        <w:gridCol w:w="1908"/>
        <w:gridCol w:w="2007"/>
        <w:gridCol w:w="1605"/>
        <w:gridCol w:w="1530"/>
        <w:gridCol w:w="1710"/>
        <w:gridCol w:w="2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4310" w:type="dxa"/>
            <w:gridSpan w:val="8"/>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713" w:type="dxa"/>
            <w:gridSpan w:val="3"/>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2007"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6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455"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713" w:type="dxa"/>
            <w:gridSpan w:val="3"/>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2007"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6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455"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28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20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484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27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62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0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6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5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1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27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0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6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5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0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6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5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8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90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00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7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8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908"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2007"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160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153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274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85"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620"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1908"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2007"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60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53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274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4310" w:type="dxa"/>
            <w:gridSpan w:val="8"/>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4310" w:type="dxa"/>
            <w:gridSpan w:val="8"/>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说明：我单位没有政府性基金收入，也没有使用政府性基金安排的支出，故本表无数据。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4310" w:type="dxa"/>
            <w:gridSpan w:val="8"/>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
    <w:p/>
    <w:p/>
    <w:p/>
    <w:p/>
    <w:p/>
    <w:p/>
    <w:p/>
    <w:p/>
    <w:p/>
    <w:p/>
    <w:p/>
    <w:p/>
    <w:p/>
    <w:p/>
    <w:p/>
    <w:p/>
    <w:p/>
    <w:p/>
    <w:p/>
    <w:p/>
    <w:p/>
    <w:p/>
    <w:p/>
    <w:p/>
    <w:tbl>
      <w:tblPr>
        <w:tblStyle w:val="7"/>
        <w:tblW w:w="14250" w:type="dxa"/>
        <w:tblInd w:w="7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4"/>
        <w:gridCol w:w="993"/>
        <w:gridCol w:w="993"/>
        <w:gridCol w:w="3617"/>
        <w:gridCol w:w="2694"/>
        <w:gridCol w:w="2694"/>
        <w:gridCol w:w="2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4250" w:type="dxa"/>
            <w:gridSpan w:val="7"/>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917" w:type="dxa"/>
            <w:gridSpan w:val="4"/>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269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5639"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 xml:space="preserve">                                  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917" w:type="dxa"/>
            <w:gridSpan w:val="4"/>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269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5639"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917"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833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30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61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9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3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6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26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6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3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6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26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6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5917"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6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5917"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694"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2694"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c>
          <w:tcPr>
            <w:tcW w:w="294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2300"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3617"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2694"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2694"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c>
          <w:tcPr>
            <w:tcW w:w="294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4250" w:type="dxa"/>
            <w:gridSpan w:val="7"/>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4250" w:type="dxa"/>
            <w:gridSpan w:val="7"/>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说明：我单位无国有资本经营预算财政拨款支出，故本表无数据。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4250" w:type="dxa"/>
            <w:gridSpan w:val="7"/>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1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993"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993"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617"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69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694"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94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bl>
    <w:p/>
    <w:p/>
    <w:p/>
    <w:p/>
    <w:p/>
    <w:p/>
    <w:p/>
    <w:p/>
    <w:p/>
    <w:p/>
    <w:p/>
    <w:tbl>
      <w:tblPr>
        <w:tblStyle w:val="7"/>
        <w:tblpPr w:leftFromText="180" w:rightFromText="180" w:vertAnchor="text" w:horzAnchor="page" w:tblpX="1298" w:tblpY="84"/>
        <w:tblOverlap w:val="never"/>
        <w:tblW w:w="142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0"/>
        <w:gridCol w:w="1185"/>
        <w:gridCol w:w="1050"/>
        <w:gridCol w:w="1155"/>
        <w:gridCol w:w="1350"/>
        <w:gridCol w:w="885"/>
        <w:gridCol w:w="975"/>
        <w:gridCol w:w="1110"/>
        <w:gridCol w:w="1230"/>
        <w:gridCol w:w="1200"/>
        <w:gridCol w:w="1380"/>
        <w:gridCol w:w="16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4249" w:type="dxa"/>
            <w:gridSpan w:val="12"/>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p>
            <w:pPr>
              <w:keepNext w:val="0"/>
              <w:keepLines w:val="0"/>
              <w:widowControl/>
              <w:suppressLineNumbers w:val="0"/>
              <w:jc w:val="center"/>
              <w:textAlignment w:val="center"/>
              <w:rPr>
                <w:rFonts w:hint="default" w:ascii="宋体" w:hAnsi="宋体" w:eastAsia="宋体" w:cs="宋体"/>
                <w:b/>
                <w:bCs/>
                <w:i w:val="0"/>
                <w:iCs w:val="0"/>
                <w:color w:val="000000"/>
                <w:kern w:val="0"/>
                <w:sz w:val="40"/>
                <w:szCs w:val="40"/>
                <w:u w:val="none"/>
                <w:lang w:val="en-US" w:eastAsia="zh-CN" w:bidi="ar"/>
              </w:rPr>
            </w:pPr>
            <w:r>
              <w:rPr>
                <w:rFonts w:hint="eastAsia" w:ascii="宋体" w:hAnsi="宋体" w:cs="宋体"/>
                <w:b/>
                <w:bCs/>
                <w:i w:val="0"/>
                <w:iCs w:val="0"/>
                <w:color w:val="000000"/>
                <w:kern w:val="0"/>
                <w:sz w:val="40"/>
                <w:szCs w:val="40"/>
                <w:u w:val="none"/>
                <w:lang w:val="en-US" w:eastAsia="zh-CN" w:bidi="ar"/>
              </w:rPr>
              <w:t xml:space="preserve"> </w:t>
            </w: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5790" w:type="dxa"/>
            <w:gridSpan w:val="5"/>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0"/>
                <w:szCs w:val="20"/>
                <w:u w:val="none"/>
                <w:lang w:val="en-US" w:eastAsia="zh-CN" w:bidi="ar"/>
              </w:rPr>
            </w:pPr>
          </w:p>
        </w:tc>
        <w:tc>
          <w:tcPr>
            <w:tcW w:w="88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9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059"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 xml:space="preserve">  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5790" w:type="dxa"/>
            <w:gridSpan w:val="5"/>
            <w:tcBorders>
              <w:top w:val="nil"/>
              <w:left w:val="nil"/>
              <w:bottom w:val="nil"/>
              <w:right w:val="nil"/>
            </w:tcBorders>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编制单位：湖南省动物疫病预防控制中心</w:t>
            </w:r>
          </w:p>
        </w:tc>
        <w:tc>
          <w:tcPr>
            <w:tcW w:w="88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9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059" w:type="dxa"/>
            <w:gridSpan w:val="2"/>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67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757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05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355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8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9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1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38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67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0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9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1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6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10.80</w:t>
            </w:r>
          </w:p>
        </w:tc>
        <w:tc>
          <w:tcPr>
            <w:tcW w:w="1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w:t>
            </w:r>
          </w:p>
        </w:tc>
        <w:tc>
          <w:tcPr>
            <w:tcW w:w="11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9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10.15</w:t>
            </w:r>
          </w:p>
        </w:tc>
        <w:tc>
          <w:tcPr>
            <w:tcW w:w="11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w:t>
            </w:r>
          </w:p>
        </w:tc>
        <w:tc>
          <w:tcPr>
            <w:tcW w:w="1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14249" w:type="dxa"/>
            <w:gridSpan w:val="12"/>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5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8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5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5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8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9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3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679"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4249" w:type="dxa"/>
            <w:gridSpan w:val="12"/>
            <w:tcBorders>
              <w:top w:val="nil"/>
              <w:left w:val="nil"/>
              <w:bottom w:val="nil"/>
              <w:right w:val="nil"/>
            </w:tcBorders>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r>
    </w:tbl>
    <w:p/>
    <w:p/>
    <w:p/>
    <w:p/>
    <w:p/>
    <w:p>
      <w:pPr>
        <w:jc w:val="both"/>
        <w:rPr>
          <w:sz w:val="72"/>
          <w:szCs w:val="72"/>
        </w:rPr>
      </w:pPr>
    </w:p>
    <w:p>
      <w:pPr>
        <w:widowControl/>
        <w:jc w:val="left"/>
        <w:rPr>
          <w:sz w:val="72"/>
          <w:szCs w:val="72"/>
        </w:rPr>
        <w:sectPr>
          <w:pgSz w:w="16838" w:h="11906" w:orient="landscape"/>
          <w:pgMar w:top="720" w:right="720" w:bottom="720" w:left="720" w:header="851" w:footer="992" w:gutter="0"/>
          <w:cols w:space="425" w:num="1"/>
          <w:docGrid w:type="lines" w:linePitch="312" w:charSpace="0"/>
        </w:sectPr>
      </w:pPr>
      <w:bookmarkStart w:id="0" w:name="RANGE!A1:I22"/>
      <w:bookmarkEnd w:id="0"/>
    </w:p>
    <w:p>
      <w:pPr>
        <w:pStyle w:val="9"/>
        <w:jc w:val="both"/>
        <w:rPr>
          <w:rFonts w:ascii="方正小标宋_GBK" w:hAnsi="方正小标宋_GBK" w:eastAsia="方正小标宋_GBK" w:cs="方正小标宋_GBK"/>
          <w:sz w:val="72"/>
          <w:szCs w:val="72"/>
        </w:rPr>
      </w:pPr>
    </w:p>
    <w:p>
      <w:pPr>
        <w:pStyle w:val="9"/>
        <w:jc w:val="center"/>
        <w:rPr>
          <w:rFonts w:ascii="方正小标宋_GBK" w:hAnsi="方正小标宋_GBK" w:eastAsia="方正小标宋_GBK" w:cs="方正小标宋_GBK"/>
          <w:sz w:val="72"/>
          <w:szCs w:val="72"/>
        </w:rPr>
      </w:pPr>
    </w:p>
    <w:p>
      <w:pPr>
        <w:pStyle w:val="9"/>
        <w:jc w:val="center"/>
        <w:rPr>
          <w:rFonts w:ascii="方正小标宋_GBK" w:hAnsi="方正小标宋_GBK" w:eastAsia="方正小标宋_GBK" w:cs="方正小标宋_GBK"/>
          <w:sz w:val="72"/>
          <w:szCs w:val="72"/>
        </w:rPr>
      </w:pPr>
    </w:p>
    <w:p>
      <w:pPr>
        <w:pStyle w:val="9"/>
        <w:ind w:firstLine="0" w:firstLineChars="0"/>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9"/>
        <w:jc w:val="both"/>
        <w:rPr>
          <w:rFonts w:ascii="方正小标宋_GBK" w:hAnsi="方正小标宋_GBK" w:eastAsia="方正小标宋_GBK" w:cs="方正小标宋_GBK"/>
          <w:sz w:val="72"/>
          <w:szCs w:val="72"/>
        </w:rPr>
      </w:pPr>
    </w:p>
    <w:p>
      <w:pPr>
        <w:pStyle w:val="9"/>
        <w:ind w:firstLine="0" w:firstLineChars="0"/>
        <w:jc w:val="both"/>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2022年度部门决算情况说明</w:t>
      </w:r>
    </w:p>
    <w:p>
      <w:pPr>
        <w:widowControl/>
        <w:jc w:val="left"/>
        <w:rPr>
          <w:rFonts w:asciiTheme="minorEastAsia" w:hAnsiTheme="minorEastAsia"/>
          <w:sz w:val="32"/>
          <w:szCs w:val="32"/>
        </w:rPr>
      </w:pPr>
      <w:r>
        <w:br w:type="page"/>
      </w:r>
    </w:p>
    <w:p>
      <w:pPr>
        <w:pStyle w:val="9"/>
        <w:autoSpaceDE/>
        <w:autoSpaceDN/>
        <w:spacing w:line="600" w:lineRule="exact"/>
        <w:ind w:firstLine="640" w:firstLineChars="200"/>
        <w:jc w:val="both"/>
        <w:rPr>
          <w:rFonts w:hAnsi="黑体"/>
          <w:bCs/>
          <w:sz w:val="32"/>
          <w:szCs w:val="32"/>
        </w:rPr>
      </w:pPr>
      <w:r>
        <w:rPr>
          <w:rFonts w:hint="eastAsia" w:hAnsi="黑体"/>
          <w:bCs/>
          <w:sz w:val="32"/>
          <w:szCs w:val="32"/>
        </w:rPr>
        <w:t>一、收入支出决算总体情况说明</w:t>
      </w:r>
    </w:p>
    <w:p>
      <w:pPr>
        <w:pStyle w:val="9"/>
        <w:autoSpaceDE/>
        <w:autoSpaceDN/>
        <w:spacing w:line="600" w:lineRule="exact"/>
        <w:ind w:firstLine="640" w:firstLineChars="200"/>
        <w:jc w:val="both"/>
        <w:rPr>
          <w:rFonts w:hint="eastAsia" w:ascii="Times New Roman" w:hAnsi="Times New Roman" w:eastAsia="仿宋_GB2312"/>
          <w:sz w:val="32"/>
          <w:szCs w:val="32"/>
          <w:highlight w:val="red"/>
        </w:rPr>
      </w:pPr>
      <w:r>
        <w:rPr>
          <w:rFonts w:hint="eastAsia" w:ascii="Times New Roman" w:hAnsi="Times New Roman" w:eastAsia="仿宋_GB2312"/>
          <w:sz w:val="32"/>
          <w:szCs w:val="32"/>
        </w:rPr>
        <w:t>2022年度收、支总计1857.68万元。与上年相比，减少772.88万元，减少29.38%，主要原因为</w:t>
      </w:r>
      <w:r>
        <w:rPr>
          <w:rFonts w:hint="eastAsia" w:ascii="Times New Roman" w:hAnsi="Times New Roman" w:eastAsia="仿宋_GB2312"/>
          <w:sz w:val="32"/>
          <w:szCs w:val="32"/>
          <w:lang w:eastAsia="zh-CN"/>
        </w:rPr>
        <w:t>年初财政拨款结转资金减少。</w:t>
      </w:r>
    </w:p>
    <w:p>
      <w:pPr>
        <w:pStyle w:val="9"/>
        <w:autoSpaceDE/>
        <w:autoSpaceDN/>
        <w:spacing w:line="600" w:lineRule="exact"/>
        <w:ind w:firstLine="640" w:firstLineChars="200"/>
        <w:jc w:val="both"/>
        <w:rPr>
          <w:rFonts w:hAnsi="黑体"/>
          <w:bCs/>
          <w:sz w:val="32"/>
          <w:szCs w:val="32"/>
        </w:rPr>
      </w:pPr>
      <w:r>
        <w:rPr>
          <w:rFonts w:hint="eastAsia" w:hAnsi="黑体"/>
          <w:bCs/>
          <w:sz w:val="32"/>
          <w:szCs w:val="32"/>
        </w:rPr>
        <w:t>二、收入决算情况说明</w:t>
      </w:r>
    </w:p>
    <w:p>
      <w:pPr>
        <w:pStyle w:val="9"/>
        <w:autoSpaceDE/>
        <w:autoSpaceDN/>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2022年度收入合计1636.18万元，其中：财政拨款收入1636.18万元，占100%；上级补助收入0万元，占0%；事业收入0万元，占0%；经营收入0万元，占0%；附属单位上缴收入0万元，占0%；其他收入0万元，占0%。</w:t>
      </w:r>
    </w:p>
    <w:p>
      <w:pPr>
        <w:pStyle w:val="9"/>
        <w:autoSpaceDE/>
        <w:autoSpaceDN/>
        <w:spacing w:line="600" w:lineRule="exact"/>
        <w:ind w:firstLine="640" w:firstLineChars="200"/>
        <w:jc w:val="both"/>
        <w:rPr>
          <w:rFonts w:hAnsi="黑体"/>
          <w:bCs/>
          <w:sz w:val="32"/>
          <w:szCs w:val="32"/>
        </w:rPr>
      </w:pPr>
      <w:r>
        <w:rPr>
          <w:rFonts w:hint="eastAsia" w:hAnsi="黑体"/>
          <w:bCs/>
          <w:sz w:val="32"/>
          <w:szCs w:val="32"/>
        </w:rPr>
        <w:t>三、支出决算情况说明</w:t>
      </w:r>
    </w:p>
    <w:p>
      <w:pPr>
        <w:pStyle w:val="9"/>
        <w:autoSpaceDE/>
        <w:autoSpaceDN/>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2022年度支出合计1613.76万元，其中：基本支出661.02万元，占40.96%；项目支出952.74万元，占59.04%；上缴上级支出0万元，占0%；经营支出0万元，占0%；对附属单位补助支出0万元，占0%。</w:t>
      </w:r>
    </w:p>
    <w:p>
      <w:pPr>
        <w:pStyle w:val="9"/>
        <w:autoSpaceDE/>
        <w:autoSpaceDN/>
        <w:spacing w:line="600" w:lineRule="exact"/>
        <w:ind w:firstLine="640" w:firstLineChars="200"/>
        <w:jc w:val="both"/>
        <w:rPr>
          <w:rFonts w:hAnsi="黑体"/>
          <w:bCs/>
          <w:sz w:val="32"/>
          <w:szCs w:val="32"/>
        </w:rPr>
      </w:pPr>
      <w:r>
        <w:rPr>
          <w:rFonts w:hint="eastAsia" w:hAnsi="黑体"/>
          <w:bCs/>
          <w:sz w:val="32"/>
          <w:szCs w:val="32"/>
        </w:rPr>
        <w:t>四、财政拨款收入支出决算总体情况说明</w:t>
      </w:r>
    </w:p>
    <w:p>
      <w:pPr>
        <w:pStyle w:val="9"/>
        <w:autoSpaceDE/>
        <w:autoSpaceDN/>
        <w:spacing w:line="600" w:lineRule="exact"/>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rPr>
        <w:t xml:space="preserve">    2022年度财政拨款收、支总计1857.68万元，与上年相比，减少723.33万元，减少28.03%，</w:t>
      </w:r>
      <w:r>
        <w:rPr>
          <w:rFonts w:hint="eastAsia" w:ascii="Times New Roman" w:hAnsi="Times New Roman" w:eastAsia="仿宋_GB2312"/>
          <w:sz w:val="32"/>
          <w:szCs w:val="32"/>
          <w:highlight w:val="none"/>
        </w:rPr>
        <w:t>主要是</w:t>
      </w:r>
      <w:r>
        <w:rPr>
          <w:rFonts w:hint="eastAsia" w:ascii="Times New Roman" w:hAnsi="Times New Roman" w:eastAsia="仿宋_GB2312"/>
          <w:sz w:val="32"/>
          <w:szCs w:val="32"/>
          <w:highlight w:val="none"/>
          <w:lang w:eastAsia="zh-CN"/>
        </w:rPr>
        <w:t>年初财政拨款结转资金减少。</w:t>
      </w:r>
    </w:p>
    <w:p>
      <w:pPr>
        <w:pStyle w:val="9"/>
        <w:autoSpaceDE/>
        <w:autoSpaceDN/>
        <w:spacing w:line="600" w:lineRule="exact"/>
        <w:ind w:firstLine="640" w:firstLineChars="200"/>
        <w:jc w:val="both"/>
        <w:rPr>
          <w:rFonts w:hAnsi="黑体"/>
          <w:bCs/>
          <w:sz w:val="32"/>
          <w:szCs w:val="32"/>
        </w:rPr>
      </w:pPr>
      <w:r>
        <w:rPr>
          <w:rFonts w:hint="eastAsia" w:hAnsi="黑体"/>
          <w:bCs/>
          <w:sz w:val="32"/>
          <w:szCs w:val="32"/>
        </w:rPr>
        <w:t>五、一般公共预算财政拨款支出决算情况说明</w:t>
      </w:r>
    </w:p>
    <w:p>
      <w:pPr>
        <w:pStyle w:val="9"/>
        <w:autoSpaceDE/>
        <w:autoSpaceDN/>
        <w:spacing w:line="600" w:lineRule="exact"/>
        <w:ind w:firstLine="640" w:firstLineChars="200"/>
        <w:jc w:val="both"/>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9"/>
        <w:autoSpaceDE/>
        <w:autoSpaceDN/>
        <w:spacing w:line="600" w:lineRule="exact"/>
        <w:ind w:firstLine="800" w:firstLineChars="250"/>
        <w:jc w:val="both"/>
        <w:rPr>
          <w:rFonts w:ascii="Times New Roman" w:hAnsi="Times New Roman" w:eastAsia="仿宋_GB2312"/>
          <w:color w:val="auto"/>
          <w:sz w:val="32"/>
          <w:szCs w:val="32"/>
          <w:highlight w:val="red"/>
        </w:rPr>
      </w:pPr>
      <w:r>
        <w:rPr>
          <w:rFonts w:hint="eastAsia" w:ascii="Times New Roman" w:hAnsi="Times New Roman" w:eastAsia="仿宋_GB2312"/>
          <w:color w:val="auto"/>
          <w:sz w:val="32"/>
          <w:szCs w:val="32"/>
        </w:rPr>
        <w:t>2022年度财政拨款支出1613.76万元，占本年支出合计的100%，与上年相比，财政拨款支出减少642.52万元，减少28.48%，主要是因为</w:t>
      </w:r>
      <w:r>
        <w:rPr>
          <w:rFonts w:hint="eastAsia" w:ascii="Times New Roman" w:hAnsi="Times New Roman" w:eastAsia="仿宋_GB2312"/>
          <w:color w:val="auto"/>
          <w:sz w:val="32"/>
          <w:szCs w:val="32"/>
          <w:highlight w:val="none"/>
          <w:lang w:eastAsia="zh-CN"/>
        </w:rPr>
        <w:t>中央动物防疫补助专项支出减少。</w:t>
      </w:r>
    </w:p>
    <w:p>
      <w:pPr>
        <w:pStyle w:val="9"/>
        <w:spacing w:line="600" w:lineRule="exact"/>
        <w:jc w:val="both"/>
        <w:rPr>
          <w:rFonts w:hint="eastAsia" w:ascii="楷体" w:hAnsi="楷体" w:eastAsia="楷体" w:cs="楷体"/>
          <w:bCs/>
          <w:color w:val="0000FF"/>
          <w:sz w:val="32"/>
          <w:szCs w:val="32"/>
        </w:rPr>
      </w:pPr>
    </w:p>
    <w:p>
      <w:pPr>
        <w:pStyle w:val="9"/>
        <w:spacing w:line="600" w:lineRule="exact"/>
        <w:ind w:firstLine="640" w:firstLineChars="200"/>
        <w:jc w:val="both"/>
        <w:rPr>
          <w:rFonts w:hint="eastAsia" w:ascii="楷体" w:hAnsi="楷体" w:eastAsia="楷体" w:cs="楷体"/>
          <w:bCs/>
          <w:sz w:val="32"/>
          <w:szCs w:val="32"/>
        </w:rPr>
      </w:pPr>
    </w:p>
    <w:p>
      <w:pPr>
        <w:pStyle w:val="9"/>
        <w:spacing w:line="600" w:lineRule="exact"/>
        <w:ind w:firstLine="640" w:firstLineChars="200"/>
        <w:jc w:val="both"/>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2022年度财政拨款支出1613.76万元，主要用于以下方面：一般公共服务（类）支出0.75万元，占0.04%；科学技术（类）支出11.22万元，占0.7%；社会保障和就业（类）支出66.50万元，占4.12%；农林水（类）支出1535.29万元，占95.14%</w:t>
      </w:r>
    </w:p>
    <w:p>
      <w:pPr>
        <w:pStyle w:val="9"/>
        <w:spacing w:line="600" w:lineRule="exact"/>
        <w:ind w:firstLine="800" w:firstLineChars="250"/>
        <w:jc w:val="both"/>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w:t>
      </w:r>
      <w:r>
        <w:rPr>
          <w:rFonts w:hint="eastAsia" w:ascii="Times New Roman" w:hAnsi="Times New Roman" w:eastAsia="仿宋_GB2312"/>
          <w:sz w:val="32"/>
          <w:szCs w:val="32"/>
          <w:highlight w:val="none"/>
          <w:lang w:val="en-US" w:eastAsia="zh-CN"/>
        </w:rPr>
        <w:t>1790.59</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rPr>
        <w:t>，支出决算数为1613.76万元，完成年初预算的</w:t>
      </w:r>
      <w:r>
        <w:rPr>
          <w:rFonts w:hint="eastAsia" w:ascii="Times New Roman" w:hAnsi="Times New Roman" w:eastAsia="仿宋_GB2312"/>
          <w:sz w:val="32"/>
          <w:szCs w:val="32"/>
          <w:lang w:val="en-US" w:eastAsia="zh-CN"/>
        </w:rPr>
        <w:t>90.12</w:t>
      </w:r>
      <w:r>
        <w:rPr>
          <w:rFonts w:hint="eastAsia" w:ascii="Times New Roman" w:hAnsi="Times New Roman" w:eastAsia="仿宋_GB2312"/>
          <w:sz w:val="32"/>
          <w:szCs w:val="32"/>
        </w:rPr>
        <w:t>%，其中：</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1、一般公共服务（类）市场监督管理事务（款）质量基础（项）。</w:t>
      </w:r>
    </w:p>
    <w:p>
      <w:pPr>
        <w:pStyle w:val="9"/>
        <w:spacing w:line="600" w:lineRule="exact"/>
        <w:ind w:firstLine="800" w:firstLineChars="250"/>
        <w:jc w:val="both"/>
        <w:rPr>
          <w:rFonts w:ascii="Times New Roman" w:hAnsi="Times New Roman" w:eastAsia="仿宋_GB2312"/>
          <w:sz w:val="32"/>
          <w:szCs w:val="32"/>
          <w:highlight w:val="red"/>
        </w:rPr>
      </w:pPr>
      <w:r>
        <w:rPr>
          <w:rFonts w:hint="eastAsia" w:ascii="Times New Roman" w:hAnsi="Times New Roman" w:eastAsia="仿宋_GB2312"/>
          <w:sz w:val="32"/>
          <w:szCs w:val="32"/>
        </w:rPr>
        <w:t>年初预算为0万元，支出决算为0.75万元，决算数大于年初预算数的主要原因是：</w:t>
      </w:r>
      <w:r>
        <w:rPr>
          <w:rFonts w:hint="eastAsia" w:ascii="Times New Roman" w:hAnsi="Times New Roman" w:eastAsia="仿宋_GB2312"/>
          <w:sz w:val="32"/>
          <w:szCs w:val="32"/>
          <w:highlight w:val="none"/>
        </w:rPr>
        <w:t>年中追加</w:t>
      </w:r>
      <w:r>
        <w:rPr>
          <w:rFonts w:hint="eastAsia" w:ascii="Times New Roman" w:hAnsi="Times New Roman" w:eastAsia="仿宋_GB2312"/>
          <w:sz w:val="32"/>
          <w:szCs w:val="32"/>
          <w:highlight w:val="none"/>
          <w:lang w:val="en-US" w:eastAsia="zh-CN"/>
        </w:rPr>
        <w:t>2022省级标准化</w:t>
      </w:r>
      <w:r>
        <w:rPr>
          <w:rFonts w:hint="eastAsia" w:ascii="Times New Roman" w:hAnsi="Times New Roman" w:eastAsia="仿宋_GB2312"/>
          <w:sz w:val="32"/>
          <w:szCs w:val="32"/>
          <w:highlight w:val="none"/>
        </w:rPr>
        <w:t>专项资金。</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2、科学技术（类）科技重大项目（款）重点研发计划（项）。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万元，支出决算为11.22万元，完成年初预算的</w:t>
      </w:r>
      <w:r>
        <w:rPr>
          <w:rFonts w:hint="eastAsia" w:ascii="Times New Roman" w:hAnsi="Times New Roman" w:eastAsia="仿宋_GB2312"/>
          <w:sz w:val="32"/>
          <w:szCs w:val="32"/>
          <w:lang w:val="en-US" w:eastAsia="zh-CN"/>
        </w:rPr>
        <w:t>93.50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小</w:t>
      </w:r>
      <w:r>
        <w:rPr>
          <w:rFonts w:hint="eastAsia" w:ascii="Times New Roman" w:hAnsi="Times New Roman" w:eastAsia="仿宋_GB2312"/>
          <w:sz w:val="32"/>
          <w:szCs w:val="32"/>
        </w:rPr>
        <w:t>于年初预算数的主要原因是：</w:t>
      </w:r>
      <w:r>
        <w:rPr>
          <w:rFonts w:hint="eastAsia" w:ascii="Times New Roman" w:hAnsi="Times New Roman" w:eastAsia="仿宋_GB2312"/>
          <w:sz w:val="32"/>
          <w:szCs w:val="32"/>
          <w:lang w:val="en-US" w:eastAsia="zh-CN"/>
        </w:rPr>
        <w:t>项目已完成，有结余</w:t>
      </w:r>
      <w:r>
        <w:rPr>
          <w:rFonts w:hint="eastAsia" w:ascii="Times New Roman" w:hAnsi="Times New Roman" w:eastAsia="仿宋_GB2312"/>
          <w:sz w:val="32"/>
          <w:szCs w:val="32"/>
        </w:rPr>
        <w:t>。</w:t>
      </w:r>
    </w:p>
    <w:p>
      <w:pPr>
        <w:pStyle w:val="9"/>
        <w:numPr>
          <w:ilvl w:val="0"/>
          <w:numId w:val="1"/>
        </w:numPr>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社会保障和就业支出（类）行政事业单位养老支出（款）机关事业单位基本养老保险缴费支出（项）。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年初预算为66.50万元，支出决算为66.50万元，完成年初预算的100%。</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4、农林水支出（类）农业农村（款）行政运行（项）。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年初预算为0万元，支出决算为17.94万元，决算数大于年初预算数的主要原因是：年中追加</w:t>
      </w:r>
      <w:r>
        <w:rPr>
          <w:rFonts w:hint="eastAsia" w:ascii="Times New Roman" w:hAnsi="Times New Roman" w:eastAsia="仿宋_GB2312"/>
          <w:sz w:val="32"/>
          <w:szCs w:val="32"/>
          <w:lang w:val="en-US" w:eastAsia="zh-CN"/>
        </w:rPr>
        <w:t>绩效工资</w:t>
      </w:r>
      <w:r>
        <w:rPr>
          <w:rFonts w:hint="eastAsia" w:ascii="Times New Roman" w:hAnsi="Times New Roman" w:eastAsia="仿宋_GB2312"/>
          <w:sz w:val="32"/>
          <w:szCs w:val="32"/>
        </w:rPr>
        <w:t>。</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5、农林水支出（类）农业农村（款）事业运行（项）。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年初预算为577.23万元，支出决算为576.58万元，完成年初预算的99.89%，决算数小于年初预算数的主要原因是</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公务接待费结余0.65万元。</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6、农林水支出（类）农业农村（款）科技转化与推广服务（项）。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年初预算为0</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万元，支出决算为0.10万元，完成年初预算的100%。</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7、农林水支出（类）农业农村（款）病虫害控制（项）。</w:t>
      </w:r>
    </w:p>
    <w:p>
      <w:pPr>
        <w:pStyle w:val="9"/>
        <w:spacing w:line="600" w:lineRule="exact"/>
        <w:ind w:firstLine="800" w:firstLineChars="250"/>
        <w:jc w:val="both"/>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499.90</w:t>
      </w:r>
      <w:r>
        <w:rPr>
          <w:rFonts w:hint="eastAsia" w:ascii="Times New Roman" w:hAnsi="Times New Roman" w:eastAsia="仿宋_GB2312"/>
          <w:sz w:val="32"/>
          <w:szCs w:val="32"/>
        </w:rPr>
        <w:t>万元，支出决算为362.73万元，完成年初预算的</w:t>
      </w:r>
      <w:r>
        <w:rPr>
          <w:rFonts w:hint="eastAsia" w:ascii="Times New Roman" w:hAnsi="Times New Roman" w:eastAsia="仿宋_GB2312"/>
          <w:sz w:val="32"/>
          <w:szCs w:val="32"/>
          <w:lang w:val="en-US" w:eastAsia="zh-CN"/>
        </w:rPr>
        <w:t>72.56</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项目跨年实施。</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8、农林水支出（类）农业农村（款）农业生产发展（项）。</w:t>
      </w:r>
    </w:p>
    <w:p>
      <w:pPr>
        <w:pStyle w:val="9"/>
        <w:spacing w:line="600" w:lineRule="exact"/>
        <w:ind w:firstLine="800" w:firstLineChars="250"/>
        <w:jc w:val="both"/>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634.86</w:t>
      </w:r>
      <w:r>
        <w:rPr>
          <w:rFonts w:hint="eastAsia" w:ascii="Times New Roman" w:hAnsi="Times New Roman" w:eastAsia="仿宋_GB2312"/>
          <w:sz w:val="32"/>
          <w:szCs w:val="32"/>
        </w:rPr>
        <w:t>万元，支出决算为564.40万元，完成年初预算的</w:t>
      </w:r>
      <w:r>
        <w:rPr>
          <w:rFonts w:hint="eastAsia" w:ascii="Times New Roman" w:hAnsi="Times New Roman" w:eastAsia="仿宋_GB2312"/>
          <w:sz w:val="32"/>
          <w:szCs w:val="32"/>
          <w:lang w:val="en-US" w:eastAsia="zh-CN"/>
        </w:rPr>
        <w:t>88.90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小</w:t>
      </w:r>
      <w:r>
        <w:rPr>
          <w:rFonts w:hint="eastAsia" w:ascii="Times New Roman" w:hAnsi="Times New Roman" w:eastAsia="仿宋_GB2312"/>
          <w:sz w:val="32"/>
          <w:szCs w:val="32"/>
        </w:rPr>
        <w:t>于年初预算数的主要原因是：</w:t>
      </w:r>
      <w:r>
        <w:rPr>
          <w:rFonts w:hint="eastAsia" w:ascii="Times New Roman" w:hAnsi="Times New Roman" w:eastAsia="仿宋_GB2312"/>
          <w:sz w:val="32"/>
          <w:szCs w:val="32"/>
          <w:lang w:val="en-US" w:eastAsia="zh-CN"/>
        </w:rPr>
        <w:t>项目跨年实施。</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9、农林水支出（类）农业农村（款）其他农业农村支出（项）。</w:t>
      </w:r>
    </w:p>
    <w:p>
      <w:pPr>
        <w:pStyle w:val="9"/>
        <w:spacing w:line="600" w:lineRule="exact"/>
        <w:ind w:firstLine="640" w:firstLineChars="200"/>
        <w:jc w:val="both"/>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年初预算为0万元，支出决算为13.54万元，决算数大于年初预算数的主要原因是：年</w:t>
      </w:r>
      <w:r>
        <w:rPr>
          <w:rFonts w:hint="eastAsia" w:ascii="Times New Roman" w:hAnsi="Times New Roman" w:eastAsia="仿宋_GB2312"/>
          <w:sz w:val="32"/>
          <w:szCs w:val="32"/>
          <w:lang w:val="en-US" w:eastAsia="zh-CN"/>
        </w:rPr>
        <w:t>中追加现代农业产业技术体系建设项目资金。</w:t>
      </w:r>
    </w:p>
    <w:p>
      <w:pPr>
        <w:pStyle w:val="9"/>
        <w:spacing w:line="600" w:lineRule="exact"/>
        <w:ind w:firstLine="640" w:firstLineChars="200"/>
        <w:jc w:val="both"/>
        <w:rPr>
          <w:rFonts w:hAnsi="黑体"/>
          <w:bCs/>
          <w:sz w:val="32"/>
          <w:szCs w:val="32"/>
        </w:rPr>
      </w:pPr>
      <w:r>
        <w:rPr>
          <w:rFonts w:hint="eastAsia" w:hAnsi="黑体"/>
          <w:bCs/>
          <w:sz w:val="32"/>
          <w:szCs w:val="32"/>
        </w:rPr>
        <w:t>六、一般公共预算财政拨款基本支出决算情况说明</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2022年度财政拨款基本支出661.02万元，其中：</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b w:val="0"/>
          <w:bCs w:val="0"/>
          <w:sz w:val="32"/>
          <w:szCs w:val="32"/>
        </w:rPr>
        <w:t>人员经费</w:t>
      </w:r>
      <w:r>
        <w:rPr>
          <w:rFonts w:hint="eastAsia" w:ascii="Times New Roman" w:hAnsi="Times New Roman" w:eastAsia="仿宋_GB2312"/>
          <w:sz w:val="32"/>
          <w:szCs w:val="32"/>
        </w:rPr>
        <w:t>555.94万元，占基本支出的84.10%，主要包括</w:t>
      </w:r>
      <w:r>
        <w:rPr>
          <w:rFonts w:hint="eastAsia" w:ascii="仿宋_GB2312" w:hAnsi="仿宋_GB2312" w:eastAsia="仿宋_GB2312" w:cs="仿宋_GB2312"/>
          <w:sz w:val="32"/>
          <w:szCs w:val="32"/>
        </w:rPr>
        <w:t>基本工资、津贴补贴、奖金、伙食补助费、绩效工资、社会保险缴费、住房公积金、其他工资福利支出、奖励金、其他对个人和家庭补助。</w:t>
      </w:r>
    </w:p>
    <w:p>
      <w:pPr>
        <w:pStyle w:val="9"/>
        <w:spacing w:line="600" w:lineRule="exact"/>
        <w:ind w:firstLine="640" w:firstLineChars="200"/>
        <w:jc w:val="both"/>
        <w:rPr>
          <w:rFonts w:ascii="Times New Roman" w:hAnsi="Times New Roman" w:eastAsia="仿宋_GB2312"/>
          <w:b/>
          <w:sz w:val="32"/>
          <w:szCs w:val="32"/>
        </w:rPr>
      </w:pPr>
      <w:r>
        <w:rPr>
          <w:rFonts w:hint="eastAsia" w:ascii="Times New Roman" w:hAnsi="Times New Roman" w:eastAsia="仿宋_GB2312"/>
          <w:sz w:val="32"/>
          <w:szCs w:val="32"/>
        </w:rPr>
        <w:t>2.</w:t>
      </w:r>
      <w:r>
        <w:rPr>
          <w:rFonts w:hint="eastAsia" w:ascii="Times New Roman" w:hAnsi="Times New Roman" w:eastAsia="仿宋_GB2312"/>
          <w:b w:val="0"/>
          <w:bCs w:val="0"/>
          <w:sz w:val="32"/>
          <w:szCs w:val="32"/>
        </w:rPr>
        <w:t>公用经费</w:t>
      </w:r>
      <w:r>
        <w:rPr>
          <w:rFonts w:hint="eastAsia" w:ascii="Times New Roman" w:hAnsi="Times New Roman" w:eastAsia="仿宋_GB2312"/>
          <w:sz w:val="32"/>
          <w:szCs w:val="32"/>
        </w:rPr>
        <w:t>105.08万元，占基本支出的15.90%，主要包括</w:t>
      </w:r>
      <w:r>
        <w:rPr>
          <w:rFonts w:hint="eastAsia" w:ascii="仿宋_GB2312" w:hAnsi="仿宋_GB2312" w:eastAsia="仿宋_GB2312" w:cs="仿宋_GB2312"/>
          <w:sz w:val="32"/>
          <w:szCs w:val="32"/>
        </w:rPr>
        <w:t>办公费、印刷费、水费、电费、邮电费、差旅费、维修（维护）费、工会经费、福利费、专用材料费、公务接待费、公车运行经费、税金及附加费、其他商品服务支出。</w:t>
      </w:r>
    </w:p>
    <w:p>
      <w:pPr>
        <w:pStyle w:val="9"/>
        <w:numPr>
          <w:ilvl w:val="0"/>
          <w:numId w:val="2"/>
        </w:numPr>
        <w:spacing w:line="600" w:lineRule="exact"/>
        <w:ind w:firstLine="640" w:firstLineChars="200"/>
        <w:jc w:val="both"/>
        <w:rPr>
          <w:rFonts w:hAnsi="黑体"/>
          <w:bCs/>
          <w:sz w:val="32"/>
          <w:szCs w:val="32"/>
        </w:rPr>
      </w:pPr>
      <w:r>
        <w:rPr>
          <w:rFonts w:hint="eastAsia" w:hAnsi="黑体"/>
          <w:bCs/>
          <w:sz w:val="32"/>
          <w:szCs w:val="32"/>
        </w:rPr>
        <w:t>财政拨款三公经费支出决算情况说明</w:t>
      </w:r>
    </w:p>
    <w:p>
      <w:pPr>
        <w:pStyle w:val="9"/>
        <w:spacing w:line="600" w:lineRule="exact"/>
        <w:ind w:firstLine="640" w:firstLineChars="200"/>
        <w:jc w:val="both"/>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“三公”经费财政拨款支出预算为10.80万元，支出决算为10.15万元，完成预算的93.98%，其中：</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因公出国（境）费支出预算为0万元，支出决算为0万元，2022年我单位未安排因公出国（境）费。</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公务接待费支出预算为1.50万元，支出决算为0.85万元，完成预算的56.67%，决算数小于预算数的主要原因是我单位积极响应政府号召，厉行节约，严控“三公经费”支出，以及因新冠疫情影响，公务接待费结余0.65万元；与上年相比减少0.03万元，减少1.88%，减少的主要原因是我单位积极响应政府号召，厉行节约，严控“三公”经费支出。</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公务用车购置费支出预算为0万元，支出决算为0万元，完成预算的0%，2022年度我单位未安排公务用车购置费预算。</w:t>
      </w:r>
    </w:p>
    <w:p>
      <w:pPr>
        <w:pStyle w:val="9"/>
        <w:spacing w:line="600" w:lineRule="exact"/>
        <w:ind w:firstLine="640" w:firstLineChars="200"/>
        <w:jc w:val="both"/>
        <w:rPr>
          <w:rFonts w:hint="eastAsia" w:ascii="Times New Roman" w:hAnsi="Times New Roman" w:eastAsia="仿宋_GB2312"/>
          <w:sz w:val="32"/>
          <w:szCs w:val="32"/>
        </w:rPr>
      </w:pPr>
      <w:r>
        <w:rPr>
          <w:rFonts w:hint="eastAsia" w:ascii="Times New Roman" w:hAnsi="Times New Roman" w:eastAsia="仿宋_GB2312"/>
          <w:sz w:val="32"/>
          <w:szCs w:val="32"/>
        </w:rPr>
        <w:t>公务用车运行维护费支出预算为9.30万元，支出决算为9.30万元，完成预算的100%，决算数与预算数持平，与上年相比增加3.30万元，增长55%，增长的主要原因是：我单位每年承担大量的采样、动物疫病监测及流调任务，车辆使用率较高，同时随着车辆逐年老化，维修费用需要递增。</w:t>
      </w:r>
    </w:p>
    <w:p>
      <w:pPr>
        <w:pStyle w:val="9"/>
        <w:spacing w:line="600" w:lineRule="exact"/>
        <w:ind w:firstLine="640" w:firstLineChars="200"/>
        <w:jc w:val="both"/>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2022年度“三公”经费财政拨款支出决算中，公务接待费支出决算0.85万元，占8.37%；因公出国（境）费支出决算0万元，占0%；公务用车购置费及运行维护费支出决算9.30万元，占91.63%。其中：</w:t>
      </w:r>
    </w:p>
    <w:p>
      <w:pPr>
        <w:pStyle w:val="9"/>
        <w:spacing w:line="600" w:lineRule="exact"/>
        <w:ind w:firstLine="800" w:firstLineChars="250"/>
        <w:jc w:val="both"/>
        <w:rPr>
          <w:rFonts w:ascii="楷体" w:hAnsi="楷体" w:eastAsia="仿宋_GB2312" w:cs="楷体"/>
          <w:b/>
          <w:bCs/>
          <w:i/>
          <w:color w:val="auto"/>
          <w:sz w:val="32"/>
          <w:szCs w:val="32"/>
        </w:rPr>
      </w:pPr>
      <w:r>
        <w:rPr>
          <w:rFonts w:hint="eastAsia" w:ascii="Times New Roman" w:hAnsi="Times New Roman" w:eastAsia="仿宋_GB2312"/>
          <w:sz w:val="32"/>
          <w:szCs w:val="32"/>
        </w:rPr>
        <w:t>1、因公出国（境）费支出决算为0万元，全年安排因公出国（境）团组0个，累计0人次。</w:t>
      </w:r>
    </w:p>
    <w:p>
      <w:pPr>
        <w:pStyle w:val="9"/>
        <w:spacing w:line="600" w:lineRule="exact"/>
        <w:ind w:firstLine="800" w:firstLineChars="250"/>
        <w:jc w:val="both"/>
        <w:rPr>
          <w:rFonts w:ascii="Times New Roman" w:hAnsi="Times New Roman" w:eastAsia="仿宋_GB2312"/>
          <w:sz w:val="32"/>
          <w:szCs w:val="32"/>
        </w:rPr>
      </w:pPr>
      <w:r>
        <w:rPr>
          <w:rFonts w:hint="eastAsia" w:ascii="Times New Roman" w:hAnsi="Times New Roman" w:eastAsia="仿宋_GB2312"/>
          <w:sz w:val="32"/>
          <w:szCs w:val="32"/>
        </w:rPr>
        <w:t>2、公务接待费支出决算为0.85万元，全年共接待来访团组15个、来宾81人次，主要是：农业农村部畜牧兽医局、中国动物疫病预防控制中心、中国动物卫生与流行病学中心、中国农业科学院哈尔滨兽医研究所、广东省农业农村厅等单位调研、指导工作及市县动物防疫机构汇报工作、执行任务等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3、公务用车购置费及运行维护费支出决算为9.30万元，其中：公务用车购置费0万元，更新公务用车0辆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公务用车运行维护费9.30万元，主要是</w:t>
      </w:r>
      <w:r>
        <w:rPr>
          <w:rFonts w:hint="eastAsia" w:ascii="仿宋_GB2312" w:hAnsi="仿宋_GB2312" w:eastAsia="仿宋_GB2312" w:cs="仿宋_GB2312"/>
          <w:sz w:val="32"/>
          <w:szCs w:val="32"/>
        </w:rPr>
        <w:t>公车燃料费、维修费、车辆保险费等</w:t>
      </w:r>
      <w:r>
        <w:rPr>
          <w:rFonts w:hint="eastAsia" w:ascii="Times New Roman" w:hAnsi="Times New Roman" w:eastAsia="仿宋_GB2312"/>
          <w:sz w:val="32"/>
          <w:szCs w:val="32"/>
        </w:rPr>
        <w:t>支出，截止2022年12月31日</w:t>
      </w:r>
      <w:r>
        <w:rPr>
          <w:rFonts w:hint="eastAsia" w:ascii="仿宋_GB2312" w:hAnsi="仿宋_GB2312" w:eastAsia="仿宋_GB2312" w:cs="仿宋_GB2312"/>
          <w:color w:val="000000"/>
          <w:kern w:val="2"/>
          <w:sz w:val="32"/>
          <w:szCs w:val="32"/>
        </w:rPr>
        <w:t>，我单位开支财政拨款的公务用车保有量为</w:t>
      </w:r>
      <w:r>
        <w:rPr>
          <w:rFonts w:ascii="仿宋_GB2312" w:hAnsi="仿宋_GB2312" w:eastAsia="仿宋_GB2312" w:cs="仿宋_GB2312"/>
          <w:color w:val="000000"/>
          <w:kern w:val="2"/>
          <w:sz w:val="32"/>
          <w:szCs w:val="32"/>
        </w:rPr>
        <w:t>2</w:t>
      </w:r>
      <w:r>
        <w:rPr>
          <w:rFonts w:hint="eastAsia" w:ascii="仿宋_GB2312" w:hAnsi="仿宋_GB2312" w:eastAsia="仿宋_GB2312" w:cs="仿宋_GB2312"/>
          <w:color w:val="000000"/>
          <w:kern w:val="2"/>
          <w:sz w:val="32"/>
          <w:szCs w:val="32"/>
        </w:rPr>
        <w:t>辆</w:t>
      </w:r>
      <w:r>
        <w:rPr>
          <w:rFonts w:hint="eastAsia" w:ascii="Times New Roman" w:hAnsi="Times New Roman" w:eastAsia="仿宋_GB2312"/>
          <w:sz w:val="32"/>
          <w:szCs w:val="32"/>
        </w:rPr>
        <w:t>。</w:t>
      </w:r>
    </w:p>
    <w:p>
      <w:pPr>
        <w:pStyle w:val="9"/>
        <w:spacing w:line="600" w:lineRule="exact"/>
        <w:ind w:firstLine="640" w:firstLineChars="200"/>
        <w:jc w:val="both"/>
        <w:rPr>
          <w:rFonts w:ascii="仿宋_GB2312" w:hAnsi="仿宋_GB2312" w:eastAsia="仿宋_GB2312" w:cs="仿宋_GB2312"/>
          <w:sz w:val="32"/>
          <w:szCs w:val="32"/>
        </w:rPr>
      </w:pPr>
      <w:r>
        <w:rPr>
          <w:rFonts w:hint="eastAsia" w:hAnsi="黑体"/>
          <w:bCs/>
          <w:sz w:val="32"/>
          <w:szCs w:val="32"/>
        </w:rPr>
        <w:t>八、政府性基金预算收入支出决算情况</w:t>
      </w:r>
    </w:p>
    <w:p>
      <w:pPr>
        <w:pStyle w:val="9"/>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cstheme="minorBidi"/>
          <w:color w:val="auto"/>
          <w:kern w:val="2"/>
          <w:sz w:val="32"/>
          <w:szCs w:val="32"/>
          <w:lang w:val="en-US" w:eastAsia="zh-CN" w:bidi="ar-SA"/>
        </w:rPr>
        <w:t>本单位无政府性基金收支。</w:t>
      </w:r>
    </w:p>
    <w:p>
      <w:pPr>
        <w:pStyle w:val="9"/>
        <w:spacing w:line="600" w:lineRule="exact"/>
        <w:ind w:firstLine="640" w:firstLineChars="200"/>
        <w:jc w:val="both"/>
        <w:rPr>
          <w:rFonts w:hAnsi="黑体"/>
          <w:b/>
          <w:sz w:val="32"/>
          <w:szCs w:val="32"/>
        </w:rPr>
      </w:pPr>
      <w:r>
        <w:rPr>
          <w:rFonts w:hint="eastAsia" w:hAnsi="黑体"/>
          <w:b/>
          <w:sz w:val="32"/>
          <w:szCs w:val="32"/>
        </w:rPr>
        <w:t>九、关于机关运行经费支出说明</w:t>
      </w:r>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我单位2022年度</w:t>
      </w:r>
      <w:r>
        <w:rPr>
          <w:rFonts w:hint="eastAsia" w:ascii="Times New Roman" w:hAnsi="Times New Roman" w:eastAsia="仿宋_GB2312"/>
          <w:sz w:val="32"/>
          <w:szCs w:val="32"/>
          <w:lang w:val="en-US" w:eastAsia="zh-CN"/>
        </w:rPr>
        <w:t>无</w:t>
      </w:r>
      <w:r>
        <w:rPr>
          <w:rFonts w:hint="eastAsia" w:ascii="Times New Roman" w:hAnsi="Times New Roman" w:eastAsia="仿宋_GB2312"/>
          <w:sz w:val="32"/>
          <w:szCs w:val="32"/>
        </w:rPr>
        <w:t>机关运行经费。</w:t>
      </w:r>
    </w:p>
    <w:p>
      <w:pPr>
        <w:pStyle w:val="9"/>
        <w:spacing w:line="600" w:lineRule="exact"/>
        <w:ind w:firstLine="640" w:firstLineChars="200"/>
        <w:jc w:val="both"/>
        <w:rPr>
          <w:rFonts w:hAnsi="黑体"/>
          <w:bCs/>
          <w:sz w:val="32"/>
          <w:szCs w:val="32"/>
        </w:rPr>
      </w:pPr>
      <w:r>
        <w:rPr>
          <w:rFonts w:hint="eastAsia" w:hAnsi="黑体"/>
          <w:bCs/>
          <w:sz w:val="32"/>
          <w:szCs w:val="32"/>
        </w:rPr>
        <w:t>十、一般性支出情况说明</w:t>
      </w:r>
    </w:p>
    <w:p>
      <w:pPr>
        <w:pStyle w:val="9"/>
        <w:spacing w:line="600" w:lineRule="exact"/>
        <w:ind w:firstLine="640" w:firstLineChars="200"/>
        <w:jc w:val="both"/>
        <w:rPr>
          <w:rFonts w:ascii="楷体" w:hAnsi="楷体" w:eastAsia="楷体" w:cs="楷体"/>
          <w:b/>
          <w:bCs/>
          <w:i/>
          <w:color w:val="auto"/>
          <w:sz w:val="32"/>
          <w:szCs w:val="32"/>
        </w:rPr>
      </w:pPr>
      <w:r>
        <w:rPr>
          <w:rFonts w:hint="eastAsia" w:ascii="Times New Roman" w:hAnsi="Times New Roman" w:eastAsia="仿宋_GB2312"/>
          <w:color w:val="auto"/>
          <w:sz w:val="32"/>
          <w:szCs w:val="32"/>
        </w:rPr>
        <w:t>2022年我单位开支会议费0.18万元，用于召开2022年上半年非洲猪瘟等重大动物疫病形势分析研讨会，人数27人，内容为对全省2022年度非洲猪瘟等重大动物疫病流行趋势研判及疫病防控技术研讨；开支培训费12.08万元，具体明细如下：1.</w:t>
      </w:r>
      <w:r>
        <w:rPr>
          <w:rFonts w:hint="eastAsia" w:ascii="仿宋_GB2312" w:hAnsi="仿宋_GB2312" w:eastAsia="仿宋_GB2312" w:cs="仿宋_GB2312"/>
          <w:color w:val="auto"/>
          <w:sz w:val="32"/>
          <w:szCs w:val="32"/>
        </w:rPr>
        <w:t>2022年全省动物疫情测报培训班，支出</w:t>
      </w:r>
      <w:r>
        <w:rPr>
          <w:rFonts w:ascii="仿宋_GB2312" w:hAnsi="仿宋_GB2312" w:eastAsia="仿宋_GB2312" w:cs="仿宋_GB2312"/>
          <w:color w:val="auto"/>
          <w:sz w:val="32"/>
          <w:szCs w:val="32"/>
        </w:rPr>
        <w:t>1.75万元，参加培训人数40人</w:t>
      </w:r>
      <w:r>
        <w:rPr>
          <w:rFonts w:hint="eastAsia" w:ascii="仿宋_GB2312" w:hAnsi="仿宋_GB2312" w:eastAsia="仿宋_GB2312" w:cs="仿宋_GB2312"/>
          <w:color w:val="auto"/>
          <w:sz w:val="32"/>
          <w:szCs w:val="32"/>
        </w:rPr>
        <w:t>，</w:t>
      </w:r>
      <w:r>
        <w:rPr>
          <w:rFonts w:hint="eastAsia" w:ascii="Times New Roman" w:hAnsi="Times New Roman" w:eastAsia="仿宋_GB2312"/>
          <w:color w:val="auto"/>
          <w:sz w:val="32"/>
          <w:szCs w:val="32"/>
        </w:rPr>
        <w:t>内容为对动物疫情测报工作及报表填报进行培训</w:t>
      </w:r>
      <w:r>
        <w:rPr>
          <w:rFonts w:hint="eastAsia" w:ascii="仿宋_GB2312" w:hAnsi="仿宋_GB2312" w:eastAsia="仿宋_GB2312" w:cs="仿宋_GB2312"/>
          <w:color w:val="auto"/>
          <w:sz w:val="32"/>
          <w:szCs w:val="32"/>
        </w:rPr>
        <w:t>；2</w:t>
      </w:r>
      <w:r>
        <w:rPr>
          <w:rFonts w:hint="eastAsia" w:ascii="Times New Roman" w:hAnsi="Times New Roman" w:eastAsia="仿宋_GB2312"/>
          <w:color w:val="auto"/>
          <w:sz w:val="32"/>
          <w:szCs w:val="32"/>
        </w:rPr>
        <w:t>.</w:t>
      </w:r>
      <w:r>
        <w:rPr>
          <w:rFonts w:hint="eastAsia" w:ascii="仿宋_GB2312" w:hAnsi="仿宋_GB2312" w:eastAsia="仿宋_GB2312" w:cs="仿宋_GB2312"/>
          <w:color w:val="auto"/>
          <w:sz w:val="32"/>
          <w:szCs w:val="32"/>
        </w:rPr>
        <w:t>2022年全省动物疫病监测与流行病学调查工作培训班</w:t>
      </w:r>
      <w:r>
        <w:rPr>
          <w:rFonts w:hint="eastAsia" w:ascii="Times New Roman" w:hAnsi="Times New Roman" w:eastAsia="仿宋_GB2312"/>
          <w:color w:val="auto"/>
          <w:sz w:val="32"/>
          <w:szCs w:val="32"/>
        </w:rPr>
        <w:t>，支出</w:t>
      </w:r>
      <w:r>
        <w:rPr>
          <w:rFonts w:ascii="Times New Roman" w:hAnsi="Times New Roman" w:eastAsia="仿宋_GB2312"/>
          <w:color w:val="auto"/>
          <w:sz w:val="32"/>
          <w:szCs w:val="32"/>
        </w:rPr>
        <w:t>3.40</w:t>
      </w:r>
      <w:r>
        <w:rPr>
          <w:rFonts w:hint="eastAsia" w:ascii="Times New Roman" w:hAnsi="Times New Roman" w:eastAsia="仿宋_GB2312"/>
          <w:color w:val="auto"/>
          <w:sz w:val="32"/>
          <w:szCs w:val="32"/>
        </w:rPr>
        <w:t>万元，参加培训人数</w:t>
      </w:r>
      <w:r>
        <w:rPr>
          <w:rFonts w:ascii="Times New Roman" w:hAnsi="Times New Roman" w:eastAsia="仿宋_GB2312"/>
          <w:color w:val="auto"/>
          <w:sz w:val="32"/>
          <w:szCs w:val="32"/>
        </w:rPr>
        <w:t>49</w:t>
      </w:r>
      <w:r>
        <w:rPr>
          <w:rFonts w:hint="eastAsia" w:ascii="Times New Roman" w:hAnsi="Times New Roman" w:eastAsia="仿宋_GB2312"/>
          <w:color w:val="auto"/>
          <w:sz w:val="32"/>
          <w:szCs w:val="32"/>
        </w:rPr>
        <w:t>人，内容为对全省14个市州疫控中心人员开展监测与流调专项培训；3.2022年全省动物疫病净化评估工作培训班，支出</w:t>
      </w:r>
      <w:r>
        <w:rPr>
          <w:rFonts w:ascii="Times New Roman" w:hAnsi="Times New Roman" w:eastAsia="仿宋_GB2312"/>
          <w:color w:val="auto"/>
          <w:sz w:val="32"/>
          <w:szCs w:val="32"/>
        </w:rPr>
        <w:t>3.90</w:t>
      </w:r>
      <w:r>
        <w:rPr>
          <w:rFonts w:hint="eastAsia" w:ascii="Times New Roman" w:hAnsi="Times New Roman" w:eastAsia="仿宋_GB2312"/>
          <w:color w:val="auto"/>
          <w:sz w:val="32"/>
          <w:szCs w:val="32"/>
        </w:rPr>
        <w:t>万元，参加培训人数</w:t>
      </w:r>
      <w:r>
        <w:rPr>
          <w:rFonts w:ascii="Times New Roman" w:hAnsi="Times New Roman" w:eastAsia="仿宋_GB2312"/>
          <w:color w:val="auto"/>
          <w:sz w:val="32"/>
          <w:szCs w:val="32"/>
        </w:rPr>
        <w:t>83</w:t>
      </w:r>
      <w:r>
        <w:rPr>
          <w:rFonts w:hint="eastAsia" w:ascii="Times New Roman" w:hAnsi="Times New Roman" w:eastAsia="仿宋_GB2312"/>
          <w:color w:val="auto"/>
          <w:sz w:val="32"/>
          <w:szCs w:val="32"/>
        </w:rPr>
        <w:t>人，内容为对市州疫控中心等人员开展动物疫病净化场评估专题培训；4.2022年全省兽医实验室考核专家培训班，支出</w:t>
      </w:r>
      <w:r>
        <w:rPr>
          <w:rFonts w:ascii="Times New Roman" w:hAnsi="Times New Roman" w:eastAsia="仿宋_GB2312"/>
          <w:color w:val="auto"/>
          <w:sz w:val="32"/>
          <w:szCs w:val="32"/>
        </w:rPr>
        <w:t>2.03</w:t>
      </w:r>
      <w:r>
        <w:rPr>
          <w:rFonts w:hint="eastAsia" w:ascii="Times New Roman" w:hAnsi="Times New Roman" w:eastAsia="仿宋_GB2312"/>
          <w:color w:val="auto"/>
          <w:sz w:val="32"/>
          <w:szCs w:val="32"/>
        </w:rPr>
        <w:t>万元，参加培训人数</w:t>
      </w:r>
      <w:r>
        <w:rPr>
          <w:rFonts w:ascii="Times New Roman" w:hAnsi="Times New Roman" w:eastAsia="仿宋_GB2312"/>
          <w:color w:val="auto"/>
          <w:sz w:val="32"/>
          <w:szCs w:val="32"/>
        </w:rPr>
        <w:t>72</w:t>
      </w:r>
      <w:r>
        <w:rPr>
          <w:rFonts w:hint="eastAsia" w:ascii="Times New Roman" w:hAnsi="Times New Roman" w:eastAsia="仿宋_GB2312"/>
          <w:color w:val="auto"/>
          <w:sz w:val="32"/>
          <w:szCs w:val="32"/>
        </w:rPr>
        <w:t>人，内容为对各市州在职在岗的省兽医实验室考核专家开展专项培训；5.2022年全省布鲁氏菌病防控技术培训班，支出</w:t>
      </w:r>
      <w:r>
        <w:rPr>
          <w:rFonts w:ascii="Times New Roman" w:hAnsi="Times New Roman" w:eastAsia="仿宋_GB2312"/>
          <w:color w:val="auto"/>
          <w:sz w:val="32"/>
          <w:szCs w:val="32"/>
        </w:rPr>
        <w:t>1.00</w:t>
      </w:r>
      <w:r>
        <w:rPr>
          <w:rFonts w:hint="eastAsia" w:ascii="Times New Roman" w:hAnsi="Times New Roman" w:eastAsia="仿宋_GB2312"/>
          <w:color w:val="auto"/>
          <w:sz w:val="32"/>
          <w:szCs w:val="32"/>
        </w:rPr>
        <w:t>万元，参加培训人数</w:t>
      </w:r>
      <w:r>
        <w:rPr>
          <w:rFonts w:ascii="Times New Roman" w:hAnsi="Times New Roman" w:eastAsia="仿宋_GB2312"/>
          <w:color w:val="auto"/>
          <w:sz w:val="32"/>
          <w:szCs w:val="32"/>
        </w:rPr>
        <w:t>52</w:t>
      </w:r>
      <w:r>
        <w:rPr>
          <w:rFonts w:hint="eastAsia" w:ascii="Times New Roman" w:hAnsi="Times New Roman" w:eastAsia="仿宋_GB2312"/>
          <w:color w:val="auto"/>
          <w:sz w:val="32"/>
          <w:szCs w:val="32"/>
        </w:rPr>
        <w:t>人，内容为对各市州疫控中心人员开展布鲁氏菌病防控技术培训。6.承办第五届全国农业行业职业技能大赛湖南省选拔赛</w:t>
      </w:r>
      <w:r>
        <w:rPr>
          <w:rFonts w:hint="eastAsia" w:ascii="微软雅黑" w:hAnsi="微软雅黑" w:eastAsia="微软雅黑" w:cs="微软雅黑"/>
          <w:color w:val="auto"/>
          <w:sz w:val="32"/>
          <w:szCs w:val="32"/>
        </w:rPr>
        <w:t>•</w:t>
      </w:r>
      <w:r>
        <w:rPr>
          <w:rFonts w:hint="eastAsia" w:ascii="Times New Roman" w:hAnsi="Times New Roman" w:eastAsia="仿宋_GB2312"/>
          <w:color w:val="auto"/>
          <w:sz w:val="32"/>
          <w:szCs w:val="32"/>
        </w:rPr>
        <w:t>2022年湖南省兽医化验员暨动物疫病防治员职业技能竞赛活动，开支49.58万元，主要是用于技能大赛开闭幕式、技能竞赛赛事操作</w:t>
      </w:r>
      <w:r>
        <w:rPr>
          <w:rFonts w:hint="eastAsia" w:ascii="Times New Roman" w:hAnsi="Times New Roman" w:eastAsia="仿宋_GB2312"/>
          <w:sz w:val="32"/>
          <w:szCs w:val="32"/>
        </w:rPr>
        <w:t>现场服务费、购买比赛所需实验动物及获胜选手集中集训等费用。</w:t>
      </w:r>
    </w:p>
    <w:p>
      <w:pPr>
        <w:pStyle w:val="9"/>
        <w:spacing w:line="600" w:lineRule="exact"/>
        <w:ind w:firstLine="640" w:firstLineChars="200"/>
        <w:jc w:val="both"/>
        <w:rPr>
          <w:rFonts w:hAnsi="黑体"/>
          <w:bCs/>
          <w:sz w:val="32"/>
          <w:szCs w:val="32"/>
        </w:rPr>
      </w:pPr>
      <w:r>
        <w:rPr>
          <w:rFonts w:hint="eastAsia" w:hAnsi="黑体"/>
          <w:bCs/>
          <w:sz w:val="32"/>
          <w:szCs w:val="32"/>
        </w:rPr>
        <w:t>十一、关于政府采购支出说明</w:t>
      </w:r>
    </w:p>
    <w:p>
      <w:pPr>
        <w:pStyle w:val="9"/>
        <w:spacing w:line="600" w:lineRule="exact"/>
        <w:ind w:firstLine="640" w:firstLineChars="200"/>
        <w:jc w:val="both"/>
        <w:rPr>
          <w:rFonts w:ascii="楷体" w:hAnsi="楷体" w:eastAsia="楷体" w:cs="楷体"/>
          <w:b/>
          <w:bCs/>
          <w:i/>
          <w:color w:val="auto"/>
          <w:sz w:val="32"/>
          <w:szCs w:val="32"/>
        </w:rPr>
      </w:pPr>
      <w:r>
        <w:rPr>
          <w:rFonts w:hint="eastAsia" w:ascii="Times New Roman" w:hAnsi="Times New Roman" w:eastAsia="仿宋_GB2312"/>
          <w:sz w:val="32"/>
          <w:szCs w:val="32"/>
        </w:rPr>
        <w:t>我单位2022年度政府采购支出总额633.69万元，其中：政府采购货物支出633.69万元、政府采购工程支出0万元、政府采购服务支出0万元。授予中小企业合同金额53.70万元，占政府采购支出总额的8.5</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%，其中：授予小微企业合同金额0万元，占政府采购支出总额的0%。货物采购授予中小企业合同金额占货物支出金额的</w:t>
      </w:r>
      <w:r>
        <w:rPr>
          <w:rFonts w:hint="eastAsia" w:ascii="Times New Roman" w:hAnsi="Times New Roman" w:eastAsia="仿宋_GB2312"/>
          <w:sz w:val="32"/>
          <w:szCs w:val="32"/>
          <w:lang w:val="en-US" w:eastAsia="zh-CN"/>
        </w:rPr>
        <w:t>8.5</w:t>
      </w:r>
      <w:r>
        <w:rPr>
          <w:rFonts w:hint="eastAsia" w:ascii="Times New Roman" w:hAnsi="Times New Roman" w:eastAsia="仿宋_GB2312"/>
          <w:sz w:val="32"/>
          <w:szCs w:val="32"/>
        </w:rPr>
        <w:t>%。</w:t>
      </w:r>
    </w:p>
    <w:p>
      <w:pPr>
        <w:pStyle w:val="9"/>
        <w:spacing w:line="600" w:lineRule="exact"/>
        <w:ind w:firstLine="640" w:firstLineChars="200"/>
        <w:jc w:val="both"/>
        <w:rPr>
          <w:rFonts w:hAnsi="黑体"/>
          <w:bCs/>
          <w:sz w:val="32"/>
          <w:szCs w:val="32"/>
        </w:rPr>
      </w:pPr>
      <w:r>
        <w:rPr>
          <w:rFonts w:hint="eastAsia" w:hAnsi="黑体"/>
          <w:bCs/>
          <w:sz w:val="32"/>
          <w:szCs w:val="32"/>
        </w:rPr>
        <w:t>十二、关于国有资产占用情况说明</w:t>
      </w:r>
      <w:bookmarkStart w:id="1" w:name="_GoBack"/>
      <w:bookmarkEnd w:id="1"/>
    </w:p>
    <w:p>
      <w:pPr>
        <w:pStyle w:val="9"/>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2辆，其中，主要领导干部用车0辆，机要通信用车0辆、应急保障用车0辆、执法执勤用车0辆、特种专业技术用车1辆、其他用车1辆，其他用车主要是按规定配置的一般公务用车；单位价值50万元以上通用设备2台（套）；单位价值100万元以上专用设备0台（套）。</w:t>
      </w:r>
    </w:p>
    <w:p>
      <w:pPr>
        <w:pStyle w:val="9"/>
        <w:spacing w:line="600" w:lineRule="exact"/>
        <w:ind w:firstLine="640" w:firstLineChars="200"/>
        <w:jc w:val="both"/>
        <w:rPr>
          <w:rFonts w:hAnsi="黑体"/>
          <w:bCs/>
          <w:sz w:val="32"/>
          <w:szCs w:val="32"/>
        </w:rPr>
      </w:pPr>
      <w:r>
        <w:rPr>
          <w:rFonts w:hint="eastAsia" w:hAnsi="黑体"/>
          <w:bCs/>
          <w:sz w:val="32"/>
          <w:szCs w:val="32"/>
        </w:rPr>
        <w:t>十三、关于</w:t>
      </w:r>
      <w:r>
        <w:rPr>
          <w:rFonts w:hint="eastAsia" w:hAnsi="黑体"/>
          <w:sz w:val="32"/>
          <w:szCs w:val="32"/>
        </w:rPr>
        <w:t>2022</w:t>
      </w:r>
      <w:r>
        <w:rPr>
          <w:rFonts w:hint="eastAsia" w:hAnsi="黑体"/>
          <w:bCs/>
          <w:sz w:val="32"/>
          <w:szCs w:val="32"/>
        </w:rPr>
        <w:t>年度预算绩效情况的说明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（一）部门整体支出绩效情况</w:t>
      </w:r>
    </w:p>
    <w:p>
      <w:pPr>
        <w:pStyle w:val="6"/>
        <w:spacing w:line="600" w:lineRule="exact"/>
        <w:ind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1</w:t>
      </w:r>
      <w:r>
        <w:rPr>
          <w:rFonts w:hint="eastAsia" w:ascii="Times New Roman" w:hAnsi="Times New Roman" w:eastAsia="仿宋_GB2312" w:cs="仿宋_GB2312"/>
          <w:bCs/>
          <w:kern w:val="0"/>
          <w:sz w:val="32"/>
          <w:szCs w:val="32"/>
        </w:rPr>
        <w:t>、运行成本方面。</w:t>
      </w:r>
    </w:p>
    <w:p>
      <w:pPr>
        <w:pStyle w:val="6"/>
        <w:spacing w:line="600" w:lineRule="exact"/>
        <w:ind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1）2022年我单位进一步规范管理，建立健全各项管理制度，组织修订了《湖南省动物疫病预防控制中心财务管理办法》及《湖南省动物疫病预防控制中心固定资产管理办法》等内部管理制度。中心日常工作均在制度的管控范围内有序开展，为各项工作合规高效进行提供了有利的制度保障。同时积极响应政府过“紧日子”的号召，严控各项费用，减少不必要的支出。</w:t>
      </w:r>
    </w:p>
    <w:p>
      <w:pPr>
        <w:pStyle w:val="6"/>
        <w:spacing w:line="600" w:lineRule="exact"/>
        <w:ind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（2）2022年中心公用经费支出105.08万元，公用经费控制率为90.80%；“三公”经费全年预算安排10.80万元，实际支出10.15万元，支出控制率为93.98%，比预算减少支出0.65万元。</w:t>
      </w:r>
    </w:p>
    <w:p>
      <w:pPr>
        <w:pStyle w:val="6"/>
        <w:spacing w:line="600" w:lineRule="exact"/>
        <w:ind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、管理效率方面。</w:t>
      </w:r>
    </w:p>
    <w:p>
      <w:pPr>
        <w:pStyle w:val="6"/>
        <w:spacing w:line="600" w:lineRule="exact"/>
        <w:ind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2022年部门财政拨款收入1857.68万元，其中：基本支出689.18万元，占预算总额的37.10%；项目支出1178.50万元，占预算总额的62.90%。</w:t>
      </w:r>
    </w:p>
    <w:p>
      <w:pPr>
        <w:pStyle w:val="6"/>
        <w:spacing w:line="600" w:lineRule="exact"/>
        <w:ind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2022年</w:t>
      </w:r>
      <w:r>
        <w:rPr>
          <w:rFonts w:hint="eastAsia" w:ascii="Times New Roman" w:hAnsi="Times New Roman" w:eastAsia="仿宋_GB2312" w:cs="仿宋_GB2312"/>
          <w:bCs/>
          <w:kern w:val="0"/>
          <w:sz w:val="32"/>
          <w:szCs w:val="32"/>
        </w:rPr>
        <w:t>事业支出</w:t>
      </w:r>
      <w:r>
        <w:rPr>
          <w:rFonts w:hint="eastAsia" w:ascii="Times New Roman" w:hAnsi="Times New Roman" w:eastAsia="仿宋_GB2312" w:cs="仿宋_GB2312"/>
          <w:bCs/>
          <w:kern w:val="0"/>
          <w:sz w:val="32"/>
          <w:szCs w:val="32"/>
          <w:lang w:eastAsia="zh-CN"/>
        </w:rPr>
        <w:t>总额</w:t>
      </w:r>
      <w:r>
        <w:rPr>
          <w:rFonts w:hint="eastAsia" w:ascii="Times New Roman" w:hAnsi="Times New Roman" w:eastAsia="仿宋_GB2312" w:cs="仿宋_GB2312"/>
          <w:bCs/>
          <w:kern w:val="0"/>
          <w:sz w:val="32"/>
          <w:szCs w:val="32"/>
        </w:rPr>
        <w:t>1613.76万元，其中：基本支出661.02万元，</w:t>
      </w:r>
      <w:r>
        <w:rPr>
          <w:rFonts w:hint="eastAsia" w:ascii="Times New Roman" w:hAnsi="Times New Roman" w:eastAsia="仿宋_GB2312" w:cs="仿宋_GB2312"/>
          <w:bCs/>
          <w:kern w:val="0"/>
          <w:sz w:val="32"/>
          <w:szCs w:val="32"/>
          <w:lang w:eastAsia="zh-CN"/>
        </w:rPr>
        <w:t>该项目类别</w:t>
      </w:r>
      <w:r>
        <w:rPr>
          <w:rFonts w:hint="eastAsia" w:ascii="Times New Roman" w:hAnsi="Times New Roman" w:eastAsia="仿宋_GB2312" w:cs="仿宋_GB2312"/>
          <w:bCs/>
          <w:kern w:val="0"/>
          <w:sz w:val="32"/>
          <w:szCs w:val="32"/>
        </w:rPr>
        <w:t>预算执行率为95.91%；项目支出952.74万元，</w:t>
      </w:r>
      <w:r>
        <w:rPr>
          <w:rFonts w:hint="eastAsia" w:ascii="Times New Roman" w:hAnsi="Times New Roman" w:eastAsia="仿宋_GB2312" w:cs="仿宋_GB2312"/>
          <w:bCs/>
          <w:kern w:val="0"/>
          <w:sz w:val="32"/>
          <w:szCs w:val="32"/>
          <w:lang w:eastAsia="zh-CN"/>
        </w:rPr>
        <w:t>该项目类别</w:t>
      </w:r>
      <w:r>
        <w:rPr>
          <w:rFonts w:hint="eastAsia" w:ascii="Times New Roman" w:hAnsi="Times New Roman" w:eastAsia="仿宋_GB2312" w:cs="仿宋_GB2312"/>
          <w:bCs/>
          <w:kern w:val="0"/>
          <w:sz w:val="32"/>
          <w:szCs w:val="32"/>
        </w:rPr>
        <w:t>预算执行率为80.84%。</w:t>
      </w:r>
    </w:p>
    <w:p>
      <w:pPr>
        <w:pStyle w:val="6"/>
        <w:widowControl/>
        <w:spacing w:line="600" w:lineRule="exact"/>
        <w:ind w:left="580" w:firstLine="0"/>
        <w:jc w:val="left"/>
        <w:rPr>
          <w:rFonts w:hint="eastAsia" w:ascii="仿宋_GB2312" w:hAnsi="仿宋_GB2312" w:eastAsia="仿宋_GB2312" w:cs="仿宋_GB2312"/>
          <w:sz w:val="32"/>
          <w:szCs w:val="32"/>
        </w:rPr>
      </w:pP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、履职效能和社会效应等方面。</w:t>
      </w:r>
    </w:p>
    <w:p>
      <w:pPr>
        <w:pStyle w:val="6"/>
        <w:widowControl/>
        <w:spacing w:line="600" w:lineRule="exact"/>
        <w:ind w:left="0" w:leftChars="0" w:firstLine="640" w:firstLineChars="200"/>
        <w:jc w:val="left"/>
        <w:rPr>
          <w:rFonts w:ascii="Times New Roman" w:hAnsi="Times New Roman" w:eastAsia="仿宋_GB2312" w:cs="Times New Roman"/>
          <w:color w:val="000000"/>
          <w:sz w:val="32"/>
          <w:szCs w:val="32"/>
        </w:rPr>
      </w:pPr>
      <w:r>
        <w:rPr>
          <w:rFonts w:hint="eastAsia" w:ascii="仿宋_GB2312" w:hAnsi="仿宋_GB2312" w:eastAsia="仿宋_GB2312" w:cs="仿宋_GB2312"/>
          <w:sz w:val="32"/>
          <w:szCs w:val="32"/>
        </w:rPr>
        <w:t>2022年我</w:t>
      </w:r>
      <w:r>
        <w:rPr>
          <w:rFonts w:ascii="Times New Roman" w:hAnsi="Times New Roman" w:eastAsia="仿宋_GB2312" w:cs="Times New Roman"/>
          <w:kern w:val="0"/>
          <w:sz w:val="32"/>
          <w:szCs w:val="32"/>
        </w:rPr>
        <w:t>中心在厅党组的坚强领导下，在厅机关相关处室和</w:t>
      </w:r>
      <w:r>
        <w:rPr>
          <w:rFonts w:hint="eastAsia" w:ascii="Times New Roman" w:hAnsi="Times New Roman" w:eastAsia="仿宋_GB2312" w:cs="Times New Roman"/>
          <w:kern w:val="0"/>
          <w:sz w:val="32"/>
          <w:szCs w:val="32"/>
        </w:rPr>
        <w:t>单位</w:t>
      </w:r>
      <w:r>
        <w:rPr>
          <w:rFonts w:ascii="Times New Roman" w:hAnsi="Times New Roman" w:eastAsia="仿宋_GB2312" w:cs="Times New Roman"/>
          <w:kern w:val="0"/>
          <w:sz w:val="32"/>
          <w:szCs w:val="32"/>
        </w:rPr>
        <w:t>的</w:t>
      </w:r>
      <w:r>
        <w:rPr>
          <w:rFonts w:hint="eastAsia" w:ascii="Times New Roman" w:hAnsi="Times New Roman" w:eastAsia="仿宋_GB2312" w:cs="Times New Roman"/>
          <w:kern w:val="0"/>
          <w:sz w:val="32"/>
          <w:szCs w:val="32"/>
        </w:rPr>
        <w:t>指导</w:t>
      </w:r>
      <w:r>
        <w:rPr>
          <w:rFonts w:ascii="Times New Roman" w:hAnsi="Times New Roman" w:eastAsia="仿宋_GB2312" w:cs="Times New Roman"/>
          <w:kern w:val="0"/>
          <w:sz w:val="32"/>
          <w:szCs w:val="32"/>
        </w:rPr>
        <w:t>支持下，以习近平新时代中国特色社会主义思想为指导，主动服务优质湘猪工程等重大战略，扛牢产业发展和源头维护公共卫生安全的守护者职责，</w:t>
      </w:r>
      <w:r>
        <w:rPr>
          <w:rFonts w:hint="eastAsia" w:ascii="Times New Roman" w:hAnsi="Times New Roman" w:eastAsia="仿宋_GB2312" w:cs="Times New Roman"/>
          <w:kern w:val="0"/>
          <w:sz w:val="32"/>
          <w:szCs w:val="32"/>
        </w:rPr>
        <w:t>一体</w:t>
      </w:r>
      <w:r>
        <w:rPr>
          <w:rFonts w:ascii="Times New Roman" w:hAnsi="Times New Roman" w:eastAsia="仿宋_GB2312" w:cs="Times New Roman"/>
          <w:kern w:val="0"/>
          <w:sz w:val="32"/>
          <w:szCs w:val="32"/>
        </w:rPr>
        <w:t>精准落实动物疫病监测</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流调、净化消灭等工作措施，有力</w:t>
      </w:r>
      <w:r>
        <w:rPr>
          <w:rFonts w:hint="eastAsia" w:ascii="Times New Roman" w:hAnsi="Times New Roman" w:eastAsia="仿宋_GB2312" w:cs="Times New Roman"/>
          <w:kern w:val="0"/>
          <w:sz w:val="32"/>
          <w:szCs w:val="32"/>
        </w:rPr>
        <w:t>促进</w:t>
      </w:r>
      <w:r>
        <w:rPr>
          <w:rFonts w:ascii="Times New Roman" w:hAnsi="Times New Roman" w:eastAsia="仿宋_GB2312" w:cs="Times New Roman"/>
          <w:kern w:val="0"/>
          <w:sz w:val="32"/>
          <w:szCs w:val="32"/>
        </w:rPr>
        <w:t>了全省</w:t>
      </w:r>
      <w:r>
        <w:rPr>
          <w:rFonts w:hint="eastAsia" w:ascii="Times New Roman" w:hAnsi="Times New Roman" w:eastAsia="仿宋_GB2312" w:cs="Times New Roman"/>
          <w:kern w:val="0"/>
          <w:sz w:val="32"/>
          <w:szCs w:val="32"/>
        </w:rPr>
        <w:t>畜牧业高质量</w:t>
      </w:r>
      <w:r>
        <w:rPr>
          <w:rFonts w:ascii="Times New Roman" w:hAnsi="Times New Roman" w:eastAsia="仿宋_GB2312" w:cs="Times New Roman"/>
          <w:kern w:val="0"/>
          <w:sz w:val="32"/>
          <w:szCs w:val="32"/>
        </w:rPr>
        <w:t>发展，源头维护了公共卫生安全和生物安全。</w:t>
      </w:r>
      <w:r>
        <w:rPr>
          <w:rFonts w:hint="eastAsia" w:ascii="Times New Roman" w:hAnsi="Times New Roman" w:eastAsia="仿宋_GB2312" w:cs="Times New Roman"/>
          <w:kern w:val="0"/>
          <w:sz w:val="32"/>
          <w:szCs w:val="32"/>
        </w:rPr>
        <w:t>中心实验室检测能力、动物疫病报告质量等工作获农业农村部及有关司局通报表扬，单位荣获</w:t>
      </w:r>
      <w:r>
        <w:rPr>
          <w:rFonts w:ascii="Times New Roman" w:hAnsi="Times New Roman" w:eastAsia="仿宋_GB2312" w:cs="Times New Roman"/>
          <w:kern w:val="0"/>
          <w:sz w:val="32"/>
          <w:szCs w:val="32"/>
        </w:rPr>
        <w:t>“2022届省直机关文明标兵单位”“</w:t>
      </w:r>
      <w:r>
        <w:rPr>
          <w:rFonts w:hint="eastAsia" w:ascii="Times New Roman" w:hAnsi="Times New Roman" w:eastAsia="仿宋_GB2312" w:cs="Times New Roman"/>
          <w:kern w:val="0"/>
          <w:sz w:val="32"/>
          <w:szCs w:val="32"/>
        </w:rPr>
        <w:t>厅系统平安建设先进单位</w:t>
      </w:r>
      <w:r>
        <w:rPr>
          <w:rFonts w:ascii="Times New Roman" w:hAnsi="Times New Roman" w:eastAsia="仿宋_GB2312" w:cs="Times New Roman"/>
          <w:kern w:val="0"/>
          <w:sz w:val="32"/>
          <w:szCs w:val="32"/>
        </w:rPr>
        <w:t>”等称号</w:t>
      </w:r>
      <w:r>
        <w:rPr>
          <w:rFonts w:hint="eastAsia" w:ascii="Times New Roman" w:hAnsi="Times New Roman" w:eastAsia="仿宋_GB2312" w:cs="Times New Roman"/>
          <w:kern w:val="0"/>
          <w:sz w:val="32"/>
          <w:szCs w:val="32"/>
        </w:rPr>
        <w:t>。</w:t>
      </w:r>
    </w:p>
    <w:p>
      <w:pPr>
        <w:pStyle w:val="6"/>
        <w:spacing w:line="600" w:lineRule="exact"/>
        <w:ind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（二）存在的问题及原因分析</w:t>
      </w:r>
    </w:p>
    <w:p>
      <w:pPr>
        <w:widowControl/>
        <w:spacing w:line="600" w:lineRule="exact"/>
        <w:ind w:firstLine="645"/>
        <w:jc w:val="left"/>
        <w:rPr>
          <w:rStyle w:val="8"/>
          <w:rFonts w:hint="eastAsia" w:ascii="仿宋_GB2312" w:hAnsi="Times New Roman" w:eastAsia="仿宋_GB2312" w:cs="Times New Roman"/>
          <w:kern w:val="0"/>
          <w:sz w:val="32"/>
          <w:szCs w:val="32"/>
        </w:rPr>
      </w:pPr>
      <w:r>
        <w:rPr>
          <w:rStyle w:val="8"/>
          <w:rFonts w:hint="eastAsia" w:ascii="仿宋_GB2312" w:hAnsi="Times New Roman" w:eastAsia="仿宋_GB2312" w:cs="Times New Roman"/>
          <w:kern w:val="0"/>
          <w:sz w:val="32"/>
          <w:szCs w:val="32"/>
        </w:rPr>
        <w:t>2022年预算执行率为86%，执行率有待进一步提高。原因主要为：</w:t>
      </w:r>
      <w:r>
        <w:rPr>
          <w:rFonts w:hint="eastAsia" w:ascii="仿宋_GB2312" w:hAnsi="Times New Roman" w:eastAsia="仿宋_GB2312" w:cs="Times New Roman"/>
          <w:kern w:val="0"/>
          <w:sz w:val="32"/>
          <w:szCs w:val="32"/>
        </w:rPr>
        <w:t>一</w:t>
      </w:r>
      <w:r>
        <w:rPr>
          <w:rStyle w:val="8"/>
          <w:rFonts w:hint="eastAsia" w:ascii="仿宋_GB2312" w:hAnsi="Times New Roman" w:eastAsia="仿宋_GB2312" w:cs="Times New Roman"/>
          <w:kern w:val="0"/>
          <w:sz w:val="32"/>
          <w:szCs w:val="32"/>
        </w:rPr>
        <w:t>是因事业单位改革等原因，绩效奖发放等相关文件未出台，</w:t>
      </w:r>
      <w:r>
        <w:rPr>
          <w:rFonts w:hint="eastAsia" w:ascii="仿宋_GB2312" w:hAnsi="Times New Roman" w:eastAsia="仿宋_GB2312" w:cs="Times New Roman"/>
          <w:kern w:val="0"/>
          <w:sz w:val="32"/>
          <w:szCs w:val="32"/>
        </w:rPr>
        <w:t>导致</w:t>
      </w:r>
      <w:r>
        <w:rPr>
          <w:rStyle w:val="8"/>
          <w:rFonts w:hint="eastAsia" w:ascii="仿宋_GB2312" w:hAnsi="Times New Roman" w:eastAsia="仿宋_GB2312" w:cs="Times New Roman"/>
          <w:kern w:val="0"/>
          <w:sz w:val="32"/>
          <w:szCs w:val="32"/>
        </w:rPr>
        <w:t>单位职工绩效奖未发放，造成人员经费结余。</w:t>
      </w:r>
      <w:r>
        <w:rPr>
          <w:rFonts w:hint="eastAsia" w:ascii="仿宋_GB2312" w:hAnsi="Times New Roman" w:eastAsia="仿宋_GB2312" w:cs="Times New Roman"/>
          <w:kern w:val="0"/>
          <w:sz w:val="32"/>
          <w:szCs w:val="32"/>
        </w:rPr>
        <w:t>二</w:t>
      </w:r>
      <w:r>
        <w:rPr>
          <w:rStyle w:val="8"/>
          <w:rFonts w:hint="eastAsia" w:ascii="仿宋_GB2312" w:hAnsi="Times New Roman" w:eastAsia="仿宋_GB2312" w:cs="Times New Roman"/>
          <w:kern w:val="0"/>
          <w:sz w:val="32"/>
          <w:szCs w:val="32"/>
        </w:rPr>
        <w:t>是因疫情等原因影响，我单位部分培训计划及研讨分析会改为线上举办或者取消，</w:t>
      </w:r>
      <w:r>
        <w:rPr>
          <w:rFonts w:hint="eastAsia" w:ascii="仿宋_GB2312" w:hAnsi="Times New Roman" w:eastAsia="仿宋_GB2312" w:cs="Times New Roman"/>
          <w:kern w:val="0"/>
          <w:sz w:val="32"/>
          <w:szCs w:val="32"/>
        </w:rPr>
        <w:t>出现</w:t>
      </w:r>
      <w:r>
        <w:rPr>
          <w:rStyle w:val="8"/>
          <w:rFonts w:hint="eastAsia" w:ascii="仿宋_GB2312" w:hAnsi="Times New Roman" w:eastAsia="仿宋_GB2312" w:cs="Times New Roman"/>
          <w:kern w:val="0"/>
          <w:sz w:val="32"/>
          <w:szCs w:val="32"/>
        </w:rPr>
        <w:t>培训费、会议费结余。</w:t>
      </w:r>
      <w:r>
        <w:rPr>
          <w:rFonts w:hint="eastAsia" w:ascii="仿宋_GB2312" w:hAnsi="Times New Roman" w:eastAsia="仿宋_GB2312" w:cs="Times New Roman"/>
          <w:kern w:val="0"/>
          <w:sz w:val="32"/>
          <w:szCs w:val="32"/>
        </w:rPr>
        <w:t>三</w:t>
      </w:r>
      <w:r>
        <w:rPr>
          <w:rStyle w:val="8"/>
          <w:rFonts w:hint="eastAsia" w:ascii="仿宋_GB2312" w:hAnsi="Times New Roman" w:eastAsia="仿宋_GB2312" w:cs="Times New Roman"/>
          <w:kern w:val="0"/>
          <w:sz w:val="32"/>
          <w:szCs w:val="32"/>
        </w:rPr>
        <w:t>是因疫情等原因影响，我单位部分现场采样、评估及考核工作改变方式，通过委托地市采样邮寄样品及提供电子版资料、现场视频评估和考核等方式，完成相关工作，</w:t>
      </w:r>
      <w:r>
        <w:rPr>
          <w:rFonts w:hint="eastAsia" w:ascii="仿宋_GB2312" w:hAnsi="Times New Roman" w:eastAsia="仿宋_GB2312" w:cs="Times New Roman"/>
          <w:kern w:val="0"/>
          <w:sz w:val="32"/>
          <w:szCs w:val="32"/>
        </w:rPr>
        <w:t>出现</w:t>
      </w:r>
      <w:r>
        <w:rPr>
          <w:rStyle w:val="8"/>
          <w:rFonts w:hint="eastAsia" w:ascii="仿宋_GB2312" w:hAnsi="Times New Roman" w:eastAsia="仿宋_GB2312" w:cs="Times New Roman"/>
          <w:kern w:val="0"/>
          <w:sz w:val="32"/>
          <w:szCs w:val="32"/>
        </w:rPr>
        <w:t>差旅费结余。</w:t>
      </w:r>
      <w:r>
        <w:rPr>
          <w:rFonts w:hint="eastAsia" w:ascii="仿宋_GB2312" w:hAnsi="Times New Roman" w:eastAsia="仿宋_GB2312" w:cs="Times New Roman"/>
          <w:kern w:val="0"/>
          <w:sz w:val="32"/>
          <w:szCs w:val="32"/>
        </w:rPr>
        <w:t>四是</w:t>
      </w:r>
      <w:r>
        <w:rPr>
          <w:rStyle w:val="8"/>
          <w:rFonts w:hint="eastAsia" w:ascii="仿宋_GB2312" w:hAnsi="Times New Roman" w:eastAsia="仿宋_GB2312" w:cs="Times New Roman"/>
          <w:kern w:val="0"/>
          <w:sz w:val="32"/>
          <w:szCs w:val="32"/>
        </w:rPr>
        <w:t>专用设备采购项目，从实用性、长远性原则出发，前期立项审批及调研时间较长，影响设备采购进度，影响付款进度，专项经费结余。</w:t>
      </w:r>
    </w:p>
    <w:p>
      <w:pPr>
        <w:pStyle w:val="6"/>
        <w:spacing w:line="600" w:lineRule="exact"/>
        <w:ind w:firstLine="640"/>
        <w:rPr>
          <w:rStyle w:val="11"/>
          <w:rFonts w:hint="eastAsia" w:eastAsia="仿宋_GB2312" w:cs="仿宋_GB2312"/>
          <w:sz w:val="32"/>
          <w:szCs w:val="32"/>
          <w:lang w:val="en-US" w:eastAsia="zh-CN"/>
        </w:rPr>
      </w:pPr>
      <w:r>
        <w:rPr>
          <w:rStyle w:val="11"/>
          <w:rFonts w:hint="eastAsia" w:eastAsia="仿宋_GB2312" w:cs="仿宋_GB2312"/>
          <w:sz w:val="32"/>
          <w:szCs w:val="32"/>
        </w:rPr>
        <w:t>下一步改进措施：一是计财科定期做好预算执行情况跟踪分析，实时督促各科室加快资金使用进度，进一步提高预算执行率。</w:t>
      </w:r>
      <w:r>
        <w:rPr>
          <w:rStyle w:val="11"/>
          <w:rFonts w:hint="eastAsia" w:eastAsia="仿宋_GB2312" w:cs="仿宋_GB2312"/>
          <w:sz w:val="32"/>
          <w:szCs w:val="32"/>
          <w:lang w:val="en-US" w:eastAsia="zh-CN"/>
        </w:rPr>
        <w:t xml:space="preserve">    </w:t>
      </w:r>
    </w:p>
    <w:p>
      <w:pPr>
        <w:pStyle w:val="6"/>
        <w:spacing w:line="600" w:lineRule="exact"/>
        <w:ind w:left="0" w:leftChars="0" w:firstLine="0" w:firstLineChars="0"/>
        <w:rPr>
          <w:rStyle w:val="11"/>
          <w:rFonts w:eastAsia="仿宋_GB2312" w:cs="仿宋_GB2312"/>
          <w:sz w:val="32"/>
          <w:szCs w:val="32"/>
        </w:rPr>
      </w:pPr>
      <w:r>
        <w:rPr>
          <w:rStyle w:val="11"/>
          <w:rFonts w:hint="eastAsia" w:eastAsia="仿宋_GB2312" w:cs="仿宋_GB2312"/>
          <w:sz w:val="32"/>
          <w:szCs w:val="32"/>
        </w:rPr>
        <w:t>二是进一步细化人员经费预算，多与上级人事、计财部门沟通汇报，在编制部门预算时，尽量做到人员经费有保障的前提下，减少预算结余。三是对于周期长的项目，争取早计划、早开展相关工作，做到项目完成后及时付款。</w:t>
      </w:r>
    </w:p>
    <w:p>
      <w:pPr>
        <w:rPr>
          <w:rFonts w:ascii="仿宋_GB2312" w:hAnsi="仿宋_GB2312" w:eastAsia="仿宋_GB2312" w:cs="仿宋_GB2312"/>
          <w:sz w:val="32"/>
          <w:szCs w:val="32"/>
        </w:rPr>
      </w:pPr>
    </w:p>
    <w:p>
      <w:pPr>
        <w:pStyle w:val="9"/>
        <w:jc w:val="both"/>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rFonts w:ascii="方正小标宋_GBK" w:hAnsi="方正小标宋_GBK" w:eastAsia="方正小标宋_GBK" w:cs="方正小标宋_GBK"/>
          <w:sz w:val="72"/>
          <w:szCs w:val="72"/>
        </w:rPr>
      </w:pPr>
    </w:p>
    <w:p>
      <w:pPr>
        <w:pStyle w:val="9"/>
        <w:jc w:val="center"/>
        <w:rPr>
          <w:rFonts w:ascii="方正小标宋_GBK" w:hAnsi="方正小标宋_GBK" w:eastAsia="方正小标宋_GBK" w:cs="方正小标宋_GBK"/>
          <w:sz w:val="72"/>
          <w:szCs w:val="72"/>
        </w:rPr>
      </w:pPr>
    </w:p>
    <w:p>
      <w:pPr>
        <w:pStyle w:val="9"/>
        <w:ind w:firstLine="2880" w:firstLineChars="400"/>
        <w:jc w:val="both"/>
        <w:rPr>
          <w:rFonts w:hint="eastAsia" w:ascii="方正小标宋_GBK" w:hAnsi="方正小标宋_GBK" w:eastAsia="方正小标宋_GBK" w:cs="方正小标宋_GBK"/>
          <w:sz w:val="72"/>
          <w:szCs w:val="72"/>
        </w:rPr>
      </w:pPr>
    </w:p>
    <w:p>
      <w:pPr>
        <w:pStyle w:val="9"/>
        <w:ind w:firstLine="2880" w:firstLineChars="400"/>
        <w:jc w:val="both"/>
        <w:rPr>
          <w:rFonts w:hint="eastAsia" w:ascii="方正小标宋_GBK" w:hAnsi="方正小标宋_GBK" w:eastAsia="方正小标宋_GBK" w:cs="方正小标宋_GBK"/>
          <w:sz w:val="72"/>
          <w:szCs w:val="72"/>
        </w:rPr>
      </w:pPr>
    </w:p>
    <w:p>
      <w:pPr>
        <w:pStyle w:val="9"/>
        <w:ind w:firstLine="2880" w:firstLineChars="400"/>
        <w:jc w:val="both"/>
        <w:rPr>
          <w:rFonts w:hint="eastAsia" w:ascii="方正小标宋_GBK" w:hAnsi="方正小标宋_GBK" w:eastAsia="方正小标宋_GBK" w:cs="方正小标宋_GBK"/>
          <w:sz w:val="72"/>
          <w:szCs w:val="72"/>
        </w:rPr>
      </w:pPr>
    </w:p>
    <w:p>
      <w:pPr>
        <w:pStyle w:val="9"/>
        <w:ind w:firstLine="2880" w:firstLineChars="400"/>
        <w:jc w:val="both"/>
        <w:rPr>
          <w:rFonts w:hint="eastAsia" w:ascii="方正小标宋_GBK" w:hAnsi="方正小标宋_GBK" w:eastAsia="方正小标宋_GBK" w:cs="方正小标宋_GBK"/>
          <w:sz w:val="72"/>
          <w:szCs w:val="72"/>
        </w:rPr>
      </w:pPr>
    </w:p>
    <w:p>
      <w:pPr>
        <w:pStyle w:val="9"/>
        <w:ind w:firstLine="2880" w:firstLineChars="400"/>
        <w:jc w:val="both"/>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widowControl/>
        <w:numPr>
          <w:ilvl w:val="0"/>
          <w:numId w:val="0"/>
        </w:num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一、</w:t>
      </w:r>
      <w:r>
        <w:rPr>
          <w:rFonts w:hint="eastAsia" w:cs="黑体" w:asciiTheme="minorEastAsia" w:hAnsiTheme="minorEastAsia"/>
          <w:color w:val="000000"/>
          <w:kern w:val="0"/>
          <w:sz w:val="32"/>
          <w:szCs w:val="32"/>
        </w:rPr>
        <w:t>基本支出：指为保障单位正常运转、完成日常工</w:t>
      </w:r>
    </w:p>
    <w:p>
      <w:pPr>
        <w:widowControl/>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作任务而发生的各项支出，包括人员支出和公用支出。</w:t>
      </w:r>
    </w:p>
    <w:p>
      <w:pPr>
        <w:widowControl/>
        <w:numPr>
          <w:ilvl w:val="0"/>
          <w:numId w:val="0"/>
        </w:numPr>
        <w:ind w:left="700" w:leftChars="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w:t>
      </w:r>
      <w:r>
        <w:rPr>
          <w:rFonts w:hint="eastAsia" w:cs="黑体" w:asciiTheme="minorEastAsia" w:hAnsiTheme="minorEastAsia"/>
          <w:color w:val="000000"/>
          <w:kern w:val="0"/>
          <w:sz w:val="32"/>
          <w:szCs w:val="32"/>
        </w:rPr>
        <w:t>项目支出：指基本支出以外为完成相关行政任务</w:t>
      </w:r>
    </w:p>
    <w:p>
      <w:pPr>
        <w:widowControl/>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和事业发展目标所发生的各项支出。</w:t>
      </w:r>
    </w:p>
    <w:p>
      <w:pPr>
        <w:widowControl/>
        <w:ind w:firstLine="640" w:firstLineChars="200"/>
        <w:jc w:val="left"/>
        <w:rPr>
          <w:rFonts w:ascii="黑体" w:cs="黑体"/>
          <w:color w:val="000000"/>
          <w:kern w:val="0"/>
          <w:sz w:val="70"/>
          <w:szCs w:val="70"/>
        </w:rPr>
      </w:pPr>
      <w:r>
        <w:rPr>
          <w:rFonts w:hint="eastAsia" w:cs="黑体" w:asciiTheme="minorEastAsia" w:hAnsiTheme="minorEastAsia"/>
          <w:color w:val="000000"/>
          <w:kern w:val="0"/>
          <w:sz w:val="32"/>
          <w:szCs w:val="32"/>
        </w:rPr>
        <w:t>三、“三公经费”：指通过财政拨款资金安排的公务接待费、公务用车购置及运行费和因公出国（境）费用支出。其中，公务接待费反映单位按规定开支的的各类公务接待支出；公务用车购置及运行费反映单位公务用车购置支出（含车辆购置税），以及燃油费、维修费、保险费等支出；因公出国（出境）费反映单位公务出国（出境）的国际旅费、国外城市间交通费、食宿费等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四、一般公用经费：指单位的公用经费。具体包括：办公费、印刷费、办公用房水电费、日常维修维护费、差旅费、邮电费、劳务费、培训费、会议费、一般设备购置费及其他费用等。</w:t>
      </w:r>
    </w:p>
    <w:p>
      <w:pPr>
        <w:pStyle w:val="9"/>
        <w:jc w:val="center"/>
        <w:rPr>
          <w:sz w:val="72"/>
          <w:szCs w:val="72"/>
        </w:rPr>
      </w:pPr>
    </w:p>
    <w:p>
      <w:pPr>
        <w:pStyle w:val="9"/>
        <w:jc w:val="center"/>
        <w:rPr>
          <w:sz w:val="72"/>
          <w:szCs w:val="72"/>
        </w:rPr>
      </w:pPr>
    </w:p>
    <w:p>
      <w:pPr>
        <w:pStyle w:val="9"/>
        <w:jc w:val="center"/>
        <w:rPr>
          <w:sz w:val="72"/>
          <w:szCs w:val="72"/>
        </w:rPr>
      </w:pPr>
    </w:p>
    <w:p/>
    <w:p/>
    <w:sectPr>
      <w:pgSz w:w="11906" w:h="16838"/>
      <w:pgMar w:top="1080" w:right="1440" w:bottom="1080"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CE085B"/>
    <w:multiLevelType w:val="singleLevel"/>
    <w:tmpl w:val="A0CE085B"/>
    <w:lvl w:ilvl="0" w:tentative="0">
      <w:start w:val="7"/>
      <w:numFmt w:val="chineseCounting"/>
      <w:suff w:val="nothing"/>
      <w:lvlText w:val="%1、"/>
      <w:lvlJc w:val="left"/>
      <w:rPr>
        <w:rFonts w:hint="eastAsia"/>
      </w:rPr>
    </w:lvl>
  </w:abstractNum>
  <w:abstractNum w:abstractNumId="1">
    <w:nsid w:val="33E87F8F"/>
    <w:multiLevelType w:val="singleLevel"/>
    <w:tmpl w:val="33E87F8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ZmIzMzI2ZjU3NWVmNWYyNzRiNDYzNzFlY2U4MjMifQ=="/>
  </w:docVars>
  <w:rsids>
    <w:rsidRoot w:val="00000000"/>
    <w:rsid w:val="087F5AC2"/>
    <w:rsid w:val="117479E2"/>
    <w:rsid w:val="16411C8A"/>
    <w:rsid w:val="1C7475A6"/>
    <w:rsid w:val="23102305"/>
    <w:rsid w:val="35785E2C"/>
    <w:rsid w:val="3AE66BE3"/>
    <w:rsid w:val="3DF82D43"/>
    <w:rsid w:val="51855EC1"/>
    <w:rsid w:val="55E36EDE"/>
    <w:rsid w:val="58E62336"/>
    <w:rsid w:val="5D1B1889"/>
    <w:rsid w:val="5EA47717"/>
    <w:rsid w:val="613B4618"/>
    <w:rsid w:val="65BC5EB7"/>
    <w:rsid w:val="6EAC2DDD"/>
    <w:rsid w:val="707A1D06"/>
    <w:rsid w:val="7736119E"/>
    <w:rsid w:val="7B5F6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outlineLvl w:val="2"/>
    </w:pPr>
    <w:rPr>
      <w:rFonts w:eastAsia="楷体_GB2312"/>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spacing w:after="0"/>
      <w:ind w:left="0" w:leftChars="0" w:firstLine="640"/>
    </w:pPr>
    <w:rPr>
      <w:rFonts w:ascii="仿宋_GB2312" w:hAnsi="仿宋_GB2312" w:eastAsia="宋体" w:cs="Arial"/>
      <w:szCs w:val="20"/>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UserStyle_0"/>
    <w:qFormat/>
    <w:uiPriority w:val="0"/>
    <w:rPr>
      <w:rFonts w:ascii="Calibri" w:hAnsi="Calibri" w:eastAsia="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2023-09-07T09:37:00Z</dcterms:created>
  <dc:creator>Administrator</dc:creator>
  <cp:lastModifiedBy>ok</cp:lastModifiedBy>
  <cp:lastPrinted>2023-09-08T03:17:00Z</cp:lastPrinted>
  <dcterms:modified xsi:type="dcterms:W3CDTF">2023-11-01T09:30:24Z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126B2721664C4AFD83EE0BFB8911D5FF_12</vt:lpwstr>
  </property>
</Properties>
</file>