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highlight w:val="none"/>
        </w:rPr>
      </w:pPr>
    </w:p>
    <w:p>
      <w:pPr>
        <w:pStyle w:val="12"/>
        <w:jc w:val="center"/>
        <w:rPr>
          <w:sz w:val="56"/>
          <w:szCs w:val="56"/>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202</w:t>
      </w:r>
      <w:r>
        <w:rPr>
          <w:rFonts w:hint="eastAsia"/>
          <w:sz w:val="84"/>
          <w:szCs w:val="84"/>
          <w:highlight w:val="none"/>
          <w:lang w:val="en-US" w:eastAsia="zh-CN"/>
        </w:rPr>
        <w:t>2</w:t>
      </w:r>
      <w:r>
        <w:rPr>
          <w:rFonts w:hint="eastAsia"/>
          <w:sz w:val="84"/>
          <w:szCs w:val="84"/>
          <w:highlight w:val="none"/>
        </w:rPr>
        <w:t>年度</w:t>
      </w:r>
    </w:p>
    <w:p>
      <w:pPr>
        <w:pStyle w:val="12"/>
        <w:jc w:val="center"/>
        <w:rPr>
          <w:rFonts w:hint="eastAsia"/>
          <w:color w:val="auto"/>
          <w:sz w:val="72"/>
          <w:szCs w:val="72"/>
          <w:highlight w:val="none"/>
          <w:lang w:eastAsia="zh-CN"/>
        </w:rPr>
      </w:pPr>
      <w:r>
        <w:rPr>
          <w:rFonts w:hint="eastAsia"/>
          <w:color w:val="auto"/>
          <w:sz w:val="72"/>
          <w:szCs w:val="72"/>
          <w:highlight w:val="none"/>
          <w:lang w:eastAsia="zh-CN"/>
        </w:rPr>
        <w:t>湖南生物机电职业技术学院</w:t>
      </w:r>
    </w:p>
    <w:p>
      <w:pPr>
        <w:pStyle w:val="12"/>
        <w:jc w:val="center"/>
        <w:rPr>
          <w:sz w:val="84"/>
          <w:szCs w:val="84"/>
          <w:highlight w:val="none"/>
        </w:rPr>
      </w:pPr>
      <w:r>
        <w:rPr>
          <w:rFonts w:hint="eastAsia"/>
          <w:sz w:val="84"/>
          <w:szCs w:val="84"/>
          <w:highlight w:val="none"/>
        </w:rPr>
        <w:t>部门决算</w:t>
      </w:r>
    </w:p>
    <w:p>
      <w:pPr>
        <w:pStyle w:val="12"/>
        <w:jc w:val="center"/>
        <w:rPr>
          <w:sz w:val="56"/>
          <w:szCs w:val="56"/>
          <w:highlight w:val="none"/>
        </w:rPr>
      </w:pPr>
    </w:p>
    <w:p>
      <w:pPr>
        <w:pStyle w:val="12"/>
        <w:jc w:val="center"/>
        <w:rPr>
          <w:sz w:val="56"/>
          <w:szCs w:val="56"/>
          <w:highlight w:val="none"/>
        </w:rPr>
      </w:pPr>
    </w:p>
    <w:p>
      <w:pPr>
        <w:pStyle w:val="12"/>
        <w:jc w:val="center"/>
        <w:rPr>
          <w:sz w:val="56"/>
          <w:szCs w:val="56"/>
          <w:highlight w:val="none"/>
        </w:rPr>
      </w:pPr>
    </w:p>
    <w:p>
      <w:pPr>
        <w:pStyle w:val="12"/>
        <w:jc w:val="center"/>
        <w:rPr>
          <w:sz w:val="56"/>
          <w:szCs w:val="56"/>
          <w:highlight w:val="none"/>
        </w:rPr>
      </w:pPr>
    </w:p>
    <w:p>
      <w:pPr>
        <w:pStyle w:val="12"/>
        <w:jc w:val="center"/>
        <w:rPr>
          <w:sz w:val="32"/>
          <w:szCs w:val="32"/>
          <w:highlight w:val="none"/>
        </w:rPr>
      </w:pPr>
    </w:p>
    <w:p>
      <w:pPr>
        <w:pStyle w:val="12"/>
        <w:jc w:val="center"/>
        <w:rPr>
          <w:sz w:val="32"/>
          <w:szCs w:val="32"/>
          <w:highlight w:val="none"/>
        </w:rPr>
      </w:pPr>
    </w:p>
    <w:p>
      <w:pPr>
        <w:pStyle w:val="12"/>
        <w:jc w:val="center"/>
        <w:rPr>
          <w:sz w:val="32"/>
          <w:szCs w:val="32"/>
          <w:highlight w:val="none"/>
        </w:rPr>
      </w:pPr>
    </w:p>
    <w:p>
      <w:pPr>
        <w:pStyle w:val="12"/>
        <w:jc w:val="center"/>
        <w:rPr>
          <w:sz w:val="32"/>
          <w:szCs w:val="32"/>
          <w:highlight w:val="none"/>
        </w:rPr>
      </w:pPr>
    </w:p>
    <w:p>
      <w:pPr>
        <w:pStyle w:val="12"/>
        <w:jc w:val="center"/>
        <w:rPr>
          <w:sz w:val="32"/>
          <w:szCs w:val="32"/>
          <w:highlight w:val="none"/>
        </w:rPr>
      </w:pPr>
    </w:p>
    <w:p>
      <w:pPr>
        <w:pStyle w:val="12"/>
        <w:spacing w:line="540" w:lineRule="exact"/>
        <w:jc w:val="center"/>
        <w:rPr>
          <w:sz w:val="56"/>
          <w:szCs w:val="56"/>
          <w:highlight w:val="none"/>
        </w:rPr>
      </w:pPr>
    </w:p>
    <w:p>
      <w:pPr>
        <w:pStyle w:val="12"/>
        <w:spacing w:line="500" w:lineRule="exact"/>
        <w:jc w:val="center"/>
        <w:rPr>
          <w:b/>
          <w:sz w:val="36"/>
          <w:szCs w:val="28"/>
          <w:highlight w:val="none"/>
        </w:rPr>
      </w:pPr>
    </w:p>
    <w:p>
      <w:pPr>
        <w:pStyle w:val="12"/>
        <w:spacing w:line="500" w:lineRule="exact"/>
        <w:jc w:val="center"/>
        <w:rPr>
          <w:b/>
          <w:sz w:val="36"/>
          <w:szCs w:val="28"/>
          <w:highlight w:val="none"/>
        </w:rPr>
      </w:pPr>
      <w:r>
        <w:rPr>
          <w:rFonts w:hint="eastAsia"/>
          <w:b/>
          <w:sz w:val="36"/>
          <w:szCs w:val="28"/>
          <w:highlight w:val="none"/>
        </w:rPr>
        <w:t>目录</w:t>
      </w:r>
    </w:p>
    <w:p>
      <w:pPr>
        <w:pStyle w:val="12"/>
        <w:spacing w:line="500" w:lineRule="exact"/>
        <w:rPr>
          <w:rFonts w:ascii="仿宋_GB2312" w:hAnsi="仿宋_GB2312" w:cs="仿宋_GB2312"/>
          <w:b/>
          <w:sz w:val="28"/>
          <w:szCs w:val="28"/>
          <w:highlight w:val="none"/>
        </w:rPr>
      </w:pPr>
      <w:r>
        <w:rPr>
          <w:rFonts w:hint="eastAsia"/>
          <w:b/>
          <w:sz w:val="28"/>
          <w:szCs w:val="28"/>
          <w:highlight w:val="none"/>
        </w:rPr>
        <w:t>第一部分</w:t>
      </w:r>
      <w:r>
        <w:rPr>
          <w:rFonts w:hint="eastAsia"/>
          <w:b/>
          <w:sz w:val="28"/>
          <w:szCs w:val="28"/>
          <w:highlight w:val="none"/>
          <w:lang w:val="en-US" w:eastAsia="zh-CN"/>
        </w:rPr>
        <w:t xml:space="preserve"> 湖南生物机电职业技术学院</w:t>
      </w:r>
      <w:r>
        <w:rPr>
          <w:rFonts w:hint="eastAsia"/>
          <w:b/>
          <w:sz w:val="28"/>
          <w:szCs w:val="28"/>
          <w:highlight w:val="none"/>
        </w:rPr>
        <w:t>概况</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一、部门职责</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二、机构设置</w:t>
      </w:r>
    </w:p>
    <w:p>
      <w:pPr>
        <w:pStyle w:val="12"/>
        <w:spacing w:line="500" w:lineRule="exact"/>
        <w:rPr>
          <w:rFonts w:ascii="仿宋_GB2312" w:hAnsi="仿宋_GB2312" w:cs="仿宋_GB2312"/>
          <w:b/>
          <w:sz w:val="28"/>
          <w:szCs w:val="28"/>
          <w:highlight w:val="none"/>
        </w:rPr>
      </w:pPr>
      <w:r>
        <w:rPr>
          <w:rFonts w:hint="eastAsia" w:hAnsi="仿宋_GB2312"/>
          <w:b/>
          <w:sz w:val="28"/>
          <w:szCs w:val="28"/>
          <w:highlight w:val="none"/>
        </w:rPr>
        <w:t>第二部分</w:t>
      </w:r>
      <w:r>
        <w:rPr>
          <w:rFonts w:hint="eastAsia" w:hAnsi="仿宋_GB2312"/>
          <w:b/>
          <w:sz w:val="28"/>
          <w:szCs w:val="28"/>
          <w:highlight w:val="none"/>
          <w:lang w:val="en-US" w:eastAsia="zh-CN"/>
        </w:rPr>
        <w:t xml:space="preserve"> </w:t>
      </w:r>
      <w:r>
        <w:rPr>
          <w:rFonts w:hint="eastAsia" w:hAnsi="仿宋_GB2312"/>
          <w:b/>
          <w:sz w:val="28"/>
          <w:szCs w:val="28"/>
          <w:highlight w:val="none"/>
        </w:rPr>
        <w:t>部门决算表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一、收入支出决算总表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二、收入决算表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三、支出决算表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六、一般公共预算财政拨款基本支出决算</w:t>
      </w:r>
      <w:r>
        <w:rPr>
          <w:rFonts w:hint="eastAsia" w:cs="仿宋_GB2312" w:asciiTheme="minorEastAsia" w:hAnsiTheme="minorEastAsia" w:eastAsiaTheme="minorEastAsia"/>
          <w:sz w:val="28"/>
          <w:szCs w:val="28"/>
          <w:highlight w:val="none"/>
        </w:rPr>
        <w:t>明细</w:t>
      </w:r>
      <w:r>
        <w:rPr>
          <w:rFonts w:cs="仿宋_GB2312" w:asciiTheme="minorEastAsia" w:hAnsiTheme="minorEastAsia" w:eastAsiaTheme="minorEastAsia"/>
          <w:sz w:val="28"/>
          <w:szCs w:val="28"/>
          <w:highlight w:val="none"/>
        </w:rPr>
        <w:t>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hint="eastAsia" w:cs="仿宋_GB2312" w:asciiTheme="minorEastAsia" w:hAnsiTheme="minorEastAsia" w:eastAsiaTheme="minorEastAsia"/>
          <w:sz w:val="28"/>
          <w:szCs w:val="28"/>
          <w:highlight w:val="none"/>
          <w:lang w:val="en-US" w:eastAsia="zh-CN"/>
        </w:rPr>
        <w:t>七</w:t>
      </w:r>
      <w:r>
        <w:rPr>
          <w:rFonts w:cs="仿宋_GB2312" w:asciiTheme="minorEastAsia" w:hAnsiTheme="minorEastAsia" w:eastAsiaTheme="minorEastAsia"/>
          <w:sz w:val="28"/>
          <w:szCs w:val="28"/>
          <w:highlight w:val="none"/>
        </w:rPr>
        <w:t>、政府性基金预算财政拨款收入支出决算表</w:t>
      </w:r>
    </w:p>
    <w:p>
      <w:pPr>
        <w:pStyle w:val="12"/>
        <w:spacing w:line="500" w:lineRule="exact"/>
        <w:ind w:firstLine="700" w:firstLineChars="250"/>
        <w:rPr>
          <w:rFonts w:hint="eastAsia" w:cs="仿宋_GB2312" w:asciiTheme="minorEastAsia" w:hAnsiTheme="minorEastAsia" w:eastAsiaTheme="minorEastAsia"/>
          <w:sz w:val="28"/>
          <w:szCs w:val="28"/>
          <w:highlight w:val="none"/>
        </w:rPr>
      </w:pPr>
      <w:r>
        <w:rPr>
          <w:rFonts w:hint="eastAsia" w:cs="仿宋_GB2312" w:asciiTheme="minorEastAsia" w:hAnsiTheme="minorEastAsia" w:eastAsiaTheme="minorEastAsia"/>
          <w:sz w:val="28"/>
          <w:szCs w:val="28"/>
          <w:highlight w:val="none"/>
          <w:lang w:val="en-US" w:eastAsia="zh-CN"/>
        </w:rPr>
        <w:t>八</w:t>
      </w:r>
      <w:r>
        <w:rPr>
          <w:rFonts w:hint="eastAsia" w:cs="仿宋_GB2312" w:asciiTheme="minorEastAsia" w:hAnsiTheme="minorEastAsia" w:eastAsiaTheme="minorEastAsia"/>
          <w:sz w:val="28"/>
          <w:szCs w:val="28"/>
          <w:highlight w:val="none"/>
        </w:rPr>
        <w:t>、国有资本经营预算财政拨款支出决算表</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hint="eastAsia" w:cs="仿宋_GB2312" w:asciiTheme="minorEastAsia" w:hAnsiTheme="minorEastAsia" w:eastAsiaTheme="minorEastAsia"/>
          <w:sz w:val="28"/>
          <w:szCs w:val="28"/>
          <w:highlight w:val="none"/>
          <w:lang w:val="en-US" w:eastAsia="zh-CN"/>
        </w:rPr>
        <w:t>九</w:t>
      </w:r>
      <w:r>
        <w:rPr>
          <w:rFonts w:cs="仿宋_GB2312" w:asciiTheme="minorEastAsia" w:hAnsiTheme="minorEastAsia" w:eastAsiaTheme="minorEastAsia"/>
          <w:sz w:val="28"/>
          <w:szCs w:val="28"/>
          <w:highlight w:val="none"/>
        </w:rPr>
        <w:t>、财政拨款“三公”经费支出决算表</w:t>
      </w:r>
    </w:p>
    <w:p>
      <w:pPr>
        <w:pStyle w:val="12"/>
        <w:spacing w:line="500" w:lineRule="exact"/>
        <w:rPr>
          <w:rFonts w:ascii="仿宋_GB2312" w:hAnsi="仿宋_GB2312" w:cs="仿宋_GB2312"/>
          <w:b/>
          <w:sz w:val="28"/>
          <w:szCs w:val="28"/>
          <w:highlight w:val="none"/>
        </w:rPr>
      </w:pPr>
      <w:r>
        <w:rPr>
          <w:rFonts w:hint="eastAsia" w:hAnsi="仿宋_GB2312"/>
          <w:b/>
          <w:sz w:val="28"/>
          <w:szCs w:val="28"/>
          <w:highlight w:val="none"/>
        </w:rPr>
        <w:t>第三部分</w:t>
      </w:r>
      <w:r>
        <w:rPr>
          <w:rFonts w:hint="eastAsia" w:hAnsi="仿宋_GB2312"/>
          <w:b/>
          <w:sz w:val="28"/>
          <w:szCs w:val="28"/>
          <w:highlight w:val="none"/>
          <w:lang w:val="en-US" w:eastAsia="zh-CN"/>
        </w:rPr>
        <w:t xml:space="preserve"> </w:t>
      </w:r>
      <w:r>
        <w:rPr>
          <w:rFonts w:hint="eastAsia" w:hAnsi="仿宋_GB2312"/>
          <w:b/>
          <w:sz w:val="28"/>
          <w:szCs w:val="28"/>
          <w:highlight w:val="none"/>
        </w:rPr>
        <w:t>部门决算情况说明</w:t>
      </w:r>
    </w:p>
    <w:p>
      <w:pPr>
        <w:pStyle w:val="12"/>
        <w:spacing w:line="50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一、收入支出决算总体情况说明</w:t>
      </w:r>
    </w:p>
    <w:p>
      <w:pPr>
        <w:spacing w:line="500" w:lineRule="exact"/>
        <w:ind w:firstLine="700" w:firstLineChars="250"/>
        <w:jc w:val="left"/>
        <w:rPr>
          <w:rFonts w:ascii="仿宋_GB2312" w:hAnsi="仿宋_GB2312" w:cs="仿宋_GB2312"/>
          <w:sz w:val="28"/>
          <w:szCs w:val="28"/>
          <w:highlight w:val="none"/>
        </w:rPr>
      </w:pPr>
      <w:r>
        <w:rPr>
          <w:rFonts w:ascii="仿宋_GB2312" w:hAnsi="仿宋_GB2312" w:cs="仿宋_GB2312"/>
          <w:sz w:val="28"/>
          <w:szCs w:val="28"/>
          <w:highlight w:val="none"/>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八</w:t>
      </w:r>
      <w:r>
        <w:rPr>
          <w:rFonts w:ascii="仿宋_GB2312" w:hAnsi="仿宋_GB2312" w:cs="仿宋_GB2312"/>
          <w:color w:val="000000"/>
          <w:kern w:val="0"/>
          <w:sz w:val="28"/>
          <w:szCs w:val="28"/>
          <w:highlight w:val="none"/>
        </w:rPr>
        <w:t>、</w:t>
      </w:r>
      <w:r>
        <w:rPr>
          <w:rFonts w:hint="eastAsia" w:ascii="仿宋_GB2312" w:hAnsi="仿宋_GB2312" w:cs="仿宋_GB2312"/>
          <w:color w:val="000000"/>
          <w:kern w:val="0"/>
          <w:sz w:val="28"/>
          <w:szCs w:val="28"/>
          <w:highlight w:val="none"/>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九</w:t>
      </w:r>
      <w:r>
        <w:rPr>
          <w:rFonts w:ascii="仿宋_GB2312" w:hAnsi="仿宋_GB2312" w:cs="仿宋_GB2312"/>
          <w:color w:val="000000"/>
          <w:kern w:val="0"/>
          <w:sz w:val="28"/>
          <w:szCs w:val="28"/>
          <w:highlight w:val="none"/>
        </w:rPr>
        <w:t>、</w:t>
      </w:r>
      <w:r>
        <w:rPr>
          <w:rFonts w:hint="eastAsia" w:ascii="仿宋_GB2312" w:hAnsi="仿宋_GB2312" w:cs="仿宋_GB2312"/>
          <w:color w:val="000000"/>
          <w:kern w:val="0"/>
          <w:sz w:val="28"/>
          <w:szCs w:val="28"/>
          <w:highlight w:val="none"/>
          <w:lang w:val="en-US" w:eastAsia="zh-CN"/>
        </w:rPr>
        <w:t>关于</w:t>
      </w:r>
      <w:r>
        <w:rPr>
          <w:rFonts w:hint="eastAsia" w:ascii="仿宋_GB2312" w:hAnsi="仿宋_GB2312" w:cs="仿宋_GB2312"/>
          <w:color w:val="000000"/>
          <w:kern w:val="0"/>
          <w:sz w:val="28"/>
          <w:szCs w:val="28"/>
          <w:highlight w:val="none"/>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十一、</w:t>
      </w:r>
      <w:r>
        <w:rPr>
          <w:rFonts w:hint="eastAsia" w:ascii="仿宋_GB2312" w:hAnsi="仿宋_GB2312" w:cs="仿宋_GB2312"/>
          <w:color w:val="000000"/>
          <w:kern w:val="0"/>
          <w:sz w:val="28"/>
          <w:szCs w:val="28"/>
          <w:highlight w:val="none"/>
          <w:lang w:val="en-US" w:eastAsia="zh-CN"/>
        </w:rPr>
        <w:t>关于</w:t>
      </w:r>
      <w:r>
        <w:rPr>
          <w:rFonts w:hint="eastAsia" w:ascii="仿宋_GB2312" w:hAnsi="仿宋_GB2312" w:cs="仿宋_GB2312"/>
          <w:color w:val="000000"/>
          <w:kern w:val="0"/>
          <w:sz w:val="28"/>
          <w:szCs w:val="28"/>
          <w:highlight w:val="none"/>
        </w:rPr>
        <w:t>政府采购支出说明</w:t>
      </w:r>
    </w:p>
    <w:p>
      <w:pPr>
        <w:pStyle w:val="12"/>
        <w:spacing w:line="500" w:lineRule="exact"/>
        <w:ind w:firstLine="700" w:firstLineChars="250"/>
        <w:rPr>
          <w:rFonts w:ascii="仿宋_GB2312" w:hAnsi="仿宋_GB2312" w:cs="仿宋_GB2312" w:eastAsiaTheme="minorEastAsia"/>
          <w:sz w:val="28"/>
          <w:szCs w:val="28"/>
          <w:highlight w:val="none"/>
        </w:rPr>
      </w:pPr>
      <w:r>
        <w:rPr>
          <w:rFonts w:hint="eastAsia" w:ascii="仿宋_GB2312" w:hAnsi="仿宋_GB2312" w:cs="仿宋_GB2312" w:eastAsiaTheme="minorEastAsia"/>
          <w:sz w:val="28"/>
          <w:szCs w:val="28"/>
          <w:highlight w:val="none"/>
        </w:rPr>
        <w:t>十二、</w:t>
      </w:r>
      <w:r>
        <w:rPr>
          <w:rFonts w:hint="eastAsia" w:ascii="仿宋_GB2312" w:hAnsi="仿宋_GB2312" w:cs="仿宋_GB2312" w:eastAsiaTheme="minorEastAsia"/>
          <w:sz w:val="28"/>
          <w:szCs w:val="28"/>
          <w:highlight w:val="none"/>
          <w:lang w:val="en-US" w:eastAsia="zh-CN"/>
        </w:rPr>
        <w:t>关于</w:t>
      </w:r>
      <w:r>
        <w:rPr>
          <w:rFonts w:hint="eastAsia" w:ascii="仿宋_GB2312" w:hAnsi="仿宋_GB2312" w:cs="仿宋_GB2312" w:eastAsiaTheme="minorEastAsia"/>
          <w:sz w:val="28"/>
          <w:szCs w:val="28"/>
          <w:highlight w:val="none"/>
        </w:rPr>
        <w:t>国有资产占用情况说明</w:t>
      </w:r>
    </w:p>
    <w:p>
      <w:pPr>
        <w:pStyle w:val="12"/>
        <w:spacing w:line="500" w:lineRule="exact"/>
        <w:ind w:firstLine="700" w:firstLineChars="250"/>
        <w:rPr>
          <w:rFonts w:ascii="仿宋_GB2312" w:hAnsi="仿宋_GB2312" w:cs="仿宋_GB2312" w:eastAsiaTheme="minorEastAsia"/>
          <w:sz w:val="28"/>
          <w:szCs w:val="28"/>
          <w:highlight w:val="none"/>
        </w:rPr>
      </w:pPr>
      <w:r>
        <w:rPr>
          <w:rFonts w:hint="eastAsia" w:ascii="仿宋_GB2312" w:hAnsi="仿宋_GB2312" w:cs="仿宋_GB2312" w:eastAsiaTheme="minorEastAsia"/>
          <w:sz w:val="28"/>
          <w:szCs w:val="28"/>
          <w:highlight w:val="none"/>
        </w:rPr>
        <w:t>十三、</w:t>
      </w:r>
      <w:r>
        <w:rPr>
          <w:rFonts w:hint="eastAsia" w:cs="仿宋_GB2312" w:asciiTheme="minorEastAsia" w:hAnsiTheme="minorEastAsia" w:eastAsiaTheme="minorEastAsia"/>
          <w:sz w:val="28"/>
          <w:szCs w:val="28"/>
          <w:highlight w:val="none"/>
          <w:lang w:val="en-US" w:eastAsia="zh-CN"/>
        </w:rPr>
        <w:t>关于</w:t>
      </w:r>
      <w:r>
        <w:rPr>
          <w:rFonts w:hint="eastAsia" w:ascii="仿宋_GB2312" w:hAnsi="仿宋_GB2312" w:cs="仿宋_GB2312" w:eastAsiaTheme="minorEastAsia"/>
          <w:sz w:val="28"/>
          <w:szCs w:val="28"/>
          <w:highlight w:val="none"/>
        </w:rPr>
        <w:t>预算绩效情况</w:t>
      </w:r>
      <w:r>
        <w:rPr>
          <w:rFonts w:hint="eastAsia" w:ascii="仿宋_GB2312" w:hAnsi="仿宋_GB2312" w:cs="仿宋_GB2312" w:eastAsiaTheme="minorEastAsia"/>
          <w:sz w:val="28"/>
          <w:szCs w:val="28"/>
          <w:highlight w:val="none"/>
          <w:lang w:val="en-US" w:eastAsia="zh-CN"/>
        </w:rPr>
        <w:t>的</w:t>
      </w:r>
      <w:r>
        <w:rPr>
          <w:rFonts w:hint="eastAsia" w:ascii="仿宋_GB2312" w:hAnsi="仿宋_GB2312" w:cs="仿宋_GB2312" w:eastAsiaTheme="minorEastAsia"/>
          <w:sz w:val="28"/>
          <w:szCs w:val="28"/>
          <w:highlight w:val="none"/>
        </w:rPr>
        <w:t>说明</w:t>
      </w:r>
    </w:p>
    <w:p>
      <w:pPr>
        <w:autoSpaceDE w:val="0"/>
        <w:autoSpaceDN w:val="0"/>
        <w:adjustRightInd w:val="0"/>
        <w:spacing w:line="500" w:lineRule="exact"/>
        <w:jc w:val="left"/>
        <w:rPr>
          <w:rFonts w:ascii="黑体" w:hAnsi="黑体" w:eastAsia="黑体" w:cs="黑体"/>
          <w:b/>
          <w:color w:val="000000"/>
          <w:kern w:val="0"/>
          <w:sz w:val="28"/>
          <w:szCs w:val="28"/>
          <w:highlight w:val="none"/>
        </w:rPr>
      </w:pPr>
      <w:r>
        <w:rPr>
          <w:rFonts w:ascii="黑体" w:hAnsi="黑体" w:eastAsia="黑体" w:cs="黑体"/>
          <w:b/>
          <w:color w:val="000000"/>
          <w:kern w:val="0"/>
          <w:sz w:val="28"/>
          <w:szCs w:val="28"/>
          <w:highlight w:val="none"/>
        </w:rPr>
        <w:t>第四部分</w:t>
      </w:r>
      <w:r>
        <w:rPr>
          <w:rFonts w:hint="eastAsia" w:ascii="黑体" w:hAnsi="黑体" w:eastAsia="黑体" w:cs="黑体"/>
          <w:b/>
          <w:color w:val="000000"/>
          <w:kern w:val="0"/>
          <w:sz w:val="28"/>
          <w:szCs w:val="28"/>
          <w:highlight w:val="none"/>
          <w:lang w:val="en-US" w:eastAsia="zh-CN"/>
        </w:rPr>
        <w:t xml:space="preserve"> </w:t>
      </w:r>
      <w:r>
        <w:rPr>
          <w:rFonts w:ascii="黑体" w:hAnsi="黑体" w:eastAsia="黑体" w:cs="黑体"/>
          <w:b/>
          <w:color w:val="000000"/>
          <w:kern w:val="0"/>
          <w:sz w:val="28"/>
          <w:szCs w:val="28"/>
          <w:highlight w:val="none"/>
        </w:rPr>
        <w:t>名词解释</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rPr>
          <w:sz w:val="72"/>
          <w:szCs w:val="72"/>
          <w:highlight w:val="none"/>
        </w:rPr>
      </w:pPr>
    </w:p>
    <w:p>
      <w:pPr>
        <w:pStyle w:val="12"/>
        <w:jc w:val="center"/>
        <w:rPr>
          <w:sz w:val="84"/>
          <w:szCs w:val="84"/>
          <w:highlight w:val="none"/>
        </w:rPr>
      </w:pPr>
      <w:r>
        <w:rPr>
          <w:rFonts w:hint="eastAsia"/>
          <w:sz w:val="84"/>
          <w:szCs w:val="84"/>
          <w:highlight w:val="none"/>
        </w:rPr>
        <w:t>第一部分</w:t>
      </w:r>
      <w:r>
        <w:rPr>
          <w:sz w:val="84"/>
          <w:szCs w:val="84"/>
          <w:highlight w:val="none"/>
        </w:rPr>
        <w:t xml:space="preserve"> </w:t>
      </w:r>
    </w:p>
    <w:p>
      <w:pPr>
        <w:pStyle w:val="12"/>
        <w:jc w:val="center"/>
        <w:rPr>
          <w:sz w:val="84"/>
          <w:szCs w:val="84"/>
          <w:highlight w:val="none"/>
        </w:rPr>
      </w:pPr>
    </w:p>
    <w:p>
      <w:pPr>
        <w:pStyle w:val="12"/>
        <w:jc w:val="center"/>
        <w:rPr>
          <w:rFonts w:hint="eastAsia"/>
          <w:color w:val="auto"/>
          <w:sz w:val="72"/>
          <w:szCs w:val="72"/>
          <w:highlight w:val="none"/>
          <w:lang w:eastAsia="zh-CN"/>
        </w:rPr>
      </w:pPr>
      <w:r>
        <w:rPr>
          <w:rFonts w:hint="eastAsia"/>
          <w:color w:val="auto"/>
          <w:sz w:val="72"/>
          <w:szCs w:val="72"/>
          <w:highlight w:val="none"/>
          <w:lang w:eastAsia="zh-CN"/>
        </w:rPr>
        <w:t>湖南生物机电职业技术学院</w:t>
      </w:r>
    </w:p>
    <w:p>
      <w:pPr>
        <w:pStyle w:val="12"/>
        <w:jc w:val="center"/>
        <w:rPr>
          <w:sz w:val="84"/>
          <w:szCs w:val="84"/>
          <w:highlight w:val="none"/>
        </w:rPr>
      </w:pPr>
      <w:r>
        <w:rPr>
          <w:rFonts w:hint="eastAsia"/>
          <w:sz w:val="84"/>
          <w:szCs w:val="84"/>
          <w:highlight w:val="none"/>
        </w:rPr>
        <w:t>概况</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numPr>
          <w:ilvl w:val="0"/>
          <w:numId w:val="0"/>
        </w:numPr>
        <w:ind w:firstLine="960" w:firstLineChars="300"/>
        <w:jc w:val="left"/>
        <w:rPr>
          <w:rFonts w:ascii="黑体" w:hAnsi="黑体" w:eastAsia="黑体"/>
          <w:sz w:val="32"/>
          <w:szCs w:val="32"/>
          <w:highlight w:val="none"/>
        </w:rPr>
      </w:pPr>
      <w:r>
        <w:rPr>
          <w:rFonts w:hint="eastAsia" w:ascii="黑体" w:hAnsi="黑体" w:eastAsia="黑体"/>
          <w:sz w:val="32"/>
          <w:szCs w:val="32"/>
          <w:highlight w:val="none"/>
          <w:lang w:eastAsia="zh-CN"/>
        </w:rPr>
        <w:t>一、</w:t>
      </w:r>
      <w:r>
        <w:rPr>
          <w:rFonts w:ascii="黑体" w:hAnsi="黑体" w:eastAsia="黑体"/>
          <w:sz w:val="32"/>
          <w:szCs w:val="32"/>
          <w:highlight w:val="none"/>
        </w:rPr>
        <w:t>部门职责</w:t>
      </w:r>
    </w:p>
    <w:p>
      <w:pPr>
        <w:widowControl/>
        <w:spacing w:line="600" w:lineRule="exact"/>
        <w:ind w:left="218" w:leftChars="104" w:firstLine="643" w:firstLineChars="201"/>
        <w:rPr>
          <w:rFonts w:hint="eastAsia" w:asciiTheme="minorEastAsia" w:hAnsiTheme="minorEastAsia"/>
          <w:bCs/>
          <w:kern w:val="0"/>
          <w:sz w:val="32"/>
          <w:szCs w:val="32"/>
          <w:highlight w:val="none"/>
          <w:lang w:val="en-US" w:eastAsia="zh-CN"/>
        </w:rPr>
      </w:pPr>
      <w:r>
        <w:rPr>
          <w:rFonts w:hint="eastAsia" w:ascii="仿宋_GB2312" w:hAnsi="仿宋" w:eastAsia="仿宋_GB2312"/>
          <w:color w:val="auto"/>
          <w:sz w:val="32"/>
          <w:highlight w:val="none"/>
        </w:rPr>
        <w:t xml:space="preserve"> </w:t>
      </w:r>
      <w:r>
        <w:rPr>
          <w:rFonts w:hint="eastAsia" w:asciiTheme="minorEastAsia" w:hAnsiTheme="minorEastAsia"/>
          <w:bCs/>
          <w:kern w:val="0"/>
          <w:sz w:val="32"/>
          <w:szCs w:val="32"/>
          <w:highlight w:val="none"/>
          <w:lang w:val="en-US" w:eastAsia="zh-CN"/>
        </w:rPr>
        <w:t>湖南生物机电职业技术学院是一所办学历史悠久、文化底蕴浓厚的全日制公办高职学院，2022年隶属湖南省农业农村厅主办，是湖南省示范性、卓越高职院校，是国家首批“双高计划”项目建设院校。学院以人才培养为根本任务，履行教育教学、科学研究、社会服务、文化传承与创新等基本职能。</w:t>
      </w:r>
    </w:p>
    <w:p>
      <w:pPr>
        <w:widowControl/>
        <w:spacing w:line="600" w:lineRule="exact"/>
        <w:ind w:left="218" w:leftChars="104" w:firstLine="643" w:firstLineChars="201"/>
        <w:rPr>
          <w:rFonts w:hint="eastAsia" w:asciiTheme="minorEastAsia" w:hAnsiTheme="minorEastAsia"/>
          <w:bCs/>
          <w:kern w:val="0"/>
          <w:sz w:val="32"/>
          <w:szCs w:val="32"/>
          <w:highlight w:val="none"/>
          <w:lang w:val="en-US" w:eastAsia="zh-CN"/>
        </w:rPr>
      </w:pPr>
      <w:r>
        <w:rPr>
          <w:rFonts w:hint="eastAsia" w:asciiTheme="minorEastAsia" w:hAnsiTheme="minorEastAsia"/>
          <w:bCs/>
          <w:kern w:val="0"/>
          <w:sz w:val="32"/>
          <w:szCs w:val="32"/>
          <w:highlight w:val="none"/>
        </w:rPr>
        <w:t>（一）</w:t>
      </w:r>
      <w:r>
        <w:rPr>
          <w:rFonts w:hint="eastAsia" w:asciiTheme="minorEastAsia" w:hAnsiTheme="minorEastAsia"/>
          <w:bCs/>
          <w:kern w:val="0"/>
          <w:sz w:val="32"/>
          <w:szCs w:val="32"/>
          <w:highlight w:val="none"/>
          <w:lang w:val="en-US" w:eastAsia="zh-CN"/>
        </w:rPr>
        <w:t>学院坚持学历教育与技术服务、职业培训并举，实行全方位、多层面、立体化的开放办学模式，通过校企合作、国内联合与国际交流等方式，全面提高学院的办学质量和水平，增强可持续发展能力与综合竞争力；坚持人才培养质量为先，建立健全自我监控评估和校外监控评估相结合的教学质量保障体系，确保人才培养质量；坚持产学研结合原则，重视科技创新，鼓励成果转化，以服务中小微企业、县域经济为重点，不断提高协同创新能力和科学研究质量；坚持把社会主义核心价值体系建设融入教育全过程，发挥文化育人作用，开展文化传承与创新活动，为文化繁荣和文明发展不断做出新贡献。</w:t>
      </w:r>
    </w:p>
    <w:p>
      <w:pPr>
        <w:widowControl/>
        <w:spacing w:line="600" w:lineRule="exact"/>
        <w:ind w:left="218" w:leftChars="104" w:firstLine="643" w:firstLineChars="201"/>
        <w:rPr>
          <w:rFonts w:hint="eastAsia" w:asciiTheme="minorEastAsia" w:hAnsiTheme="minorEastAsia"/>
          <w:bCs/>
          <w:kern w:val="0"/>
          <w:sz w:val="32"/>
          <w:szCs w:val="32"/>
          <w:highlight w:val="none"/>
          <w:lang w:val="en-US" w:eastAsia="zh-CN"/>
        </w:rPr>
      </w:pPr>
      <w:r>
        <w:rPr>
          <w:rFonts w:hint="eastAsia" w:asciiTheme="minorEastAsia" w:hAnsiTheme="minorEastAsia"/>
          <w:bCs/>
          <w:kern w:val="0"/>
          <w:sz w:val="32"/>
          <w:szCs w:val="32"/>
          <w:highlight w:val="none"/>
        </w:rPr>
        <w:t>（二）</w:t>
      </w:r>
      <w:r>
        <w:rPr>
          <w:rFonts w:hint="eastAsia" w:asciiTheme="minorEastAsia" w:hAnsiTheme="minorEastAsia"/>
          <w:bCs/>
          <w:kern w:val="0"/>
          <w:sz w:val="32"/>
          <w:szCs w:val="32"/>
          <w:highlight w:val="none"/>
          <w:lang w:val="en-US" w:eastAsia="zh-CN"/>
        </w:rPr>
        <w:t>学院根据教育规律和经济社会发展规律，自主确定办学方略、质量方针和行为准则；根据办学宗旨和培养目标，自主确定人才培养规格，调整学院人才培养模式，促进专业对接产业，创新发展，形成特色；以全日制高等专科教育为主，积极推进终身教育发展，大力开展多种形式的职业培训和社区教育，以教育信息化服务推进终身学习和学习型社会建设；积极吸纳社会资源合作办学、合作研究与技术开发，实行集团化办学，走校企融合、产教结合、优势互补、资源共享、共同发展的办学之路。</w:t>
      </w:r>
    </w:p>
    <w:p>
      <w:pPr>
        <w:widowControl/>
        <w:spacing w:line="600" w:lineRule="exact"/>
        <w:ind w:left="218" w:leftChars="104" w:firstLine="643" w:firstLineChars="201"/>
        <w:rPr>
          <w:rFonts w:ascii="黑体" w:hAnsi="黑体" w:eastAsia="黑体"/>
          <w:bCs/>
          <w:kern w:val="0"/>
          <w:sz w:val="32"/>
          <w:szCs w:val="32"/>
          <w:highlight w:val="none"/>
        </w:rPr>
      </w:pPr>
      <w:r>
        <w:rPr>
          <w:rFonts w:hint="eastAsia" w:ascii="黑体" w:hAnsi="黑体" w:eastAsia="黑体"/>
          <w:bCs/>
          <w:kern w:val="0"/>
          <w:sz w:val="32"/>
          <w:szCs w:val="32"/>
          <w:highlight w:val="none"/>
        </w:rPr>
        <w:t>二、机构设置及决算单位构成</w:t>
      </w:r>
    </w:p>
    <w:p>
      <w:pPr>
        <w:widowControl/>
        <w:spacing w:line="600" w:lineRule="exact"/>
        <w:ind w:left="218" w:leftChars="104" w:firstLine="643" w:firstLineChars="201"/>
        <w:rPr>
          <w:rFonts w:asciiTheme="minorEastAsia" w:hAnsiTheme="minorEastAsia"/>
          <w:bCs/>
          <w:kern w:val="0"/>
          <w:sz w:val="32"/>
          <w:szCs w:val="32"/>
          <w:highlight w:val="none"/>
        </w:rPr>
      </w:pPr>
      <w:r>
        <w:rPr>
          <w:rFonts w:hint="eastAsia" w:asciiTheme="minorEastAsia" w:hAnsiTheme="minorEastAsia"/>
          <w:bCs/>
          <w:kern w:val="0"/>
          <w:sz w:val="32"/>
          <w:szCs w:val="32"/>
          <w:highlight w:val="none"/>
        </w:rPr>
        <w:t>（一）内设机构设置。</w:t>
      </w:r>
      <w:r>
        <w:rPr>
          <w:rFonts w:hint="eastAsia" w:asciiTheme="minorEastAsia" w:hAnsiTheme="minorEastAsia"/>
          <w:bCs/>
          <w:kern w:val="0"/>
          <w:sz w:val="32"/>
          <w:szCs w:val="32"/>
          <w:highlight w:val="none"/>
          <w:lang w:eastAsia="zh-CN"/>
        </w:rPr>
        <w:t>湖南生物机电职业技术学院</w:t>
      </w:r>
      <w:r>
        <w:rPr>
          <w:rFonts w:hint="eastAsia" w:asciiTheme="minorEastAsia" w:hAnsiTheme="minorEastAsia"/>
          <w:bCs/>
          <w:color w:val="auto"/>
          <w:kern w:val="0"/>
          <w:sz w:val="32"/>
          <w:szCs w:val="32"/>
          <w:highlight w:val="none"/>
        </w:rPr>
        <w:t>内设机构包括：</w:t>
      </w:r>
      <w:r>
        <w:rPr>
          <w:rFonts w:hint="eastAsia" w:asciiTheme="minorEastAsia" w:hAnsiTheme="minorEastAsia"/>
          <w:bCs/>
          <w:color w:val="auto"/>
          <w:kern w:val="0"/>
          <w:sz w:val="32"/>
          <w:szCs w:val="32"/>
          <w:highlight w:val="none"/>
          <w:lang w:val="en-US" w:eastAsia="zh-CN"/>
        </w:rPr>
        <w:t>学院2022年末独立编制机构1个，独立核算机构1个，设植物科技学院、动物科技学院、机电工程学院、车辆工程学院、经济贸易学院、信息技术学院、人文科学学院、思想政治理论课教学部、体育与艺术课教学部、继续教育学院、党政办、组织人事处、宣传统战部、财务处、内审处、教务处、学生工作处、科研处、招生就业处、资产管理处等33个部门。</w:t>
      </w:r>
    </w:p>
    <w:p>
      <w:pPr>
        <w:widowControl/>
        <w:spacing w:line="600" w:lineRule="exact"/>
        <w:ind w:left="218" w:leftChars="104" w:firstLine="643" w:firstLineChars="201"/>
        <w:rPr>
          <w:rFonts w:hint="eastAsia" w:asciiTheme="minorEastAsia" w:hAnsiTheme="minorEastAsia"/>
          <w:bCs/>
          <w:color w:val="auto"/>
          <w:kern w:val="0"/>
          <w:sz w:val="32"/>
          <w:szCs w:val="32"/>
          <w:highlight w:val="none"/>
          <w:lang w:val="en-US" w:eastAsia="zh-CN"/>
        </w:rPr>
      </w:pPr>
      <w:r>
        <w:rPr>
          <w:rFonts w:hint="eastAsia" w:asciiTheme="minorEastAsia" w:hAnsiTheme="minorEastAsia"/>
          <w:bCs/>
          <w:kern w:val="0"/>
          <w:sz w:val="32"/>
          <w:szCs w:val="32"/>
          <w:highlight w:val="none"/>
        </w:rPr>
        <w:t>（二）决算单位构成。</w:t>
      </w:r>
      <w:r>
        <w:rPr>
          <w:rFonts w:hint="eastAsia" w:asciiTheme="minorEastAsia" w:hAnsiTheme="minorEastAsia"/>
          <w:bCs/>
          <w:kern w:val="0"/>
          <w:sz w:val="32"/>
          <w:szCs w:val="32"/>
          <w:highlight w:val="none"/>
          <w:lang w:eastAsia="zh-CN"/>
        </w:rPr>
        <w:t>湖南生物机电职业技术学院</w:t>
      </w:r>
      <w:r>
        <w:rPr>
          <w:rFonts w:asciiTheme="minorEastAsia" w:hAnsiTheme="minorEastAsia"/>
          <w:bCs/>
          <w:kern w:val="0"/>
          <w:sz w:val="32"/>
          <w:szCs w:val="32"/>
          <w:highlight w:val="none"/>
        </w:rPr>
        <w:t>20</w:t>
      </w:r>
      <w:r>
        <w:rPr>
          <w:rFonts w:hint="eastAsia" w:asciiTheme="minorEastAsia" w:hAnsiTheme="minorEastAsia"/>
          <w:bCs/>
          <w:kern w:val="0"/>
          <w:sz w:val="32"/>
          <w:szCs w:val="32"/>
          <w:highlight w:val="none"/>
        </w:rPr>
        <w:t>2</w:t>
      </w:r>
      <w:r>
        <w:rPr>
          <w:rFonts w:hint="eastAsia" w:asciiTheme="minorEastAsia" w:hAnsiTheme="minorEastAsia"/>
          <w:bCs/>
          <w:kern w:val="0"/>
          <w:sz w:val="32"/>
          <w:szCs w:val="32"/>
          <w:highlight w:val="none"/>
          <w:lang w:val="en-US" w:eastAsia="zh-CN"/>
        </w:rPr>
        <w:t>2</w:t>
      </w:r>
      <w:r>
        <w:rPr>
          <w:rFonts w:hint="eastAsia" w:asciiTheme="minorEastAsia" w:hAnsiTheme="minorEastAsia"/>
          <w:bCs/>
          <w:kern w:val="0"/>
          <w:sz w:val="32"/>
          <w:szCs w:val="32"/>
          <w:highlight w:val="none"/>
        </w:rPr>
        <w:t>年部门决算汇总公开单位构成包括：</w:t>
      </w:r>
      <w:r>
        <w:rPr>
          <w:rFonts w:hint="eastAsia" w:asciiTheme="minorEastAsia" w:hAnsiTheme="minorEastAsia"/>
          <w:bCs/>
          <w:color w:val="auto"/>
          <w:kern w:val="0"/>
          <w:sz w:val="32"/>
          <w:szCs w:val="32"/>
          <w:highlight w:val="none"/>
          <w:lang w:val="en-US" w:eastAsia="zh-CN"/>
        </w:rPr>
        <w:t>湖南生物机电职业技术学院本级。</w:t>
      </w:r>
    </w:p>
    <w:p>
      <w:pPr>
        <w:widowControl/>
        <w:spacing w:line="600" w:lineRule="exact"/>
        <w:rPr>
          <w:rFonts w:asciiTheme="minorEastAsia" w:hAnsiTheme="minorEastAsia"/>
          <w:bCs/>
          <w:kern w:val="0"/>
          <w:sz w:val="32"/>
          <w:szCs w:val="32"/>
          <w:highlight w:val="none"/>
        </w:rPr>
      </w:pPr>
    </w:p>
    <w:p>
      <w:pPr>
        <w:jc w:val="left"/>
        <w:rPr>
          <w:rFonts w:ascii="仿宋_GB2312" w:eastAsia="仿宋_GB2312" w:hAnsiTheme="minorEastAsia"/>
          <w:sz w:val="28"/>
          <w:szCs w:val="32"/>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sz w:val="72"/>
          <w:szCs w:val="72"/>
          <w:highlight w:val="none"/>
        </w:rPr>
      </w:pPr>
    </w:p>
    <w:p>
      <w:pPr>
        <w:jc w:val="center"/>
        <w:rPr>
          <w:sz w:val="72"/>
          <w:szCs w:val="72"/>
          <w:highlight w:val="none"/>
        </w:rPr>
      </w:pPr>
    </w:p>
    <w:p>
      <w:pPr>
        <w:pStyle w:val="2"/>
        <w:rPr>
          <w:sz w:val="72"/>
          <w:szCs w:val="72"/>
          <w:highlight w:val="none"/>
        </w:rPr>
      </w:pPr>
    </w:p>
    <w:p>
      <w:pPr>
        <w:pStyle w:val="2"/>
        <w:rPr>
          <w:sz w:val="72"/>
          <w:szCs w:val="72"/>
          <w:highlight w:val="none"/>
        </w:rPr>
      </w:pPr>
    </w:p>
    <w:p>
      <w:pPr>
        <w:pStyle w:val="2"/>
        <w:rPr>
          <w:sz w:val="72"/>
          <w:szCs w:val="72"/>
          <w:highlight w:val="none"/>
        </w:rPr>
      </w:pPr>
    </w:p>
    <w:p>
      <w:pPr>
        <w:jc w:val="center"/>
        <w:rPr>
          <w:rFonts w:hint="eastAsia" w:ascii="黑体" w:eastAsia="黑体" w:cs="黑体" w:hAnsiTheme="minorHAnsi"/>
          <w:color w:val="000000"/>
          <w:kern w:val="0"/>
          <w:sz w:val="84"/>
          <w:szCs w:val="84"/>
          <w:highlight w:val="none"/>
          <w:lang w:val="en-US" w:eastAsia="zh-CN" w:bidi="ar-SA"/>
        </w:rPr>
      </w:pPr>
      <w:r>
        <w:rPr>
          <w:rFonts w:hint="eastAsia" w:ascii="黑体" w:eastAsia="黑体" w:cs="黑体" w:hAnsiTheme="minorHAnsi"/>
          <w:color w:val="000000"/>
          <w:kern w:val="0"/>
          <w:sz w:val="84"/>
          <w:szCs w:val="84"/>
          <w:highlight w:val="none"/>
          <w:lang w:val="en-US" w:eastAsia="zh-CN" w:bidi="ar-SA"/>
        </w:rPr>
        <w:t>第二部分</w:t>
      </w:r>
    </w:p>
    <w:p>
      <w:pPr>
        <w:jc w:val="center"/>
        <w:rPr>
          <w:rFonts w:hint="eastAsia" w:ascii="黑体" w:eastAsia="黑体" w:cs="黑体" w:hAnsiTheme="minorHAnsi"/>
          <w:color w:val="000000"/>
          <w:kern w:val="0"/>
          <w:sz w:val="84"/>
          <w:szCs w:val="84"/>
          <w:highlight w:val="none"/>
          <w:lang w:val="en-US" w:eastAsia="zh-CN" w:bidi="ar-SA"/>
        </w:rPr>
      </w:pPr>
    </w:p>
    <w:p>
      <w:pPr>
        <w:jc w:val="center"/>
        <w:rPr>
          <w:rFonts w:hint="eastAsia" w:ascii="黑体" w:eastAsia="黑体" w:cs="黑体" w:hAnsiTheme="minorHAnsi"/>
          <w:color w:val="000000"/>
          <w:kern w:val="0"/>
          <w:sz w:val="84"/>
          <w:szCs w:val="84"/>
          <w:highlight w:val="none"/>
          <w:lang w:val="en-US" w:eastAsia="zh-CN" w:bidi="ar-SA"/>
        </w:rPr>
      </w:pPr>
      <w:r>
        <w:rPr>
          <w:rFonts w:hint="eastAsia" w:ascii="黑体" w:eastAsia="黑体" w:cs="黑体" w:hAnsiTheme="minorHAnsi"/>
          <w:color w:val="000000"/>
          <w:kern w:val="0"/>
          <w:sz w:val="84"/>
          <w:szCs w:val="84"/>
          <w:highlight w:val="none"/>
          <w:lang w:val="en-US" w:eastAsia="zh-CN" w:bidi="ar-SA"/>
        </w:rPr>
        <w:t>部门决算表</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left"/>
        <w:rPr>
          <w:sz w:val="32"/>
          <w:szCs w:val="32"/>
          <w:highlight w:val="none"/>
        </w:rPr>
      </w:pPr>
    </w:p>
    <w:p>
      <w:pPr>
        <w:jc w:val="left"/>
        <w:rPr>
          <w:rFonts w:asciiTheme="minorEastAsia" w:hAnsiTheme="minorEastAsia"/>
          <w:sz w:val="32"/>
          <w:szCs w:val="32"/>
          <w:highlight w:val="none"/>
        </w:rPr>
        <w:sectPr>
          <w:pgSz w:w="11906" w:h="16838"/>
          <w:pgMar w:top="720" w:right="1306" w:bottom="720" w:left="1140" w:header="851" w:footer="992" w:gutter="0"/>
          <w:cols w:space="425" w:num="1"/>
          <w:docGrid w:type="lines" w:linePitch="312" w:charSpace="0"/>
        </w:sectPr>
      </w:pPr>
    </w:p>
    <w:tbl>
      <w:tblPr>
        <w:tblStyle w:val="8"/>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31"/>
        <w:gridCol w:w="453"/>
        <w:gridCol w:w="1774"/>
        <w:gridCol w:w="3933"/>
        <w:gridCol w:w="1147"/>
        <w:gridCol w:w="2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84" w:hRule="atLeast"/>
          <w:tblHeader/>
        </w:trPr>
        <w:tc>
          <w:tcPr>
            <w:tcW w:w="14078" w:type="dxa"/>
            <w:gridSpan w:val="6"/>
            <w:tcBorders>
              <w:top w:val="nil"/>
              <w:left w:val="nil"/>
              <w:bottom w:val="nil"/>
              <w:right w:val="nil"/>
            </w:tcBorders>
            <w:shd w:val="clear" w:color="auto" w:fill="auto"/>
            <w:noWrap/>
            <w:vAlign w:val="top"/>
          </w:tcPr>
          <w:p>
            <w:pPr>
              <w:keepNext w:val="0"/>
              <w:keepLines w:val="0"/>
              <w:widowControl/>
              <w:suppressLineNumbers w:val="0"/>
              <w:jc w:val="center"/>
              <w:textAlignment w:val="bottom"/>
              <w:rPr>
                <w:rFonts w:hint="eastAsia" w:ascii="宋体" w:hAnsi="宋体" w:eastAsia="宋体" w:cs="宋体"/>
                <w:i w:val="0"/>
                <w:iCs w:val="0"/>
                <w:color w:val="000000"/>
                <w:sz w:val="30"/>
                <w:szCs w:val="30"/>
                <w:highlight w:val="none"/>
                <w:u w:val="none"/>
              </w:rPr>
            </w:pPr>
            <w:r>
              <w:rPr>
                <w:rFonts w:hint="eastAsia" w:ascii="宋体" w:hAnsi="宋体" w:eastAsia="宋体" w:cs="宋体"/>
                <w:i w:val="0"/>
                <w:iCs w:val="0"/>
                <w:color w:val="000000"/>
                <w:kern w:val="0"/>
                <w:sz w:val="30"/>
                <w:szCs w:val="30"/>
                <w:highlight w:val="none"/>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blHeader/>
        </w:trPr>
        <w:tc>
          <w:tcPr>
            <w:tcW w:w="4131" w:type="dxa"/>
            <w:tcBorders>
              <w:top w:val="nil"/>
              <w:left w:val="nil"/>
              <w:bottom w:val="nil"/>
              <w:right w:val="nil"/>
            </w:tcBorders>
            <w:shd w:val="clear" w:color="auto" w:fill="auto"/>
            <w:noWrap/>
            <w:vAlign w:val="top"/>
          </w:tcPr>
          <w:p>
            <w:pPr>
              <w:jc w:val="left"/>
              <w:rPr>
                <w:rFonts w:hint="eastAsia" w:ascii="Arial" w:hAnsi="Arial" w:cs="Arial"/>
                <w:i w:val="0"/>
                <w:iCs w:val="0"/>
                <w:color w:val="000000"/>
                <w:sz w:val="20"/>
                <w:szCs w:val="20"/>
                <w:highlight w:val="none"/>
                <w:u w:val="none"/>
              </w:rPr>
            </w:pPr>
          </w:p>
        </w:tc>
        <w:tc>
          <w:tcPr>
            <w:tcW w:w="453"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1774"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3933"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1147"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2640" w:type="dxa"/>
            <w:tcBorders>
              <w:top w:val="nil"/>
              <w:left w:val="nil"/>
              <w:bottom w:val="nil"/>
              <w:right w:val="nil"/>
            </w:tcBorders>
            <w:shd w:val="clear" w:color="auto" w:fill="auto"/>
            <w:noWrap/>
            <w:vAlign w:val="top"/>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blHeader/>
        </w:trPr>
        <w:tc>
          <w:tcPr>
            <w:tcW w:w="4131" w:type="dxa"/>
            <w:tcBorders>
              <w:top w:val="nil"/>
              <w:left w:val="nil"/>
              <w:bottom w:val="nil"/>
              <w:right w:val="nil"/>
            </w:tcBorders>
            <w:shd w:val="clear" w:color="auto" w:fill="auto"/>
            <w:noWrap/>
            <w:vAlign w:val="top"/>
          </w:tcPr>
          <w:p>
            <w:pPr>
              <w:keepNext w:val="0"/>
              <w:keepLines w:val="0"/>
              <w:widowControl/>
              <w:suppressLineNumbers w:val="0"/>
              <w:jc w:val="lef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部门：湖南生物机电职业技术学院</w:t>
            </w:r>
          </w:p>
        </w:tc>
        <w:tc>
          <w:tcPr>
            <w:tcW w:w="453"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1774"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3933"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1147" w:type="dxa"/>
            <w:tcBorders>
              <w:top w:val="nil"/>
              <w:left w:val="nil"/>
              <w:bottom w:val="nil"/>
              <w:right w:val="nil"/>
            </w:tcBorders>
            <w:shd w:val="clear" w:color="auto" w:fill="auto"/>
            <w:noWrap/>
            <w:vAlign w:val="top"/>
          </w:tcPr>
          <w:p>
            <w:pPr>
              <w:jc w:val="left"/>
              <w:rPr>
                <w:rFonts w:hint="default" w:ascii="Arial" w:hAnsi="Arial" w:cs="Arial"/>
                <w:i w:val="0"/>
                <w:iCs w:val="0"/>
                <w:color w:val="000000"/>
                <w:sz w:val="20"/>
                <w:szCs w:val="20"/>
                <w:highlight w:val="none"/>
                <w:u w:val="none"/>
              </w:rPr>
            </w:pPr>
          </w:p>
        </w:tc>
        <w:tc>
          <w:tcPr>
            <w:tcW w:w="2640" w:type="dxa"/>
            <w:tcBorders>
              <w:top w:val="nil"/>
              <w:left w:val="nil"/>
              <w:bottom w:val="nil"/>
              <w:right w:val="nil"/>
            </w:tcBorders>
            <w:shd w:val="clear" w:color="auto" w:fill="auto"/>
            <w:noWrap/>
            <w:vAlign w:val="top"/>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63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收入</w:t>
            </w:r>
          </w:p>
        </w:tc>
        <w:tc>
          <w:tcPr>
            <w:tcW w:w="7720" w:type="dxa"/>
            <w:gridSpan w:val="3"/>
            <w:tcBorders>
              <w:top w:val="single" w:color="000000" w:sz="4" w:space="0"/>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4131" w:type="dxa"/>
            <w:tcBorders>
              <w:top w:val="nil"/>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w:t>
            </w:r>
          </w:p>
        </w:tc>
        <w:tc>
          <w:tcPr>
            <w:tcW w:w="453"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行次</w:t>
            </w:r>
          </w:p>
        </w:tc>
        <w:tc>
          <w:tcPr>
            <w:tcW w:w="1774"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决算数</w:t>
            </w:r>
          </w:p>
        </w:tc>
        <w:tc>
          <w:tcPr>
            <w:tcW w:w="3933"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w:t>
            </w:r>
          </w:p>
        </w:tc>
        <w:tc>
          <w:tcPr>
            <w:tcW w:w="1147"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行次</w:t>
            </w:r>
          </w:p>
        </w:tc>
        <w:tc>
          <w:tcPr>
            <w:tcW w:w="2640"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4131" w:type="dxa"/>
            <w:tcBorders>
              <w:top w:val="nil"/>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栏次</w:t>
            </w:r>
          </w:p>
        </w:tc>
        <w:tc>
          <w:tcPr>
            <w:tcW w:w="453"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1774"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33"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栏次</w:t>
            </w:r>
          </w:p>
        </w:tc>
        <w:tc>
          <w:tcPr>
            <w:tcW w:w="1147"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2640" w:type="dxa"/>
            <w:tcBorders>
              <w:top w:val="nil"/>
              <w:left w:val="nil"/>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一、一般公共预算财政拨款收入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17,941.08</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一、一般公共服务支出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二、政府性基金预算财政拨款收入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二、外交支出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三、国有资本经营预算财政拨款收入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三、国防支出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四、上级补助收入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四、公共安全支出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五、事业收入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7,885.12</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五、教育支出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23,113.73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六、经营收入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六、科学技术支出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七、附属单位上缴收入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七、文化旅游体育与传媒支出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八、其他收入</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1,961.50</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八、社会保障和就业支出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1,852.75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九、卫生健康支出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十、节能环保支出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十一、城乡社区支出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十二、农林水支出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十三、交通运输支出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十四、资源勘探工业信息等支出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十五、商业服务业等支出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十六、金融支出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十七、援助其他地区支出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十八、自然资源海洋气象等支出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十九、住房保障支出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二十、粮油物资储备支出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二十一、国有资本经营预算支出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二十二、灾害防治及应急管理支出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二十三、其他支出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二十四、债务还本支出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二十五、债务付息支出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26</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二十六、抗疫特别国债安排的支出</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57</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本年收入合计</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39,474.71</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本年支出合计</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33,222.47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使用非财政拨款结余</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153.63</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结余分配</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年初结转和结余</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1,626.84</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年末结转和结余</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8,032.70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77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highlight w:val="none"/>
                <w:u w:val="none"/>
              </w:rPr>
            </w:pP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w:t>
            </w:r>
          </w:p>
        </w:tc>
        <w:tc>
          <w:tcPr>
            <w:tcW w:w="264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413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总计</w:t>
            </w:r>
          </w:p>
        </w:tc>
        <w:tc>
          <w:tcPr>
            <w:tcW w:w="4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w:t>
            </w:r>
          </w:p>
        </w:tc>
        <w:tc>
          <w:tcPr>
            <w:tcW w:w="17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41,255.18</w:t>
            </w:r>
          </w:p>
        </w:tc>
        <w:tc>
          <w:tcPr>
            <w:tcW w:w="393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总计</w:t>
            </w:r>
          </w:p>
        </w:tc>
        <w:tc>
          <w:tcPr>
            <w:tcW w:w="114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w:t>
            </w:r>
          </w:p>
        </w:tc>
        <w:tc>
          <w:tcPr>
            <w:tcW w:w="26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41,255.18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4078"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4078"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2.本套报表金额单位转换时可能存在尾数误差。</w:t>
            </w:r>
          </w:p>
        </w:tc>
      </w:tr>
    </w:tbl>
    <w:p>
      <w:pPr>
        <w:jc w:val="center"/>
        <w:rPr>
          <w:rFonts w:ascii="黑体" w:hAnsi="黑体" w:eastAsia="黑体"/>
          <w:sz w:val="28"/>
          <w:szCs w:val="28"/>
          <w:highlight w:val="none"/>
        </w:rPr>
        <w:sectPr>
          <w:pgSz w:w="16838" w:h="11906" w:orient="landscape"/>
          <w:pgMar w:top="1797" w:right="1440" w:bottom="1797" w:left="1440" w:header="851" w:footer="992" w:gutter="0"/>
          <w:cols w:space="425" w:num="1"/>
          <w:docGrid w:type="linesAndChars" w:linePitch="312" w:charSpace="0"/>
        </w:sectPr>
      </w:pPr>
    </w:p>
    <w:tbl>
      <w:tblPr>
        <w:tblStyle w:val="8"/>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0"/>
        <w:gridCol w:w="271"/>
        <w:gridCol w:w="579"/>
        <w:gridCol w:w="4401"/>
        <w:gridCol w:w="1620"/>
        <w:gridCol w:w="1416"/>
        <w:gridCol w:w="1020"/>
        <w:gridCol w:w="1152"/>
        <w:gridCol w:w="1128"/>
        <w:gridCol w:w="912"/>
        <w:gridCol w:w="13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84" w:hRule="atLeast"/>
          <w:tblHeader/>
        </w:trPr>
        <w:tc>
          <w:tcPr>
            <w:tcW w:w="14078" w:type="dxa"/>
            <w:gridSpan w:val="11"/>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highlight w:val="none"/>
                <w:u w:val="none"/>
              </w:rPr>
            </w:pPr>
            <w:r>
              <w:rPr>
                <w:rFonts w:hint="eastAsia" w:ascii="宋体" w:hAnsi="宋体" w:eastAsia="宋体" w:cs="宋体"/>
                <w:i w:val="0"/>
                <w:iCs w:val="0"/>
                <w:color w:val="000000"/>
                <w:kern w:val="0"/>
                <w:sz w:val="30"/>
                <w:szCs w:val="30"/>
                <w:highlight w:val="none"/>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64" w:hRule="atLeast"/>
          <w:tblHeader/>
        </w:trPr>
        <w:tc>
          <w:tcPr>
            <w:tcW w:w="270"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highlight w:val="none"/>
                <w:u w:val="none"/>
              </w:rPr>
            </w:pPr>
          </w:p>
        </w:tc>
        <w:tc>
          <w:tcPr>
            <w:tcW w:w="27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57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440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62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41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02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1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12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91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09"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blHeader/>
        </w:trPr>
        <w:tc>
          <w:tcPr>
            <w:tcW w:w="5521" w:type="dxa"/>
            <w:gridSpan w:val="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部门：湖南生物机电职业技术学院</w:t>
            </w:r>
          </w:p>
        </w:tc>
        <w:tc>
          <w:tcPr>
            <w:tcW w:w="162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41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02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1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12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91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09"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blHeader/>
        </w:trPr>
        <w:tc>
          <w:tcPr>
            <w:tcW w:w="552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w:t>
            </w:r>
          </w:p>
        </w:tc>
        <w:tc>
          <w:tcPr>
            <w:tcW w:w="162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本年收入合计</w:t>
            </w:r>
          </w:p>
        </w:tc>
        <w:tc>
          <w:tcPr>
            <w:tcW w:w="14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财政拨款收入</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上级补助收入</w:t>
            </w:r>
          </w:p>
        </w:tc>
        <w:tc>
          <w:tcPr>
            <w:tcW w:w="115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事业收入</w:t>
            </w:r>
          </w:p>
        </w:tc>
        <w:tc>
          <w:tcPr>
            <w:tcW w:w="112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经营收入</w:t>
            </w:r>
          </w:p>
        </w:tc>
        <w:tc>
          <w:tcPr>
            <w:tcW w:w="91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附属单位上缴收入</w:t>
            </w:r>
          </w:p>
        </w:tc>
        <w:tc>
          <w:tcPr>
            <w:tcW w:w="130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blHeader/>
        </w:trPr>
        <w:tc>
          <w:tcPr>
            <w:tcW w:w="112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功能分类科目编码</w:t>
            </w:r>
          </w:p>
        </w:tc>
        <w:tc>
          <w:tcPr>
            <w:tcW w:w="4401" w:type="dxa"/>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科目名称</w:t>
            </w:r>
          </w:p>
        </w:tc>
        <w:tc>
          <w:tcPr>
            <w:tcW w:w="16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1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2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1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0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112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4401"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6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1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2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1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0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blHeader/>
        </w:trPr>
        <w:tc>
          <w:tcPr>
            <w:tcW w:w="112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4401"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6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1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12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1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0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5521"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栏次</w:t>
            </w:r>
          </w:p>
        </w:tc>
        <w:tc>
          <w:tcPr>
            <w:tcW w:w="16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41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0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1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12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9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5521"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合计</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39,474.71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29,628.08</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7,885.12</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1,961.50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一般公共服务支出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20129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群众团体事务</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2012902</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一般行政管理事务</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教育支出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24,223.41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14,917.66</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7,344.25</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职业教育</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24,223.41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14,917.66</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7,344.25</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2050305</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高等职业教育</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22,261.91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14,917.66</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7,344.25</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其他职业教育支出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1,961.50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科学技术支出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20606</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社会科学</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2060603</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社科基金支出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社会保障和就业支出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1,850.04</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1,727.28</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122.76</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行政事业单位养老支出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122.76</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2080505</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机关事业单位基本养老保险缴费支出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122.76</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就业补助</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25.20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25.20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其他就业补助支出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25.20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25.20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其他社会保障和就业支出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0.48</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0.48</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2089999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其他社会保障和就业支出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0.48</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0.48</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卫生健康支出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其他卫生健康支出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其他卫生健康支出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城乡社区支出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21208</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国有土地使用权出让收入安排的支出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2120899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其他国有土地使用权出让收入安排的支出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农林水支出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492.54</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492.54</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农业农村</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492.54</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492.54</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2130122</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  农业生产发展</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77.54</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77.54</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2130199</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  其他农业农村支出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415.00</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415.00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住房保障支出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418.11</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22102</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住房改革支出</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418.11</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12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2210201</w:t>
            </w:r>
          </w:p>
        </w:tc>
        <w:tc>
          <w:tcPr>
            <w:tcW w:w="440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  住房公积金</w:t>
            </w:r>
          </w:p>
        </w:tc>
        <w:tc>
          <w:tcPr>
            <w:tcW w:w="16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4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10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1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418.11</w:t>
            </w:r>
          </w:p>
        </w:tc>
        <w:tc>
          <w:tcPr>
            <w:tcW w:w="112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91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130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4078"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注：本表反映部门本年度取得的各项收入情况。</w:t>
            </w:r>
          </w:p>
        </w:tc>
      </w:tr>
    </w:tbl>
    <w:p>
      <w:pPr>
        <w:jc w:val="center"/>
        <w:rPr>
          <w:rFonts w:ascii="黑体" w:hAnsi="黑体" w:eastAsia="黑体"/>
          <w:sz w:val="28"/>
          <w:szCs w:val="28"/>
          <w:highlight w:val="none"/>
        </w:rPr>
        <w:sectPr>
          <w:pgSz w:w="16838" w:h="11906" w:orient="landscape"/>
          <w:pgMar w:top="1797" w:right="1440" w:bottom="1797" w:left="1440" w:header="851" w:footer="992" w:gutter="0"/>
          <w:cols w:space="425" w:num="1"/>
          <w:docGrid w:type="linesAndChars" w:linePitch="312" w:charSpace="0"/>
        </w:sectPr>
      </w:pPr>
    </w:p>
    <w:p>
      <w:pPr>
        <w:widowControl/>
        <w:jc w:val="left"/>
        <w:rPr>
          <w:rFonts w:ascii="Times New Roman" w:hAnsi="Times New Roman" w:eastAsia="黑体" w:cs="Times New Roman"/>
          <w:bCs/>
          <w:kern w:val="0"/>
          <w:sz w:val="32"/>
          <w:szCs w:val="32"/>
          <w:highlight w:val="none"/>
        </w:rPr>
      </w:pPr>
      <w:r>
        <w:rPr>
          <w:rFonts w:ascii="Times New Roman" w:hAnsi="Times New Roman" w:eastAsia="黑体" w:cs="Times New Roman"/>
          <w:bCs/>
          <w:kern w:val="0"/>
          <w:sz w:val="32"/>
          <w:szCs w:val="32"/>
          <w:highlight w:val="none"/>
        </w:rPr>
        <w:t xml:space="preserve"> </w:t>
      </w:r>
    </w:p>
    <w:tbl>
      <w:tblPr>
        <w:tblStyle w:val="8"/>
        <w:tblW w:w="14146" w:type="dxa"/>
        <w:tblInd w:w="89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6"/>
        <w:gridCol w:w="328"/>
        <w:gridCol w:w="689"/>
        <w:gridCol w:w="438"/>
        <w:gridCol w:w="3775"/>
        <w:gridCol w:w="705"/>
        <w:gridCol w:w="962"/>
        <w:gridCol w:w="705"/>
        <w:gridCol w:w="668"/>
        <w:gridCol w:w="705"/>
        <w:gridCol w:w="655"/>
        <w:gridCol w:w="705"/>
        <w:gridCol w:w="575"/>
        <w:gridCol w:w="705"/>
        <w:gridCol w:w="535"/>
        <w:gridCol w:w="160"/>
        <w:gridCol w:w="1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4" w:hRule="atLeast"/>
        </w:trPr>
        <w:tc>
          <w:tcPr>
            <w:tcW w:w="14146" w:type="dxa"/>
            <w:gridSpan w:val="1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highlight w:val="none"/>
                <w:u w:val="none"/>
              </w:rPr>
            </w:pPr>
            <w:r>
              <w:rPr>
                <w:rFonts w:hint="eastAsia" w:ascii="宋体" w:hAnsi="宋体" w:eastAsia="宋体" w:cs="宋体"/>
                <w:i w:val="0"/>
                <w:iCs w:val="0"/>
                <w:color w:val="000000"/>
                <w:kern w:val="0"/>
                <w:sz w:val="30"/>
                <w:szCs w:val="30"/>
                <w:highlight w:val="none"/>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64" w:hRule="atLeast"/>
        </w:trPr>
        <w:tc>
          <w:tcPr>
            <w:tcW w:w="23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highlight w:val="none"/>
                <w:u w:val="none"/>
              </w:rPr>
            </w:pPr>
          </w:p>
        </w:tc>
        <w:tc>
          <w:tcPr>
            <w:tcW w:w="32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127"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4480"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667"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73"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60"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280"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53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760" w:type="dxa"/>
            <w:gridSpan w:val="2"/>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64" w:hRule="atLeast"/>
        </w:trPr>
        <w:tc>
          <w:tcPr>
            <w:tcW w:w="5466" w:type="dxa"/>
            <w:gridSpan w:val="5"/>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部门：湖南生物机电职业技术学院</w:t>
            </w:r>
          </w:p>
        </w:tc>
        <w:tc>
          <w:tcPr>
            <w:tcW w:w="1667"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73"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60"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280" w:type="dxa"/>
            <w:gridSpan w:val="2"/>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400" w:type="dxa"/>
            <w:gridSpan w:val="3"/>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60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546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w:t>
            </w:r>
          </w:p>
        </w:tc>
        <w:tc>
          <w:tcPr>
            <w:tcW w:w="1667"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本年支出合计</w:t>
            </w:r>
          </w:p>
        </w:tc>
        <w:tc>
          <w:tcPr>
            <w:tcW w:w="1373"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基本支出</w:t>
            </w:r>
          </w:p>
        </w:tc>
        <w:tc>
          <w:tcPr>
            <w:tcW w:w="1360"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项目支出</w:t>
            </w:r>
          </w:p>
        </w:tc>
        <w:tc>
          <w:tcPr>
            <w:tcW w:w="1280"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上缴上级支出</w:t>
            </w:r>
          </w:p>
        </w:tc>
        <w:tc>
          <w:tcPr>
            <w:tcW w:w="1400" w:type="dxa"/>
            <w:gridSpan w:val="3"/>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经营支出</w:t>
            </w:r>
          </w:p>
        </w:tc>
        <w:tc>
          <w:tcPr>
            <w:tcW w:w="16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功能分类科目编码</w:t>
            </w:r>
          </w:p>
        </w:tc>
        <w:tc>
          <w:tcPr>
            <w:tcW w:w="4213" w:type="dxa"/>
            <w:gridSpan w:val="2"/>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科目名称</w:t>
            </w:r>
          </w:p>
        </w:tc>
        <w:tc>
          <w:tcPr>
            <w:tcW w:w="1667"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73"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6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28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00" w:type="dxa"/>
            <w:gridSpan w:val="3"/>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6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4213" w:type="dxa"/>
            <w:gridSpan w:val="2"/>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667"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73"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6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28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00" w:type="dxa"/>
            <w:gridSpan w:val="3"/>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6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125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4213" w:type="dxa"/>
            <w:gridSpan w:val="2"/>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667"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73"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36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280" w:type="dxa"/>
            <w:gridSpan w:val="2"/>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400" w:type="dxa"/>
            <w:gridSpan w:val="3"/>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16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5466" w:type="dxa"/>
            <w:gridSpan w:val="5"/>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栏次</w:t>
            </w:r>
          </w:p>
        </w:tc>
        <w:tc>
          <w:tcPr>
            <w:tcW w:w="1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7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6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2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400"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6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5466" w:type="dxa"/>
            <w:gridSpan w:val="5"/>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合计</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33,222.47</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20,090.12</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13,132.35</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教育支出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23,113.73</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17,047.64</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6,066.09</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职业教育</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23,113.73</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17,047.64</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6,066.09</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2050305</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高等职业教育</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21,147.09</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15,169.67</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5,977.42</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其他职业教育支出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1,966.64</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1,877.97</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88.67</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社会保障和就业支出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1,852.75</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行政事业单位养老支出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2080505</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机关事业单位基本养老保险缴费支出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1,824.36</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就业补助</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其他就业补助支出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卫生健康支出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其他卫生健康支出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其他卫生健康支出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城乡社区支出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21208</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国有土地使用权出让收入安排的支出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2120899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其他国有土地使用权出让收入安排的支出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农林水支出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农业农村</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2130106</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科技转化与推广服务</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164.62</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164.62</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2130122</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农业生产发展</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400.58</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400.58</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2130135</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农业资源保护修复与利用</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2130199</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其他农业农村支出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372.92</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372.92</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221</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住房保障支出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22102</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住房改革支出</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2210201</w:t>
            </w:r>
          </w:p>
        </w:tc>
        <w:tc>
          <w:tcPr>
            <w:tcW w:w="421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住房公积金</w:t>
            </w:r>
          </w:p>
        </w:tc>
        <w:tc>
          <w:tcPr>
            <w:tcW w:w="1667"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73"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1,218.11</w:t>
            </w:r>
          </w:p>
        </w:tc>
        <w:tc>
          <w:tcPr>
            <w:tcW w:w="136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280" w:type="dxa"/>
            <w:gridSpan w:val="2"/>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00" w:type="dxa"/>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14146" w:type="dxa"/>
            <w:gridSpan w:val="1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注：本表反映部门本年度各项支出情况。</w:t>
            </w:r>
          </w:p>
        </w:tc>
      </w:tr>
    </w:tbl>
    <w:p>
      <w:pPr>
        <w:widowControl/>
        <w:jc w:val="left"/>
        <w:rPr>
          <w:rFonts w:ascii="Times New Roman" w:hAnsi="Times New Roman" w:eastAsia="黑体" w:cs="Times New Roman"/>
          <w:bCs/>
          <w:kern w:val="0"/>
          <w:sz w:val="32"/>
          <w:szCs w:val="32"/>
          <w:highlight w:val="none"/>
        </w:rPr>
      </w:pPr>
      <w:r>
        <w:rPr>
          <w:rFonts w:ascii="Times New Roman" w:hAnsi="Times New Roman" w:eastAsia="黑体" w:cs="Times New Roman"/>
          <w:bCs/>
          <w:kern w:val="0"/>
          <w:sz w:val="32"/>
          <w:szCs w:val="32"/>
          <w:highlight w:val="none"/>
        </w:rPr>
        <w:br w:type="page"/>
      </w:r>
    </w:p>
    <w:tbl>
      <w:tblPr>
        <w:tblStyle w:val="8"/>
        <w:tblpPr w:leftFromText="180" w:rightFromText="180" w:vertAnchor="text" w:horzAnchor="page" w:tblpX="1041" w:tblpY="564"/>
        <w:tblOverlap w:val="never"/>
        <w:tblW w:w="153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85"/>
        <w:gridCol w:w="501"/>
        <w:gridCol w:w="1422"/>
        <w:gridCol w:w="3412"/>
        <w:gridCol w:w="667"/>
        <w:gridCol w:w="1507"/>
        <w:gridCol w:w="1339"/>
        <w:gridCol w:w="1500"/>
        <w:gridCol w:w="16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2" w:hRule="atLeast"/>
          <w:tblHeader/>
        </w:trPr>
        <w:tc>
          <w:tcPr>
            <w:tcW w:w="15365" w:type="dxa"/>
            <w:gridSpan w:val="9"/>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highlight w:val="none"/>
                <w:u w:val="none"/>
              </w:rPr>
            </w:pPr>
            <w:r>
              <w:rPr>
                <w:rFonts w:hint="eastAsia" w:ascii="宋体" w:hAnsi="宋体" w:eastAsia="宋体" w:cs="宋体"/>
                <w:i w:val="0"/>
                <w:iCs w:val="0"/>
                <w:color w:val="000000"/>
                <w:kern w:val="0"/>
                <w:sz w:val="30"/>
                <w:szCs w:val="30"/>
                <w:highlight w:val="none"/>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 w:hRule="atLeast"/>
          <w:tblHeader/>
        </w:trPr>
        <w:tc>
          <w:tcPr>
            <w:tcW w:w="3385"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highlight w:val="none"/>
                <w:u w:val="none"/>
              </w:rPr>
            </w:pPr>
          </w:p>
        </w:tc>
        <w:tc>
          <w:tcPr>
            <w:tcW w:w="50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4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341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66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50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3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50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63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blHeader/>
        </w:trPr>
        <w:tc>
          <w:tcPr>
            <w:tcW w:w="5308" w:type="dxa"/>
            <w:gridSpan w:val="3"/>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部门：湖南生物机电职业技术学院</w:t>
            </w:r>
          </w:p>
        </w:tc>
        <w:tc>
          <w:tcPr>
            <w:tcW w:w="341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66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50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133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3132" w:type="dxa"/>
            <w:gridSpan w:val="2"/>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53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收     入</w:t>
            </w:r>
          </w:p>
        </w:tc>
        <w:tc>
          <w:tcPr>
            <w:tcW w:w="10057" w:type="dxa"/>
            <w:gridSpan w:val="6"/>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5" w:hRule="atLeast"/>
          <w:tblHeader/>
        </w:trPr>
        <w:tc>
          <w:tcPr>
            <w:tcW w:w="33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w:t>
            </w:r>
          </w:p>
        </w:tc>
        <w:tc>
          <w:tcPr>
            <w:tcW w:w="501"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行次</w:t>
            </w:r>
          </w:p>
        </w:tc>
        <w:tc>
          <w:tcPr>
            <w:tcW w:w="1422"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w:t>
            </w:r>
          </w:p>
        </w:tc>
        <w:tc>
          <w:tcPr>
            <w:tcW w:w="3412"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w:t>
            </w:r>
          </w:p>
        </w:tc>
        <w:tc>
          <w:tcPr>
            <w:tcW w:w="667"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行次</w:t>
            </w:r>
          </w:p>
        </w:tc>
        <w:tc>
          <w:tcPr>
            <w:tcW w:w="1507" w:type="dxa"/>
            <w:vMerge w:val="restart"/>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合计</w:t>
            </w:r>
          </w:p>
        </w:tc>
        <w:tc>
          <w:tcPr>
            <w:tcW w:w="1339"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一般公共预算财政拨款</w:t>
            </w:r>
          </w:p>
        </w:tc>
        <w:tc>
          <w:tcPr>
            <w:tcW w:w="15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政府性基金预算财政拨款</w:t>
            </w:r>
          </w:p>
        </w:tc>
        <w:tc>
          <w:tcPr>
            <w:tcW w:w="1632"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atLeast"/>
          <w:tblHeader/>
        </w:trPr>
        <w:tc>
          <w:tcPr>
            <w:tcW w:w="3385"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501"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1422"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3412"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667"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1507" w:type="dxa"/>
            <w:vMerge w:val="continue"/>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1339"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15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c>
          <w:tcPr>
            <w:tcW w:w="1632"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blHeader/>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栏次</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栏次</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一、一般公共预算财政拨款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17,941.08</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一、一般公共服务支出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二、政府性基金预算财政拨款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二、外交支出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三、国有资本经营财政拨款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三、国防支出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四、公共安全支出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五、教育支出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13,802.84</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13,802.84</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六、科学技术支出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七、文化旅游体育与传媒支出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八、社会保障和就业支出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1,729.99</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1,729.99</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九、卫生健康支出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十、节能环保支出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十一、城乡社区支出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十二、农林水支出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十三、交通运输支出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十四、资源勘探工业信息等支出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十五、商业服务业等支出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十六、金融支出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十七、援助其他地区支出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十八、自然资源海洋气象等支出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十九、住房保障支出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800.00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800.00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二十、粮油物资储备支出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二十一、国有资本经营预算支出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二十二、灾害防治及应急管理支出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二十三、其他支出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二十四、债务还本支出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二十五、债务付息支出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二十六、抗疫特别国债安排的支出</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本年收入合计</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29,628.08</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本年支出合计</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23,370.71</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17,275.61</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6,095.10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年初财政拨款结转和结余</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1,626.84</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年末财政拨款结转和结余</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7,884.21</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2,292.31</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5,591.90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一般公共预算财政拨款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1,626.84</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50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33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6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政府性基金预算财政拨款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50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33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6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国有资本经营预算财政拨款</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50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33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c>
          <w:tcPr>
            <w:tcW w:w="16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33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总计</w:t>
            </w:r>
          </w:p>
        </w:tc>
        <w:tc>
          <w:tcPr>
            <w:tcW w:w="50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31,254.92</w:t>
            </w:r>
          </w:p>
        </w:tc>
        <w:tc>
          <w:tcPr>
            <w:tcW w:w="341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总计</w:t>
            </w:r>
          </w:p>
        </w:tc>
        <w:tc>
          <w:tcPr>
            <w:tcW w:w="66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50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31,254.92</w:t>
            </w:r>
          </w:p>
        </w:tc>
        <w:tc>
          <w:tcPr>
            <w:tcW w:w="133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19,567.92</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163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3733" w:type="dxa"/>
            <w:gridSpan w:val="8"/>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注：本表反映部门本年度一般公共预算财政拨款、政府性基金预算财政拨款和国有资本经营预算财政拨款的总收支和年末结转结余情况。</w:t>
            </w:r>
          </w:p>
        </w:tc>
        <w:tc>
          <w:tcPr>
            <w:tcW w:w="1632"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bl>
    <w:p>
      <w:pPr>
        <w:keepNext w:val="0"/>
        <w:keepLines w:val="0"/>
        <w:pageBreakBefore w:val="0"/>
        <w:widowControl/>
        <w:kinsoku/>
        <w:wordWrap/>
        <w:overflowPunct/>
        <w:topLinePunct w:val="0"/>
        <w:autoSpaceDE/>
        <w:autoSpaceDN/>
        <w:bidi w:val="0"/>
        <w:adjustRightInd/>
        <w:snapToGrid/>
        <w:spacing w:line="240" w:lineRule="exact"/>
        <w:rPr>
          <w:rFonts w:ascii="Times New Roman" w:hAnsi="Times New Roman" w:eastAsia="方正小标宋_GBK" w:cs="Times New Roman"/>
          <w:color w:val="000000"/>
          <w:kern w:val="0"/>
          <w:sz w:val="21"/>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widowControl/>
        <w:ind w:left="93"/>
        <w:jc w:val="center"/>
        <w:rPr>
          <w:rFonts w:ascii="Times New Roman" w:hAnsi="Times New Roman" w:eastAsia="方正小标宋_GBK" w:cs="Times New Roman"/>
          <w:color w:val="000000"/>
          <w:kern w:val="0"/>
          <w:sz w:val="36"/>
          <w:szCs w:val="21"/>
          <w:highlight w:val="none"/>
        </w:rPr>
      </w:pPr>
    </w:p>
    <w:p>
      <w:pPr>
        <w:pStyle w:val="3"/>
        <w:rPr>
          <w:highlight w:val="none"/>
        </w:rPr>
      </w:pPr>
    </w:p>
    <w:p>
      <w:pPr>
        <w:widowControl/>
        <w:ind w:left="93"/>
        <w:jc w:val="center"/>
        <w:rPr>
          <w:rFonts w:ascii="Times New Roman" w:hAnsi="Times New Roman" w:eastAsia="方正小标宋_GBK" w:cs="Times New Roman"/>
          <w:color w:val="000000"/>
          <w:kern w:val="0"/>
          <w:sz w:val="36"/>
          <w:szCs w:val="21"/>
          <w:highlight w:val="none"/>
        </w:rPr>
      </w:pPr>
    </w:p>
    <w:tbl>
      <w:tblPr>
        <w:tblStyle w:val="8"/>
        <w:tblpPr w:leftFromText="180" w:rightFromText="180" w:vertAnchor="text" w:horzAnchor="page" w:tblpX="1401" w:tblpY="605"/>
        <w:tblOverlap w:val="never"/>
        <w:tblW w:w="14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9"/>
        <w:gridCol w:w="329"/>
        <w:gridCol w:w="569"/>
        <w:gridCol w:w="6067"/>
        <w:gridCol w:w="2306"/>
        <w:gridCol w:w="2294"/>
        <w:gridCol w:w="2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4" w:hRule="atLeast"/>
        </w:trPr>
        <w:tc>
          <w:tcPr>
            <w:tcW w:w="14614"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highlight w:val="none"/>
                <w:u w:val="none"/>
              </w:rPr>
            </w:pPr>
            <w:r>
              <w:rPr>
                <w:rFonts w:hint="eastAsia" w:ascii="宋体" w:hAnsi="宋体" w:eastAsia="宋体" w:cs="宋体"/>
                <w:i w:val="0"/>
                <w:iCs w:val="0"/>
                <w:color w:val="000000"/>
                <w:kern w:val="0"/>
                <w:sz w:val="30"/>
                <w:szCs w:val="30"/>
                <w:highlight w:val="none"/>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329"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highlight w:val="none"/>
                <w:u w:val="none"/>
              </w:rPr>
            </w:pPr>
          </w:p>
        </w:tc>
        <w:tc>
          <w:tcPr>
            <w:tcW w:w="32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56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606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230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229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272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trPr>
        <w:tc>
          <w:tcPr>
            <w:tcW w:w="7294" w:type="dxa"/>
            <w:gridSpan w:val="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部门：湖南生物机电职业技术学院</w:t>
            </w:r>
          </w:p>
        </w:tc>
        <w:tc>
          <w:tcPr>
            <w:tcW w:w="230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229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highlight w:val="none"/>
                <w:u w:val="none"/>
              </w:rPr>
            </w:pPr>
          </w:p>
        </w:tc>
        <w:tc>
          <w:tcPr>
            <w:tcW w:w="272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72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w:t>
            </w:r>
          </w:p>
        </w:tc>
        <w:tc>
          <w:tcPr>
            <w:tcW w:w="73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功能分类科目编码</w:t>
            </w:r>
          </w:p>
        </w:tc>
        <w:tc>
          <w:tcPr>
            <w:tcW w:w="6067" w:type="dxa"/>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科目名称</w:t>
            </w:r>
          </w:p>
        </w:tc>
        <w:tc>
          <w:tcPr>
            <w:tcW w:w="230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小计</w:t>
            </w:r>
          </w:p>
        </w:tc>
        <w:tc>
          <w:tcPr>
            <w:tcW w:w="229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基本支出</w:t>
            </w:r>
          </w:p>
        </w:tc>
        <w:tc>
          <w:tcPr>
            <w:tcW w:w="272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3" w:hRule="atLeast"/>
        </w:trPr>
        <w:tc>
          <w:tcPr>
            <w:tcW w:w="1227"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067"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230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2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72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227"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067"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230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2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72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7294"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栏次</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7294"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合计</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17,275.61</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11,289.58</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5,986.03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一般公共服务支出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20129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群众团体事务</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2012902</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一般行政管理事务</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教育支出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13,802.84</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8,787.98</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职业教育</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13,802.84</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8,787.98</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2050305</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高等职业教育</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13,802.84</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8,787.98</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科学技术支出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20606</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社会科学</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2060603</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社科基金支出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社会保障和就业支出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1,729.99</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行政事业单位养老支出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2080505</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机关事业单位基本养老保险缴费支出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1,701.60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就业补助</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2080799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其他就业补助支出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其他社会保障和就业支出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2089999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其他社会保障和就业支出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卫生健康支出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其他卫生健康支出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2109999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其他卫生健康支出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农林水支出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农业农村</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2130106</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科技转化与推广服务</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164.62</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164.62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2130122</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农业生产发展</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400.58</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400.58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2130135</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农业资源保护修复与利用</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2130199</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  其他农业农村支出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372.92</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住房保障支出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22102</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住房改革支出</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22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2210201</w:t>
            </w:r>
          </w:p>
        </w:tc>
        <w:tc>
          <w:tcPr>
            <w:tcW w:w="60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  住房公积金</w:t>
            </w:r>
          </w:p>
        </w:tc>
        <w:tc>
          <w:tcPr>
            <w:tcW w:w="230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29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800.00</w:t>
            </w:r>
          </w:p>
        </w:tc>
        <w:tc>
          <w:tcPr>
            <w:tcW w:w="272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4614" w:type="dxa"/>
            <w:gridSpan w:val="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注：本表反映部门本年度一般公共预算财政拨款支出情况。</w:t>
            </w:r>
          </w:p>
        </w:tc>
      </w:tr>
    </w:tbl>
    <w:p>
      <w:pPr>
        <w:keepNext w:val="0"/>
        <w:keepLines w:val="0"/>
        <w:pageBreakBefore w:val="0"/>
        <w:widowControl/>
        <w:kinsoku/>
        <w:wordWrap/>
        <w:overflowPunct/>
        <w:topLinePunct w:val="0"/>
        <w:autoSpaceDE/>
        <w:autoSpaceDN/>
        <w:bidi w:val="0"/>
        <w:adjustRightInd/>
        <w:snapToGrid/>
        <w:spacing w:line="240" w:lineRule="exact"/>
        <w:ind w:left="93"/>
        <w:jc w:val="center"/>
        <w:rPr>
          <w:rFonts w:ascii="Times New Roman" w:hAnsi="Times New Roman" w:eastAsia="方正小标宋_GBK" w:cs="Times New Roman"/>
          <w:color w:val="000000"/>
          <w:kern w:val="0"/>
          <w:sz w:val="36"/>
          <w:szCs w:val="21"/>
          <w:highlight w:val="none"/>
        </w:rPr>
      </w:pPr>
    </w:p>
    <w:p>
      <w:pPr>
        <w:keepNext w:val="0"/>
        <w:keepLines w:val="0"/>
        <w:pageBreakBefore w:val="0"/>
        <w:widowControl/>
        <w:kinsoku/>
        <w:wordWrap/>
        <w:overflowPunct/>
        <w:topLinePunct w:val="0"/>
        <w:autoSpaceDE/>
        <w:autoSpaceDN/>
        <w:bidi w:val="0"/>
        <w:adjustRightInd/>
        <w:snapToGrid/>
        <w:spacing w:line="240" w:lineRule="exact"/>
        <w:ind w:left="93"/>
        <w:jc w:val="center"/>
        <w:rPr>
          <w:rFonts w:ascii="Times New Roman" w:hAnsi="Times New Roman" w:eastAsia="方正小标宋_GBK" w:cs="Times New Roman"/>
          <w:color w:val="000000"/>
          <w:kern w:val="0"/>
          <w:sz w:val="36"/>
          <w:szCs w:val="21"/>
          <w:highlight w:val="none"/>
        </w:rPr>
      </w:pPr>
    </w:p>
    <w:p>
      <w:pPr>
        <w:keepNext w:val="0"/>
        <w:keepLines w:val="0"/>
        <w:pageBreakBefore w:val="0"/>
        <w:widowControl/>
        <w:kinsoku/>
        <w:wordWrap/>
        <w:overflowPunct/>
        <w:topLinePunct w:val="0"/>
        <w:autoSpaceDE/>
        <w:autoSpaceDN/>
        <w:bidi w:val="0"/>
        <w:adjustRightInd/>
        <w:snapToGrid/>
        <w:spacing w:line="240" w:lineRule="exact"/>
        <w:ind w:left="93"/>
        <w:jc w:val="center"/>
        <w:rPr>
          <w:rFonts w:ascii="Times New Roman" w:hAnsi="Times New Roman" w:eastAsia="方正小标宋_GBK" w:cs="Times New Roman"/>
          <w:color w:val="000000"/>
          <w:kern w:val="0"/>
          <w:sz w:val="36"/>
          <w:szCs w:val="21"/>
          <w:highlight w:val="none"/>
        </w:rPr>
      </w:pPr>
    </w:p>
    <w:p>
      <w:pPr>
        <w:widowControl/>
        <w:jc w:val="center"/>
        <w:rPr>
          <w:rFonts w:ascii="Times New Roman" w:hAnsi="Times New Roman" w:eastAsia="方正小标宋_GBK" w:cs="Times New Roman"/>
          <w:kern w:val="0"/>
          <w:sz w:val="36"/>
          <w:szCs w:val="36"/>
          <w:highlight w:val="none"/>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highlight w:val="none"/>
        </w:rPr>
      </w:pPr>
    </w:p>
    <w:bookmarkEnd w:id="1"/>
    <w:p>
      <w:pPr>
        <w:widowControl/>
        <w:jc w:val="left"/>
        <w:rPr>
          <w:rFonts w:ascii="Times New Roman" w:hAnsi="Times New Roman" w:eastAsia="仿宋_GB2312" w:cs="Times New Roman"/>
          <w:bCs/>
          <w:kern w:val="0"/>
          <w:szCs w:val="21"/>
          <w:highlight w:val="none"/>
        </w:rPr>
      </w:pPr>
      <w:r>
        <w:rPr>
          <w:rFonts w:ascii="Times New Roman" w:hAnsi="Times New Roman" w:eastAsia="仿宋_GB2312" w:cs="Times New Roman"/>
          <w:bCs/>
          <w:kern w:val="0"/>
          <w:szCs w:val="21"/>
          <w:highlight w:val="none"/>
        </w:rPr>
        <w:br w:type="page"/>
      </w:r>
    </w:p>
    <w:tbl>
      <w:tblPr>
        <w:tblStyle w:val="8"/>
        <w:tblpPr w:leftFromText="180" w:rightFromText="180" w:vertAnchor="text" w:horzAnchor="page" w:tblpX="775" w:tblpY="-7"/>
        <w:tblOverlap w:val="never"/>
        <w:tblW w:w="15626" w:type="dxa"/>
        <w:tblInd w:w="0" w:type="dxa"/>
        <w:tblLayout w:type="fixed"/>
        <w:tblCellMar>
          <w:top w:w="0" w:type="dxa"/>
          <w:left w:w="108" w:type="dxa"/>
          <w:bottom w:w="0" w:type="dxa"/>
          <w:right w:w="108" w:type="dxa"/>
        </w:tblCellMar>
      </w:tblPr>
      <w:tblGrid>
        <w:gridCol w:w="1334"/>
        <w:gridCol w:w="3354"/>
        <w:gridCol w:w="1205"/>
        <w:gridCol w:w="1161"/>
        <w:gridCol w:w="1892"/>
        <w:gridCol w:w="1094"/>
        <w:gridCol w:w="1147"/>
        <w:gridCol w:w="3265"/>
        <w:gridCol w:w="1174"/>
      </w:tblGrid>
      <w:tr>
        <w:tblPrEx>
          <w:tblLayout w:type="fixed"/>
          <w:tblCellMar>
            <w:top w:w="0" w:type="dxa"/>
            <w:left w:w="108" w:type="dxa"/>
            <w:bottom w:w="0" w:type="dxa"/>
            <w:right w:w="108" w:type="dxa"/>
          </w:tblCellMar>
        </w:tblPrEx>
        <w:trPr>
          <w:trHeight w:val="113" w:hRule="atLeast"/>
        </w:trPr>
        <w:tc>
          <w:tcPr>
            <w:tcW w:w="15626"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kern w:val="0"/>
                <w:sz w:val="30"/>
                <w:szCs w:val="30"/>
                <w:highlight w:val="none"/>
                <w:u w:val="none"/>
                <w:lang w:val="en-US" w:eastAsia="zh-CN" w:bidi="ar"/>
              </w:rPr>
            </w:pPr>
            <w:bookmarkStart w:id="2" w:name="RANGE!A1:I34"/>
            <w:r>
              <w:rPr>
                <w:rFonts w:hint="eastAsia" w:ascii="宋体" w:hAnsi="宋体" w:eastAsia="宋体" w:cs="宋体"/>
                <w:i w:val="0"/>
                <w:iCs w:val="0"/>
                <w:color w:val="000000"/>
                <w:kern w:val="0"/>
                <w:sz w:val="30"/>
                <w:szCs w:val="30"/>
                <w:highlight w:val="none"/>
                <w:u w:val="none"/>
                <w:lang w:val="en-US" w:eastAsia="zh-CN" w:bidi="ar"/>
              </w:rPr>
              <w:t>一般公共预算财政拨款基本支出决算明细表</w:t>
            </w:r>
            <w:bookmarkEnd w:id="2"/>
          </w:p>
          <w:p>
            <w:pPr>
              <w:widowControl/>
              <w:wordWrap w:val="0"/>
              <w:jc w:val="right"/>
              <w:rPr>
                <w:rFonts w:ascii="华文中宋" w:hAnsi="华文中宋" w:eastAsia="华文中宋" w:cs="宋体"/>
                <w:color w:val="000000"/>
                <w:kern w:val="0"/>
                <w:szCs w:val="32"/>
                <w:highlight w:val="none"/>
              </w:rPr>
            </w:pPr>
            <w:r>
              <w:rPr>
                <w:rFonts w:hint="eastAsia" w:ascii="Times New Roman" w:hAnsi="Times New Roman" w:eastAsia="仿宋_GB2312" w:cs="Times New Roman"/>
                <w:color w:val="000000"/>
                <w:kern w:val="0"/>
                <w:szCs w:val="21"/>
                <w:highlight w:val="none"/>
              </w:rPr>
              <w:t xml:space="preserve">  </w:t>
            </w:r>
            <w:r>
              <w:rPr>
                <w:rFonts w:ascii="Times New Roman" w:hAnsi="Times New Roman" w:eastAsia="仿宋_GB2312" w:cs="Times New Roman"/>
                <w:color w:val="000000"/>
                <w:kern w:val="0"/>
                <w:szCs w:val="21"/>
                <w:highlight w:val="none"/>
              </w:rPr>
              <w:t>部门：</w:t>
            </w:r>
            <w:r>
              <w:rPr>
                <w:rFonts w:hint="eastAsia" w:ascii="宋体" w:hAnsi="宋体" w:eastAsia="宋体" w:cs="宋体"/>
                <w:i w:val="0"/>
                <w:iCs w:val="0"/>
                <w:color w:val="000000"/>
                <w:kern w:val="0"/>
                <w:sz w:val="20"/>
                <w:szCs w:val="20"/>
                <w:highlight w:val="none"/>
                <w:u w:val="none"/>
                <w:lang w:val="en-US" w:eastAsia="zh-CN" w:bidi="ar"/>
              </w:rPr>
              <w:t>湖南生物机电职业技术学院</w:t>
            </w:r>
            <w:r>
              <w:rPr>
                <w:rFonts w:hint="eastAsia" w:ascii="Times New Roman" w:hAnsi="Times New Roman" w:eastAsia="仿宋_GB2312" w:cs="Times New Roman"/>
                <w:color w:val="000000"/>
                <w:kern w:val="0"/>
                <w:szCs w:val="21"/>
                <w:highlight w:val="none"/>
              </w:rPr>
              <w:t xml:space="preserve">                                                                                                          公开06表      </w:t>
            </w:r>
            <w:r>
              <w:rPr>
                <w:rFonts w:hint="eastAsia" w:ascii="Times New Roman" w:hAnsi="Times New Roman" w:eastAsia="仿宋_GB2312" w:cs="Times New Roman"/>
                <w:color w:val="000000"/>
                <w:kern w:val="0"/>
                <w:szCs w:val="21"/>
                <w:highlight w:val="none"/>
                <w:lang w:val="en-US" w:eastAsia="zh-CN"/>
              </w:rPr>
              <w:t xml:space="preserve">   </w:t>
            </w:r>
            <w:r>
              <w:rPr>
                <w:rFonts w:hint="eastAsia" w:ascii="Times New Roman" w:hAnsi="Times New Roman" w:eastAsia="仿宋_GB2312" w:cs="Times New Roman"/>
                <w:color w:val="000000"/>
                <w:kern w:val="0"/>
                <w:szCs w:val="21"/>
                <w:highlight w:val="none"/>
              </w:rPr>
              <w:t xml:space="preserve"> 单位：万元 </w:t>
            </w:r>
          </w:p>
        </w:tc>
      </w:tr>
      <w:tr>
        <w:tblPrEx>
          <w:tblLayout w:type="fixed"/>
          <w:tblCellMar>
            <w:top w:w="0" w:type="dxa"/>
            <w:left w:w="108" w:type="dxa"/>
            <w:bottom w:w="0" w:type="dxa"/>
            <w:right w:w="108" w:type="dxa"/>
          </w:tblCellMar>
        </w:tblPrEx>
        <w:trPr>
          <w:trHeight w:val="694" w:hRule="atLeast"/>
        </w:trPr>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 w:val="20"/>
                <w:szCs w:val="20"/>
                <w:highlight w:val="none"/>
              </w:rPr>
              <w:t>经济分类科目编码</w:t>
            </w:r>
          </w:p>
        </w:tc>
        <w:tc>
          <w:tcPr>
            <w:tcW w:w="33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12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经济分类科目编码</w:t>
            </w:r>
          </w:p>
        </w:tc>
        <w:tc>
          <w:tcPr>
            <w:tcW w:w="18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经济分类科目编码</w:t>
            </w:r>
          </w:p>
        </w:tc>
        <w:tc>
          <w:tcPr>
            <w:tcW w:w="32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11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工资福利支出</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9,893.83</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商品和服务支出</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724.18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债务利息及费用支出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30101</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基本工资</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2,420.33</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30201</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办公费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0.48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30701</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国内债务付息</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30102</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津贴补贴</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153.84</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30202</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印刷费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5.08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30702</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国外债务付息</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30103</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奖金</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235.76</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30203</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咨询费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资本性支出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30106</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伙食补助费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307.66</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30204</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手续费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31001</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房屋建筑物购建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30107</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绩效工资</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3,911.58</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30205</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水费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80.00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31002</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办公设备购置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30108</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机关事业单位基本养老保险缴费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886.65</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30206</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电费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31003</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专用设备购置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30109</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职业年金缴费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11.49</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30207</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邮电费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31005</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基础设施建设</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30110</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职工基本医疗保险缴费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529.40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30208</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取暖费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31006</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大型修缮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30111</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公务员医疗补助缴费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30209</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物业管理费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100.00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31007</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信息网络及软件购置更新</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30112</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其他社会保障缴费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198.51</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30211</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差旅费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0.18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31008</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物资储备</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30113</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住房公积金</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893.67</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30212</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因公出国（境）费用</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31009</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土地补偿</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30114</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医疗费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30213</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维修（护）费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31010</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安置补助</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30199</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其他工资福利支出</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344.93</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30214</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租赁费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0.98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31011</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地上附着物和青苗补偿</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对个人和家庭的补助</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671.57</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30215</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会议费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31012</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拆迁补偿</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30301</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离休费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30216</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培训费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31013</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公务用车购置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30302</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退休费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30217</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公务接待费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31019</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其他交通工具购置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30303</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退职（役）费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30218</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专用材料费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33.96</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31021</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文物和陈列品购置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30304</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抚恤金</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22.87</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30224</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被装购置费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31022</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无形资产购置</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30305</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生活补助</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47.90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30225</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专用燃料费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31099</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其他资本性支出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30306</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救济费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30226</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劳务费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167.30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其他支出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30307</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医疗费补助</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63.68</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30227</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委托业务费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16.22</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39906</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赠与</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30308</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助学金</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30228</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工会经费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286.09</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39907</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国家赔偿费用支出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30309</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奖励金</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420.38</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30229</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福利费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39908</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对民间非营利组织和群众性自治组织补贴</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30310</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个人农业生产补贴</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30231</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公务用车运行维护费</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39999</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其他支出</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30311</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代缴社会保险费</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30239</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其他交通费用</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0.99</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　</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30399</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其他对个人和家庭的补助</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116.75</w:t>
            </w: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30240</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税金及附加费用</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　</w:t>
            </w:r>
          </w:p>
        </w:tc>
      </w:tr>
      <w:tr>
        <w:tblPrEx>
          <w:tblLayout w:type="fixed"/>
          <w:tblCellMar>
            <w:top w:w="0" w:type="dxa"/>
            <w:left w:w="108" w:type="dxa"/>
            <w:bottom w:w="0" w:type="dxa"/>
            <w:right w:w="108" w:type="dxa"/>
          </w:tblCellMar>
        </w:tblPrEx>
        <w:trPr>
          <w:trHeight w:val="284" w:hRule="exact"/>
        </w:trPr>
        <w:tc>
          <w:tcPr>
            <w:tcW w:w="13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w:t>
            </w:r>
          </w:p>
        </w:tc>
        <w:tc>
          <w:tcPr>
            <w:tcW w:w="33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w:t>
            </w:r>
          </w:p>
        </w:tc>
        <w:tc>
          <w:tcPr>
            <w:tcW w:w="120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kern w:val="0"/>
                <w:szCs w:val="20"/>
                <w:highlight w:val="none"/>
              </w:rPr>
            </w:pPr>
          </w:p>
        </w:tc>
        <w:tc>
          <w:tcPr>
            <w:tcW w:w="11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30299</w:t>
            </w:r>
          </w:p>
        </w:tc>
        <w:tc>
          <w:tcPr>
            <w:tcW w:w="189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其他商品和服务支出</w:t>
            </w:r>
          </w:p>
        </w:tc>
        <w:tc>
          <w:tcPr>
            <w:tcW w:w="10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32.88</w:t>
            </w:r>
          </w:p>
        </w:tc>
        <w:tc>
          <w:tcPr>
            <w:tcW w:w="11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32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　</w:t>
            </w:r>
          </w:p>
        </w:tc>
      </w:tr>
      <w:tr>
        <w:tblPrEx>
          <w:tblLayout w:type="fixed"/>
          <w:tblCellMar>
            <w:top w:w="0" w:type="dxa"/>
            <w:left w:w="108" w:type="dxa"/>
            <w:bottom w:w="0" w:type="dxa"/>
            <w:right w:w="108" w:type="dxa"/>
          </w:tblCellMar>
        </w:tblPrEx>
        <w:trPr>
          <w:trHeight w:val="284" w:hRule="exact"/>
        </w:trPr>
        <w:tc>
          <w:tcPr>
            <w:tcW w:w="468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人员经费合计</w:t>
            </w:r>
          </w:p>
        </w:tc>
        <w:tc>
          <w:tcPr>
            <w:tcW w:w="120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iCs w:val="0"/>
                <w:color w:val="000000"/>
                <w:kern w:val="0"/>
                <w:sz w:val="22"/>
                <w:szCs w:val="22"/>
                <w:highlight w:val="none"/>
                <w:u w:val="none"/>
                <w:lang w:val="en-US" w:eastAsia="zh-CN" w:bidi="ar"/>
              </w:rPr>
              <w:t>10,565.40</w:t>
            </w:r>
          </w:p>
        </w:tc>
        <w:tc>
          <w:tcPr>
            <w:tcW w:w="8559"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公用经费合计</w:t>
            </w:r>
          </w:p>
        </w:tc>
        <w:tc>
          <w:tcPr>
            <w:tcW w:w="11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color w:val="000000"/>
                <w:kern w:val="0"/>
                <w:szCs w:val="18"/>
                <w:highlight w:val="none"/>
                <w:lang w:val="en-US"/>
              </w:rPr>
            </w:pPr>
            <w:r>
              <w:rPr>
                <w:rFonts w:hint="eastAsia" w:ascii="宋体" w:hAnsi="宋体" w:eastAsia="宋体" w:cs="宋体"/>
                <w:i w:val="0"/>
                <w:iCs w:val="0"/>
                <w:color w:val="000000"/>
                <w:kern w:val="0"/>
                <w:sz w:val="22"/>
                <w:szCs w:val="22"/>
                <w:highlight w:val="none"/>
                <w:u w:val="none"/>
                <w:lang w:val="en-US" w:eastAsia="zh-CN" w:bidi="ar"/>
              </w:rPr>
              <w:t>724.18</w:t>
            </w:r>
          </w:p>
        </w:tc>
      </w:tr>
      <w:tr>
        <w:tblPrEx>
          <w:tblLayout w:type="fixed"/>
          <w:tblCellMar>
            <w:top w:w="0" w:type="dxa"/>
            <w:left w:w="108" w:type="dxa"/>
            <w:bottom w:w="0" w:type="dxa"/>
            <w:right w:w="108" w:type="dxa"/>
          </w:tblCellMar>
        </w:tblPrEx>
        <w:trPr>
          <w:trHeight w:val="284" w:hRule="exact"/>
        </w:trPr>
        <w:tc>
          <w:tcPr>
            <w:tcW w:w="15626"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highlight w:val="none"/>
              </w:rPr>
            </w:pPr>
            <w:r>
              <w:rPr>
                <w:rFonts w:hint="eastAsia" w:ascii="宋体" w:hAnsi="宋体" w:eastAsia="宋体" w:cs="宋体"/>
                <w:color w:val="000000"/>
                <w:kern w:val="0"/>
                <w:szCs w:val="24"/>
                <w:highlight w:val="none"/>
              </w:rPr>
              <w:t>注：本表反映部门本年度一般公共预算财政拨款基本支出明细情况。</w:t>
            </w:r>
          </w:p>
        </w:tc>
      </w:tr>
    </w:tbl>
    <w:p>
      <w:pPr>
        <w:widowControl/>
        <w:ind w:firstLine="240" w:firstLineChars="100"/>
        <w:jc w:val="left"/>
        <w:rPr>
          <w:rFonts w:ascii="宋体" w:eastAsia="宋体" w:cs="宋体"/>
          <w:kern w:val="0"/>
          <w:sz w:val="24"/>
          <w:szCs w:val="24"/>
          <w:highlight w:val="none"/>
        </w:rPr>
      </w:pPr>
    </w:p>
    <w:p>
      <w:pPr>
        <w:autoSpaceDE w:val="0"/>
        <w:autoSpaceDN w:val="0"/>
        <w:adjustRightInd w:val="0"/>
        <w:ind w:left="315" w:leftChars="150"/>
        <w:jc w:val="left"/>
        <w:rPr>
          <w:rFonts w:ascii="宋体" w:eastAsia="宋体" w:cs="宋体"/>
          <w:kern w:val="0"/>
          <w:sz w:val="24"/>
          <w:szCs w:val="24"/>
          <w:highlight w:val="none"/>
        </w:rPr>
      </w:pPr>
    </w:p>
    <w:p>
      <w:pPr>
        <w:widowControl/>
        <w:jc w:val="center"/>
        <w:rPr>
          <w:rFonts w:ascii="Times New Roman" w:hAnsi="Times New Roman" w:eastAsia="方正小标宋_GBK" w:cs="Times New Roman"/>
          <w:kern w:val="0"/>
          <w:sz w:val="36"/>
          <w:szCs w:val="36"/>
          <w:highlight w:val="none"/>
        </w:rPr>
      </w:pPr>
      <w:r>
        <w:rPr>
          <w:rFonts w:ascii="Times New Roman" w:hAnsi="Times New Roman" w:eastAsia="方正小标宋_GBK" w:cs="Times New Roman"/>
          <w:kern w:val="0"/>
          <w:sz w:val="36"/>
          <w:szCs w:val="36"/>
          <w:highlight w:val="none"/>
        </w:rPr>
        <w:t>政府性基金预算财政拨款收入支出决算表</w:t>
      </w:r>
    </w:p>
    <w:p>
      <w:pPr>
        <w:widowControl/>
        <w:wordWrap w:val="0"/>
        <w:jc w:val="right"/>
        <w:rPr>
          <w:rFonts w:ascii="Times New Roman" w:hAnsi="Times New Roman" w:eastAsia="仿宋_GB2312" w:cs="Times New Roman"/>
          <w:color w:val="000000"/>
          <w:kern w:val="0"/>
          <w:szCs w:val="21"/>
          <w:highlight w:val="none"/>
        </w:rPr>
      </w:pPr>
      <w:r>
        <w:rPr>
          <w:rFonts w:hint="eastAsia" w:ascii="Times New Roman" w:hAnsi="Times New Roman" w:eastAsia="仿宋_GB2312" w:cs="Times New Roman"/>
          <w:color w:val="000000"/>
          <w:kern w:val="0"/>
          <w:szCs w:val="21"/>
          <w:highlight w:val="none"/>
          <w:lang w:val="en-US" w:eastAsia="zh-CN"/>
        </w:rPr>
        <w:t xml:space="preserve">     </w:t>
      </w:r>
      <w:r>
        <w:rPr>
          <w:rFonts w:ascii="Times New Roman" w:hAnsi="Times New Roman" w:eastAsia="仿宋_GB2312" w:cs="Times New Roman"/>
          <w:color w:val="000000"/>
          <w:kern w:val="0"/>
          <w:szCs w:val="21"/>
          <w:highlight w:val="none"/>
        </w:rPr>
        <w:t xml:space="preserve">部门：  </w:t>
      </w:r>
      <w:r>
        <w:rPr>
          <w:rFonts w:hint="eastAsia" w:ascii="宋体" w:hAnsi="宋体" w:eastAsia="宋体" w:cs="宋体"/>
          <w:i w:val="0"/>
          <w:iCs w:val="0"/>
          <w:color w:val="000000"/>
          <w:kern w:val="0"/>
          <w:sz w:val="20"/>
          <w:szCs w:val="20"/>
          <w:highlight w:val="none"/>
          <w:u w:val="none"/>
          <w:lang w:val="en-US" w:eastAsia="zh-CN" w:bidi="ar"/>
        </w:rPr>
        <w:t>湖南生物机电职业技术学院</w:t>
      </w:r>
      <w:r>
        <w:rPr>
          <w:rFonts w:ascii="Times New Roman" w:hAnsi="Times New Roman" w:eastAsia="仿宋_GB2312" w:cs="Times New Roman"/>
          <w:color w:val="000000"/>
          <w:kern w:val="0"/>
          <w:szCs w:val="21"/>
          <w:highlight w:val="none"/>
        </w:rPr>
        <w:t xml:space="preserve">                                                                                                                     公开0</w:t>
      </w:r>
      <w:r>
        <w:rPr>
          <w:rFonts w:hint="eastAsia" w:ascii="Times New Roman" w:hAnsi="Times New Roman" w:eastAsia="仿宋_GB2312" w:cs="Times New Roman"/>
          <w:color w:val="000000"/>
          <w:kern w:val="0"/>
          <w:szCs w:val="21"/>
          <w:highlight w:val="none"/>
          <w:lang w:val="en-US" w:eastAsia="zh-CN"/>
        </w:rPr>
        <w:t>7</w:t>
      </w:r>
      <w:r>
        <w:rPr>
          <w:rFonts w:ascii="Times New Roman" w:hAnsi="Times New Roman" w:eastAsia="仿宋_GB2312" w:cs="Times New Roman"/>
          <w:color w:val="000000"/>
          <w:kern w:val="0"/>
          <w:szCs w:val="21"/>
          <w:highlight w:val="none"/>
        </w:rPr>
        <w:t>表</w:t>
      </w:r>
    </w:p>
    <w:p>
      <w:pPr>
        <w:widowControl/>
        <w:jc w:val="righ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单位：万元</w:t>
      </w:r>
    </w:p>
    <w:tbl>
      <w:tblPr>
        <w:tblStyle w:val="8"/>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990"/>
        <w:gridCol w:w="1584"/>
        <w:gridCol w:w="1746"/>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3110" w:type="dxa"/>
            <w:gridSpan w:val="2"/>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 xml:space="preserve">项 </w:t>
            </w:r>
            <w:r>
              <w:rPr>
                <w:rFonts w:ascii="Times New Roman" w:hAnsi="Times New Roman" w:eastAsia="仿宋_GB2312" w:cs="Times New Roman"/>
                <w:b/>
                <w:color w:val="000000"/>
                <w:kern w:val="0"/>
                <w:szCs w:val="21"/>
                <w:highlight w:val="none"/>
              </w:rPr>
              <w:t xml:space="preserve">   </w:t>
            </w:r>
            <w:r>
              <w:rPr>
                <w:rFonts w:ascii="Times New Roman" w:hAnsi="Times New Roman" w:eastAsia="仿宋_GB2312" w:cs="Times New Roman"/>
                <w:b/>
                <w:kern w:val="0"/>
                <w:szCs w:val="21"/>
                <w:highlight w:val="none"/>
              </w:rPr>
              <w:t>目</w:t>
            </w:r>
          </w:p>
        </w:tc>
        <w:tc>
          <w:tcPr>
            <w:tcW w:w="1584"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年初结转和结余</w:t>
            </w:r>
          </w:p>
        </w:tc>
        <w:tc>
          <w:tcPr>
            <w:tcW w:w="1746"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功能分类科目编码</w:t>
            </w:r>
          </w:p>
        </w:tc>
        <w:tc>
          <w:tcPr>
            <w:tcW w:w="199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科目名称</w:t>
            </w:r>
          </w:p>
        </w:tc>
        <w:tc>
          <w:tcPr>
            <w:tcW w:w="1584" w:type="dxa"/>
            <w:vMerge w:val="continue"/>
            <w:vAlign w:val="center"/>
          </w:tcPr>
          <w:p>
            <w:pPr>
              <w:widowControl/>
              <w:jc w:val="left"/>
              <w:rPr>
                <w:rFonts w:ascii="Times New Roman" w:hAnsi="Times New Roman" w:eastAsia="仿宋_GB2312" w:cs="Times New Roman"/>
                <w:b/>
                <w:kern w:val="0"/>
                <w:szCs w:val="21"/>
                <w:highlight w:val="none"/>
              </w:rPr>
            </w:pPr>
          </w:p>
        </w:tc>
        <w:tc>
          <w:tcPr>
            <w:tcW w:w="1746" w:type="dxa"/>
            <w:vMerge w:val="continue"/>
            <w:vAlign w:val="center"/>
          </w:tcPr>
          <w:p>
            <w:pPr>
              <w:widowControl/>
              <w:jc w:val="left"/>
              <w:rPr>
                <w:rFonts w:ascii="Times New Roman" w:hAnsi="Times New Roman" w:eastAsia="仿宋_GB2312" w:cs="Times New Roman"/>
                <w:b/>
                <w:kern w:val="0"/>
                <w:szCs w:val="21"/>
                <w:highlight w:val="none"/>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项目支出</w:t>
            </w:r>
          </w:p>
        </w:tc>
        <w:tc>
          <w:tcPr>
            <w:tcW w:w="2000" w:type="dxa"/>
            <w:vMerge w:val="continue"/>
            <w:vAlign w:val="center"/>
          </w:tcPr>
          <w:p>
            <w:pPr>
              <w:widowControl/>
              <w:jc w:val="left"/>
              <w:rPr>
                <w:rFonts w:ascii="Times New Roman" w:hAnsi="Times New Roman" w:eastAsia="仿宋_GB2312" w:cs="Times New Roman"/>
                <w:b/>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highlight w:val="none"/>
              </w:rPr>
            </w:pPr>
          </w:p>
        </w:tc>
        <w:tc>
          <w:tcPr>
            <w:tcW w:w="1990" w:type="dxa"/>
            <w:vMerge w:val="continue"/>
            <w:vAlign w:val="center"/>
          </w:tcPr>
          <w:p>
            <w:pPr>
              <w:widowControl/>
              <w:jc w:val="left"/>
              <w:rPr>
                <w:rFonts w:ascii="Times New Roman" w:hAnsi="Times New Roman" w:eastAsia="仿宋_GB2312" w:cs="Times New Roman"/>
                <w:kern w:val="0"/>
                <w:szCs w:val="21"/>
                <w:highlight w:val="none"/>
              </w:rPr>
            </w:pPr>
          </w:p>
        </w:tc>
        <w:tc>
          <w:tcPr>
            <w:tcW w:w="1584" w:type="dxa"/>
            <w:vMerge w:val="continue"/>
            <w:vAlign w:val="center"/>
          </w:tcPr>
          <w:p>
            <w:pPr>
              <w:widowControl/>
              <w:jc w:val="left"/>
              <w:rPr>
                <w:rFonts w:ascii="Times New Roman" w:hAnsi="Times New Roman" w:eastAsia="仿宋_GB2312" w:cs="Times New Roman"/>
                <w:kern w:val="0"/>
                <w:szCs w:val="21"/>
                <w:highlight w:val="none"/>
              </w:rPr>
            </w:pPr>
          </w:p>
        </w:tc>
        <w:tc>
          <w:tcPr>
            <w:tcW w:w="1746"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highlight w:val="none"/>
              </w:rPr>
            </w:pPr>
          </w:p>
        </w:tc>
        <w:tc>
          <w:tcPr>
            <w:tcW w:w="1990" w:type="dxa"/>
            <w:vMerge w:val="continue"/>
            <w:vAlign w:val="center"/>
          </w:tcPr>
          <w:p>
            <w:pPr>
              <w:widowControl/>
              <w:jc w:val="left"/>
              <w:rPr>
                <w:rFonts w:ascii="Times New Roman" w:hAnsi="Times New Roman" w:eastAsia="仿宋_GB2312" w:cs="Times New Roman"/>
                <w:kern w:val="0"/>
                <w:szCs w:val="21"/>
                <w:highlight w:val="none"/>
              </w:rPr>
            </w:pPr>
          </w:p>
        </w:tc>
        <w:tc>
          <w:tcPr>
            <w:tcW w:w="1584" w:type="dxa"/>
            <w:vMerge w:val="continue"/>
            <w:vAlign w:val="center"/>
          </w:tcPr>
          <w:p>
            <w:pPr>
              <w:widowControl/>
              <w:jc w:val="left"/>
              <w:rPr>
                <w:rFonts w:ascii="Times New Roman" w:hAnsi="Times New Roman" w:eastAsia="仿宋_GB2312" w:cs="Times New Roman"/>
                <w:kern w:val="0"/>
                <w:szCs w:val="21"/>
                <w:highlight w:val="none"/>
              </w:rPr>
            </w:pPr>
          </w:p>
        </w:tc>
        <w:tc>
          <w:tcPr>
            <w:tcW w:w="1746"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3110" w:type="dxa"/>
            <w:gridSpan w:val="2"/>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栏次</w:t>
            </w:r>
          </w:p>
        </w:tc>
        <w:tc>
          <w:tcPr>
            <w:tcW w:w="1584"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746"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3110" w:type="dxa"/>
            <w:gridSpan w:val="2"/>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1584" w:type="dxa"/>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highlight w:val="none"/>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1746" w:type="dxa"/>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11,687.00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0.00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5,591.90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212</w:t>
            </w:r>
          </w:p>
        </w:tc>
        <w:tc>
          <w:tcPr>
            <w:tcW w:w="199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城乡社区支出</w:t>
            </w:r>
          </w:p>
        </w:tc>
        <w:tc>
          <w:tcPr>
            <w:tcW w:w="1584" w:type="dxa"/>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74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5,591.90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21208</w:t>
            </w:r>
          </w:p>
        </w:tc>
        <w:tc>
          <w:tcPr>
            <w:tcW w:w="199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国有土地使用权出让收入安排的支出</w:t>
            </w:r>
          </w:p>
        </w:tc>
        <w:tc>
          <w:tcPr>
            <w:tcW w:w="1584" w:type="dxa"/>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74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5,591.90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2120899</w:t>
            </w:r>
          </w:p>
        </w:tc>
        <w:tc>
          <w:tcPr>
            <w:tcW w:w="1990" w:type="dxa"/>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  其他国有土地使用权出让收入安排的支出</w:t>
            </w:r>
          </w:p>
        </w:tc>
        <w:tc>
          <w:tcPr>
            <w:tcW w:w="1584" w:type="dxa"/>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74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11,687.00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6,095.10</w:t>
            </w:r>
          </w:p>
        </w:tc>
        <w:tc>
          <w:tcPr>
            <w:tcW w:w="20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5,591.90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99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584"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746"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99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584"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746"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99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584"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746"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r>
    </w:tbl>
    <w:p>
      <w:pPr>
        <w:widowControl/>
        <w:ind w:firstLine="420" w:firstLineChars="200"/>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注：本表反映部门本年度政府性基金预算财政拨款收入、支出及结转和结余情况</w:t>
      </w:r>
    </w:p>
    <w:p>
      <w:pPr>
        <w:widowControl/>
        <w:jc w:val="left"/>
        <w:rPr>
          <w:rFonts w:ascii="黑体" w:hAnsi="黑体" w:eastAsia="黑体"/>
          <w:szCs w:val="21"/>
          <w:highlight w:val="none"/>
        </w:rPr>
      </w:pPr>
      <w:r>
        <w:rPr>
          <w:rFonts w:ascii="黑体" w:hAnsi="黑体" w:eastAsia="黑体"/>
          <w:szCs w:val="21"/>
          <w:highlight w:val="none"/>
        </w:rPr>
        <w:br w:type="page"/>
      </w:r>
    </w:p>
    <w:tbl>
      <w:tblPr>
        <w:tblStyle w:val="8"/>
        <w:tblW w:w="14626" w:type="dxa"/>
        <w:tblInd w:w="414" w:type="dxa"/>
        <w:tblLayout w:type="fixed"/>
        <w:tblCellMar>
          <w:top w:w="0" w:type="dxa"/>
          <w:left w:w="108" w:type="dxa"/>
          <w:bottom w:w="0" w:type="dxa"/>
          <w:right w:w="108" w:type="dxa"/>
        </w:tblCellMar>
      </w:tblPr>
      <w:tblGrid>
        <w:gridCol w:w="739"/>
        <w:gridCol w:w="560"/>
        <w:gridCol w:w="1089"/>
        <w:gridCol w:w="2126"/>
        <w:gridCol w:w="1225"/>
        <w:gridCol w:w="1326"/>
        <w:gridCol w:w="1294"/>
        <w:gridCol w:w="2427"/>
        <w:gridCol w:w="3840"/>
      </w:tblGrid>
      <w:tr>
        <w:tblPrEx>
          <w:tblLayout w:type="fixed"/>
          <w:tblCellMar>
            <w:top w:w="0" w:type="dxa"/>
            <w:left w:w="108" w:type="dxa"/>
            <w:bottom w:w="0" w:type="dxa"/>
            <w:right w:w="108" w:type="dxa"/>
          </w:tblCellMar>
        </w:tblPrEx>
        <w:trPr>
          <w:trHeight w:val="720" w:hRule="atLeast"/>
        </w:trPr>
        <w:tc>
          <w:tcPr>
            <w:tcW w:w="14626"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highlight w:val="none"/>
              </w:rPr>
            </w:pPr>
            <w:r>
              <w:rPr>
                <w:rFonts w:hint="eastAsia" w:ascii="华文中宋" w:hAnsi="华文中宋" w:eastAsia="华文中宋" w:cs="宋体"/>
                <w:kern w:val="0"/>
                <w:sz w:val="32"/>
                <w:szCs w:val="32"/>
                <w:highlight w:val="none"/>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739"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626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8</w:t>
            </w:r>
            <w:r>
              <w:rPr>
                <w:rFonts w:hint="eastAsia" w:ascii="宋体" w:hAnsi="宋体" w:eastAsia="宋体" w:cs="宋体"/>
                <w:color w:val="000000"/>
                <w:kern w:val="0"/>
                <w:sz w:val="20"/>
                <w:szCs w:val="20"/>
                <w:highlight w:val="none"/>
              </w:rPr>
              <w:t>表</w:t>
            </w:r>
          </w:p>
        </w:tc>
      </w:tr>
      <w:tr>
        <w:tblPrEx>
          <w:tblLayout w:type="fixed"/>
          <w:tblCellMar>
            <w:top w:w="0" w:type="dxa"/>
            <w:left w:w="108" w:type="dxa"/>
            <w:bottom w:w="0" w:type="dxa"/>
            <w:right w:w="108" w:type="dxa"/>
          </w:tblCellMar>
        </w:tblPrEx>
        <w:trPr>
          <w:trHeight w:val="285" w:hRule="atLeast"/>
        </w:trPr>
        <w:tc>
          <w:tcPr>
            <w:tcW w:w="739" w:type="dxa"/>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highlight w:val="none"/>
                <w:lang w:val="en-US" w:eastAsia="zh-CN"/>
              </w:rPr>
            </w:pPr>
            <w:r>
              <w:rPr>
                <w:rFonts w:hint="eastAsia" w:ascii="宋体" w:hAnsi="宋体" w:eastAsia="宋体" w:cs="宋体"/>
                <w:color w:val="000000"/>
                <w:kern w:val="0"/>
                <w:sz w:val="20"/>
                <w:szCs w:val="20"/>
                <w:highlight w:val="none"/>
              </w:rPr>
              <w:t>部门：</w:t>
            </w:r>
          </w:p>
        </w:tc>
        <w:tc>
          <w:tcPr>
            <w:tcW w:w="3775" w:type="dxa"/>
            <w:gridSpan w:val="3"/>
            <w:tcBorders>
              <w:top w:val="nil"/>
              <w:left w:val="nil"/>
              <w:bottom w:val="nil"/>
              <w:right w:val="nil"/>
            </w:tcBorders>
            <w:shd w:val="clear" w:color="000000" w:fill="FFFFFF"/>
            <w:vAlign w:val="center"/>
          </w:tcPr>
          <w:p>
            <w:pPr>
              <w:widowControl/>
              <w:jc w:val="left"/>
              <w:rPr>
                <w:rFonts w:hint="default" w:ascii="宋体" w:hAnsi="宋体" w:eastAsia="宋体" w:cs="宋体"/>
                <w:kern w:val="0"/>
                <w:sz w:val="20"/>
                <w:szCs w:val="20"/>
                <w:highlight w:val="none"/>
                <w:lang w:val="en-US"/>
              </w:rPr>
            </w:pPr>
            <w:r>
              <w:rPr>
                <w:rFonts w:hint="eastAsia" w:ascii="宋体" w:hAnsi="宋体" w:eastAsia="宋体" w:cs="宋体"/>
                <w:kern w:val="0"/>
                <w:sz w:val="20"/>
                <w:szCs w:val="20"/>
                <w:highlight w:val="none"/>
                <w:lang w:val="en-US" w:eastAsia="zh-CN"/>
              </w:rPr>
              <w:t>湖南生物机电职业技术学院</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626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单位：万元</w:t>
            </w:r>
          </w:p>
        </w:tc>
      </w:tr>
      <w:tr>
        <w:tblPrEx>
          <w:tblLayout w:type="fixed"/>
          <w:tblCellMar>
            <w:top w:w="0" w:type="dxa"/>
            <w:left w:w="108" w:type="dxa"/>
            <w:bottom w:w="0" w:type="dxa"/>
            <w:right w:w="108" w:type="dxa"/>
          </w:tblCellMar>
        </w:tblPrEx>
        <w:trPr>
          <w:trHeight w:val="402" w:hRule="atLeast"/>
        </w:trPr>
        <w:tc>
          <w:tcPr>
            <w:tcW w:w="4514"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项 </w:t>
            </w:r>
            <w:r>
              <w:rPr>
                <w:rFonts w:hint="eastAsia" w:ascii="宋体" w:hAnsi="宋体" w:eastAsia="宋体" w:cs="宋体"/>
                <w:color w:val="000000"/>
                <w:kern w:val="0"/>
                <w:sz w:val="22"/>
                <w:highlight w:val="none"/>
              </w:rPr>
              <w:t xml:space="preserve">   </w:t>
            </w:r>
            <w:r>
              <w:rPr>
                <w:rFonts w:hint="eastAsia" w:ascii="宋体" w:hAnsi="宋体" w:eastAsia="宋体" w:cs="宋体"/>
                <w:kern w:val="0"/>
                <w:sz w:val="24"/>
                <w:szCs w:val="24"/>
                <w:highlight w:val="none"/>
              </w:rPr>
              <w:t>目</w:t>
            </w:r>
          </w:p>
        </w:tc>
        <w:tc>
          <w:tcPr>
            <w:tcW w:w="10112"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本年支出</w:t>
            </w:r>
          </w:p>
        </w:tc>
      </w:tr>
      <w:tr>
        <w:tblPrEx>
          <w:tblLayout w:type="fixed"/>
          <w:tblCellMar>
            <w:top w:w="0" w:type="dxa"/>
            <w:left w:w="108" w:type="dxa"/>
            <w:bottom w:w="0" w:type="dxa"/>
            <w:right w:w="108" w:type="dxa"/>
          </w:tblCellMar>
        </w:tblPrEx>
        <w:trPr>
          <w:trHeight w:val="402" w:hRule="atLeast"/>
        </w:trPr>
        <w:tc>
          <w:tcPr>
            <w:tcW w:w="2388"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合计</w:t>
            </w:r>
          </w:p>
        </w:tc>
        <w:tc>
          <w:tcPr>
            <w:tcW w:w="372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基本支出  </w:t>
            </w:r>
          </w:p>
        </w:tc>
        <w:tc>
          <w:tcPr>
            <w:tcW w:w="38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项目支出</w:t>
            </w:r>
          </w:p>
        </w:tc>
      </w:tr>
      <w:tr>
        <w:tblPrEx>
          <w:tblLayout w:type="fixed"/>
          <w:tblCellMar>
            <w:top w:w="0" w:type="dxa"/>
            <w:left w:w="108" w:type="dxa"/>
            <w:bottom w:w="0" w:type="dxa"/>
            <w:right w:w="108" w:type="dxa"/>
          </w:tblCellMar>
        </w:tblPrEx>
        <w:trPr>
          <w:trHeight w:val="402" w:hRule="atLeast"/>
        </w:trPr>
        <w:tc>
          <w:tcPr>
            <w:tcW w:w="2388"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372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38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r>
      <w:tr>
        <w:tblPrEx>
          <w:tblLayout w:type="fixed"/>
          <w:tblCellMar>
            <w:top w:w="0" w:type="dxa"/>
            <w:left w:w="108" w:type="dxa"/>
            <w:bottom w:w="0" w:type="dxa"/>
            <w:right w:w="108" w:type="dxa"/>
          </w:tblCellMar>
        </w:tblPrEx>
        <w:trPr>
          <w:trHeight w:val="402" w:hRule="atLeast"/>
        </w:trPr>
        <w:tc>
          <w:tcPr>
            <w:tcW w:w="2388"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372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c>
          <w:tcPr>
            <w:tcW w:w="38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highlight w:val="none"/>
              </w:rPr>
            </w:pPr>
          </w:p>
        </w:tc>
      </w:tr>
      <w:tr>
        <w:tblPrEx>
          <w:tblLayout w:type="fixed"/>
          <w:tblCellMar>
            <w:top w:w="0" w:type="dxa"/>
            <w:left w:w="108" w:type="dxa"/>
            <w:bottom w:w="0" w:type="dxa"/>
            <w:right w:w="108" w:type="dxa"/>
          </w:tblCellMar>
        </w:tblPrEx>
        <w:trPr>
          <w:trHeight w:val="402" w:hRule="atLeast"/>
        </w:trPr>
        <w:tc>
          <w:tcPr>
            <w:tcW w:w="4514"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c>
          <w:tcPr>
            <w:tcW w:w="38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r>
      <w:tr>
        <w:tblPrEx>
          <w:tblLayout w:type="fixed"/>
          <w:tblCellMar>
            <w:top w:w="0" w:type="dxa"/>
            <w:left w:w="108" w:type="dxa"/>
            <w:bottom w:w="0" w:type="dxa"/>
            <w:right w:w="108" w:type="dxa"/>
          </w:tblCellMar>
        </w:tblPrEx>
        <w:trPr>
          <w:trHeight w:val="402" w:hRule="atLeast"/>
        </w:trPr>
        <w:tc>
          <w:tcPr>
            <w:tcW w:w="4514"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402" w:hRule="atLeast"/>
        </w:trPr>
        <w:tc>
          <w:tcPr>
            <w:tcW w:w="1299"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72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4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tblPrEx>
          <w:tblLayout w:type="fixed"/>
          <w:tblCellMar>
            <w:top w:w="0" w:type="dxa"/>
            <w:left w:w="108" w:type="dxa"/>
            <w:bottom w:w="0" w:type="dxa"/>
            <w:right w:w="108" w:type="dxa"/>
          </w:tblCellMar>
        </w:tblPrEx>
        <w:trPr>
          <w:trHeight w:val="720" w:hRule="atLeast"/>
        </w:trPr>
        <w:tc>
          <w:tcPr>
            <w:tcW w:w="14626"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注：本表反映部门本年度国有资本经营预算财政拨款支出情况。</w:t>
            </w:r>
          </w:p>
          <w:p>
            <w:pPr>
              <w:widowControl/>
              <w:jc w:val="left"/>
              <w:rPr>
                <w:rFonts w:hint="eastAsia" w:ascii="宋体" w:hAnsi="宋体" w:eastAsia="仿宋_GB2312" w:cs="宋体"/>
                <w:kern w:val="0"/>
                <w:sz w:val="24"/>
                <w:szCs w:val="24"/>
                <w:highlight w:val="none"/>
                <w:lang w:eastAsia="zh-CN"/>
              </w:rPr>
            </w:pPr>
            <w:r>
              <w:rPr>
                <w:rFonts w:hint="eastAsia" w:ascii="Times New Roman" w:hAnsi="Times New Roman" w:eastAsia="仿宋_GB2312" w:cs="Times New Roman"/>
                <w:kern w:val="0"/>
                <w:szCs w:val="21"/>
                <w:highlight w:val="none"/>
                <w:lang w:val="en-US" w:eastAsia="zh-CN"/>
              </w:rPr>
              <w:t>（湖南生物机电职业技术学院</w:t>
            </w:r>
            <w:r>
              <w:rPr>
                <w:rFonts w:hint="eastAsia" w:ascii="Times New Roman" w:hAnsi="Times New Roman" w:eastAsia="仿宋_GB2312" w:cs="Times New Roman"/>
                <w:kern w:val="0"/>
                <w:szCs w:val="21"/>
                <w:highlight w:val="none"/>
              </w:rPr>
              <w:t>没有使用</w:t>
            </w:r>
            <w:r>
              <w:rPr>
                <w:rFonts w:hint="eastAsia" w:ascii="Times New Roman" w:hAnsi="Times New Roman" w:eastAsia="仿宋_GB2312" w:cs="Times New Roman"/>
                <w:kern w:val="0"/>
                <w:szCs w:val="21"/>
                <w:highlight w:val="none"/>
                <w:lang w:eastAsia="zh-CN"/>
              </w:rPr>
              <w:t>国有资本经营</w:t>
            </w:r>
            <w:r>
              <w:rPr>
                <w:rFonts w:hint="eastAsia" w:ascii="Times New Roman" w:hAnsi="Times New Roman" w:eastAsia="仿宋_GB2312" w:cs="Times New Roman"/>
                <w:kern w:val="0"/>
                <w:szCs w:val="21"/>
                <w:highlight w:val="none"/>
              </w:rPr>
              <w:t>安排的支出，故本表无数据</w:t>
            </w:r>
            <w:r>
              <w:rPr>
                <w:rFonts w:hint="eastAsia" w:ascii="Times New Roman" w:hAnsi="Times New Roman" w:eastAsia="仿宋_GB2312" w:cs="Times New Roman"/>
                <w:kern w:val="0"/>
                <w:szCs w:val="21"/>
                <w:highlight w:val="none"/>
                <w:lang w:eastAsia="zh-CN"/>
              </w:rPr>
              <w:t>）。</w:t>
            </w:r>
          </w:p>
        </w:tc>
      </w:tr>
    </w:tbl>
    <w:p>
      <w:pPr>
        <w:pStyle w:val="12"/>
        <w:rPr>
          <w:sz w:val="72"/>
          <w:szCs w:val="72"/>
          <w:highlight w:val="none"/>
        </w:rPr>
        <w:sectPr>
          <w:pgSz w:w="16838" w:h="11906" w:orient="landscape"/>
          <w:pgMar w:top="720" w:right="720" w:bottom="720" w:left="720" w:header="851" w:footer="992" w:gutter="0"/>
          <w:cols w:space="425" w:num="1"/>
          <w:docGrid w:type="lines" w:linePitch="312" w:charSpace="0"/>
        </w:sectPr>
      </w:pPr>
    </w:p>
    <w:p>
      <w:pPr>
        <w:widowControl/>
        <w:jc w:val="center"/>
        <w:rPr>
          <w:rFonts w:hint="eastAsia" w:ascii="Times New Roman" w:hAnsi="Times New Roman" w:eastAsia="方正小标宋_GBK" w:cs="Times New Roman"/>
          <w:color w:val="000000"/>
          <w:kern w:val="0"/>
          <w:sz w:val="36"/>
          <w:szCs w:val="36"/>
          <w:highlight w:val="none"/>
        </w:rPr>
      </w:pPr>
    </w:p>
    <w:p>
      <w:pPr>
        <w:widowControl/>
        <w:jc w:val="center"/>
        <w:rPr>
          <w:rFonts w:ascii="Times New Roman" w:hAnsi="Times New Roman" w:eastAsia="方正小标宋_GBK" w:cs="Times New Roman"/>
          <w:color w:val="000000"/>
          <w:kern w:val="0"/>
          <w:sz w:val="36"/>
          <w:szCs w:val="36"/>
          <w:highlight w:val="none"/>
        </w:rPr>
      </w:pPr>
      <w:r>
        <w:rPr>
          <w:rFonts w:hint="eastAsia" w:ascii="Times New Roman" w:hAnsi="Times New Roman" w:eastAsia="方正小标宋_GBK" w:cs="Times New Roman"/>
          <w:color w:val="000000"/>
          <w:kern w:val="0"/>
          <w:sz w:val="36"/>
          <w:szCs w:val="36"/>
          <w:highlight w:val="none"/>
        </w:rPr>
        <w:t>一般公共预算财政拨款“三公”经费支出决算表</w:t>
      </w:r>
    </w:p>
    <w:p>
      <w:pPr>
        <w:widowControl/>
        <w:ind w:left="14070" w:leftChars="200" w:hanging="13650" w:hangingChars="6500"/>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rPr>
        <w:t xml:space="preserve">         </w:t>
      </w:r>
      <w:r>
        <w:rPr>
          <w:rFonts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lang w:val="en-US" w:eastAsia="zh-CN"/>
        </w:rPr>
        <w:t xml:space="preserve">                            </w:t>
      </w:r>
      <w:r>
        <w:rPr>
          <w:rFonts w:ascii="Times New Roman" w:hAnsi="Times New Roman" w:eastAsia="仿宋_GB2312" w:cs="Times New Roman"/>
          <w:color w:val="000000"/>
          <w:kern w:val="0"/>
          <w:szCs w:val="21"/>
          <w:highlight w:val="none"/>
        </w:rPr>
        <w:t xml:space="preserve"> 公开0</w:t>
      </w:r>
      <w:r>
        <w:rPr>
          <w:rFonts w:hint="eastAsia" w:ascii="Times New Roman" w:hAnsi="Times New Roman" w:eastAsia="仿宋_GB2312" w:cs="Times New Roman"/>
          <w:color w:val="000000"/>
          <w:kern w:val="0"/>
          <w:szCs w:val="21"/>
          <w:highlight w:val="none"/>
          <w:lang w:val="en-US" w:eastAsia="zh-CN"/>
        </w:rPr>
        <w:t>9</w:t>
      </w:r>
      <w:r>
        <w:rPr>
          <w:rFonts w:ascii="Times New Roman" w:hAnsi="Times New Roman" w:eastAsia="仿宋_GB2312" w:cs="Times New Roman"/>
          <w:color w:val="000000"/>
          <w:kern w:val="0"/>
          <w:szCs w:val="21"/>
          <w:highlight w:val="none"/>
        </w:rPr>
        <w:t>表</w:t>
      </w:r>
    </w:p>
    <w:p>
      <w:pPr>
        <w:widowControl/>
        <w:ind w:right="420" w:firstLine="420" w:firstLineChars="200"/>
        <w:jc w:val="both"/>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部门：</w:t>
      </w:r>
      <w:r>
        <w:rPr>
          <w:rFonts w:hint="eastAsia" w:ascii="宋体" w:hAnsi="宋体" w:eastAsia="宋体" w:cs="宋体"/>
          <w:i w:val="0"/>
          <w:iCs w:val="0"/>
          <w:color w:val="000000"/>
          <w:kern w:val="0"/>
          <w:sz w:val="20"/>
          <w:szCs w:val="20"/>
          <w:highlight w:val="none"/>
          <w:u w:val="none"/>
          <w:lang w:val="en-US" w:eastAsia="zh-CN" w:bidi="ar"/>
        </w:rPr>
        <w:t xml:space="preserve">湖南生物机电职业技术学院                                                                                                        </w:t>
      </w:r>
      <w:r>
        <w:rPr>
          <w:rFonts w:ascii="Times New Roman" w:hAnsi="Times New Roman" w:eastAsia="仿宋_GB2312" w:cs="Times New Roman"/>
          <w:color w:val="000000"/>
          <w:kern w:val="0"/>
          <w:szCs w:val="21"/>
          <w:highlight w:val="none"/>
        </w:rPr>
        <w:t>单位：万元</w:t>
      </w:r>
    </w:p>
    <w:tbl>
      <w:tblPr>
        <w:tblStyle w:val="8"/>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highlight w:val="none"/>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r>
    </w:tbl>
    <w:p>
      <w:pPr>
        <w:widowControl/>
        <w:ind w:firstLine="240" w:firstLineChars="100"/>
        <w:jc w:val="left"/>
        <w:rPr>
          <w:rFonts w:hint="eastAsia" w:ascii="宋体" w:eastAsia="宋体" w:cs="宋体"/>
          <w:kern w:val="0"/>
          <w:sz w:val="24"/>
          <w:szCs w:val="24"/>
          <w:highlight w:val="none"/>
        </w:rPr>
      </w:pPr>
      <w:r>
        <w:rPr>
          <w:rFonts w:hint="eastAsia" w:ascii="宋体" w:eastAsia="宋体" w:cs="宋体"/>
          <w:kern w:val="0"/>
          <w:sz w:val="24"/>
          <w:szCs w:val="24"/>
          <w:highlight w:val="none"/>
        </w:rPr>
        <w:t>注：本表反映部门本年度“三公”经费支出预决算情况。其中，预算数为“三公”经费全年预算数，反映按规定程序调整后的预算数；决算数是包括当年一般公共预算财政拨款和以前年度结转资金安排的实际支出。</w:t>
      </w:r>
    </w:p>
    <w:p>
      <w:pPr>
        <w:pStyle w:val="12"/>
        <w:rPr>
          <w:sz w:val="72"/>
          <w:szCs w:val="72"/>
          <w:highlight w:val="none"/>
        </w:rPr>
        <w:sectPr>
          <w:pgSz w:w="16838" w:h="11906" w:orient="landscape"/>
          <w:pgMar w:top="720" w:right="720" w:bottom="720" w:left="720" w:header="851" w:footer="992" w:gutter="0"/>
          <w:cols w:space="425" w:num="1"/>
          <w:docGrid w:type="lines" w:linePitch="312" w:charSpace="0"/>
        </w:sectPr>
      </w:pPr>
      <w:r>
        <w:rPr>
          <w:rFonts w:hint="eastAsia" w:ascii="Times New Roman" w:hAnsi="Times New Roman" w:eastAsia="仿宋_GB2312" w:cs="Times New Roman"/>
          <w:kern w:val="0"/>
          <w:szCs w:val="21"/>
          <w:highlight w:val="none"/>
          <w:lang w:val="en-US" w:eastAsia="zh-CN"/>
        </w:rPr>
        <w:t>（湖南生物机电职业技术学院</w:t>
      </w:r>
      <w:r>
        <w:rPr>
          <w:rFonts w:hint="eastAsia" w:ascii="Times New Roman" w:hAnsi="Times New Roman" w:eastAsia="仿宋_GB2312" w:cs="Times New Roman"/>
          <w:kern w:val="0"/>
          <w:szCs w:val="21"/>
          <w:highlight w:val="none"/>
        </w:rPr>
        <w:t>没有使用</w:t>
      </w:r>
      <w:r>
        <w:rPr>
          <w:rFonts w:hint="eastAsia" w:ascii="Times New Roman" w:hAnsi="Times New Roman" w:eastAsia="仿宋_GB2312" w:cs="Times New Roman"/>
          <w:kern w:val="0"/>
          <w:szCs w:val="21"/>
          <w:highlight w:val="none"/>
          <w:lang w:eastAsia="zh-CN"/>
        </w:rPr>
        <w:t>一般公共财政预算财政拨款</w:t>
      </w:r>
      <w:r>
        <w:rPr>
          <w:rFonts w:hint="eastAsia" w:ascii="Times New Roman" w:hAnsi="Times New Roman" w:eastAsia="仿宋_GB2312" w:cs="Times New Roman"/>
          <w:kern w:val="0"/>
          <w:szCs w:val="21"/>
          <w:highlight w:val="none"/>
        </w:rPr>
        <w:t>安排的</w:t>
      </w:r>
      <w:r>
        <w:rPr>
          <w:rFonts w:hint="eastAsia" w:ascii="Times New Roman" w:hAnsi="Times New Roman" w:eastAsia="仿宋_GB2312" w:cs="Times New Roman"/>
          <w:kern w:val="0"/>
          <w:szCs w:val="21"/>
          <w:highlight w:val="none"/>
          <w:lang w:eastAsia="zh-CN"/>
        </w:rPr>
        <w:t>“三公”经费</w:t>
      </w:r>
      <w:r>
        <w:rPr>
          <w:rFonts w:hint="eastAsia" w:ascii="Times New Roman" w:hAnsi="Times New Roman" w:eastAsia="仿宋_GB2312" w:cs="Times New Roman"/>
          <w:kern w:val="0"/>
          <w:szCs w:val="21"/>
          <w:highlight w:val="none"/>
        </w:rPr>
        <w:t>支出，故本表无数据</w:t>
      </w:r>
      <w:r>
        <w:rPr>
          <w:rFonts w:hint="eastAsia" w:ascii="Times New Roman" w:hAnsi="Times New Roman" w:eastAsia="仿宋_GB2312" w:cs="Times New Roman"/>
          <w:kern w:val="0"/>
          <w:szCs w:val="21"/>
          <w:highlight w:val="none"/>
          <w:lang w:eastAsia="zh-CN"/>
        </w:rPr>
        <w:t>）。</w:t>
      </w:r>
    </w:p>
    <w:p>
      <w:pPr>
        <w:pStyle w:val="12"/>
        <w:rPr>
          <w:sz w:val="72"/>
          <w:szCs w:val="72"/>
          <w:highlight w:val="none"/>
        </w:rPr>
      </w:pPr>
    </w:p>
    <w:p>
      <w:pPr>
        <w:pStyle w:val="12"/>
        <w:rPr>
          <w:sz w:val="72"/>
          <w:szCs w:val="72"/>
          <w:highlight w:val="none"/>
        </w:rPr>
      </w:pPr>
    </w:p>
    <w:p>
      <w:pPr>
        <w:pStyle w:val="12"/>
        <w:rPr>
          <w:sz w:val="72"/>
          <w:szCs w:val="72"/>
          <w:highlight w:val="none"/>
        </w:rPr>
      </w:pPr>
    </w:p>
    <w:p>
      <w:pPr>
        <w:pStyle w:val="12"/>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r>
        <w:rPr>
          <w:rFonts w:hint="eastAsia"/>
          <w:sz w:val="72"/>
          <w:szCs w:val="72"/>
          <w:highlight w:val="none"/>
        </w:rPr>
        <w:t>第三部分</w:t>
      </w:r>
    </w:p>
    <w:p>
      <w:pPr>
        <w:pStyle w:val="12"/>
        <w:jc w:val="center"/>
        <w:rPr>
          <w:sz w:val="70"/>
          <w:szCs w:val="70"/>
          <w:highlight w:val="none"/>
        </w:rPr>
      </w:pPr>
    </w:p>
    <w:p>
      <w:pPr>
        <w:pStyle w:val="12"/>
        <w:jc w:val="center"/>
        <w:rPr>
          <w:sz w:val="70"/>
          <w:szCs w:val="70"/>
          <w:highlight w:val="none"/>
        </w:rPr>
      </w:pPr>
      <w:r>
        <w:rPr>
          <w:sz w:val="70"/>
          <w:szCs w:val="70"/>
          <w:highlight w:val="none"/>
        </w:rPr>
        <w:t>20</w:t>
      </w:r>
      <w:r>
        <w:rPr>
          <w:rFonts w:hint="eastAsia"/>
          <w:sz w:val="70"/>
          <w:szCs w:val="70"/>
          <w:highlight w:val="none"/>
        </w:rPr>
        <w:t>2</w:t>
      </w:r>
      <w:r>
        <w:rPr>
          <w:rFonts w:hint="eastAsia"/>
          <w:sz w:val="70"/>
          <w:szCs w:val="70"/>
          <w:highlight w:val="none"/>
          <w:lang w:val="en-US" w:eastAsia="zh-CN"/>
        </w:rPr>
        <w:t>2</w:t>
      </w:r>
      <w:r>
        <w:rPr>
          <w:rFonts w:hint="eastAsia"/>
          <w:sz w:val="70"/>
          <w:szCs w:val="70"/>
          <w:highlight w:val="none"/>
        </w:rPr>
        <w:t>年度部门决算情况说明</w:t>
      </w:r>
    </w:p>
    <w:p>
      <w:pPr>
        <w:widowControl/>
        <w:jc w:val="left"/>
        <w:rPr>
          <w:rFonts w:ascii="黑体" w:eastAsia="黑体" w:cs="黑体"/>
          <w:color w:val="000000"/>
          <w:kern w:val="0"/>
          <w:sz w:val="70"/>
          <w:szCs w:val="70"/>
          <w:highlight w:val="none"/>
        </w:rPr>
      </w:pPr>
      <w:r>
        <w:rPr>
          <w:sz w:val="70"/>
          <w:szCs w:val="70"/>
          <w:highlight w:val="none"/>
        </w:rPr>
        <w:br w:type="page"/>
      </w:r>
    </w:p>
    <w:p>
      <w:pPr>
        <w:pStyle w:val="12"/>
        <w:rPr>
          <w:rFonts w:asciiTheme="minorEastAsia" w:hAnsiTheme="minorEastAsia" w:eastAsiaTheme="minorEastAsia"/>
          <w:sz w:val="32"/>
          <w:szCs w:val="32"/>
          <w:highlight w:val="none"/>
        </w:rPr>
      </w:pPr>
    </w:p>
    <w:p>
      <w:pPr>
        <w:pStyle w:val="12"/>
        <w:ind w:firstLine="640" w:firstLineChars="200"/>
        <w:rPr>
          <w:rFonts w:hAnsi="黑体"/>
          <w:b/>
          <w:sz w:val="32"/>
          <w:szCs w:val="32"/>
          <w:highlight w:val="none"/>
        </w:rPr>
      </w:pPr>
      <w:r>
        <w:rPr>
          <w:rFonts w:hint="eastAsia" w:hAnsi="黑体"/>
          <w:b/>
          <w:sz w:val="32"/>
          <w:szCs w:val="32"/>
          <w:highlight w:val="none"/>
        </w:rPr>
        <w:t>一、收入支出决算总体情况说明</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年度收、支总计</w:t>
      </w:r>
      <w:r>
        <w:rPr>
          <w:rFonts w:hint="eastAsia" w:asciiTheme="minorEastAsia" w:hAnsiTheme="minorEastAsia" w:eastAsiaTheme="minorEastAsia"/>
          <w:sz w:val="32"/>
          <w:szCs w:val="32"/>
          <w:highlight w:val="none"/>
          <w:lang w:val="en-US" w:eastAsia="zh-CN"/>
        </w:rPr>
        <w:t>41255.18</w:t>
      </w:r>
      <w:r>
        <w:rPr>
          <w:rFonts w:hint="eastAsia" w:asciiTheme="minorEastAsia" w:hAnsiTheme="minorEastAsia" w:eastAsiaTheme="minorEastAsia"/>
          <w:sz w:val="32"/>
          <w:szCs w:val="32"/>
          <w:highlight w:val="none"/>
        </w:rPr>
        <w:t>万元。与上年相比，增加</w:t>
      </w:r>
      <w:r>
        <w:rPr>
          <w:rFonts w:hint="eastAsia" w:asciiTheme="minorEastAsia" w:hAnsiTheme="minorEastAsia" w:eastAsiaTheme="minorEastAsia"/>
          <w:sz w:val="32"/>
          <w:szCs w:val="32"/>
          <w:highlight w:val="none"/>
          <w:lang w:val="en-US" w:eastAsia="zh-CN"/>
        </w:rPr>
        <w:t>11572.36</w:t>
      </w:r>
      <w:r>
        <w:rPr>
          <w:rFonts w:hint="eastAsia" w:asciiTheme="minorEastAsia" w:hAnsiTheme="minorEastAsia" w:eastAsiaTheme="minorEastAsia"/>
          <w:sz w:val="32"/>
          <w:szCs w:val="32"/>
          <w:highlight w:val="none"/>
        </w:rPr>
        <w:t>万元，增长</w:t>
      </w:r>
      <w:r>
        <w:rPr>
          <w:rFonts w:hint="eastAsia" w:asciiTheme="minorEastAsia" w:hAnsiTheme="minorEastAsia" w:eastAsiaTheme="minorEastAsia"/>
          <w:sz w:val="32"/>
          <w:szCs w:val="32"/>
          <w:highlight w:val="none"/>
          <w:lang w:val="en-US" w:eastAsia="zh-CN"/>
        </w:rPr>
        <w:t>38.99</w:t>
      </w:r>
      <w:r>
        <w:rPr>
          <w:rFonts w:hint="eastAsia" w:asciiTheme="minorEastAsia" w:hAnsiTheme="minorEastAsia" w:eastAsiaTheme="minorEastAsia"/>
          <w:sz w:val="32"/>
          <w:szCs w:val="32"/>
          <w:highlight w:val="none"/>
        </w:rPr>
        <w:t>%，主要是因为</w:t>
      </w:r>
      <w:r>
        <w:rPr>
          <w:rFonts w:hint="eastAsia" w:asciiTheme="minorEastAsia" w:hAnsiTheme="minorEastAsia" w:eastAsiaTheme="minorEastAsia"/>
          <w:sz w:val="32"/>
          <w:szCs w:val="32"/>
          <w:highlight w:val="none"/>
          <w:lang w:val="en-US" w:eastAsia="zh-CN"/>
        </w:rPr>
        <w:t>由于高职扩招，学生人数增加，生均拨款及相应的学费住宿费事业收入增加，农业农村厅加大对学院的农林水支出投入，同时大王岭土地处置款返回增加政府性基金预算财政拨款收入11687万元。</w:t>
      </w:r>
    </w:p>
    <w:p>
      <w:pPr>
        <w:pStyle w:val="12"/>
        <w:ind w:firstLine="640" w:firstLineChars="200"/>
        <w:rPr>
          <w:rFonts w:hAnsi="黑体"/>
          <w:b/>
          <w:sz w:val="32"/>
          <w:szCs w:val="32"/>
          <w:highlight w:val="none"/>
        </w:rPr>
      </w:pPr>
      <w:r>
        <w:rPr>
          <w:rFonts w:hint="eastAsia" w:hAnsi="黑体"/>
          <w:b/>
          <w:sz w:val="32"/>
          <w:szCs w:val="32"/>
          <w:highlight w:val="none"/>
        </w:rPr>
        <w:t>二、收入决算情况说明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年度收入合计</w:t>
      </w:r>
      <w:r>
        <w:rPr>
          <w:rFonts w:hint="eastAsia" w:asciiTheme="minorEastAsia" w:hAnsiTheme="minorEastAsia" w:eastAsiaTheme="minorEastAsia"/>
          <w:sz w:val="32"/>
          <w:szCs w:val="32"/>
          <w:highlight w:val="none"/>
          <w:lang w:val="en-US" w:eastAsia="zh-CN"/>
        </w:rPr>
        <w:t>39474.71</w:t>
      </w:r>
      <w:r>
        <w:rPr>
          <w:rFonts w:hint="eastAsia" w:asciiTheme="minorEastAsia" w:hAnsiTheme="minorEastAsia" w:eastAsiaTheme="minorEastAsia"/>
          <w:sz w:val="32"/>
          <w:szCs w:val="32"/>
          <w:highlight w:val="none"/>
        </w:rPr>
        <w:t>万元，其中：财政拨款收入</w:t>
      </w:r>
      <w:r>
        <w:rPr>
          <w:rFonts w:hint="eastAsia" w:asciiTheme="minorEastAsia" w:hAnsiTheme="minorEastAsia" w:eastAsiaTheme="minorEastAsia"/>
          <w:sz w:val="32"/>
          <w:szCs w:val="32"/>
          <w:highlight w:val="none"/>
          <w:lang w:val="en-US" w:eastAsia="zh-CN"/>
        </w:rPr>
        <w:t>29628.08</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75.06</w:t>
      </w:r>
      <w:r>
        <w:rPr>
          <w:rFonts w:hint="eastAsia" w:asciiTheme="minorEastAsia" w:hAnsiTheme="minorEastAsia" w:eastAsiaTheme="minorEastAsia"/>
          <w:sz w:val="32"/>
          <w:szCs w:val="32"/>
          <w:highlight w:val="none"/>
        </w:rPr>
        <w:t>%；上级补助收入</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%；事业收入7885.12万元，占</w:t>
      </w:r>
      <w:r>
        <w:rPr>
          <w:rFonts w:hint="eastAsia" w:asciiTheme="minorEastAsia" w:hAnsiTheme="minorEastAsia" w:eastAsiaTheme="minorEastAsia"/>
          <w:sz w:val="32"/>
          <w:szCs w:val="32"/>
          <w:highlight w:val="none"/>
          <w:lang w:val="en-US" w:eastAsia="zh-CN"/>
        </w:rPr>
        <w:t>19.98</w:t>
      </w:r>
      <w:r>
        <w:rPr>
          <w:rFonts w:hint="eastAsia" w:asciiTheme="minorEastAsia" w:hAnsiTheme="minorEastAsia" w:eastAsiaTheme="minorEastAsia"/>
          <w:sz w:val="32"/>
          <w:szCs w:val="32"/>
          <w:highlight w:val="none"/>
        </w:rPr>
        <w:t>%；经营收入</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%；附属单位上缴收入</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%；其他收入1961.5</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4.96</w:t>
      </w:r>
      <w:r>
        <w:rPr>
          <w:rFonts w:hint="eastAsia" w:asciiTheme="minorEastAsia" w:hAnsiTheme="minorEastAsia" w:eastAsiaTheme="minorEastAsia"/>
          <w:sz w:val="32"/>
          <w:szCs w:val="32"/>
          <w:highlight w:val="none"/>
        </w:rPr>
        <w:t>%。</w:t>
      </w:r>
    </w:p>
    <w:p>
      <w:pPr>
        <w:pStyle w:val="12"/>
        <w:ind w:firstLine="640" w:firstLineChars="200"/>
        <w:rPr>
          <w:rFonts w:hAnsi="黑体"/>
          <w:b/>
          <w:sz w:val="32"/>
          <w:szCs w:val="32"/>
          <w:highlight w:val="none"/>
        </w:rPr>
      </w:pPr>
      <w:r>
        <w:rPr>
          <w:rFonts w:hint="eastAsia" w:hAnsi="黑体"/>
          <w:b/>
          <w:sz w:val="32"/>
          <w:szCs w:val="32"/>
          <w:highlight w:val="none"/>
        </w:rPr>
        <w:t>三、支出决算情况说明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年度支出合计33222.47万元，其中：基本支出20090.12万元，占</w:t>
      </w:r>
      <w:r>
        <w:rPr>
          <w:rFonts w:hint="eastAsia" w:asciiTheme="minorEastAsia" w:hAnsiTheme="minorEastAsia" w:eastAsiaTheme="minorEastAsia"/>
          <w:sz w:val="32"/>
          <w:szCs w:val="32"/>
          <w:highlight w:val="none"/>
          <w:lang w:val="en-US" w:eastAsia="zh-CN"/>
        </w:rPr>
        <w:t>60.47</w:t>
      </w:r>
      <w:r>
        <w:rPr>
          <w:rFonts w:hint="eastAsia" w:asciiTheme="minorEastAsia" w:hAnsiTheme="minorEastAsia" w:eastAsiaTheme="minorEastAsia"/>
          <w:sz w:val="32"/>
          <w:szCs w:val="32"/>
          <w:highlight w:val="none"/>
        </w:rPr>
        <w:t>%；项目支出13132.35元，占</w:t>
      </w:r>
      <w:r>
        <w:rPr>
          <w:rFonts w:hint="eastAsia" w:asciiTheme="minorEastAsia" w:hAnsiTheme="minorEastAsia" w:eastAsiaTheme="minorEastAsia"/>
          <w:sz w:val="32"/>
          <w:szCs w:val="32"/>
          <w:highlight w:val="none"/>
          <w:lang w:val="en-US" w:eastAsia="zh-CN"/>
        </w:rPr>
        <w:t>39.53</w:t>
      </w:r>
      <w:r>
        <w:rPr>
          <w:rFonts w:hint="eastAsia" w:asciiTheme="minorEastAsia" w:hAnsiTheme="minorEastAsia" w:eastAsiaTheme="minorEastAsia"/>
          <w:sz w:val="32"/>
          <w:szCs w:val="32"/>
          <w:highlight w:val="none"/>
        </w:rPr>
        <w:t>%；上缴上级支出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%；经营支出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%；对附属单位补助支出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w:t>
      </w:r>
    </w:p>
    <w:p>
      <w:pPr>
        <w:pStyle w:val="12"/>
        <w:ind w:firstLine="640" w:firstLineChars="200"/>
        <w:rPr>
          <w:rFonts w:hAnsi="黑体"/>
          <w:b/>
          <w:sz w:val="32"/>
          <w:szCs w:val="32"/>
          <w:highlight w:val="none"/>
        </w:rPr>
      </w:pPr>
      <w:r>
        <w:rPr>
          <w:rFonts w:hint="eastAsia" w:hAnsi="黑体"/>
          <w:b/>
          <w:sz w:val="32"/>
          <w:szCs w:val="32"/>
          <w:highlight w:val="none"/>
        </w:rPr>
        <w:t>四、财政拨款收入支出决算总体情况说明</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年度财政拨款收、支总计31254.92万元，与上年相比，增加</w:t>
      </w:r>
      <w:r>
        <w:rPr>
          <w:rFonts w:hint="eastAsia" w:asciiTheme="minorEastAsia" w:hAnsiTheme="minorEastAsia" w:eastAsiaTheme="minorEastAsia"/>
          <w:sz w:val="32"/>
          <w:szCs w:val="32"/>
          <w:highlight w:val="none"/>
          <w:lang w:val="en-US" w:eastAsia="zh-CN"/>
        </w:rPr>
        <w:t>10527.73</w:t>
      </w:r>
      <w:r>
        <w:rPr>
          <w:rFonts w:hint="eastAsia" w:asciiTheme="minorEastAsia" w:hAnsiTheme="minorEastAsia" w:eastAsiaTheme="minorEastAsia"/>
          <w:sz w:val="32"/>
          <w:szCs w:val="32"/>
          <w:highlight w:val="none"/>
        </w:rPr>
        <w:t>万元,增长</w:t>
      </w:r>
      <w:r>
        <w:rPr>
          <w:rFonts w:hint="eastAsia" w:asciiTheme="minorEastAsia" w:hAnsiTheme="minorEastAsia" w:eastAsiaTheme="minorEastAsia"/>
          <w:sz w:val="32"/>
          <w:szCs w:val="32"/>
          <w:highlight w:val="none"/>
          <w:lang w:val="en-US" w:eastAsia="zh-CN"/>
        </w:rPr>
        <w:t>50.79</w:t>
      </w:r>
      <w:r>
        <w:rPr>
          <w:rFonts w:hint="eastAsia" w:asciiTheme="minorEastAsia" w:hAnsiTheme="minorEastAsia" w:eastAsiaTheme="minorEastAsia"/>
          <w:sz w:val="32"/>
          <w:szCs w:val="32"/>
          <w:highlight w:val="none"/>
        </w:rPr>
        <w:t>%，主要是因为</w:t>
      </w:r>
      <w:r>
        <w:rPr>
          <w:rFonts w:hint="eastAsia" w:asciiTheme="minorEastAsia" w:hAnsiTheme="minorEastAsia" w:eastAsiaTheme="minorEastAsia"/>
          <w:sz w:val="32"/>
          <w:szCs w:val="32"/>
          <w:highlight w:val="none"/>
          <w:lang w:val="en-US" w:eastAsia="zh-CN"/>
        </w:rPr>
        <w:t>高职扩招，学生人数增加，学生生均收增加等致一般公共预算财政拨款收入增加125.98万元，同时大王岭土地处置款返回致政府性基金预算财政拨款收入增加11687万元。</w:t>
      </w:r>
    </w:p>
    <w:p>
      <w:pPr>
        <w:pStyle w:val="12"/>
        <w:ind w:firstLine="640" w:firstLineChars="200"/>
        <w:rPr>
          <w:rFonts w:hAnsi="黑体"/>
          <w:b/>
          <w:sz w:val="32"/>
          <w:szCs w:val="32"/>
          <w:highlight w:val="none"/>
        </w:rPr>
      </w:pPr>
      <w:r>
        <w:rPr>
          <w:rFonts w:hint="eastAsia" w:hAnsi="黑体"/>
          <w:b/>
          <w:sz w:val="32"/>
          <w:szCs w:val="32"/>
          <w:highlight w:val="none"/>
        </w:rPr>
        <w:t>五、一般公共预算财政拨款支出决算情况说明</w:t>
      </w:r>
    </w:p>
    <w:p>
      <w:pPr>
        <w:pStyle w:val="12"/>
        <w:ind w:firstLine="640" w:firstLineChars="20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（一）财政拨款支出决算总体情况</w:t>
      </w:r>
    </w:p>
    <w:p>
      <w:pPr>
        <w:pStyle w:val="12"/>
        <w:ind w:firstLine="480" w:firstLineChars="150"/>
        <w:rPr>
          <w:rFonts w:hint="default" w:asciiTheme="minorEastAsia" w:hAnsiTheme="minorEastAsia" w:eastAsiaTheme="minorEastAsia"/>
          <w:color w:val="auto"/>
          <w:sz w:val="32"/>
          <w:szCs w:val="32"/>
          <w:highlight w:val="none"/>
          <w:lang w:val="en-US"/>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年度财政拨款支出</w:t>
      </w:r>
      <w:r>
        <w:rPr>
          <w:rFonts w:hint="eastAsia" w:asciiTheme="minorEastAsia" w:hAnsiTheme="minorEastAsia" w:eastAsiaTheme="minorEastAsia"/>
          <w:sz w:val="32"/>
          <w:szCs w:val="32"/>
          <w:highlight w:val="none"/>
          <w:lang w:val="en-US" w:eastAsia="zh-CN"/>
        </w:rPr>
        <w:t>17275.61</w:t>
      </w:r>
      <w:r>
        <w:rPr>
          <w:rFonts w:hint="eastAsia" w:asciiTheme="minorEastAsia" w:hAnsiTheme="minorEastAsia" w:eastAsiaTheme="minorEastAsia"/>
          <w:sz w:val="32"/>
          <w:szCs w:val="32"/>
          <w:highlight w:val="none"/>
        </w:rPr>
        <w:t>万元，占本年支出合计的</w:t>
      </w:r>
      <w:r>
        <w:rPr>
          <w:rFonts w:hint="eastAsia" w:asciiTheme="minorEastAsia" w:hAnsiTheme="minorEastAsia" w:eastAsiaTheme="minorEastAsia"/>
          <w:sz w:val="32"/>
          <w:szCs w:val="32"/>
          <w:highlight w:val="none"/>
          <w:lang w:val="en-US" w:eastAsia="zh-CN"/>
        </w:rPr>
        <w:t>52.00</w:t>
      </w:r>
      <w:r>
        <w:rPr>
          <w:rFonts w:hint="eastAsia" w:asciiTheme="minorEastAsia" w:hAnsiTheme="minorEastAsia" w:eastAsiaTheme="minorEastAsia"/>
          <w:sz w:val="32"/>
          <w:szCs w:val="32"/>
          <w:highlight w:val="none"/>
        </w:rPr>
        <w:t>%，与上年相比，</w:t>
      </w:r>
      <w:r>
        <w:rPr>
          <w:rFonts w:hint="eastAsia" w:asciiTheme="minorEastAsia" w:hAnsiTheme="minorEastAsia" w:eastAsiaTheme="minorEastAsia"/>
          <w:color w:val="auto"/>
          <w:sz w:val="32"/>
          <w:szCs w:val="32"/>
          <w:highlight w:val="none"/>
        </w:rPr>
        <w:t>财政拨款支出</w:t>
      </w:r>
      <w:r>
        <w:rPr>
          <w:rFonts w:hint="eastAsia" w:asciiTheme="minorEastAsia" w:hAnsiTheme="minorEastAsia" w:eastAsiaTheme="minorEastAsia"/>
          <w:color w:val="auto"/>
          <w:sz w:val="32"/>
          <w:szCs w:val="32"/>
          <w:highlight w:val="none"/>
          <w:lang w:val="en-US" w:eastAsia="zh-CN"/>
        </w:rPr>
        <w:t>减少1646.76</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val="en-US" w:eastAsia="zh-CN"/>
        </w:rPr>
        <w:t>降低8.70</w:t>
      </w:r>
      <w:r>
        <w:rPr>
          <w:rFonts w:hint="eastAsia" w:asciiTheme="minorEastAsia" w:hAnsiTheme="minorEastAsia" w:eastAsiaTheme="minorEastAsia"/>
          <w:color w:val="auto"/>
          <w:sz w:val="32"/>
          <w:szCs w:val="32"/>
          <w:highlight w:val="none"/>
        </w:rPr>
        <w:t>%，</w:t>
      </w:r>
      <w:r>
        <w:rPr>
          <w:rFonts w:hint="eastAsia" w:asciiTheme="minorEastAsia" w:hAnsiTheme="minorEastAsia" w:eastAsiaTheme="minorEastAsia"/>
          <w:color w:val="auto"/>
          <w:sz w:val="32"/>
          <w:szCs w:val="32"/>
          <w:highlight w:val="none"/>
          <w:lang w:val="en-US" w:eastAsia="zh-CN"/>
        </w:rPr>
        <w:t>主要原因是进一步压缩公用经费支出，同时由于年末疫情影响，部分绩效工资延迟至2023年度发放。</w:t>
      </w:r>
    </w:p>
    <w:p>
      <w:pPr>
        <w:pStyle w:val="12"/>
        <w:ind w:firstLine="480" w:firstLineChars="1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（二）财政拨款支出决算结构情况</w:t>
      </w:r>
    </w:p>
    <w:p>
      <w:pPr>
        <w:pStyle w:val="12"/>
        <w:ind w:firstLine="640" w:firstLineChars="20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年度财政拨款支出</w:t>
      </w:r>
      <w:r>
        <w:rPr>
          <w:rFonts w:hint="eastAsia" w:asciiTheme="minorEastAsia" w:hAnsiTheme="minorEastAsia" w:eastAsiaTheme="minorEastAsia"/>
          <w:sz w:val="32"/>
          <w:szCs w:val="32"/>
          <w:highlight w:val="none"/>
          <w:lang w:val="en-US" w:eastAsia="zh-CN"/>
        </w:rPr>
        <w:t>17275.61</w:t>
      </w:r>
      <w:r>
        <w:rPr>
          <w:rFonts w:hint="eastAsia" w:asciiTheme="minorEastAsia" w:hAnsiTheme="minorEastAsia" w:eastAsiaTheme="minorEastAsia"/>
          <w:sz w:val="32"/>
          <w:szCs w:val="32"/>
          <w:highlight w:val="none"/>
        </w:rPr>
        <w:t>万元，主要用于以下方面：教育（类）支出13802.84万元，占</w:t>
      </w:r>
      <w:r>
        <w:rPr>
          <w:rFonts w:hint="eastAsia" w:asciiTheme="minorEastAsia" w:hAnsiTheme="minorEastAsia" w:eastAsiaTheme="minorEastAsia"/>
          <w:sz w:val="32"/>
          <w:szCs w:val="32"/>
          <w:highlight w:val="none"/>
          <w:lang w:val="en-US" w:eastAsia="zh-CN"/>
        </w:rPr>
        <w:t>79.90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社会保障和就业</w:t>
      </w:r>
      <w:r>
        <w:rPr>
          <w:rFonts w:hint="eastAsia" w:asciiTheme="minorEastAsia" w:hAnsiTheme="minorEastAsia" w:eastAsiaTheme="minorEastAsia"/>
          <w:sz w:val="32"/>
          <w:szCs w:val="32"/>
          <w:highlight w:val="none"/>
          <w:lang w:val="en-US" w:eastAsia="zh-CN"/>
        </w:rPr>
        <w:t>(类)支出1729.99万元，占10.01%；卫生健康（类）支出0.8万元，占0%；农林水（类）支出941.98万元，占5.45%；住房保障（类）支出800万元，占3.00%；城乡社区（类）支出6095.10万元，占4.63%。</w:t>
      </w:r>
    </w:p>
    <w:p>
      <w:pPr>
        <w:pStyle w:val="12"/>
        <w:ind w:firstLine="800" w:firstLineChars="2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（三）财政拨款支出决算具体情况</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年度财政拨款支出年初预算数为</w:t>
      </w:r>
      <w:r>
        <w:rPr>
          <w:rFonts w:hint="eastAsia" w:asciiTheme="minorEastAsia" w:hAnsiTheme="minorEastAsia" w:eastAsiaTheme="minorEastAsia"/>
          <w:sz w:val="32"/>
          <w:szCs w:val="32"/>
          <w:highlight w:val="none"/>
          <w:lang w:val="en-US" w:eastAsia="zh-CN"/>
        </w:rPr>
        <w:t>14965.61</w:t>
      </w:r>
      <w:r>
        <w:rPr>
          <w:rFonts w:hint="eastAsia" w:asciiTheme="minorEastAsia" w:hAnsiTheme="minorEastAsia" w:eastAsiaTheme="minorEastAsia"/>
          <w:sz w:val="32"/>
          <w:szCs w:val="32"/>
          <w:highlight w:val="none"/>
        </w:rPr>
        <w:t>万元，支出决算数为</w:t>
      </w:r>
      <w:r>
        <w:rPr>
          <w:rFonts w:hint="eastAsia" w:asciiTheme="minorEastAsia" w:hAnsiTheme="minorEastAsia" w:eastAsiaTheme="minorEastAsia"/>
          <w:sz w:val="32"/>
          <w:szCs w:val="32"/>
          <w:highlight w:val="none"/>
          <w:lang w:val="en-US" w:eastAsia="zh-CN"/>
        </w:rPr>
        <w:t>17275.61</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%，其中：</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lang w:eastAsia="zh-CN"/>
        </w:rPr>
        <w:t>教育</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职业教育</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高等职业教育</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11638.29</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13802.84</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118.60</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年中追加安排高校</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lang w:eastAsia="zh-CN"/>
        </w:rPr>
        <w:t>双一流”建设专项、学生资助补助经费、现代职业教育质量提升计划资金、高校基础设施建设、高职生均拨款资金、教育综合发展专项等资金</w:t>
      </w:r>
      <w:r>
        <w:rPr>
          <w:rFonts w:hint="eastAsia" w:asciiTheme="minorEastAsia" w:hAnsiTheme="minorEastAsia" w:eastAsiaTheme="minorEastAsia"/>
          <w:sz w:val="32"/>
          <w:szCs w:val="32"/>
          <w:highlight w:val="none"/>
          <w:lang w:val="en-US" w:eastAsia="zh-CN"/>
        </w:rPr>
        <w:t>4342.26万元</w:t>
      </w:r>
      <w:r>
        <w:rPr>
          <w:rFonts w:hint="eastAsia" w:asciiTheme="minorEastAsia" w:hAnsiTheme="minorEastAsia" w:eastAsiaTheme="minorEastAsia"/>
          <w:sz w:val="32"/>
          <w:szCs w:val="32"/>
          <w:highlight w:val="none"/>
          <w:lang w:eastAsia="zh-CN"/>
        </w:rPr>
        <w:t>。</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lang w:eastAsia="zh-CN"/>
        </w:rPr>
        <w:t>社会保障和就业</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行政事业单位养老支出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机关事业单位基本养老保险缴费支出</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1701.60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1701.60</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3.</w:t>
      </w:r>
      <w:r>
        <w:rPr>
          <w:rFonts w:hint="eastAsia" w:asciiTheme="minorEastAsia" w:hAnsiTheme="minorEastAsia" w:eastAsiaTheme="minorEastAsia"/>
          <w:sz w:val="32"/>
          <w:szCs w:val="32"/>
          <w:highlight w:val="none"/>
          <w:lang w:eastAsia="zh-CN"/>
        </w:rPr>
        <w:t>社会保障和就业</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就业补助</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其他就业补助支出</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6.81</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28.39</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416.89</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年中追加安排“就业补助专项（省级）”</w:t>
      </w:r>
      <w:r>
        <w:rPr>
          <w:rFonts w:hint="eastAsia" w:asciiTheme="minorEastAsia" w:hAnsiTheme="minorEastAsia" w:eastAsiaTheme="minorEastAsia"/>
          <w:sz w:val="32"/>
          <w:szCs w:val="32"/>
          <w:highlight w:val="none"/>
          <w:lang w:val="en-US" w:eastAsia="zh-CN"/>
        </w:rPr>
        <w:t>25.20万元</w:t>
      </w:r>
      <w:r>
        <w:rPr>
          <w:rFonts w:hint="eastAsia" w:asciiTheme="minorEastAsia" w:hAnsiTheme="minorEastAsia" w:eastAsiaTheme="minorEastAsia"/>
          <w:sz w:val="32"/>
          <w:szCs w:val="32"/>
          <w:highlight w:val="none"/>
          <w:lang w:eastAsia="zh-CN"/>
        </w:rPr>
        <w:t>。</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4.</w:t>
      </w:r>
      <w:r>
        <w:rPr>
          <w:rFonts w:hint="eastAsia" w:asciiTheme="minorEastAsia" w:hAnsiTheme="minorEastAsia" w:eastAsiaTheme="minorEastAsia"/>
          <w:sz w:val="32"/>
          <w:szCs w:val="32"/>
          <w:highlight w:val="none"/>
          <w:lang w:eastAsia="zh-CN"/>
        </w:rPr>
        <w:t>卫生健康支出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其他卫生健康支出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其他卫生健康支出</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0.80</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年中追加安排“建国初期参加革命工作的部分退休干部生活补贴和医疗补贴提标资金”</w:t>
      </w:r>
      <w:r>
        <w:rPr>
          <w:rFonts w:hint="eastAsia" w:asciiTheme="minorEastAsia" w:hAnsiTheme="minorEastAsia" w:eastAsiaTheme="minorEastAsia"/>
          <w:sz w:val="32"/>
          <w:szCs w:val="32"/>
          <w:highlight w:val="none"/>
          <w:lang w:val="en-US" w:eastAsia="zh-CN"/>
        </w:rPr>
        <w:t>0.80万元</w:t>
      </w:r>
      <w:r>
        <w:rPr>
          <w:rFonts w:hint="eastAsia" w:asciiTheme="minorEastAsia" w:hAnsiTheme="minorEastAsia" w:eastAsiaTheme="minorEastAsia"/>
          <w:sz w:val="32"/>
          <w:szCs w:val="32"/>
          <w:highlight w:val="none"/>
          <w:lang w:eastAsia="zh-CN"/>
        </w:rPr>
        <w:t>。</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5.</w:t>
      </w:r>
      <w:r>
        <w:rPr>
          <w:rFonts w:hint="eastAsia" w:asciiTheme="minorEastAsia" w:hAnsiTheme="minorEastAsia" w:eastAsiaTheme="minorEastAsia"/>
          <w:sz w:val="32"/>
          <w:szCs w:val="32"/>
          <w:highlight w:val="none"/>
          <w:lang w:eastAsia="zh-CN"/>
        </w:rPr>
        <w:t>农林水支出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农业农村</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科技转化与推广服务</w:t>
      </w:r>
      <w:r>
        <w:rPr>
          <w:rFonts w:hint="eastAsia" w:asciiTheme="minorEastAsia" w:hAnsiTheme="minorEastAsia" w:eastAsiaTheme="minorEastAsia"/>
          <w:sz w:val="32"/>
          <w:szCs w:val="32"/>
          <w:highlight w:val="none"/>
        </w:rPr>
        <w:t>（项）</w:t>
      </w:r>
    </w:p>
    <w:p>
      <w:pPr>
        <w:pStyle w:val="12"/>
        <w:ind w:firstLine="640" w:firstLineChars="200"/>
        <w:rPr>
          <w:rFonts w:hint="default" w:asciiTheme="minorEastAsia" w:hAnsiTheme="minorEastAsia" w:eastAsiaTheme="minorEastAsia"/>
          <w:sz w:val="32"/>
          <w:szCs w:val="32"/>
          <w:highlight w:val="none"/>
          <w:lang w:val="en-US"/>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240.69</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164.62</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68.40</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小</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val="en-US" w:eastAsia="zh-CN"/>
        </w:rPr>
        <w:t>由于非税收入短收调</w:t>
      </w:r>
      <w:r>
        <w:rPr>
          <w:rFonts w:hint="eastAsia" w:asciiTheme="minorEastAsia" w:hAnsiTheme="minorEastAsia" w:eastAsiaTheme="minorEastAsia"/>
          <w:sz w:val="32"/>
          <w:szCs w:val="32"/>
          <w:highlight w:val="none"/>
          <w:lang w:eastAsia="zh-CN"/>
        </w:rPr>
        <w:t>减指标</w:t>
      </w:r>
      <w:r>
        <w:rPr>
          <w:rFonts w:hint="eastAsia" w:asciiTheme="minorEastAsia" w:hAnsiTheme="minorEastAsia" w:eastAsiaTheme="minorEastAsia"/>
          <w:sz w:val="32"/>
          <w:szCs w:val="32"/>
          <w:highlight w:val="none"/>
          <w:lang w:val="en-US" w:eastAsia="zh-CN"/>
        </w:rPr>
        <w:t>76.07万元，实际指标金额164.62万元。</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6.</w:t>
      </w:r>
      <w:r>
        <w:rPr>
          <w:rFonts w:hint="eastAsia" w:asciiTheme="minorEastAsia" w:hAnsiTheme="minorEastAsia" w:eastAsiaTheme="minorEastAsia"/>
          <w:sz w:val="32"/>
          <w:szCs w:val="32"/>
          <w:highlight w:val="none"/>
          <w:lang w:eastAsia="zh-CN"/>
        </w:rPr>
        <w:t>农林水支出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农业农村</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农业生产发展</w:t>
      </w:r>
      <w:r>
        <w:rPr>
          <w:rFonts w:hint="eastAsia" w:asciiTheme="minorEastAsia" w:hAnsiTheme="minorEastAsia" w:eastAsiaTheme="minorEastAsia"/>
          <w:sz w:val="32"/>
          <w:szCs w:val="32"/>
          <w:highlight w:val="none"/>
        </w:rPr>
        <w:t>（项）</w:t>
      </w:r>
    </w:p>
    <w:p>
      <w:pPr>
        <w:pStyle w:val="12"/>
        <w:ind w:left="0" w:leftChars="0" w:firstLine="640" w:firstLineChars="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565.96</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400.58</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83.80</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eastAsia="zh-CN"/>
        </w:rPr>
        <w:t>小</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由于非税收入短收调减指标165.50万元，同时年中追加</w:t>
      </w:r>
      <w:r>
        <w:rPr>
          <w:rFonts w:hint="eastAsia" w:asciiTheme="minorEastAsia" w:hAnsiTheme="minorEastAsia" w:eastAsiaTheme="minorEastAsia"/>
          <w:sz w:val="32"/>
          <w:szCs w:val="32"/>
          <w:highlight w:val="none"/>
          <w:lang w:eastAsia="zh-CN"/>
        </w:rPr>
        <w:t>“农副产品加工”</w:t>
      </w:r>
      <w:r>
        <w:rPr>
          <w:rFonts w:hint="eastAsia" w:asciiTheme="minorEastAsia" w:hAnsiTheme="minorEastAsia" w:eastAsiaTheme="minorEastAsia"/>
          <w:sz w:val="32"/>
          <w:szCs w:val="32"/>
          <w:highlight w:val="none"/>
          <w:lang w:val="en-US" w:eastAsia="zh-CN"/>
        </w:rPr>
        <w:t>50万元，“</w:t>
      </w:r>
      <w:r>
        <w:rPr>
          <w:rFonts w:hint="eastAsia" w:asciiTheme="minorEastAsia" w:hAnsiTheme="minorEastAsia" w:eastAsiaTheme="minorEastAsia"/>
          <w:sz w:val="32"/>
          <w:szCs w:val="32"/>
          <w:highlight w:val="none"/>
          <w:lang w:eastAsia="zh-CN"/>
        </w:rPr>
        <w:t>现代农业发展（省级</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5.54万元，</w:t>
      </w:r>
      <w:r>
        <w:rPr>
          <w:rFonts w:hint="eastAsia" w:asciiTheme="minorEastAsia" w:hAnsiTheme="minorEastAsia" w:eastAsiaTheme="minorEastAsia"/>
          <w:sz w:val="32"/>
          <w:szCs w:val="32"/>
          <w:highlight w:val="none"/>
          <w:lang w:eastAsia="zh-CN"/>
        </w:rPr>
        <w:t>“种植产业发展</w:t>
      </w:r>
      <w:r>
        <w:rPr>
          <w:rFonts w:hint="default"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lang w:val="en-US" w:eastAsia="zh-CN"/>
        </w:rPr>
        <w:t>22万元</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实际指标金额478万元。由于年中追加的三个</w:t>
      </w:r>
      <w:r>
        <w:rPr>
          <w:rFonts w:hint="eastAsia" w:asciiTheme="minorEastAsia" w:hAnsiTheme="minorEastAsia" w:eastAsiaTheme="minorEastAsia"/>
          <w:sz w:val="32"/>
          <w:szCs w:val="32"/>
          <w:highlight w:val="none"/>
          <w:lang w:eastAsia="zh-CN"/>
        </w:rPr>
        <w:t>项目</w:t>
      </w:r>
      <w:r>
        <w:rPr>
          <w:rFonts w:hint="eastAsia" w:asciiTheme="minorEastAsia" w:hAnsiTheme="minorEastAsia" w:eastAsiaTheme="minorEastAsia"/>
          <w:sz w:val="32"/>
          <w:szCs w:val="32"/>
          <w:highlight w:val="none"/>
          <w:lang w:val="en-US" w:eastAsia="zh-CN"/>
        </w:rPr>
        <w:t>均</w:t>
      </w:r>
      <w:r>
        <w:rPr>
          <w:rFonts w:hint="eastAsia" w:asciiTheme="minorEastAsia" w:hAnsiTheme="minorEastAsia" w:eastAsiaTheme="minorEastAsia"/>
          <w:sz w:val="32"/>
          <w:szCs w:val="32"/>
          <w:highlight w:val="none"/>
          <w:lang w:eastAsia="zh-CN"/>
        </w:rPr>
        <w:t>在项目启动阶段，资金支出进程随着正式运转将加快。</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7.</w:t>
      </w:r>
      <w:r>
        <w:rPr>
          <w:rFonts w:hint="eastAsia" w:asciiTheme="minorEastAsia" w:hAnsiTheme="minorEastAsia" w:eastAsiaTheme="minorEastAsia"/>
          <w:sz w:val="32"/>
          <w:szCs w:val="32"/>
          <w:highlight w:val="none"/>
          <w:lang w:eastAsia="zh-CN"/>
        </w:rPr>
        <w:t>农林水支出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农业农村</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农业资源保护修复与利用</w:t>
      </w:r>
      <w:r>
        <w:rPr>
          <w:rFonts w:hint="eastAsia" w:asciiTheme="minorEastAsia" w:hAnsiTheme="minorEastAsia" w:eastAsiaTheme="minorEastAsia"/>
          <w:sz w:val="32"/>
          <w:szCs w:val="32"/>
          <w:highlight w:val="none"/>
        </w:rPr>
        <w:t>（项）</w:t>
      </w:r>
    </w:p>
    <w:p>
      <w:pPr>
        <w:pStyle w:val="12"/>
        <w:ind w:left="0" w:leftChars="0" w:firstLine="640" w:firstLineChars="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10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元，</w:t>
      </w:r>
      <w:r>
        <w:rPr>
          <w:rFonts w:hint="eastAsia" w:asciiTheme="minorEastAsia" w:hAnsiTheme="minorEastAsia" w:eastAsiaTheme="minorEastAsia"/>
          <w:sz w:val="32"/>
          <w:szCs w:val="32"/>
          <w:highlight w:val="none"/>
        </w:rPr>
        <w:t>支出决算为</w:t>
      </w:r>
      <w:r>
        <w:rPr>
          <w:rFonts w:hint="eastAsia" w:asciiTheme="minorEastAsia" w:hAnsiTheme="minorEastAsia" w:eastAsiaTheme="minorEastAsia"/>
          <w:sz w:val="32"/>
          <w:szCs w:val="32"/>
          <w:highlight w:val="none"/>
          <w:lang w:val="en-US" w:eastAsia="zh-CN"/>
        </w:rPr>
        <w:t>3.86</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38.60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小</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val="en-US" w:eastAsia="zh-CN"/>
        </w:rPr>
        <w:t>由于非税收入短收调</w:t>
      </w:r>
      <w:r>
        <w:rPr>
          <w:rFonts w:hint="eastAsia" w:asciiTheme="minorEastAsia" w:hAnsiTheme="minorEastAsia" w:eastAsiaTheme="minorEastAsia"/>
          <w:sz w:val="32"/>
          <w:szCs w:val="32"/>
          <w:highlight w:val="none"/>
          <w:lang w:eastAsia="zh-CN"/>
        </w:rPr>
        <w:t>减指标</w:t>
      </w:r>
      <w:r>
        <w:rPr>
          <w:rFonts w:hint="eastAsia" w:asciiTheme="minorEastAsia" w:hAnsiTheme="minorEastAsia" w:eastAsiaTheme="minorEastAsia"/>
          <w:sz w:val="32"/>
          <w:szCs w:val="32"/>
          <w:highlight w:val="none"/>
          <w:lang w:val="en-US" w:eastAsia="zh-CN"/>
        </w:rPr>
        <w:t>6.14万，实际指标金额3.86万元。</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8.</w:t>
      </w:r>
      <w:r>
        <w:rPr>
          <w:rFonts w:hint="eastAsia" w:asciiTheme="minorEastAsia" w:hAnsiTheme="minorEastAsia" w:eastAsiaTheme="minorEastAsia"/>
          <w:sz w:val="32"/>
          <w:szCs w:val="32"/>
          <w:highlight w:val="none"/>
          <w:lang w:eastAsia="zh-CN"/>
        </w:rPr>
        <w:t>农林水支出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农业农村</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其他农业农村支出</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2.26</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372.92</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16500.88</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年中追加安排“受污染耕地安全利用”项目</w:t>
      </w:r>
      <w:r>
        <w:rPr>
          <w:rFonts w:hint="eastAsia" w:asciiTheme="minorEastAsia" w:hAnsiTheme="minorEastAsia" w:eastAsiaTheme="minorEastAsia"/>
          <w:sz w:val="32"/>
          <w:szCs w:val="32"/>
          <w:highlight w:val="none"/>
          <w:lang w:val="en-US" w:eastAsia="zh-CN"/>
        </w:rPr>
        <w:t>415万元。</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9.</w:t>
      </w:r>
      <w:r>
        <w:rPr>
          <w:rFonts w:hint="eastAsia" w:asciiTheme="minorEastAsia" w:hAnsiTheme="minorEastAsia" w:eastAsiaTheme="minorEastAsia"/>
          <w:sz w:val="32"/>
          <w:szCs w:val="32"/>
          <w:highlight w:val="none"/>
          <w:lang w:eastAsia="zh-CN"/>
        </w:rPr>
        <w:t>住房保障支出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住房改革支出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住房公积金</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800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800</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p>
    <w:p>
      <w:pPr>
        <w:pStyle w:val="12"/>
        <w:rPr>
          <w:rFonts w:hAnsi="黑体"/>
          <w:b/>
          <w:sz w:val="32"/>
          <w:szCs w:val="32"/>
          <w:highlight w:val="none"/>
        </w:rPr>
      </w:pPr>
      <w:r>
        <w:rPr>
          <w:rFonts w:hint="eastAsia" w:hAnsi="黑体"/>
          <w:b/>
          <w:sz w:val="32"/>
          <w:szCs w:val="32"/>
          <w:highlight w:val="none"/>
        </w:rPr>
        <w:t>六、一般公共预算财政拨款基本支出决算情况说明</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年度财政拨款基本支出</w:t>
      </w:r>
      <w:r>
        <w:rPr>
          <w:rFonts w:hint="eastAsia" w:asciiTheme="minorEastAsia" w:hAnsiTheme="minorEastAsia" w:eastAsiaTheme="minorEastAsia"/>
          <w:sz w:val="32"/>
          <w:szCs w:val="32"/>
          <w:highlight w:val="none"/>
          <w:lang w:val="en-US" w:eastAsia="zh-CN"/>
        </w:rPr>
        <w:t>11289.58</w:t>
      </w:r>
      <w:r>
        <w:rPr>
          <w:rFonts w:hint="eastAsia" w:asciiTheme="minorEastAsia" w:hAnsiTheme="minorEastAsia" w:eastAsiaTheme="minorEastAsia"/>
          <w:sz w:val="32"/>
          <w:szCs w:val="32"/>
          <w:highlight w:val="none"/>
        </w:rPr>
        <w:t>万元，其中：</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人员经费</w:t>
      </w:r>
      <w:r>
        <w:rPr>
          <w:rFonts w:hint="eastAsia" w:asciiTheme="minorEastAsia" w:hAnsiTheme="minorEastAsia" w:eastAsiaTheme="minorEastAsia"/>
          <w:sz w:val="32"/>
          <w:szCs w:val="32"/>
          <w:highlight w:val="none"/>
          <w:lang w:val="en-US" w:eastAsia="zh-CN"/>
        </w:rPr>
        <w:t>10565.40</w:t>
      </w:r>
      <w:r>
        <w:rPr>
          <w:rFonts w:hint="eastAsia" w:asciiTheme="minorEastAsia" w:hAnsiTheme="minorEastAsia" w:eastAsiaTheme="minorEastAsia"/>
          <w:sz w:val="32"/>
          <w:szCs w:val="32"/>
          <w:highlight w:val="none"/>
        </w:rPr>
        <w:t>万元，占基本支出的</w:t>
      </w:r>
      <w:r>
        <w:rPr>
          <w:rFonts w:hint="eastAsia" w:asciiTheme="minorEastAsia" w:hAnsiTheme="minorEastAsia" w:eastAsiaTheme="minorEastAsia"/>
          <w:sz w:val="32"/>
          <w:szCs w:val="32"/>
          <w:highlight w:val="none"/>
          <w:lang w:val="en-US" w:eastAsia="zh-CN"/>
        </w:rPr>
        <w:t>93.59</w:t>
      </w:r>
      <w:r>
        <w:rPr>
          <w:rFonts w:hint="eastAsia" w:asciiTheme="minorEastAsia" w:hAnsiTheme="minorEastAsia" w:eastAsiaTheme="minorEastAsia"/>
          <w:sz w:val="32"/>
          <w:szCs w:val="32"/>
          <w:highlight w:val="none"/>
        </w:rPr>
        <w:t>%,主要包括基本工资、津贴补贴、奖金、</w:t>
      </w:r>
      <w:r>
        <w:rPr>
          <w:rFonts w:hint="eastAsia" w:asciiTheme="minorEastAsia" w:hAnsiTheme="minorEastAsia" w:eastAsiaTheme="minorEastAsia"/>
          <w:color w:val="auto"/>
          <w:sz w:val="32"/>
          <w:szCs w:val="32"/>
          <w:highlight w:val="none"/>
        </w:rPr>
        <w:t>伙食补助费</w:t>
      </w:r>
      <w:r>
        <w:rPr>
          <w:rFonts w:hint="eastAsia" w:asciiTheme="minorEastAsia" w:hAnsiTheme="minorEastAsia" w:eastAsiaTheme="minorEastAsia"/>
          <w:color w:val="auto"/>
          <w:sz w:val="32"/>
          <w:szCs w:val="32"/>
          <w:highlight w:val="none"/>
          <w:lang w:eastAsia="zh-CN"/>
        </w:rPr>
        <w:t>、绩效工资、机关事业单位基本养老保险缴费、职工基本医疗保险缴费、其他社会保险缴费、住房公积金、其他工资福利支出。</w:t>
      </w:r>
    </w:p>
    <w:p>
      <w:pPr>
        <w:pStyle w:val="12"/>
        <w:ind w:firstLine="640" w:firstLineChars="200"/>
        <w:rPr>
          <w:rFonts w:asciiTheme="minorEastAsia" w:hAnsiTheme="minorEastAsia" w:eastAsiaTheme="minorEastAsia"/>
          <w:i/>
          <w:color w:val="FF0000"/>
          <w:sz w:val="32"/>
          <w:szCs w:val="32"/>
          <w:highlight w:val="none"/>
        </w:rPr>
      </w:pPr>
      <w:r>
        <w:rPr>
          <w:rFonts w:hint="eastAsia" w:asciiTheme="minorEastAsia" w:hAnsiTheme="minorEastAsia" w:eastAsiaTheme="minorEastAsia"/>
          <w:sz w:val="32"/>
          <w:szCs w:val="32"/>
          <w:highlight w:val="none"/>
        </w:rPr>
        <w:t>公用经费</w:t>
      </w:r>
      <w:r>
        <w:rPr>
          <w:rFonts w:hint="eastAsia" w:asciiTheme="minorEastAsia" w:hAnsiTheme="minorEastAsia" w:eastAsiaTheme="minorEastAsia"/>
          <w:sz w:val="32"/>
          <w:szCs w:val="32"/>
          <w:highlight w:val="none"/>
          <w:lang w:val="en-US" w:eastAsia="zh-CN"/>
        </w:rPr>
        <w:t>724.18</w:t>
      </w:r>
      <w:r>
        <w:rPr>
          <w:rFonts w:hint="eastAsia" w:asciiTheme="minorEastAsia" w:hAnsiTheme="minorEastAsia" w:eastAsiaTheme="minorEastAsia"/>
          <w:sz w:val="32"/>
          <w:szCs w:val="32"/>
          <w:highlight w:val="none"/>
        </w:rPr>
        <w:t>万元，占基本支出的</w:t>
      </w:r>
      <w:r>
        <w:rPr>
          <w:rFonts w:hint="eastAsia" w:asciiTheme="minorEastAsia" w:hAnsiTheme="minorEastAsia" w:eastAsiaTheme="minorEastAsia"/>
          <w:sz w:val="32"/>
          <w:szCs w:val="32"/>
          <w:highlight w:val="none"/>
          <w:lang w:val="en-US" w:eastAsia="zh-CN"/>
        </w:rPr>
        <w:t>6.41</w:t>
      </w:r>
      <w:r>
        <w:rPr>
          <w:rFonts w:hint="eastAsia" w:asciiTheme="minorEastAsia" w:hAnsiTheme="minorEastAsia" w:eastAsiaTheme="minorEastAsia"/>
          <w:sz w:val="32"/>
          <w:szCs w:val="32"/>
          <w:highlight w:val="none"/>
        </w:rPr>
        <w:t>%，主要包括</w:t>
      </w:r>
      <w:r>
        <w:rPr>
          <w:rFonts w:hint="eastAsia" w:asciiTheme="minorEastAsia" w:hAnsiTheme="minorEastAsia" w:eastAsiaTheme="minorEastAsia"/>
          <w:color w:val="auto"/>
          <w:sz w:val="32"/>
          <w:szCs w:val="32"/>
          <w:highlight w:val="none"/>
        </w:rPr>
        <w:t>办公费、印刷费、</w:t>
      </w:r>
      <w:r>
        <w:rPr>
          <w:rFonts w:hint="eastAsia" w:asciiTheme="minorEastAsia" w:hAnsiTheme="minorEastAsia" w:eastAsiaTheme="minorEastAsia"/>
          <w:color w:val="auto"/>
          <w:sz w:val="32"/>
          <w:szCs w:val="32"/>
          <w:highlight w:val="none"/>
          <w:lang w:eastAsia="zh-CN"/>
        </w:rPr>
        <w:t>水费</w:t>
      </w:r>
      <w:r>
        <w:rPr>
          <w:rFonts w:hint="eastAsia" w:asciiTheme="minorEastAsia" w:hAnsiTheme="minorEastAsia" w:eastAsiaTheme="minorEastAsia"/>
          <w:color w:val="auto"/>
          <w:sz w:val="32"/>
          <w:szCs w:val="32"/>
          <w:highlight w:val="none"/>
        </w:rPr>
        <w:t>、</w:t>
      </w:r>
      <w:r>
        <w:rPr>
          <w:rFonts w:hint="eastAsia" w:asciiTheme="minorEastAsia" w:hAnsiTheme="minorEastAsia" w:eastAsiaTheme="minorEastAsia"/>
          <w:color w:val="auto"/>
          <w:sz w:val="32"/>
          <w:szCs w:val="32"/>
          <w:highlight w:val="none"/>
          <w:lang w:eastAsia="zh-CN"/>
        </w:rPr>
        <w:t>差旅费、专用材料费、</w:t>
      </w:r>
      <w:r>
        <w:rPr>
          <w:rFonts w:hint="eastAsia" w:asciiTheme="minorEastAsia" w:hAnsiTheme="minorEastAsia" w:eastAsiaTheme="minorEastAsia"/>
          <w:color w:val="auto"/>
          <w:sz w:val="32"/>
          <w:szCs w:val="32"/>
          <w:highlight w:val="none"/>
          <w:lang w:val="en-US" w:eastAsia="zh-CN"/>
        </w:rPr>
        <w:t>劳务费、</w:t>
      </w:r>
      <w:r>
        <w:rPr>
          <w:rFonts w:hint="eastAsia" w:asciiTheme="minorEastAsia" w:hAnsiTheme="minorEastAsia" w:eastAsiaTheme="minorEastAsia"/>
          <w:color w:val="auto"/>
          <w:sz w:val="32"/>
          <w:szCs w:val="32"/>
          <w:highlight w:val="none"/>
          <w:lang w:eastAsia="zh-CN"/>
        </w:rPr>
        <w:t>委托业务费、其他交通费用、其他商品和服务支出等</w:t>
      </w:r>
      <w:r>
        <w:rPr>
          <w:rFonts w:hint="eastAsia" w:asciiTheme="minorEastAsia" w:hAnsiTheme="minorEastAsia" w:eastAsiaTheme="minorEastAsia"/>
          <w:sz w:val="32"/>
          <w:szCs w:val="32"/>
          <w:highlight w:val="none"/>
        </w:rPr>
        <w:t>。</w:t>
      </w:r>
    </w:p>
    <w:p>
      <w:pPr>
        <w:pStyle w:val="12"/>
        <w:rPr>
          <w:rFonts w:hAnsi="黑体"/>
          <w:b/>
          <w:sz w:val="32"/>
          <w:szCs w:val="32"/>
          <w:highlight w:val="none"/>
        </w:rPr>
      </w:pPr>
      <w:r>
        <w:rPr>
          <w:rFonts w:hint="eastAsia" w:hAnsi="黑体"/>
          <w:b/>
          <w:sz w:val="32"/>
          <w:szCs w:val="32"/>
          <w:highlight w:val="none"/>
        </w:rPr>
        <w:t>七、财政拨款三公经费支出决算情况说明</w:t>
      </w:r>
    </w:p>
    <w:p>
      <w:pPr>
        <w:pStyle w:val="12"/>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（一）“三公”经费财政拨款支出决算总体情况说明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年度“三公”经费财政拨款支出预算为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万元，其中：</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因公出国（境）费支出预算为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2"/>
        <w:ind w:firstLine="640" w:firstLineChars="200"/>
        <w:rPr>
          <w:rFonts w:asciiTheme="minorEastAsia" w:hAnsiTheme="minorEastAsia" w:eastAsiaTheme="minorEastAsia"/>
          <w:sz w:val="32"/>
          <w:szCs w:val="32"/>
          <w:highlight w:val="none"/>
        </w:rPr>
      </w:pPr>
      <w:bookmarkStart w:id="3" w:name="_GoBack"/>
      <w:bookmarkEnd w:id="3"/>
      <w:r>
        <w:rPr>
          <w:rFonts w:hint="eastAsia" w:asciiTheme="minorEastAsia" w:hAnsiTheme="minorEastAsia" w:eastAsiaTheme="minorEastAsia"/>
          <w:sz w:val="32"/>
          <w:szCs w:val="32"/>
          <w:highlight w:val="none"/>
        </w:rPr>
        <w:t>公务接待费支出预算为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公务用车购置费支出预算为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公务用车运行维护费支出预算为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2"/>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（二）“三公”经费财政拨款支出决算具体情况说明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年度“三公”经费财政拨款支出决算中，公务接待费支出决算</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万元,因公出国（境）费支出决算</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万元,公务用车购置费及运行维护费支出决算</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万元。其中：</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1、因公出国（境）费支出决算为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万元，全年安排因公出国（境）团组</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个，累计</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人次</w:t>
      </w:r>
      <w:r>
        <w:rPr>
          <w:rFonts w:hint="eastAsia" w:asciiTheme="minorEastAsia" w:hAnsiTheme="minorEastAsia" w:eastAsiaTheme="minorEastAsia"/>
          <w:sz w:val="32"/>
          <w:szCs w:val="32"/>
          <w:highlight w:val="none"/>
          <w:lang w:eastAsia="zh-CN"/>
        </w:rPr>
        <w:t>。</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2、公务接待费支出决算为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万元，全年共接待来访团组</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个、来宾</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人次。</w:t>
      </w:r>
    </w:p>
    <w:p>
      <w:pPr>
        <w:ind w:firstLine="640" w:firstLineChars="200"/>
        <w:rPr>
          <w:rFonts w:cs="黑体" w:asciiTheme="minorEastAsia" w:hAnsiTheme="minorEastAsia"/>
          <w:color w:val="000000"/>
          <w:kern w:val="0"/>
          <w:sz w:val="32"/>
          <w:szCs w:val="32"/>
          <w:highlight w:val="none"/>
        </w:rPr>
      </w:pPr>
      <w:r>
        <w:rPr>
          <w:rFonts w:hint="eastAsia" w:asciiTheme="minorEastAsia" w:hAnsiTheme="minorEastAsia"/>
          <w:sz w:val="32"/>
          <w:szCs w:val="32"/>
          <w:highlight w:val="none"/>
        </w:rPr>
        <w:t>3、公务用车购置费及运行维护费支出决算为</w:t>
      </w:r>
      <w:r>
        <w:rPr>
          <w:rFonts w:hint="eastAsia" w:asciiTheme="minorEastAsia" w:hAnsiTheme="minorEastAsia"/>
          <w:sz w:val="32"/>
          <w:szCs w:val="32"/>
          <w:highlight w:val="none"/>
          <w:lang w:val="en-US" w:eastAsia="zh-CN"/>
        </w:rPr>
        <w:t>0</w:t>
      </w:r>
      <w:r>
        <w:rPr>
          <w:rFonts w:hint="eastAsia" w:asciiTheme="minorEastAsia" w:hAnsiTheme="minorEastAsia"/>
          <w:sz w:val="32"/>
          <w:szCs w:val="32"/>
          <w:highlight w:val="none"/>
        </w:rPr>
        <w:t>万元，其中：公务用车购置费</w:t>
      </w:r>
      <w:r>
        <w:rPr>
          <w:rFonts w:hint="eastAsia" w:asciiTheme="minorEastAsia" w:hAnsiTheme="minorEastAsia"/>
          <w:sz w:val="32"/>
          <w:szCs w:val="32"/>
          <w:highlight w:val="none"/>
          <w:lang w:val="en-US" w:eastAsia="zh-CN"/>
        </w:rPr>
        <w:t>0</w:t>
      </w:r>
      <w:r>
        <w:rPr>
          <w:rFonts w:hint="eastAsia" w:asciiTheme="minorEastAsia" w:hAnsiTheme="minorEastAsia"/>
          <w:sz w:val="32"/>
          <w:szCs w:val="32"/>
          <w:highlight w:val="none"/>
        </w:rPr>
        <w:t>万元</w:t>
      </w:r>
      <w:r>
        <w:rPr>
          <w:rFonts w:hint="eastAsia" w:asciiTheme="minorEastAsia" w:hAnsiTheme="minorEastAsia"/>
          <w:sz w:val="32"/>
          <w:szCs w:val="32"/>
          <w:highlight w:val="none"/>
          <w:lang w:eastAsia="zh-CN"/>
        </w:rPr>
        <w:t>，</w:t>
      </w:r>
      <w:r>
        <w:rPr>
          <w:rFonts w:hint="eastAsia" w:asciiTheme="minorEastAsia" w:hAnsiTheme="minorEastAsia"/>
          <w:color w:val="auto"/>
          <w:sz w:val="32"/>
          <w:szCs w:val="32"/>
        </w:rPr>
        <w:t>单位本级更新公务用车</w:t>
      </w:r>
      <w:r>
        <w:rPr>
          <w:rFonts w:hint="eastAsia" w:asciiTheme="minorEastAsia" w:hAnsiTheme="minorEastAsia"/>
          <w:color w:val="auto"/>
          <w:sz w:val="32"/>
          <w:szCs w:val="32"/>
          <w:lang w:val="en-US" w:eastAsia="zh-CN"/>
        </w:rPr>
        <w:t>0</w:t>
      </w:r>
      <w:r>
        <w:rPr>
          <w:rFonts w:hint="eastAsia" w:asciiTheme="minorEastAsia" w:hAnsiTheme="minorEastAsia"/>
          <w:color w:val="auto"/>
          <w:sz w:val="32"/>
          <w:szCs w:val="32"/>
        </w:rPr>
        <w:t>辆</w:t>
      </w:r>
      <w:r>
        <w:rPr>
          <w:rFonts w:hint="eastAsia" w:asciiTheme="minorEastAsia" w:hAnsiTheme="minorEastAsia"/>
          <w:color w:val="auto"/>
          <w:sz w:val="32"/>
          <w:szCs w:val="32"/>
          <w:lang w:eastAsia="zh-CN"/>
        </w:rPr>
        <w:t>，</w:t>
      </w:r>
      <w:r>
        <w:rPr>
          <w:rFonts w:hint="eastAsia" w:asciiTheme="minorEastAsia" w:hAnsiTheme="minorEastAsia"/>
          <w:color w:val="auto"/>
          <w:sz w:val="32"/>
          <w:szCs w:val="32"/>
        </w:rPr>
        <w:t>公务用车运行维护费</w:t>
      </w:r>
      <w:r>
        <w:rPr>
          <w:rFonts w:hint="eastAsia" w:asciiTheme="minorEastAsia" w:hAnsiTheme="minorEastAsia"/>
          <w:color w:val="auto"/>
          <w:sz w:val="32"/>
          <w:szCs w:val="32"/>
          <w:lang w:val="en-US" w:eastAsia="zh-CN"/>
        </w:rPr>
        <w:t>0</w:t>
      </w:r>
      <w:r>
        <w:rPr>
          <w:rFonts w:hint="eastAsia" w:asciiTheme="minorEastAsia" w:hAnsiTheme="minorEastAsia"/>
          <w:color w:val="auto"/>
          <w:sz w:val="32"/>
          <w:szCs w:val="32"/>
        </w:rPr>
        <w:t>万元。截止202</w:t>
      </w:r>
      <w:r>
        <w:rPr>
          <w:rFonts w:hint="eastAsia" w:asciiTheme="minorEastAsia" w:hAnsiTheme="minorEastAsia"/>
          <w:color w:val="auto"/>
          <w:sz w:val="32"/>
          <w:szCs w:val="32"/>
          <w:lang w:val="en-US" w:eastAsia="zh-CN"/>
        </w:rPr>
        <w:t>2</w:t>
      </w:r>
      <w:r>
        <w:rPr>
          <w:rFonts w:hint="eastAsia" w:asciiTheme="minorEastAsia" w:hAnsiTheme="minorEastAsia"/>
          <w:color w:val="auto"/>
          <w:sz w:val="32"/>
          <w:szCs w:val="32"/>
        </w:rPr>
        <w:t>年12月31日，我单位开</w:t>
      </w:r>
      <w:r>
        <w:rPr>
          <w:rFonts w:hint="eastAsia" w:asciiTheme="minorEastAsia" w:hAnsiTheme="minorEastAsia"/>
          <w:sz w:val="32"/>
          <w:szCs w:val="32"/>
          <w:highlight w:val="none"/>
        </w:rPr>
        <w:t>支财政拨款的公务用车保有量为</w:t>
      </w:r>
      <w:r>
        <w:rPr>
          <w:rFonts w:hint="eastAsia" w:asciiTheme="minorEastAsia" w:hAnsiTheme="minorEastAsia"/>
          <w:sz w:val="32"/>
          <w:szCs w:val="32"/>
          <w:highlight w:val="none"/>
          <w:lang w:val="en-US" w:eastAsia="zh-CN"/>
        </w:rPr>
        <w:t>0</w:t>
      </w:r>
      <w:r>
        <w:rPr>
          <w:rFonts w:hint="eastAsia" w:asciiTheme="minorEastAsia" w:hAnsiTheme="minorEastAsia"/>
          <w:sz w:val="32"/>
          <w:szCs w:val="32"/>
          <w:highlight w:val="none"/>
        </w:rPr>
        <w:t>辆。</w:t>
      </w:r>
    </w:p>
    <w:p>
      <w:pPr>
        <w:pStyle w:val="12"/>
        <w:rPr>
          <w:rFonts w:hAnsi="黑体"/>
          <w:b/>
          <w:sz w:val="32"/>
          <w:szCs w:val="32"/>
          <w:highlight w:val="none"/>
        </w:rPr>
      </w:pPr>
      <w:r>
        <w:rPr>
          <w:rFonts w:hint="eastAsia" w:hAnsi="黑体"/>
          <w:b/>
          <w:sz w:val="32"/>
          <w:szCs w:val="32"/>
          <w:highlight w:val="none"/>
        </w:rPr>
        <w:t>八、政府性基金预算收入支出决算情况</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w:t>
      </w:r>
      <w:r>
        <w:rPr>
          <w:rFonts w:hint="eastAsia" w:asciiTheme="minorEastAsia" w:hAnsiTheme="minorEastAsia" w:eastAsiaTheme="minorEastAsia"/>
          <w:sz w:val="32"/>
          <w:szCs w:val="32"/>
          <w:highlight w:val="none"/>
          <w:lang w:eastAsia="zh-CN"/>
        </w:rPr>
        <w:t>政府性基金</w:t>
      </w:r>
      <w:r>
        <w:rPr>
          <w:rFonts w:hint="eastAsia" w:asciiTheme="minorEastAsia" w:hAnsiTheme="minorEastAsia" w:eastAsiaTheme="minorEastAsia"/>
          <w:sz w:val="32"/>
          <w:szCs w:val="32"/>
          <w:highlight w:val="none"/>
        </w:rPr>
        <w:t>支出年初预算数为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万元，支出决算数为</w:t>
      </w:r>
      <w:r>
        <w:rPr>
          <w:rFonts w:hint="eastAsia" w:asciiTheme="minorEastAsia" w:hAnsiTheme="minorEastAsia" w:eastAsiaTheme="minorEastAsia"/>
          <w:sz w:val="32"/>
          <w:szCs w:val="32"/>
          <w:highlight w:val="none"/>
          <w:lang w:val="en-US" w:eastAsia="zh-CN"/>
        </w:rPr>
        <w:t>6095.10</w:t>
      </w:r>
      <w:r>
        <w:rPr>
          <w:rFonts w:hint="eastAsia" w:asciiTheme="minorEastAsia" w:hAnsiTheme="minorEastAsia" w:eastAsiaTheme="minorEastAsia"/>
          <w:sz w:val="32"/>
          <w:szCs w:val="32"/>
          <w:highlight w:val="none"/>
        </w:rPr>
        <w:t>万元，其中：</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lang w:eastAsia="zh-CN"/>
        </w:rPr>
        <w:t>城乡社区支出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eastAsia="zh-CN"/>
        </w:rPr>
        <w:t>国有土地使用权出让收入安排的支出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eastAsia="zh-CN"/>
        </w:rPr>
        <w:t>其他国有土地使用权出让收入安排的支出</w:t>
      </w:r>
      <w:r>
        <w:rPr>
          <w:rFonts w:hint="eastAsia" w:asciiTheme="minorEastAsia" w:hAnsiTheme="minorEastAsia" w:eastAsiaTheme="minorEastAsia"/>
          <w:sz w:val="32"/>
          <w:szCs w:val="32"/>
          <w:highlight w:val="none"/>
        </w:rPr>
        <w:t>（项）</w:t>
      </w:r>
    </w:p>
    <w:p>
      <w:pPr>
        <w:pStyle w:val="12"/>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6095.10</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年中追加安排“拆迁补偿、房改房改建学生宿舍、偿还有关债务”</w:t>
      </w:r>
      <w:r>
        <w:rPr>
          <w:rFonts w:hint="eastAsia" w:asciiTheme="minorEastAsia" w:hAnsiTheme="minorEastAsia" w:eastAsiaTheme="minorEastAsia"/>
          <w:sz w:val="32"/>
          <w:szCs w:val="32"/>
          <w:highlight w:val="none"/>
          <w:lang w:val="en-US" w:eastAsia="zh-CN"/>
        </w:rPr>
        <w:t>11687万元</w:t>
      </w:r>
      <w:r>
        <w:rPr>
          <w:rFonts w:hint="eastAsia" w:asciiTheme="minorEastAsia" w:hAnsiTheme="minorEastAsia" w:eastAsiaTheme="minorEastAsia"/>
          <w:sz w:val="32"/>
          <w:szCs w:val="32"/>
          <w:highlight w:val="none"/>
          <w:lang w:eastAsia="zh-CN"/>
        </w:rPr>
        <w:t>。</w:t>
      </w:r>
    </w:p>
    <w:p>
      <w:pPr>
        <w:pStyle w:val="12"/>
        <w:rPr>
          <w:rFonts w:hAnsi="黑体"/>
          <w:b/>
          <w:sz w:val="32"/>
          <w:szCs w:val="32"/>
          <w:highlight w:val="none"/>
        </w:rPr>
      </w:pPr>
      <w:r>
        <w:rPr>
          <w:rFonts w:hint="eastAsia" w:hAnsi="黑体"/>
          <w:b/>
          <w:sz w:val="32"/>
          <w:szCs w:val="32"/>
          <w:highlight w:val="none"/>
        </w:rPr>
        <w:t>九、机关运行经费支出说明</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年度机关运行经费支出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万元，比上年决算数</w:t>
      </w:r>
      <w:r>
        <w:rPr>
          <w:rFonts w:hint="eastAsia" w:asciiTheme="minorEastAsia" w:hAnsiTheme="minorEastAsia" w:eastAsiaTheme="minorEastAsia"/>
          <w:sz w:val="32"/>
          <w:szCs w:val="32"/>
          <w:highlight w:val="none"/>
          <w:lang w:eastAsia="zh-CN"/>
        </w:rPr>
        <w:t>无增减。</w:t>
      </w:r>
    </w:p>
    <w:p>
      <w:pPr>
        <w:pStyle w:val="12"/>
        <w:rPr>
          <w:rFonts w:hAnsi="黑体"/>
          <w:b/>
          <w:sz w:val="32"/>
          <w:szCs w:val="32"/>
          <w:highlight w:val="none"/>
        </w:rPr>
      </w:pPr>
      <w:r>
        <w:rPr>
          <w:rFonts w:hint="eastAsia" w:hAnsi="黑体"/>
          <w:b/>
          <w:sz w:val="32"/>
          <w:szCs w:val="32"/>
          <w:highlight w:val="none"/>
        </w:rPr>
        <w:t>十、一般性支出情况说明</w:t>
      </w:r>
    </w:p>
    <w:p>
      <w:pPr>
        <w:pStyle w:val="12"/>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年本部门开支会议费</w:t>
      </w:r>
      <w:r>
        <w:rPr>
          <w:rFonts w:hint="eastAsia" w:asciiTheme="minorEastAsia" w:hAnsiTheme="minorEastAsia" w:eastAsiaTheme="minorEastAsia"/>
          <w:sz w:val="32"/>
          <w:szCs w:val="32"/>
          <w:highlight w:val="none"/>
          <w:lang w:val="en-US" w:eastAsia="zh-CN"/>
        </w:rPr>
        <w:t>3.19</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人数342人，主要内容如下：</w:t>
      </w:r>
    </w:p>
    <w:p>
      <w:pPr>
        <w:pStyle w:val="12"/>
        <w:numPr>
          <w:ilvl w:val="0"/>
          <w:numId w:val="1"/>
        </w:numPr>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lang w:val="en-US" w:eastAsia="zh-CN"/>
        </w:rPr>
        <w:t>学院第四届教职工、工会会员代表大会第三次会议，1.82万元，180人；</w:t>
      </w:r>
    </w:p>
    <w:p>
      <w:pPr>
        <w:pStyle w:val="12"/>
        <w:numPr>
          <w:ilvl w:val="0"/>
          <w:numId w:val="1"/>
        </w:numPr>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lang w:eastAsia="zh-CN"/>
        </w:rPr>
        <w:t>湖南省职业教育畜牧兽医专业教学资源库建设第一次会议</w:t>
      </w:r>
      <w:r>
        <w:rPr>
          <w:rFonts w:hint="eastAsia" w:asciiTheme="minorEastAsia" w:hAnsiTheme="minorEastAsia" w:eastAsiaTheme="minorEastAsia"/>
          <w:sz w:val="32"/>
          <w:szCs w:val="32"/>
          <w:highlight w:val="none"/>
          <w:lang w:val="en-US" w:eastAsia="zh-CN"/>
        </w:rPr>
        <w:t>0.69万元，41人；</w:t>
      </w:r>
    </w:p>
    <w:p>
      <w:pPr>
        <w:pStyle w:val="12"/>
        <w:numPr>
          <w:ilvl w:val="0"/>
          <w:numId w:val="1"/>
        </w:numPr>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lang w:eastAsia="zh-CN"/>
        </w:rPr>
        <w:t>省直共青团的二十大精神宣讲暨学习研讨会</w:t>
      </w:r>
      <w:r>
        <w:rPr>
          <w:rFonts w:hint="eastAsia" w:asciiTheme="minorEastAsia" w:hAnsiTheme="minorEastAsia" w:eastAsiaTheme="minorEastAsia"/>
          <w:sz w:val="32"/>
          <w:szCs w:val="32"/>
          <w:highlight w:val="none"/>
          <w:lang w:val="en-US" w:eastAsia="zh-CN"/>
        </w:rPr>
        <w:t>0.50万元，61人；</w:t>
      </w:r>
    </w:p>
    <w:p>
      <w:pPr>
        <w:pStyle w:val="12"/>
        <w:numPr>
          <w:ilvl w:val="0"/>
          <w:numId w:val="1"/>
        </w:numPr>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lang w:eastAsia="zh-CN"/>
        </w:rPr>
        <w:t>湖南省高素质农民学历教育（溆浦）班开班仪式暨培训会议，</w:t>
      </w:r>
      <w:r>
        <w:rPr>
          <w:rFonts w:hint="eastAsia" w:asciiTheme="minorEastAsia" w:hAnsiTheme="minorEastAsia" w:eastAsiaTheme="minorEastAsia"/>
          <w:sz w:val="32"/>
          <w:szCs w:val="32"/>
          <w:highlight w:val="none"/>
          <w:lang w:val="en-US" w:eastAsia="zh-CN"/>
        </w:rPr>
        <w:t>0.18万元，60人</w:t>
      </w:r>
      <w:r>
        <w:rPr>
          <w:rFonts w:hint="eastAsia" w:asciiTheme="minorEastAsia" w:hAnsiTheme="minorEastAsia" w:eastAsiaTheme="minorEastAsia"/>
          <w:sz w:val="32"/>
          <w:szCs w:val="32"/>
          <w:highlight w:val="none"/>
          <w:lang w:eastAsia="zh-CN"/>
        </w:rPr>
        <w:t>。</w:t>
      </w:r>
    </w:p>
    <w:p>
      <w:pPr>
        <w:pStyle w:val="12"/>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年本部门开支开支培训费</w:t>
      </w:r>
      <w:r>
        <w:rPr>
          <w:rFonts w:hint="eastAsia" w:asciiTheme="minorEastAsia" w:hAnsiTheme="minorEastAsia" w:eastAsiaTheme="minorEastAsia"/>
          <w:sz w:val="32"/>
          <w:szCs w:val="32"/>
          <w:highlight w:val="none"/>
          <w:lang w:val="en-US" w:eastAsia="zh-CN"/>
        </w:rPr>
        <w:t>1297.22</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eastAsia="zh-CN"/>
        </w:rPr>
        <w:t>。其中：</w:t>
      </w:r>
    </w:p>
    <w:p>
      <w:pPr>
        <w:pStyle w:val="12"/>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rPr>
        <w:t>2022年全省乡村振兴致富带头人培训班系列（共计15期）</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1137.11万元，2296人</w:t>
      </w:r>
      <w:r>
        <w:rPr>
          <w:rFonts w:hint="eastAsia" w:asciiTheme="minorEastAsia" w:hAnsiTheme="minorEastAsia" w:eastAsiaTheme="minorEastAsia"/>
          <w:color w:val="auto"/>
          <w:sz w:val="32"/>
          <w:szCs w:val="32"/>
          <w:highlight w:val="none"/>
          <w:lang w:val="en-US" w:eastAsia="zh-CN"/>
        </w:rPr>
        <w:t>；</w:t>
      </w:r>
    </w:p>
    <w:p>
      <w:pPr>
        <w:pStyle w:val="12"/>
        <w:numPr>
          <w:ilvl w:val="0"/>
          <w:numId w:val="0"/>
        </w:numPr>
        <w:ind w:firstLine="640"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高素质农民培育经营管理型培训班系列 （共计5期）</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58.21万元；368人；</w:t>
      </w:r>
    </w:p>
    <w:p>
      <w:pPr>
        <w:pStyle w:val="12"/>
        <w:numPr>
          <w:ilvl w:val="0"/>
          <w:numId w:val="0"/>
        </w:numPr>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3、学历提升面授班（2020-2022级专升本、高起专共4期），26.53万元，371人；</w:t>
      </w:r>
    </w:p>
    <w:p>
      <w:pPr>
        <w:pStyle w:val="12"/>
        <w:numPr>
          <w:ilvl w:val="0"/>
          <w:numId w:val="0"/>
        </w:numPr>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4、耕耘者振兴计划培训班（共计2期），26.50万元，120人；</w:t>
      </w:r>
    </w:p>
    <w:p>
      <w:pPr>
        <w:pStyle w:val="12"/>
        <w:numPr>
          <w:ilvl w:val="0"/>
          <w:numId w:val="0"/>
        </w:numPr>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5、中职现代农艺专业教师企业实践国培项目培训，23.66万元，18人；</w:t>
      </w:r>
    </w:p>
    <w:p>
      <w:pPr>
        <w:pStyle w:val="12"/>
        <w:numPr>
          <w:ilvl w:val="0"/>
          <w:numId w:val="0"/>
        </w:numPr>
        <w:ind w:firstLine="640" w:firstLineChars="200"/>
        <w:rPr>
          <w:rFonts w:hint="default"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6、武陵片区农业特色产业领军人才项目，11.05万元，100人；</w:t>
      </w:r>
    </w:p>
    <w:p>
      <w:pPr>
        <w:pStyle w:val="12"/>
        <w:numPr>
          <w:ilvl w:val="0"/>
          <w:numId w:val="0"/>
        </w:numPr>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7、农业专业技术人员高级研修班10.17万元，50人；</w:t>
      </w:r>
    </w:p>
    <w:p>
      <w:pPr>
        <w:pStyle w:val="12"/>
        <w:numPr>
          <w:ilvl w:val="0"/>
          <w:numId w:val="0"/>
        </w:numPr>
        <w:ind w:firstLine="640" w:firstLineChars="200"/>
        <w:rPr>
          <w:rFonts w:hint="default"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8、实用人才带头人培训班（共计2期），3.54万元，200人；</w:t>
      </w:r>
    </w:p>
    <w:p>
      <w:pPr>
        <w:pStyle w:val="12"/>
        <w:numPr>
          <w:ilvl w:val="0"/>
          <w:numId w:val="0"/>
        </w:numPr>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9、学院兵役工作业务培训，0.45万元，25人。</w:t>
      </w:r>
    </w:p>
    <w:p>
      <w:pPr>
        <w:pStyle w:val="12"/>
        <w:rPr>
          <w:rFonts w:hAnsi="黑体"/>
          <w:b/>
          <w:sz w:val="32"/>
          <w:szCs w:val="32"/>
          <w:highlight w:val="none"/>
        </w:rPr>
      </w:pPr>
      <w:r>
        <w:rPr>
          <w:rFonts w:hint="eastAsia" w:hAnsi="黑体"/>
          <w:b/>
          <w:sz w:val="32"/>
          <w:szCs w:val="32"/>
          <w:highlight w:val="none"/>
        </w:rPr>
        <w:t>十一、</w:t>
      </w:r>
      <w:r>
        <w:rPr>
          <w:rFonts w:hint="eastAsia" w:hAnsi="黑体"/>
          <w:b/>
          <w:sz w:val="32"/>
          <w:szCs w:val="32"/>
          <w:highlight w:val="none"/>
          <w:lang w:val="en-US" w:eastAsia="zh-CN"/>
        </w:rPr>
        <w:t>关于</w:t>
      </w:r>
      <w:r>
        <w:rPr>
          <w:rFonts w:hint="eastAsia" w:hAnsi="黑体"/>
          <w:b/>
          <w:sz w:val="32"/>
          <w:szCs w:val="32"/>
          <w:highlight w:val="none"/>
        </w:rPr>
        <w:t>政府采购支出说明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年度政府采购支出总额</w:t>
      </w:r>
      <w:r>
        <w:rPr>
          <w:rFonts w:hint="eastAsia" w:asciiTheme="minorEastAsia" w:hAnsiTheme="minorEastAsia" w:eastAsiaTheme="minorEastAsia"/>
          <w:sz w:val="32"/>
          <w:szCs w:val="32"/>
          <w:highlight w:val="none"/>
          <w:lang w:val="en-US" w:eastAsia="zh-CN"/>
        </w:rPr>
        <w:t>4719.32</w:t>
      </w:r>
      <w:r>
        <w:rPr>
          <w:rFonts w:hint="eastAsia" w:asciiTheme="minorEastAsia" w:hAnsiTheme="minorEastAsia" w:eastAsiaTheme="minorEastAsia"/>
          <w:sz w:val="32"/>
          <w:szCs w:val="32"/>
          <w:highlight w:val="none"/>
        </w:rPr>
        <w:t>万元，其中：政府采购货物支出</w:t>
      </w:r>
      <w:r>
        <w:rPr>
          <w:rFonts w:hint="eastAsia" w:asciiTheme="minorEastAsia" w:hAnsiTheme="minorEastAsia" w:eastAsiaTheme="minorEastAsia"/>
          <w:sz w:val="32"/>
          <w:szCs w:val="32"/>
          <w:highlight w:val="none"/>
          <w:lang w:val="en-US" w:eastAsia="zh-CN"/>
        </w:rPr>
        <w:t>1355.58</w:t>
      </w:r>
      <w:r>
        <w:rPr>
          <w:rFonts w:hint="eastAsia" w:asciiTheme="minorEastAsia" w:hAnsiTheme="minorEastAsia" w:eastAsiaTheme="minorEastAsia"/>
          <w:sz w:val="32"/>
          <w:szCs w:val="32"/>
          <w:highlight w:val="none"/>
        </w:rPr>
        <w:t xml:space="preserve"> 万元、政府采购工程支出</w:t>
      </w:r>
      <w:r>
        <w:rPr>
          <w:rFonts w:hint="eastAsia" w:asciiTheme="minorEastAsia" w:hAnsiTheme="minorEastAsia" w:eastAsiaTheme="minorEastAsia"/>
          <w:sz w:val="32"/>
          <w:szCs w:val="32"/>
          <w:highlight w:val="none"/>
          <w:lang w:val="en-US" w:eastAsia="zh-CN"/>
        </w:rPr>
        <w:t>553.78</w:t>
      </w:r>
      <w:r>
        <w:rPr>
          <w:rFonts w:hint="eastAsia" w:asciiTheme="minorEastAsia" w:hAnsiTheme="minorEastAsia" w:eastAsiaTheme="minorEastAsia"/>
          <w:sz w:val="32"/>
          <w:szCs w:val="32"/>
          <w:highlight w:val="none"/>
        </w:rPr>
        <w:t>万元、政府采购服务支出</w:t>
      </w:r>
      <w:r>
        <w:rPr>
          <w:rFonts w:hint="eastAsia" w:asciiTheme="minorEastAsia" w:hAnsiTheme="minorEastAsia" w:eastAsiaTheme="minorEastAsia"/>
          <w:sz w:val="32"/>
          <w:szCs w:val="32"/>
          <w:highlight w:val="none"/>
          <w:lang w:val="en-US" w:eastAsia="zh-CN"/>
        </w:rPr>
        <w:t>2809.96</w:t>
      </w:r>
      <w:r>
        <w:rPr>
          <w:rFonts w:hint="eastAsia" w:asciiTheme="minorEastAsia" w:hAnsiTheme="minorEastAsia" w:eastAsiaTheme="minorEastAsia"/>
          <w:sz w:val="32"/>
          <w:szCs w:val="32"/>
          <w:highlight w:val="none"/>
        </w:rPr>
        <w:t>万元。授予中小企业合同金额</w:t>
      </w:r>
      <w:r>
        <w:rPr>
          <w:rFonts w:hint="eastAsia" w:asciiTheme="minorEastAsia" w:hAnsiTheme="minorEastAsia" w:eastAsiaTheme="minorEastAsia"/>
          <w:sz w:val="32"/>
          <w:szCs w:val="32"/>
          <w:highlight w:val="none"/>
          <w:lang w:val="en-US" w:eastAsia="zh-CN"/>
        </w:rPr>
        <w:t>4528.19</w:t>
      </w:r>
      <w:r>
        <w:rPr>
          <w:rFonts w:hint="eastAsia" w:asciiTheme="minorEastAsia" w:hAnsiTheme="minorEastAsia" w:eastAsiaTheme="minorEastAsia"/>
          <w:sz w:val="32"/>
          <w:szCs w:val="32"/>
          <w:highlight w:val="none"/>
        </w:rPr>
        <w:t>万元，占政府采购支出总额的</w:t>
      </w:r>
      <w:r>
        <w:rPr>
          <w:rFonts w:hint="eastAsia" w:asciiTheme="minorEastAsia" w:hAnsiTheme="minorEastAsia" w:eastAsiaTheme="minorEastAsia"/>
          <w:sz w:val="32"/>
          <w:szCs w:val="32"/>
          <w:highlight w:val="none"/>
          <w:lang w:val="en-US" w:eastAsia="zh-CN"/>
        </w:rPr>
        <w:t>95.95</w:t>
      </w:r>
      <w:r>
        <w:rPr>
          <w:rFonts w:hint="eastAsia" w:asciiTheme="minorEastAsia" w:hAnsiTheme="minorEastAsia" w:eastAsiaTheme="minorEastAsia"/>
          <w:sz w:val="32"/>
          <w:szCs w:val="32"/>
          <w:highlight w:val="none"/>
        </w:rPr>
        <w:t>%，其中：授予小微企业合同金额</w:t>
      </w:r>
      <w:r>
        <w:rPr>
          <w:rFonts w:hint="eastAsia" w:asciiTheme="minorEastAsia" w:hAnsiTheme="minorEastAsia" w:eastAsiaTheme="minorEastAsia"/>
          <w:sz w:val="32"/>
          <w:szCs w:val="32"/>
          <w:highlight w:val="none"/>
          <w:lang w:val="en-US" w:eastAsia="zh-CN"/>
        </w:rPr>
        <w:t>1156.29</w:t>
      </w:r>
      <w:r>
        <w:rPr>
          <w:rFonts w:hint="eastAsia" w:asciiTheme="minorEastAsia" w:hAnsiTheme="minorEastAsia" w:eastAsiaTheme="minorEastAsia"/>
          <w:sz w:val="32"/>
          <w:szCs w:val="32"/>
          <w:highlight w:val="none"/>
        </w:rPr>
        <w:t>万元，占授予中小企业合同金额的</w:t>
      </w:r>
      <w:r>
        <w:rPr>
          <w:rFonts w:hint="eastAsia" w:asciiTheme="minorEastAsia" w:hAnsiTheme="minorEastAsia" w:eastAsiaTheme="minorEastAsia"/>
          <w:sz w:val="32"/>
          <w:szCs w:val="32"/>
          <w:highlight w:val="none"/>
          <w:lang w:val="en-US" w:eastAsia="zh-CN"/>
        </w:rPr>
        <w:t>25.53</w:t>
      </w:r>
      <w:r>
        <w:rPr>
          <w:rFonts w:hint="eastAsia" w:asciiTheme="minorEastAsia" w:hAnsiTheme="minorEastAsia" w:eastAsiaTheme="minorEastAsia"/>
          <w:sz w:val="32"/>
          <w:szCs w:val="32"/>
          <w:highlight w:val="none"/>
        </w:rPr>
        <w:t>%；货物采购授予中小企业合同金额占货物支出金额的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%，工程采购授予中小企业合同金额占工程支出金额的</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%，服务采购授予中小企业合同金额占服务支出金额的</w:t>
      </w:r>
      <w:r>
        <w:rPr>
          <w:rFonts w:hint="eastAsia" w:asciiTheme="minorEastAsia" w:hAnsiTheme="minorEastAsia" w:eastAsiaTheme="minorEastAsia"/>
          <w:sz w:val="32"/>
          <w:szCs w:val="32"/>
          <w:highlight w:val="none"/>
          <w:lang w:val="en-US" w:eastAsia="zh-CN"/>
        </w:rPr>
        <w:t>93.20</w:t>
      </w:r>
      <w:r>
        <w:rPr>
          <w:rFonts w:hint="eastAsia" w:asciiTheme="minorEastAsia" w:hAnsiTheme="minorEastAsia" w:eastAsiaTheme="minorEastAsia"/>
          <w:sz w:val="32"/>
          <w:szCs w:val="32"/>
          <w:highlight w:val="none"/>
        </w:rPr>
        <w:t>%。</w:t>
      </w:r>
    </w:p>
    <w:p>
      <w:pPr>
        <w:pStyle w:val="12"/>
        <w:rPr>
          <w:rFonts w:hAnsi="黑体"/>
          <w:b/>
          <w:sz w:val="32"/>
          <w:szCs w:val="32"/>
          <w:highlight w:val="none"/>
        </w:rPr>
      </w:pPr>
      <w:r>
        <w:rPr>
          <w:rFonts w:hint="eastAsia" w:hAnsi="黑体"/>
          <w:b/>
          <w:sz w:val="32"/>
          <w:szCs w:val="32"/>
          <w:highlight w:val="none"/>
        </w:rPr>
        <w:t>十二、</w:t>
      </w:r>
      <w:r>
        <w:rPr>
          <w:rFonts w:hint="eastAsia" w:hAnsi="黑体"/>
          <w:b/>
          <w:sz w:val="32"/>
          <w:szCs w:val="32"/>
          <w:highlight w:val="none"/>
          <w:lang w:val="en-US" w:eastAsia="zh-CN"/>
        </w:rPr>
        <w:t>关于</w:t>
      </w:r>
      <w:r>
        <w:rPr>
          <w:rFonts w:hint="eastAsia" w:hAnsi="黑体"/>
          <w:b/>
          <w:sz w:val="32"/>
          <w:szCs w:val="32"/>
          <w:highlight w:val="none"/>
        </w:rPr>
        <w:t>国有资产占用情况说明</w:t>
      </w:r>
    </w:p>
    <w:p>
      <w:pPr>
        <w:pStyle w:val="12"/>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sz w:val="32"/>
          <w:szCs w:val="32"/>
          <w:highlight w:val="none"/>
        </w:rPr>
        <w:t>截至202</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年12月31日，部门（单位）共有车辆</w:t>
      </w:r>
      <w:r>
        <w:rPr>
          <w:rFonts w:hint="eastAsia" w:asciiTheme="minorEastAsia" w:hAnsiTheme="minorEastAsia" w:eastAsiaTheme="minorEastAsia"/>
          <w:sz w:val="32"/>
          <w:szCs w:val="32"/>
          <w:highlight w:val="none"/>
          <w:lang w:val="en-US" w:eastAsia="zh-CN"/>
        </w:rPr>
        <w:t>7</w:t>
      </w:r>
      <w:r>
        <w:rPr>
          <w:rFonts w:hint="eastAsia" w:asciiTheme="minorEastAsia" w:hAnsiTheme="minorEastAsia" w:eastAsiaTheme="minorEastAsia"/>
          <w:sz w:val="32"/>
          <w:szCs w:val="32"/>
          <w:highlight w:val="none"/>
        </w:rPr>
        <w:t>辆，其中，主要领导干部用车</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辆，机要通信用车</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辆、应急保障用车</w:t>
      </w:r>
      <w:r>
        <w:rPr>
          <w:rFonts w:hint="eastAsia" w:asciiTheme="minorEastAsia" w:hAnsiTheme="minorEastAsia" w:eastAsiaTheme="minorEastAsia"/>
          <w:sz w:val="32"/>
          <w:szCs w:val="32"/>
          <w:highlight w:val="none"/>
          <w:lang w:val="en-US" w:eastAsia="zh-CN"/>
        </w:rPr>
        <w:t>3</w:t>
      </w:r>
      <w:r>
        <w:rPr>
          <w:rFonts w:hint="eastAsia" w:asciiTheme="minorEastAsia" w:hAnsiTheme="minorEastAsia" w:eastAsiaTheme="minorEastAsia"/>
          <w:sz w:val="32"/>
          <w:szCs w:val="32"/>
          <w:highlight w:val="none"/>
        </w:rPr>
        <w:t>辆、执法执勤用车</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辆、特种专业技术用车</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辆、</w:t>
      </w:r>
      <w:r>
        <w:rPr>
          <w:rFonts w:hint="eastAsia" w:asciiTheme="minorEastAsia" w:hAnsiTheme="minorEastAsia" w:eastAsiaTheme="minorEastAsia"/>
          <w:color w:val="auto"/>
          <w:sz w:val="32"/>
          <w:szCs w:val="32"/>
          <w:highlight w:val="none"/>
          <w:lang w:eastAsia="zh-CN"/>
        </w:rPr>
        <w:t>离退休干部用车</w:t>
      </w:r>
      <w:r>
        <w:rPr>
          <w:rFonts w:hint="eastAsia" w:asciiTheme="minorEastAsia" w:hAnsiTheme="minorEastAsia" w:eastAsiaTheme="minorEastAsia"/>
          <w:color w:val="auto"/>
          <w:sz w:val="32"/>
          <w:szCs w:val="32"/>
          <w:highlight w:val="none"/>
          <w:lang w:val="en-US" w:eastAsia="zh-CN"/>
        </w:rPr>
        <w:t>1辆、</w:t>
      </w:r>
      <w:r>
        <w:rPr>
          <w:rFonts w:hint="eastAsia" w:asciiTheme="minorEastAsia" w:hAnsiTheme="minorEastAsia" w:eastAsiaTheme="minorEastAsia"/>
          <w:color w:val="auto"/>
          <w:sz w:val="32"/>
          <w:szCs w:val="32"/>
          <w:highlight w:val="none"/>
        </w:rPr>
        <w:t>其他用车</w:t>
      </w:r>
      <w:r>
        <w:rPr>
          <w:rFonts w:hint="eastAsia" w:asciiTheme="minorEastAsia" w:hAnsiTheme="minorEastAsia" w:eastAsiaTheme="minorEastAsia"/>
          <w:color w:val="auto"/>
          <w:sz w:val="32"/>
          <w:szCs w:val="32"/>
          <w:highlight w:val="none"/>
          <w:lang w:val="en-US" w:eastAsia="zh-CN"/>
        </w:rPr>
        <w:t>3</w:t>
      </w:r>
      <w:r>
        <w:rPr>
          <w:rFonts w:hint="eastAsia" w:asciiTheme="minorEastAsia" w:hAnsiTheme="minorEastAsia" w:eastAsiaTheme="minorEastAsia"/>
          <w:color w:val="auto"/>
          <w:sz w:val="32"/>
          <w:szCs w:val="32"/>
          <w:highlight w:val="none"/>
        </w:rPr>
        <w:t>辆，其他用车主要是</w:t>
      </w:r>
      <w:r>
        <w:rPr>
          <w:rFonts w:hint="eastAsia" w:asciiTheme="minorEastAsia" w:hAnsiTheme="minorEastAsia" w:eastAsiaTheme="minorEastAsia"/>
          <w:color w:val="auto"/>
          <w:sz w:val="32"/>
          <w:szCs w:val="32"/>
          <w:highlight w:val="none"/>
          <w:lang w:eastAsia="zh-CN"/>
        </w:rPr>
        <w:t>单位教学用车及农用车</w:t>
      </w:r>
      <w:r>
        <w:rPr>
          <w:rFonts w:hint="eastAsia" w:asciiTheme="minorEastAsia" w:hAnsiTheme="minorEastAsia" w:eastAsiaTheme="minorEastAsia"/>
          <w:sz w:val="32"/>
          <w:szCs w:val="32"/>
          <w:highlight w:val="none"/>
        </w:rPr>
        <w:t>；单位价值50万元以上通用</w:t>
      </w:r>
      <w:r>
        <w:rPr>
          <w:rFonts w:hint="eastAsia" w:asciiTheme="minorEastAsia" w:hAnsiTheme="minorEastAsia" w:eastAsiaTheme="minorEastAsia"/>
          <w:color w:val="auto"/>
          <w:sz w:val="32"/>
          <w:szCs w:val="32"/>
          <w:highlight w:val="none"/>
        </w:rPr>
        <w:t>设备</w:t>
      </w:r>
      <w:r>
        <w:rPr>
          <w:rFonts w:hint="eastAsia" w:asciiTheme="minorEastAsia" w:hAnsiTheme="minorEastAsia" w:eastAsiaTheme="minorEastAsia"/>
          <w:color w:val="auto"/>
          <w:sz w:val="32"/>
          <w:szCs w:val="32"/>
          <w:highlight w:val="none"/>
          <w:lang w:val="en-US" w:eastAsia="zh-CN"/>
        </w:rPr>
        <w:t>18</w:t>
      </w:r>
      <w:r>
        <w:rPr>
          <w:rFonts w:hint="eastAsia" w:asciiTheme="minorEastAsia" w:hAnsiTheme="minorEastAsia" w:eastAsiaTheme="minorEastAsia"/>
          <w:color w:val="auto"/>
          <w:sz w:val="32"/>
          <w:szCs w:val="32"/>
          <w:highlight w:val="none"/>
        </w:rPr>
        <w:t>台（套）</w:t>
      </w:r>
      <w:r>
        <w:rPr>
          <w:rFonts w:hint="eastAsia" w:asciiTheme="minorEastAsia" w:hAnsiTheme="minorEastAsia" w:eastAsiaTheme="minorEastAsia"/>
          <w:color w:val="auto"/>
          <w:sz w:val="32"/>
          <w:szCs w:val="32"/>
          <w:highlight w:val="none"/>
          <w:lang w:eastAsia="zh-CN"/>
        </w:rPr>
        <w:t>，</w:t>
      </w:r>
      <w:r>
        <w:rPr>
          <w:rFonts w:hint="eastAsia" w:asciiTheme="minorEastAsia" w:hAnsiTheme="minorEastAsia" w:eastAsiaTheme="minorEastAsia"/>
          <w:color w:val="auto"/>
          <w:sz w:val="32"/>
          <w:szCs w:val="32"/>
          <w:highlight w:val="none"/>
        </w:rPr>
        <w:t>单位价值100万元以上专用设备</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台（套）。</w:t>
      </w:r>
    </w:p>
    <w:p>
      <w:pPr>
        <w:pStyle w:val="12"/>
        <w:rPr>
          <w:rFonts w:hAnsi="黑体"/>
          <w:b/>
          <w:sz w:val="32"/>
          <w:szCs w:val="32"/>
          <w:highlight w:val="none"/>
        </w:rPr>
      </w:pPr>
      <w:r>
        <w:rPr>
          <w:rFonts w:hint="eastAsia" w:hAnsi="黑体"/>
          <w:b/>
          <w:sz w:val="32"/>
          <w:szCs w:val="32"/>
          <w:highlight w:val="none"/>
        </w:rPr>
        <w:t>十三、</w:t>
      </w:r>
      <w:r>
        <w:rPr>
          <w:rFonts w:hint="eastAsia" w:hAnsi="黑体"/>
          <w:b/>
          <w:sz w:val="32"/>
          <w:szCs w:val="32"/>
          <w:highlight w:val="none"/>
          <w:lang w:val="en-US" w:eastAsia="zh-CN"/>
        </w:rPr>
        <w:t>关于</w:t>
      </w:r>
      <w:r>
        <w:rPr>
          <w:rFonts w:hint="eastAsia" w:hAnsi="黑体"/>
          <w:b/>
          <w:sz w:val="32"/>
          <w:szCs w:val="32"/>
          <w:highlight w:val="none"/>
        </w:rPr>
        <w:t>202</w:t>
      </w:r>
      <w:r>
        <w:rPr>
          <w:rFonts w:hint="eastAsia" w:hAnsi="黑体"/>
          <w:b/>
          <w:sz w:val="32"/>
          <w:szCs w:val="32"/>
          <w:highlight w:val="none"/>
          <w:lang w:val="en-US" w:eastAsia="zh-CN"/>
        </w:rPr>
        <w:t>2</w:t>
      </w:r>
      <w:r>
        <w:rPr>
          <w:rFonts w:hint="eastAsia" w:hAnsi="黑体"/>
          <w:b/>
          <w:sz w:val="32"/>
          <w:szCs w:val="32"/>
          <w:highlight w:val="none"/>
        </w:rPr>
        <w:t>年度预算绩效情况说明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eastAsia="zh-CN"/>
        </w:rPr>
        <w:t>（一）</w:t>
      </w:r>
      <w:r>
        <w:rPr>
          <w:rFonts w:hint="eastAsia" w:ascii="楷体" w:hAnsi="楷体" w:eastAsia="楷体" w:cs="楷体"/>
          <w:b/>
          <w:bCs/>
          <w:sz w:val="32"/>
          <w:szCs w:val="32"/>
          <w:highlight w:val="none"/>
        </w:rPr>
        <w:t>部门整体支出绩效情况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1、运行成本</w:t>
      </w:r>
    </w:p>
    <w:p>
      <w:pPr>
        <w:spacing w:line="360" w:lineRule="auto"/>
        <w:ind w:firstLine="640" w:firstLineChars="200"/>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预算配置方面，财政供养人员控制在预算编制以内，编制内在职人员控制率71.38%，小于100%。</w:t>
      </w:r>
    </w:p>
    <w:p>
      <w:pPr>
        <w:spacing w:line="360" w:lineRule="auto"/>
        <w:ind w:firstLine="640" w:firstLineChars="200"/>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预算执行方面(主要为财政拔付资金)，全年预算总收入31254.92万元，全年整体支出23370.71万元（含基本支出总额11289.58万元，项目支出总额12081.13万元），整体支出预算执行率74.77%。</w:t>
      </w:r>
    </w:p>
    <w:p>
      <w:pPr>
        <w:spacing w:line="360" w:lineRule="auto"/>
        <w:ind w:firstLine="640" w:firstLineChars="200"/>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学校“三公”经费无预算。</w:t>
      </w:r>
    </w:p>
    <w:p>
      <w:pPr>
        <w:spacing w:line="360" w:lineRule="auto"/>
        <w:ind w:firstLine="640" w:firstLineChars="200"/>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学校全年公用经费总额预算580万元，公用经费总额支出724.18万元，“公用经费”控制率124.86%。</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管理效率方面，一是加强理论学习，党建思政再上新水平；二是提质培优实现新突破；三是改革创新迈出新步伐；四是品牌形象得到新提升；五是保障建设开创新局面。</w:t>
      </w:r>
      <w:r>
        <w:rPr>
          <w:rFonts w:hint="eastAsia" w:cs="黑体" w:asciiTheme="minorEastAsia" w:hAnsiTheme="minorEastAsia" w:eastAsiaTheme="minorEastAsia"/>
          <w:color w:val="000000"/>
          <w:kern w:val="0"/>
          <w:sz w:val="32"/>
          <w:szCs w:val="32"/>
          <w:highlight w:val="none"/>
          <w:lang w:val="en-US" w:eastAsia="zh-CN" w:bidi="ar-SA"/>
        </w:rPr>
        <w:tab/>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default"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履职效能方面</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default" w:cs="黑体" w:asciiTheme="minorEastAsia" w:hAnsiTheme="minorEastAsia" w:eastAsiaTheme="minorEastAsia"/>
          <w:color w:val="000000"/>
          <w:kern w:val="0"/>
          <w:sz w:val="32"/>
          <w:szCs w:val="32"/>
          <w:highlight w:val="none"/>
          <w:lang w:val="en-US" w:eastAsia="zh-CN" w:bidi="ar-SA"/>
        </w:rPr>
      </w:pPr>
      <w:r>
        <w:rPr>
          <w:rFonts w:hint="default" w:cs="黑体" w:asciiTheme="minorEastAsia" w:hAnsiTheme="minorEastAsia" w:eastAsiaTheme="minorEastAsia"/>
          <w:color w:val="000000"/>
          <w:kern w:val="0"/>
          <w:sz w:val="32"/>
          <w:szCs w:val="32"/>
          <w:highlight w:val="none"/>
          <w:lang w:val="en-US" w:eastAsia="zh-CN" w:bidi="ar-SA"/>
        </w:rPr>
        <w:t>学校连续被评为湖南省“育人成效20强”“职业教育集团（联盟）10强”“文化建设10强”“教学资源20强”及“服务贡献20强”，在全省高职院校质量年度报告合规性评价中每年获评A类学校。接待上级领导指导和同行来访200多批次，《人民日报》《学习强国》《人民网》《新华网》《中国教育报》《中国教育电视台》《</w:t>
      </w:r>
      <w:r>
        <w:rPr>
          <w:rFonts w:hint="default" w:cs="黑体" w:asciiTheme="minorEastAsia" w:hAnsiTheme="minorEastAsia" w:eastAsiaTheme="minorEastAsia"/>
          <w:color w:val="000000"/>
          <w:kern w:val="0"/>
          <w:sz w:val="32"/>
          <w:szCs w:val="32"/>
          <w:highlight w:val="none"/>
          <w:lang w:val="en-US" w:eastAsia="zh-CN" w:bidi="ar-SA"/>
        </w:rPr>
        <w:fldChar w:fldCharType="begin"/>
      </w:r>
      <w:r>
        <w:rPr>
          <w:rFonts w:hint="default" w:cs="黑体" w:asciiTheme="minorEastAsia" w:hAnsiTheme="minorEastAsia" w:eastAsiaTheme="minorEastAsia"/>
          <w:color w:val="000000"/>
          <w:kern w:val="0"/>
          <w:sz w:val="32"/>
          <w:szCs w:val="32"/>
          <w:highlight w:val="none"/>
          <w:lang w:val="en-US" w:eastAsia="zh-CN" w:bidi="ar-SA"/>
        </w:rPr>
        <w:instrText xml:space="preserve"> HYPERLINK "http://www.tech.net.cn/" \t "https://www.hnbemc.edu.cn/_blank" </w:instrText>
      </w:r>
      <w:r>
        <w:rPr>
          <w:rFonts w:hint="default" w:cs="黑体" w:asciiTheme="minorEastAsia" w:hAnsiTheme="minorEastAsia" w:eastAsiaTheme="minorEastAsia"/>
          <w:color w:val="000000"/>
          <w:kern w:val="0"/>
          <w:sz w:val="32"/>
          <w:szCs w:val="32"/>
          <w:highlight w:val="none"/>
          <w:lang w:val="en-US" w:eastAsia="zh-CN" w:bidi="ar-SA"/>
        </w:rPr>
        <w:fldChar w:fldCharType="separate"/>
      </w:r>
      <w:r>
        <w:rPr>
          <w:rFonts w:hint="default" w:cs="黑体" w:asciiTheme="minorEastAsia" w:hAnsiTheme="minorEastAsia" w:eastAsiaTheme="minorEastAsia"/>
          <w:color w:val="000000"/>
          <w:kern w:val="0"/>
          <w:sz w:val="32"/>
          <w:szCs w:val="32"/>
          <w:highlight w:val="none"/>
          <w:lang w:val="en-US" w:eastAsia="zh-CN" w:bidi="ar-SA"/>
        </w:rPr>
        <w:t>现代高等职业技术教育网</w:t>
      </w:r>
      <w:r>
        <w:rPr>
          <w:rFonts w:hint="default" w:cs="黑体" w:asciiTheme="minorEastAsia" w:hAnsiTheme="minorEastAsia" w:eastAsiaTheme="minorEastAsia"/>
          <w:color w:val="000000"/>
          <w:kern w:val="0"/>
          <w:sz w:val="32"/>
          <w:szCs w:val="32"/>
          <w:highlight w:val="none"/>
          <w:lang w:val="en-US" w:eastAsia="zh-CN" w:bidi="ar-SA"/>
        </w:rPr>
        <w:fldChar w:fldCharType="end"/>
      </w:r>
      <w:r>
        <w:rPr>
          <w:rFonts w:hint="default" w:cs="黑体" w:asciiTheme="minorEastAsia" w:hAnsiTheme="minorEastAsia" w:eastAsiaTheme="minorEastAsia"/>
          <w:color w:val="000000"/>
          <w:kern w:val="0"/>
          <w:sz w:val="32"/>
          <w:szCs w:val="32"/>
          <w:highlight w:val="none"/>
          <w:lang w:val="en-US" w:eastAsia="zh-CN" w:bidi="ar-SA"/>
        </w:rPr>
        <w:t>》等主流媒体报道学校办学成果152次，在业内具有较大的影响力。</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（1）进一步完善了德技并修育人体系</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思想政治教育具有示范性。构建“四纵八横”党的全面领导机制。充分发挥学校党委、二级党总支、党支部和党员群众四层面主体责任作用，党委统筹学校人才培养、思想教育、科技创新、社会服务、队伍建设、文化建设、经济工作、群众团体等各方面重要工作的领导权和决策权，建立党委会议制度来行使领导权决策权，二级学校建立党政联席会议制度落实党委决定和行使二级学校的决策权。成为省文明标兵校园、省校园文化建设10强单位、全省基层团建工作示范点。</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推动习近平新时代中国特色社会主义思想“三进”，开设《习近平新时代中国特色社会主义思想概论》必修课程，打造了一个理论研究型品牌社团——习近平新时代中国特色社会主义思想青年研习社，成立师生宣讲队，在全校师生中深入开展大学生思想政治理论课研究性学习成果展示竞赛和微电影、微宣讲比赛，获省级以上奖励6个。指导学生在2022年度湖南省大学生学习贯彻习近平新时代中国特色社会主义思想暨第八届大学生思想政治理论课研究性学习成果展示竞赛中获三等奖。微电影“藤蔓的青春”获教育部第五届“我心中的思政课”全国高校大学生微电影“特等奖”和“最佳摄影奖”、“中国梦•校园情”湖南省第七届大学生微电影短视频大赛“特等奖”、湖南省第七届网络原创视听节目大赛“二等奖”。微视频《我的青春遇见你》获“青春之歌”马栏山青年大学生视频文创节百佳作品。《寻找昔日的历史教员毛泽东》《致敬二十几岁的你》入选全国高校思想政治工作网《百年珍贵记忆——全国高校庆祝中国共产党成立100周年原创精品档案》。建设1本爱国主义教材资源。</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三全育人省级试点院系项目圆满完成建设，并形成最终报告等候验收。《赓续红色血脉 厚植“三农”情怀，“三纵三横”文化育人模式创新与实践》入选教育部及湖南省职业院校“三全育人”典型案例。《校企党建“七联七共”育人模式》等3个项目入选省级思政工作质量提升工程项目，获2022年度湖南省高校思想政治工作精品项目立项。培育15个院级思想政治工作质量提升工程项目，推荐2项优秀项目申报国家级思想政治工作质量提升工程项目。</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建设2个省级辅导员名师工作室项目。形成《“数”说有德，育人无穷》等3个省级课程思政育人案例。培育湖南省高校网络教育名师1人、推荐申报湖南省楚怡教学名师1人。立项47门院级课程思政示范项目建设。打造1个院级思政教育实践基地。</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校企协同育人积极推进。充分发挥大赛对教学改革和专业建设的引领作用，构建了“校-省-国家”三级大赛体系。精心研究省赛、国赛赛项内容，将技能大赛中的新技术、新标准、新规范融入课程标准，将大赛训练与实践教学环节相结合、大赛训练方法与实践教学方法结合、大赛评价标准和教学考核标准结合，职业素养贯穿大赛训练全过程，培养本土农业人才，助力乡村振兴。学生获省级技能竞赛一等奖8个、二等奖19个、三等奖8个；在第一届湖南省职业技能大赛中取得一金一铜好成绩；获国家级技能竞赛一等奖1个、二等奖3个。申报智能财税、跨境电子商务多平台运营、直播电商平台3个1+X证书试点专业；制定12个技能抽查标准；现代学徒制覆盖专业达65.11%。</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创新能力培养有效加强。建设了4个创客中心和4个创新创业指导教师工作室，逐步构建了学校大学生创新创业教育实践平台，促进了创新创业教育与专业教育的有机融合。获“建行杯”第八届湖南省“互联网＋”大学生创新创业大赛优秀组织奖和二等奖2个、三等奖3个，第八届中国国际“互联网+”大学生创新创业大赛铜奖1个。“挑战杯”省赛获1金2银2铜和优秀组织奖、优秀指导老师、优秀工作者。获第十七届“振兴杯”全国青年职业技能大赛金奖1个、优胜奖2个。1项目成功入围2022年度湖南省黄炎培职业教育奖创业规划大赛(主体赛)二等奖；1项目获第五届长沙市“中国创翼”创新创业大赛决赛优秀奖和人气之星奖。</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质量评价改革体系逐步完善。劳动教育纳入人才培养全过程，一体化构建公共区域、教室寝室、专业实训等劳动实践教育体系，完善学生综合素质评价体系。坚持以德为先、能力为重、全面发展，将全面评价贯穿人才培养全过程。建好校本数据中心，打破内部“信息壁垒”，实现校内学生各类信息资源的实时采集和共建共享；构建基于人工智能、大数据的学生成长诊断分析系统。已提交质量管理信息平台采购计划，预计2023年完成平台的建设。</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（2）建设高水平师资队伍</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en-US" w:eastAsia="zh-CN" w:bidi="ar-SA"/>
        </w:rPr>
        <w:t>加强了师德师风建设。</w:t>
      </w:r>
      <w:r>
        <w:rPr>
          <w:rFonts w:hint="eastAsia" w:cs="黑体" w:asciiTheme="minorEastAsia" w:hAnsiTheme="minorEastAsia" w:eastAsiaTheme="minorEastAsia"/>
          <w:color w:val="000000"/>
          <w:kern w:val="0"/>
          <w:sz w:val="32"/>
          <w:szCs w:val="32"/>
          <w:highlight w:val="none"/>
          <w:lang w:val="zh-CN" w:eastAsia="zh-CN" w:bidi="ar-SA"/>
        </w:rPr>
        <w:t>建立健全学校师德师风培育与考评机制，制定师德师风培养计划和方案，把师德考核作为教师职称晋升、岗位聘用、评优评先的首要条件，实行一票否决；开展</w:t>
      </w:r>
      <w:r>
        <w:rPr>
          <w:rFonts w:hint="eastAsia" w:cs="黑体" w:asciiTheme="minorEastAsia" w:hAnsiTheme="minorEastAsia" w:eastAsiaTheme="minorEastAsia"/>
          <w:color w:val="000000"/>
          <w:kern w:val="0"/>
          <w:sz w:val="32"/>
          <w:szCs w:val="32"/>
          <w:highlight w:val="none"/>
          <w:lang w:val="en-US" w:eastAsia="zh-CN" w:bidi="ar-SA"/>
        </w:rPr>
        <w:t>了新进教师岗前培训和高校教师资格培训；以党建为引领，加强党组织建设和党员教育管理。评选了</w:t>
      </w:r>
      <w:r>
        <w:rPr>
          <w:rFonts w:hint="eastAsia" w:cs="黑体" w:asciiTheme="minorEastAsia" w:hAnsiTheme="minorEastAsia" w:eastAsiaTheme="minorEastAsia"/>
          <w:color w:val="000000"/>
          <w:kern w:val="0"/>
          <w:sz w:val="32"/>
          <w:szCs w:val="32"/>
          <w:highlight w:val="none"/>
          <w:lang w:val="zh-CN" w:eastAsia="zh-CN" w:bidi="ar-SA"/>
        </w:rPr>
        <w:t>“党建工作标杆院系”“党建工作样板支部”“双带头人标兵”“党员先锋岗”“青年教工党员示范岗”。开展“教书育人楷模”“优秀教师”“优秀教育工作者”“优秀辅导员”评选活动，树立师德标兵，弘扬红烛精神；引导广大教师跟随时代发展步伐，更新观念，树立现代教育思想，不断提高师德修养，增强实施素质教育、创新教育的自觉性。</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完善了干部队伍建设。全年完成省人社厅205人次岗位异动，省编办办理出入编手续65人次；完成2021年度公开招聘49人工龄认定、38人转正定级。起草并出台了《学校编外人员管理办法》。全年人才引进教授1名、副教授1名，新聘正高职称7名、副高职称6名、中级职称35名，劳务派遣岗位人员8人晋升职称。1人获徐特立教育奖；2人晋升二级专技职务；选派2人参加新一轮援疆计划；推荐了6人参加教育部外派储备干部选拔。开展对学校2021年度以来培养和聘用的189名“双师型”教师、骨干教师、专业带头人、教学名师的年终考核及2022年度的培养和聘用工作，共计培养和聘用27人。完成湖南省青年骨干教师的遴选、验收和考核，成功立项4人，验收合格4人。立项建设4个校级大师名师工作室。制定和完善兼职教师聘用政策，兼职教师库人数达634人。</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default" w:cs="黑体" w:asciiTheme="minorEastAsia" w:hAnsiTheme="minorEastAsia" w:eastAsiaTheme="minorEastAsia"/>
          <w:color w:val="000000"/>
          <w:kern w:val="0"/>
          <w:sz w:val="32"/>
          <w:szCs w:val="32"/>
          <w:highlight w:val="none"/>
          <w:lang w:val="en-US" w:eastAsia="zh-CN" w:bidi="ar-SA"/>
        </w:rPr>
      </w:pPr>
      <w:r>
        <w:rPr>
          <w:rFonts w:hint="default" w:cs="黑体" w:asciiTheme="minorEastAsia" w:hAnsiTheme="minorEastAsia" w:eastAsiaTheme="minorEastAsia"/>
          <w:color w:val="000000"/>
          <w:kern w:val="0"/>
          <w:sz w:val="32"/>
          <w:szCs w:val="32"/>
          <w:highlight w:val="none"/>
          <w:lang w:val="en-US" w:eastAsia="zh-CN" w:bidi="ar-SA"/>
        </w:rPr>
        <w:t>社会效益</w:t>
      </w:r>
      <w:r>
        <w:rPr>
          <w:rFonts w:hint="eastAsia" w:cs="黑体" w:asciiTheme="minorEastAsia" w:hAnsiTheme="minorEastAsia" w:eastAsiaTheme="minorEastAsia"/>
          <w:color w:val="000000"/>
          <w:kern w:val="0"/>
          <w:sz w:val="32"/>
          <w:szCs w:val="32"/>
          <w:highlight w:val="none"/>
          <w:lang w:val="en-US" w:eastAsia="zh-CN" w:bidi="ar-SA"/>
        </w:rPr>
        <w:t>方面，</w:t>
      </w:r>
      <w:r>
        <w:rPr>
          <w:rFonts w:hint="default" w:cs="黑体" w:asciiTheme="minorEastAsia" w:hAnsiTheme="minorEastAsia" w:eastAsiaTheme="minorEastAsia"/>
          <w:color w:val="000000"/>
          <w:kern w:val="0"/>
          <w:sz w:val="32"/>
          <w:szCs w:val="32"/>
          <w:highlight w:val="none"/>
          <w:lang w:val="en-US" w:eastAsia="zh-CN" w:bidi="ar-SA"/>
        </w:rPr>
        <w:t>“双高项目”构建高水平人才培养体系，为中国产业迈向中高端提供高素质技术技能人才支撑；产教深度融合，加速建设现代产业体系，大力推广新品种新技术，增强产业核心竞争力，社会产值大幅提升；服务乡村振兴战略，广泛开展面向农业农村的职业教育和培训，扩大优质教育资源受益面，培育高素质农民，农民收入增加，为区域经济社会发展贡献了重要力量。</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eastAsia" w:cs="黑体" w:asciiTheme="minorEastAsia" w:hAnsiTheme="minorEastAsia" w:eastAsiaTheme="minorEastAsia"/>
          <w:color w:val="000000"/>
          <w:kern w:val="0"/>
          <w:sz w:val="32"/>
          <w:szCs w:val="32"/>
          <w:highlight w:val="none"/>
          <w:lang w:val="en-US" w:eastAsia="zh-CN" w:bidi="ar-SA"/>
        </w:rPr>
      </w:pPr>
      <w:r>
        <w:rPr>
          <w:rFonts w:hint="default" w:cs="黑体" w:asciiTheme="minorEastAsia" w:hAnsiTheme="minorEastAsia" w:eastAsiaTheme="minorEastAsia"/>
          <w:color w:val="000000"/>
          <w:kern w:val="0"/>
          <w:sz w:val="32"/>
          <w:szCs w:val="32"/>
          <w:highlight w:val="none"/>
          <w:lang w:val="en-US" w:eastAsia="zh-CN" w:bidi="ar-SA"/>
        </w:rPr>
        <w:t>可持续发展能力</w:t>
      </w:r>
      <w:r>
        <w:rPr>
          <w:rFonts w:hint="eastAsia" w:cs="黑体" w:asciiTheme="minorEastAsia" w:hAnsiTheme="minorEastAsia" w:eastAsiaTheme="minorEastAsia"/>
          <w:color w:val="000000"/>
          <w:kern w:val="0"/>
          <w:sz w:val="32"/>
          <w:szCs w:val="32"/>
          <w:highlight w:val="none"/>
          <w:lang w:val="en-US" w:eastAsia="zh-CN" w:bidi="ar-SA"/>
        </w:rPr>
        <w:t>方面，推进专业集群发展。对接现代农业产业集群和行业产业链，健全专业动态调整机制，构建服务现代农业产业链发展的特色专业体系。对接水稻种业、园林园艺、生猪养殖、智能农业装备、食品智能加工、农村新兴经济组织管理、新农村建设和农业信息服务等产业与行业，打造“种子生产与经营”“畜牧兽医”、“农业装备应用技术”3个高水平专业群和“食品智能加工”重点专业群；对接新农村新型经济组织管理、新农村规划建设等产业发展，打造“农村新型经济组织管理”“城乡规划”2个新农业新农村特色专业群，对接“三农”信息技术发展，打造“计算机应用技术”的农村信息服务支撑群，从而形成“4+2+1”的结构优化、重点突出、内涵先进、资源共享、优势凸显的，对接现代农业产业转型升级需求的技术技能复合型人才培养。校企合作共建产业学校，建立校企命运共同体。总结隆平产业学校建设经验和模式，建设天心畜牧产业学校、智能农机产业学校等2个产业学校，2022年度学校多方筹措办学经费，实现学校教学仪器设备增长值为1200万元。立项省级产教融合基地1个，累计建成生产性实训基地3个。经过多年积累，2022年度建成国家级精品在线课程1门，建成校级精品在线课程30门，建设新型活页式、工作手册式教材6种。评选校级“课堂革命”典型案例27个，认定省级典型案例3个，获省级教学成果奖5项。加强职业教育标准体系建设，认定省级专业教学标准3个，省级课程标准23个。</w:t>
      </w:r>
    </w:p>
    <w:p>
      <w:pPr>
        <w:keepNext w:val="0"/>
        <w:keepLines w:val="0"/>
        <w:pageBreakBefore w:val="0"/>
        <w:kinsoku/>
        <w:wordWrap/>
        <w:overflowPunct/>
        <w:topLinePunct w:val="0"/>
        <w:autoSpaceDE/>
        <w:autoSpaceDN/>
        <w:bidi w:val="0"/>
        <w:adjustRightInd/>
        <w:snapToGrid/>
        <w:spacing w:beforeAutospacing="0" w:after="0" w:afterAutospacing="0" w:line="360" w:lineRule="auto"/>
        <w:ind w:firstLine="566" w:firstLineChars="177"/>
        <w:jc w:val="both"/>
        <w:textAlignment w:val="auto"/>
        <w:rPr>
          <w:rFonts w:hint="default"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6、社</w:t>
      </w:r>
      <w:r>
        <w:rPr>
          <w:rFonts w:hint="default" w:cs="黑体" w:asciiTheme="minorEastAsia" w:hAnsiTheme="minorEastAsia" w:eastAsiaTheme="minorEastAsia"/>
          <w:color w:val="000000"/>
          <w:kern w:val="0"/>
          <w:sz w:val="32"/>
          <w:szCs w:val="32"/>
          <w:highlight w:val="none"/>
          <w:lang w:val="en-US" w:eastAsia="zh-CN" w:bidi="ar-SA"/>
        </w:rPr>
        <w:t>会服务对象满意度</w:t>
      </w:r>
      <w:r>
        <w:rPr>
          <w:rFonts w:hint="eastAsia" w:cs="黑体" w:asciiTheme="minorEastAsia" w:hAnsiTheme="minorEastAsia" w:eastAsiaTheme="minorEastAsia"/>
          <w:color w:val="000000"/>
          <w:kern w:val="0"/>
          <w:sz w:val="32"/>
          <w:szCs w:val="32"/>
          <w:highlight w:val="none"/>
          <w:lang w:val="en-US" w:eastAsia="zh-CN" w:bidi="ar-SA"/>
        </w:rPr>
        <w:t>方面，</w:t>
      </w:r>
      <w:r>
        <w:rPr>
          <w:rFonts w:hint="default" w:cs="黑体" w:asciiTheme="minorEastAsia" w:hAnsiTheme="minorEastAsia" w:eastAsiaTheme="minorEastAsia"/>
          <w:color w:val="000000"/>
          <w:kern w:val="0"/>
          <w:sz w:val="32"/>
          <w:szCs w:val="32"/>
          <w:highlight w:val="none"/>
          <w:lang w:val="en-US" w:eastAsia="zh-CN" w:bidi="ar-SA"/>
        </w:rPr>
        <w:t>通过各项工作的开展，社会公众的满意度达到90%以上。</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ascii="楷体" w:hAnsi="楷体" w:eastAsia="楷体" w:cs="楷体"/>
          <w:b/>
          <w:bCs/>
          <w:sz w:val="32"/>
          <w:szCs w:val="32"/>
          <w:highlight w:val="none"/>
          <w:lang w:eastAsia="zh-CN"/>
        </w:rPr>
        <w:t>（二）</w:t>
      </w:r>
      <w:r>
        <w:rPr>
          <w:rFonts w:hint="eastAsia" w:ascii="楷体" w:hAnsi="楷体" w:eastAsia="楷体" w:cs="楷体"/>
          <w:b/>
          <w:bCs/>
          <w:sz w:val="32"/>
          <w:szCs w:val="32"/>
          <w:highlight w:val="none"/>
        </w:rPr>
        <w:t>存在的问题及原因分析</w:t>
      </w:r>
    </w:p>
    <w:p>
      <w:pPr>
        <w:pStyle w:val="13"/>
        <w:widowControl/>
        <w:spacing w:line="480" w:lineRule="auto"/>
        <w:ind w:firstLine="466"/>
        <w:jc w:val="left"/>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项目预算执行率偏低。项目支出预算执行率</w:t>
      </w:r>
      <w:r>
        <w:rPr>
          <w:rFonts w:hint="eastAsia" w:cs="黑体" w:asciiTheme="minorEastAsia" w:hAnsiTheme="minorEastAsia"/>
          <w:color w:val="000000"/>
          <w:kern w:val="0"/>
          <w:sz w:val="32"/>
          <w:szCs w:val="32"/>
          <w:highlight w:val="none"/>
          <w:lang w:val="en-US" w:eastAsia="zh-CN" w:bidi="ar-SA"/>
        </w:rPr>
        <w:t>62.37</w:t>
      </w:r>
      <w:r>
        <w:rPr>
          <w:rFonts w:hint="eastAsia" w:cs="黑体" w:asciiTheme="minorEastAsia" w:hAnsiTheme="minorEastAsia" w:eastAsiaTheme="minorEastAsia"/>
          <w:color w:val="000000"/>
          <w:kern w:val="0"/>
          <w:sz w:val="32"/>
          <w:szCs w:val="32"/>
          <w:highlight w:val="none"/>
          <w:lang w:val="en-US" w:eastAsia="zh-CN" w:bidi="ar-SA"/>
        </w:rPr>
        <w:t>%。形成的原因为</w:t>
      </w:r>
      <w:r>
        <w:rPr>
          <w:rFonts w:hint="eastAsia" w:cs="黑体" w:asciiTheme="minorEastAsia" w:hAnsiTheme="minorEastAsia"/>
          <w:color w:val="000000"/>
          <w:kern w:val="0"/>
          <w:sz w:val="32"/>
          <w:szCs w:val="32"/>
          <w:highlight w:val="none"/>
          <w:lang w:val="en-US" w:eastAsia="zh-CN" w:bidi="ar-SA"/>
        </w:rPr>
        <w:t>高等职业教育支出中“图书馆外立面综合改造项目”处于建设期，</w:t>
      </w:r>
      <w:r>
        <w:rPr>
          <w:rFonts w:hint="eastAsia" w:asciiTheme="minorEastAsia" w:hAnsiTheme="minorEastAsia" w:eastAsiaTheme="minorEastAsia"/>
          <w:sz w:val="32"/>
          <w:szCs w:val="32"/>
          <w:highlight w:val="none"/>
          <w:lang w:eastAsia="zh-CN"/>
        </w:rPr>
        <w:t>其他国有土地使用权出让收入安排的支出</w:t>
      </w:r>
      <w:r>
        <w:rPr>
          <w:rFonts w:hint="eastAsia" w:asciiTheme="minorEastAsia" w:hAnsiTheme="minorEastAsia"/>
          <w:sz w:val="32"/>
          <w:szCs w:val="32"/>
          <w:highlight w:val="none"/>
          <w:lang w:val="en-US" w:eastAsia="zh-CN"/>
        </w:rPr>
        <w:t>立项的学生公寓建设项目还在建设期</w:t>
      </w:r>
      <w:r>
        <w:rPr>
          <w:rFonts w:hint="eastAsia" w:asciiTheme="minorEastAsia" w:hAnsiTheme="minorEastAsia"/>
          <w:sz w:val="32"/>
          <w:szCs w:val="32"/>
          <w:highlight w:val="none"/>
          <w:lang w:eastAsia="zh-CN"/>
        </w:rPr>
        <w:t>，</w:t>
      </w:r>
      <w:r>
        <w:rPr>
          <w:rFonts w:hint="eastAsia" w:asciiTheme="minorEastAsia" w:hAnsiTheme="minorEastAsia"/>
          <w:sz w:val="32"/>
          <w:szCs w:val="32"/>
          <w:highlight w:val="none"/>
          <w:lang w:val="en-US" w:eastAsia="zh-CN"/>
        </w:rPr>
        <w:t>农林生产发展支出中</w:t>
      </w:r>
      <w:r>
        <w:rPr>
          <w:rFonts w:hint="eastAsia" w:cs="黑体" w:asciiTheme="minorEastAsia" w:hAnsiTheme="minorEastAsia" w:eastAsiaTheme="minorEastAsia"/>
          <w:color w:val="000000"/>
          <w:kern w:val="0"/>
          <w:sz w:val="32"/>
          <w:szCs w:val="32"/>
          <w:highlight w:val="none"/>
          <w:lang w:val="en-US" w:eastAsia="zh-CN" w:bidi="ar-SA"/>
        </w:rPr>
        <w:t>“种植产业发展、现代农业发展省级</w:t>
      </w:r>
      <w:r>
        <w:rPr>
          <w:rFonts w:hint="eastAsia" w:cs="黑体" w:asciiTheme="minorEastAsia" w:hAnsiTheme="minorEastAsia"/>
          <w:color w:val="000000"/>
          <w:kern w:val="0"/>
          <w:sz w:val="32"/>
          <w:szCs w:val="32"/>
          <w:highlight w:val="none"/>
          <w:lang w:val="en-US" w:eastAsia="zh-CN" w:bidi="ar-SA"/>
        </w:rPr>
        <w:t>”</w:t>
      </w:r>
      <w:r>
        <w:rPr>
          <w:rFonts w:hint="eastAsia" w:cs="黑体" w:asciiTheme="minorEastAsia" w:hAnsiTheme="minorEastAsia" w:eastAsiaTheme="minorEastAsia"/>
          <w:color w:val="000000"/>
          <w:kern w:val="0"/>
          <w:sz w:val="32"/>
          <w:szCs w:val="32"/>
          <w:highlight w:val="none"/>
          <w:lang w:val="en-US" w:eastAsia="zh-CN" w:bidi="ar-SA"/>
        </w:rPr>
        <w:t>项目还在项目启动阶段，“农副产品加工”项目处于研究初期，资金支出进程随着正式运转将加快。</w:t>
      </w:r>
    </w:p>
    <w:p>
      <w:pPr>
        <w:pStyle w:val="13"/>
        <w:widowControl/>
        <w:numPr>
          <w:ilvl w:val="0"/>
          <w:numId w:val="0"/>
        </w:numPr>
        <w:spacing w:line="480" w:lineRule="auto"/>
        <w:ind w:firstLine="640" w:firstLineChars="200"/>
        <w:jc w:val="left"/>
        <w:rPr>
          <w:rFonts w:hint="eastAsia" w:cs="黑体" w:asciiTheme="minorEastAsia" w:hAnsiTheme="minorEastAsia" w:eastAsia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en-US" w:eastAsia="zh-CN" w:bidi="ar-SA"/>
        </w:rPr>
        <w:t>下一步改进措施：预算编制过程中，认真组织各项目资金主管处室根据部门年度工作计划确定的项目，积极对接，明确项目内容，细化项目信息，充分调研、论证，充分考虑执行过程中的各项影响因素，做到科学合理编制项目预算，提高预算的全面性、准确性、科学性，提高预算执行率，确保相关绩效目标的实现。</w:t>
      </w: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pStyle w:val="13"/>
        <w:widowControl/>
        <w:numPr>
          <w:ilvl w:val="0"/>
          <w:numId w:val="0"/>
        </w:numPr>
        <w:spacing w:line="480" w:lineRule="auto"/>
        <w:jc w:val="left"/>
        <w:rPr>
          <w:rFonts w:hint="eastAsia" w:cs="黑体" w:asciiTheme="minorEastAsia" w:hAnsiTheme="minorEastAsia" w:eastAsiaTheme="minorEastAsia"/>
          <w:color w:val="000000"/>
          <w:kern w:val="0"/>
          <w:sz w:val="32"/>
          <w:szCs w:val="32"/>
          <w:highlight w:val="none"/>
          <w:lang w:val="en-US" w:eastAsia="zh-CN" w:bidi="ar-SA"/>
        </w:rPr>
      </w:pPr>
    </w:p>
    <w:p>
      <w:pPr>
        <w:autoSpaceDE w:val="0"/>
        <w:autoSpaceDN w:val="0"/>
        <w:adjustRightInd w:val="0"/>
        <w:ind w:firstLine="640" w:firstLineChars="200"/>
        <w:jc w:val="left"/>
        <w:rPr>
          <w:rFonts w:cs="黑体" w:asciiTheme="minorEastAsia" w:hAnsiTheme="minorEastAsia"/>
          <w:b/>
          <w:bCs/>
          <w:color w:val="000000"/>
          <w:kern w:val="0"/>
          <w:sz w:val="32"/>
          <w:szCs w:val="3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rFonts w:hint="eastAsia"/>
          <w:sz w:val="72"/>
          <w:szCs w:val="72"/>
          <w:highlight w:val="none"/>
        </w:rPr>
      </w:pPr>
    </w:p>
    <w:p>
      <w:pPr>
        <w:pStyle w:val="12"/>
        <w:jc w:val="center"/>
        <w:rPr>
          <w:rFonts w:hint="eastAsia"/>
          <w:sz w:val="72"/>
          <w:szCs w:val="72"/>
          <w:highlight w:val="none"/>
        </w:rPr>
      </w:pPr>
    </w:p>
    <w:p>
      <w:pPr>
        <w:pStyle w:val="12"/>
        <w:jc w:val="center"/>
        <w:rPr>
          <w:rFonts w:hint="eastAsia"/>
          <w:sz w:val="72"/>
          <w:szCs w:val="72"/>
          <w:highlight w:val="none"/>
        </w:rPr>
      </w:pPr>
    </w:p>
    <w:p>
      <w:pPr>
        <w:pStyle w:val="12"/>
        <w:jc w:val="center"/>
        <w:rPr>
          <w:rFonts w:hint="eastAsia"/>
          <w:sz w:val="72"/>
          <w:szCs w:val="72"/>
          <w:highlight w:val="none"/>
        </w:rPr>
      </w:pPr>
    </w:p>
    <w:p>
      <w:pPr>
        <w:pStyle w:val="12"/>
        <w:jc w:val="center"/>
        <w:rPr>
          <w:sz w:val="72"/>
          <w:szCs w:val="72"/>
          <w:highlight w:val="none"/>
        </w:rPr>
      </w:pPr>
      <w:r>
        <w:rPr>
          <w:rFonts w:hint="eastAsia"/>
          <w:sz w:val="72"/>
          <w:szCs w:val="72"/>
          <w:highlight w:val="none"/>
        </w:rPr>
        <w:t>第四部分</w:t>
      </w:r>
    </w:p>
    <w:p>
      <w:pPr>
        <w:jc w:val="center"/>
        <w:rPr>
          <w:rFonts w:ascii="黑体" w:eastAsia="黑体" w:cs="黑体"/>
          <w:color w:val="000000"/>
          <w:kern w:val="0"/>
          <w:sz w:val="70"/>
          <w:szCs w:val="70"/>
          <w:highlight w:val="none"/>
        </w:rPr>
      </w:pPr>
    </w:p>
    <w:p>
      <w:pPr>
        <w:jc w:val="center"/>
        <w:rPr>
          <w:rFonts w:ascii="黑体" w:eastAsia="黑体" w:cs="黑体"/>
          <w:color w:val="000000"/>
          <w:kern w:val="0"/>
          <w:sz w:val="70"/>
          <w:szCs w:val="70"/>
          <w:highlight w:val="none"/>
        </w:rPr>
      </w:pPr>
      <w:r>
        <w:rPr>
          <w:rFonts w:hint="eastAsia" w:ascii="黑体" w:eastAsia="黑体" w:cs="黑体"/>
          <w:color w:val="000000"/>
          <w:kern w:val="0"/>
          <w:sz w:val="70"/>
          <w:szCs w:val="70"/>
          <w:highlight w:val="none"/>
        </w:rPr>
        <w:t>名词解释</w:t>
      </w:r>
    </w:p>
    <w:p>
      <w:pPr>
        <w:widowControl/>
        <w:jc w:val="left"/>
        <w:rPr>
          <w:rFonts w:ascii="黑体" w:eastAsia="黑体" w:cs="黑体"/>
          <w:color w:val="000000"/>
          <w:kern w:val="0"/>
          <w:sz w:val="70"/>
          <w:szCs w:val="70"/>
          <w:highlight w:val="none"/>
        </w:rPr>
      </w:pPr>
      <w:r>
        <w:rPr>
          <w:rFonts w:ascii="黑体" w:eastAsia="黑体" w:cs="黑体"/>
          <w:color w:val="000000"/>
          <w:kern w:val="0"/>
          <w:sz w:val="70"/>
          <w:szCs w:val="70"/>
          <w:highlight w:val="none"/>
        </w:rPr>
        <w:br w:type="page"/>
      </w:r>
    </w:p>
    <w:p>
      <w:pPr>
        <w:ind w:firstLine="640" w:firstLineChars="200"/>
        <w:jc w:val="left"/>
        <w:rPr>
          <w:rFonts w:cs="黑体" w:asciiTheme="minorEastAsia" w:hAnsiTheme="minorEastAsia"/>
          <w:color w:val="000000"/>
          <w:kern w:val="0"/>
          <w:sz w:val="32"/>
          <w:szCs w:val="32"/>
          <w:highlight w:val="none"/>
        </w:rPr>
      </w:pPr>
    </w:p>
    <w:p>
      <w:pPr>
        <w:numPr>
          <w:ilvl w:val="0"/>
          <w:numId w:val="3"/>
        </w:numPr>
        <w:ind w:firstLine="640" w:firstLineChars="200"/>
        <w:jc w:val="left"/>
        <w:rPr>
          <w:rFonts w:hint="eastAsia"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基本支出：指为保障机构正常运转、完成日常工作任务而发生的各项支出，包括人员支出和公用支出。</w:t>
      </w:r>
    </w:p>
    <w:p>
      <w:pPr>
        <w:numPr>
          <w:ilvl w:val="0"/>
          <w:numId w:val="3"/>
        </w:numPr>
        <w:ind w:firstLine="640" w:firstLineChars="200"/>
        <w:jc w:val="left"/>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 xml:space="preserve">项目支出：指在基本支出以外为完成相关行政任务和事业发展目标所发生的各项支出。 </w:t>
      </w:r>
    </w:p>
    <w:p>
      <w:pPr>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lang w:val="en-US" w:eastAsia="zh-CN"/>
        </w:rPr>
        <w:t>三公”经费：指通过财政拨款资金安排的因公出国（境）费、公务用车购置及运行费和公务接待费支出。</w:t>
      </w: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rFonts w:hint="eastAsia"/>
          <w:sz w:val="72"/>
          <w:szCs w:val="72"/>
          <w:highlight w:val="none"/>
          <w:lang w:val="en-US" w:eastAsia="zh-CN"/>
        </w:rPr>
      </w:pPr>
    </w:p>
    <w:sectPr>
      <w:footerReference r:id="rId3" w:type="default"/>
      <w:pgSz w:w="11906" w:h="16838"/>
      <w:pgMar w:top="720" w:right="1306" w:bottom="720" w:left="178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073785" cy="3225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3785" cy="322580"/>
                      </a:xfrm>
                      <a:prstGeom prst="rect">
                        <a:avLst/>
                      </a:prstGeom>
                      <a:noFill/>
                      <a:ln w="6350">
                        <a:noFill/>
                      </a:ln>
                      <a:effectLst/>
                    </wps:spPr>
                    <wps:txbx>
                      <w:txbxContent>
                        <w:p>
                          <w:pPr>
                            <w:pStyle w:val="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5.4pt;width:84.55pt;mso-position-horizontal:outside;mso-position-horizontal-relative:margin;z-index:251659264;mso-width-relative:page;mso-height-relative:page;" filled="f" stroked="f" coordsize="21600,21600" o:gfxdata="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MIbaLdMAAAAE&#10;AQAADwAAAAAAAAABACAAAAAiAAAAZHJzL2Rvd25yZXYueG1sUEsBAhQAFAAAAAgAh07iQC9dlgoh&#10;AgAAIgQAAA4AAAAAAAAAAQAgAAAAIgEAAGRycy9lMm9Eb2MueG1sUEsFBgAAAAAGAAYAWQEAALUF&#10;AAAAAA==&#10;">
              <v:fill on="f" focussize="0,0"/>
              <v:stroke on="f" weight="0.5pt"/>
              <v:imagedata o:title=""/>
              <o:lock v:ext="edit" aspectratio="f"/>
              <v:textbox inset="0mm,0mm,0mm,0mm">
                <w:txbxContent>
                  <w:p>
                    <w:pPr>
                      <w:pStyle w:val="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AB5F5B"/>
    <w:multiLevelType w:val="singleLevel"/>
    <w:tmpl w:val="89AB5F5B"/>
    <w:lvl w:ilvl="0" w:tentative="0">
      <w:start w:val="1"/>
      <w:numFmt w:val="decimal"/>
      <w:suff w:val="nothing"/>
      <w:lvlText w:val="%1、"/>
      <w:lvlJc w:val="left"/>
    </w:lvl>
  </w:abstractNum>
  <w:abstractNum w:abstractNumId="1">
    <w:nsid w:val="BCDE2A6C"/>
    <w:multiLevelType w:val="singleLevel"/>
    <w:tmpl w:val="BCDE2A6C"/>
    <w:lvl w:ilvl="0" w:tentative="0">
      <w:start w:val="1"/>
      <w:numFmt w:val="chineseCounting"/>
      <w:suff w:val="nothing"/>
      <w:lvlText w:val="%1、"/>
      <w:lvlJc w:val="left"/>
      <w:rPr>
        <w:rFonts w:hint="eastAsia"/>
      </w:rPr>
    </w:lvl>
  </w:abstractNum>
  <w:abstractNum w:abstractNumId="2">
    <w:nsid w:val="CFF44D0C"/>
    <w:multiLevelType w:val="singleLevel"/>
    <w:tmpl w:val="CFF44D0C"/>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mZjA0MmNiNGExZTU5YmMxYzM1ZDE0ZTZmY2MyYTA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3771A3"/>
    <w:rsid w:val="089E0669"/>
    <w:rsid w:val="08E074B6"/>
    <w:rsid w:val="092B34F0"/>
    <w:rsid w:val="0969436B"/>
    <w:rsid w:val="0B824D44"/>
    <w:rsid w:val="0BF50DF5"/>
    <w:rsid w:val="0E8D634B"/>
    <w:rsid w:val="0EBC12E2"/>
    <w:rsid w:val="0EFB7CF5"/>
    <w:rsid w:val="0EFE0E7D"/>
    <w:rsid w:val="0F386966"/>
    <w:rsid w:val="108B68C6"/>
    <w:rsid w:val="10B17773"/>
    <w:rsid w:val="10DA356E"/>
    <w:rsid w:val="1D193AFB"/>
    <w:rsid w:val="1D497728"/>
    <w:rsid w:val="1E4D008D"/>
    <w:rsid w:val="1E7228D5"/>
    <w:rsid w:val="20C1030C"/>
    <w:rsid w:val="23077B2E"/>
    <w:rsid w:val="245926CC"/>
    <w:rsid w:val="2BA97F58"/>
    <w:rsid w:val="2C102CB3"/>
    <w:rsid w:val="2CAF553B"/>
    <w:rsid w:val="2DDF2610"/>
    <w:rsid w:val="30812866"/>
    <w:rsid w:val="357076C3"/>
    <w:rsid w:val="37EB2DC8"/>
    <w:rsid w:val="3B2745DA"/>
    <w:rsid w:val="3D61197F"/>
    <w:rsid w:val="3F010273"/>
    <w:rsid w:val="40A12FEF"/>
    <w:rsid w:val="41CB4264"/>
    <w:rsid w:val="429B7144"/>
    <w:rsid w:val="43A525DA"/>
    <w:rsid w:val="44DA4A9C"/>
    <w:rsid w:val="48D43AD7"/>
    <w:rsid w:val="4BA24D63"/>
    <w:rsid w:val="4C0A386F"/>
    <w:rsid w:val="4C851419"/>
    <w:rsid w:val="4E1D14D1"/>
    <w:rsid w:val="4E9D3BEB"/>
    <w:rsid w:val="533258B2"/>
    <w:rsid w:val="53B81C60"/>
    <w:rsid w:val="5B9B3B48"/>
    <w:rsid w:val="5E604C13"/>
    <w:rsid w:val="5F325D3A"/>
    <w:rsid w:val="5FDA7ED2"/>
    <w:rsid w:val="675C10F8"/>
    <w:rsid w:val="696A3384"/>
    <w:rsid w:val="6D512C0F"/>
    <w:rsid w:val="702051A3"/>
    <w:rsid w:val="714824D6"/>
    <w:rsid w:val="77237AF6"/>
    <w:rsid w:val="78C773B9"/>
    <w:rsid w:val="7A862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style>
  <w:style w:type="paragraph" w:styleId="3">
    <w:name w:val="Body Text"/>
    <w:basedOn w:val="1"/>
    <w:qFormat/>
    <w:uiPriority w:val="99"/>
    <w:pPr>
      <w:jc w:val="center"/>
    </w:pPr>
    <w:rPr>
      <w:rFonts w:eastAsia="方正小标宋简体"/>
      <w:sz w:val="36"/>
      <w:szCs w:val="36"/>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val="0"/>
      <w:spacing w:before="100" w:beforeAutospacing="1" w:after="100" w:afterAutospacing="1" w:line="240" w:lineRule="auto"/>
      <w:jc w:val="left"/>
    </w:pPr>
    <w:rPr>
      <w:rFonts w:ascii="Times New Roman" w:hAnsi="Times New Roman" w:eastAsia="宋体" w:cs="Times New Roman"/>
      <w:kern w:val="0"/>
      <w:sz w:val="24"/>
      <w:szCs w:val="24"/>
      <w:lang w:eastAsia="zh-CN"/>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121"/>
    <w:basedOn w:val="9"/>
    <w:qFormat/>
    <w:uiPriority w:val="0"/>
    <w:rPr>
      <w:rFonts w:hint="eastAsia" w:ascii="宋体" w:hAnsi="宋体" w:eastAsia="宋体" w:cs="宋体"/>
      <w:b/>
      <w:bCs/>
      <w:color w:val="000000"/>
      <w:sz w:val="36"/>
      <w:szCs w:val="36"/>
      <w:u w:val="none"/>
    </w:rPr>
  </w:style>
  <w:style w:type="character" w:customStyle="1" w:styleId="16">
    <w:name w:val="font51"/>
    <w:basedOn w:val="9"/>
    <w:qFormat/>
    <w:uiPriority w:val="0"/>
    <w:rPr>
      <w:rFonts w:hint="eastAsia" w:ascii="宋体" w:hAnsi="宋体" w:eastAsia="宋体" w:cs="宋体"/>
      <w:color w:val="000000"/>
      <w:sz w:val="18"/>
      <w:szCs w:val="18"/>
      <w:u w:val="none"/>
    </w:rPr>
  </w:style>
  <w:style w:type="character" w:customStyle="1" w:styleId="17">
    <w:name w:val="font11"/>
    <w:basedOn w:val="9"/>
    <w:qFormat/>
    <w:uiPriority w:val="0"/>
    <w:rPr>
      <w:rFonts w:ascii="仿宋" w:hAnsi="仿宋" w:eastAsia="仿宋" w:cs="仿宋"/>
      <w:color w:val="000000"/>
      <w:sz w:val="22"/>
      <w:szCs w:val="22"/>
      <w:u w:val="none"/>
    </w:rPr>
  </w:style>
  <w:style w:type="character" w:customStyle="1" w:styleId="18">
    <w:name w:val="16"/>
    <w:basedOn w:val="9"/>
    <w:qFormat/>
    <w:uiPriority w:val="0"/>
    <w:rPr>
      <w:rFonts w:hint="default" w:ascii="Calibri" w:hAnsi="Calibri" w:cs="Calibri"/>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23416</Words>
  <Characters>27858</Characters>
  <Lines>69</Lines>
  <Paragraphs>19</Paragraphs>
  <TotalTime>0</TotalTime>
  <ScaleCrop>false</ScaleCrop>
  <LinksUpToDate>false</LinksUpToDate>
  <CharactersWithSpaces>29029</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ok</cp:lastModifiedBy>
  <cp:lastPrinted>2022-07-27T12:55:00Z</cp:lastPrinted>
  <dcterms:modified xsi:type="dcterms:W3CDTF">2023-11-02T04:21:54Z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5E37EEBE3EED40A9A3BC0CC920410126_13</vt:lpwstr>
  </property>
</Properties>
</file>