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湖南省农业农村厅机关后勤服务中心</w:t>
      </w:r>
      <w:r>
        <w:rPr>
          <w:rFonts w:hint="eastAsia" w:ascii="方正小标宋_GBK" w:hAnsi="方正小标宋_GBK" w:eastAsia="方正小标宋_GBK" w:cs="方正小标宋_GBK"/>
          <w:sz w:val="84"/>
          <w:szCs w:val="84"/>
        </w:rPr>
        <w:t>部门决算</w:t>
      </w:r>
    </w:p>
    <w:p>
      <w:pPr>
        <w:pStyle w:val="10"/>
        <w:jc w:val="center"/>
        <w:rPr>
          <w:rFonts w:hint="eastAsia" w:ascii="方正小标宋_GBK" w:hAnsi="方正小标宋_GBK" w:eastAsia="方正小标宋_GBK" w:cs="方正小标宋_GBK"/>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湖南省农业农村厅机关后勤服务中心</w:t>
      </w:r>
      <w:r>
        <w:rPr>
          <w:rFonts w:hint="eastAsia" w:ascii="黑体" w:hAnsi="黑体" w:eastAsia="黑体" w:cs="黑体"/>
          <w:b w:val="0"/>
          <w:bCs/>
          <w:sz w:val="28"/>
          <w:szCs w:val="28"/>
        </w:rPr>
        <w:t>概况</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0"/>
        <w:jc w:val="center"/>
        <w:rPr>
          <w:rFonts w:hint="eastAsia" w:ascii="方正小标宋_GBK" w:hAnsi="方正小标宋_GBK" w:eastAsia="方正小标宋_GBK" w:cs="方正小标宋_GBK"/>
          <w:sz w:val="84"/>
          <w:szCs w:val="84"/>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湖南省农业农村厅机关后勤服务中心</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pStyle w:val="11"/>
        <w:numPr>
          <w:ilvl w:val="0"/>
          <w:numId w:val="0"/>
        </w:numPr>
        <w:ind w:leftChars="0"/>
        <w:jc w:val="left"/>
        <w:rPr>
          <w:rFonts w:hint="eastAsia" w:ascii="黑体" w:hAnsi="黑体" w:eastAsia="黑体" w:cs="黑体"/>
          <w:b w:val="0"/>
          <w:bCs w:val="0"/>
          <w:sz w:val="32"/>
          <w:szCs w:val="32"/>
        </w:rPr>
      </w:pPr>
    </w:p>
    <w:p>
      <w:pPr>
        <w:pStyle w:val="11"/>
        <w:numPr>
          <w:ilvl w:val="0"/>
          <w:numId w:val="0"/>
        </w:numPr>
        <w:ind w:leftChars="0"/>
        <w:jc w:val="left"/>
        <w:rPr>
          <w:rFonts w:hint="eastAsia" w:ascii="黑体" w:hAnsi="黑体" w:eastAsia="黑体" w:cs="黑体"/>
          <w:b w:val="0"/>
          <w:bCs w:val="0"/>
          <w:sz w:val="32"/>
          <w:szCs w:val="32"/>
        </w:rPr>
      </w:pPr>
    </w:p>
    <w:p>
      <w:pPr>
        <w:pStyle w:val="11"/>
        <w:numPr>
          <w:ilvl w:val="0"/>
          <w:numId w:val="0"/>
        </w:numPr>
        <w:ind w:leftChars="0"/>
        <w:jc w:val="left"/>
        <w:rPr>
          <w:rFonts w:hint="eastAsia" w:ascii="黑体" w:hAnsi="黑体" w:eastAsia="黑体" w:cs="黑体"/>
          <w:b w:val="0"/>
          <w:bCs w:val="0"/>
          <w:sz w:val="32"/>
          <w:szCs w:val="32"/>
        </w:rPr>
      </w:pPr>
    </w:p>
    <w:p>
      <w:pPr>
        <w:pStyle w:val="11"/>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后勤中心是为厅机关服务并作为农业农村厅的一个窗口与外界各部门、机构进行工作衔接，主要负责为厅机关提供后勤保障服务，对厅机关交给后勤中心保管、使用的房屋、公用设施、专用设备等进行管理、维护、维修，保证机关大院的正常工作和生活秩序；按照厅党组的委托及授权，负责与当地各级政府部门进行工作衔接；后勤的工作职能决定其代表农业农村厅与省、市、区、社区等地方政府各职能部门进行工作联系，（计生办、治安联防、卫生防疫、园林绿化、节能节水、电力、税务、审计、国土局、消防、环保、文物局、防雷办、白蚁防治办、血防办、残联、街道办、爱卫会、文明办、居委会等等）并接受当地各级政府职能部门的管理、监督、检查。</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（一）内设机构设置。湖南省农业农村厅机关后勤服务中心内设机构包括：行政科、财务科、保卫科、人事老干科、动力科、机关车队、医务室、机关食堂等部门。</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（二）决算单位构成。湖南省农业农村厅机关后勤服务中心202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年部门决算汇总公开单位构成包括：湖南省农业农村厅机关后勤服务中心本级</w:t>
      </w:r>
      <w:r>
        <w:rPr>
          <w:rFonts w:hint="eastAsia" w:ascii="Times New Roman" w:hAnsi="Times New Roman" w:eastAsia="仿宋_GB2312" w:cs="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0"/>
        <w:jc w:val="center"/>
        <w:rPr>
          <w:rFonts w:hint="eastAsia" w:ascii="方正小标宋_GBK" w:hAnsi="方正小标宋_GBK" w:eastAsia="方正小标宋_GBK" w:cs="方正小标宋_GBK"/>
          <w:sz w:val="84"/>
          <w:szCs w:val="84"/>
        </w:rPr>
      </w:pPr>
    </w:p>
    <w:p>
      <w:pPr>
        <w:pStyle w:val="10"/>
        <w:jc w:val="center"/>
        <w:rPr>
          <w:sz w:val="72"/>
          <w:szCs w:val="72"/>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581515" cy="6341110"/>
            <wp:effectExtent l="0" t="0" r="6985" b="889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9581515" cy="6341110"/>
                    </a:xfrm>
                    <a:prstGeom prst="rect">
                      <a:avLst/>
                    </a:prstGeom>
                    <a:noFill/>
                    <a:ln>
                      <a:noFill/>
                    </a:ln>
                  </pic:spPr>
                </pic:pic>
              </a:graphicData>
            </a:graphic>
          </wp:inline>
        </w:drawing>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69475" cy="31146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69475" cy="3114675"/>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drawing>
          <wp:inline distT="0" distB="0" distL="114300" distR="114300">
            <wp:extent cx="9150350" cy="32512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150350" cy="3251200"/>
                    </a:xfrm>
                    <a:prstGeom prst="rect">
                      <a:avLst/>
                    </a:prstGeom>
                    <a:noFill/>
                    <a:ln>
                      <a:noFill/>
                    </a:ln>
                  </pic:spPr>
                </pic:pic>
              </a:graphicData>
            </a:graphic>
          </wp:inline>
        </w:drawing>
      </w:r>
      <w:r>
        <w:drawing>
          <wp:inline distT="0" distB="0" distL="114300" distR="114300">
            <wp:extent cx="9048750" cy="6530340"/>
            <wp:effectExtent l="0" t="0" r="635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048750" cy="6530340"/>
                    </a:xfrm>
                    <a:prstGeom prst="rect">
                      <a:avLst/>
                    </a:prstGeom>
                    <a:noFill/>
                    <a:ln>
                      <a:noFill/>
                    </a:ln>
                  </pic:spPr>
                </pic:pic>
              </a:graphicData>
            </a:graphic>
          </wp:inline>
        </w:drawing>
      </w:r>
      <w:r>
        <w:drawing>
          <wp:inline distT="0" distB="0" distL="114300" distR="114300">
            <wp:extent cx="8616950" cy="323215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616950" cy="3232150"/>
                    </a:xfrm>
                    <a:prstGeom prst="rect">
                      <a:avLst/>
                    </a:prstGeom>
                    <a:noFill/>
                    <a:ln>
                      <a:noFill/>
                    </a:ln>
                  </pic:spPr>
                </pic:pic>
              </a:graphicData>
            </a:graphic>
          </wp:inline>
        </w:drawing>
      </w:r>
      <w:r>
        <w:drawing>
          <wp:inline distT="0" distB="0" distL="114300" distR="114300">
            <wp:extent cx="9772650" cy="5874385"/>
            <wp:effectExtent l="0" t="0" r="6350" b="571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9772650" cy="5874385"/>
                    </a:xfrm>
                    <a:prstGeom prst="rect">
                      <a:avLst/>
                    </a:prstGeom>
                    <a:noFill/>
                    <a:ln>
                      <a:noFill/>
                    </a:ln>
                  </pic:spPr>
                </pic:pic>
              </a:graphicData>
            </a:graphic>
          </wp:inline>
        </w:drawing>
      </w:r>
      <w:r>
        <w:br w:type="page"/>
      </w:r>
    </w:p>
    <w:tbl>
      <w:tblPr>
        <w:tblStyle w:val="5"/>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6883" w:type="dxa"/>
            <w:gridSpan w:val="5"/>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部门：湖南省农业农村厅机关后勤服务中心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3"/>
                <w:lang w:val="en-US" w:eastAsia="zh-CN"/>
              </w:rPr>
              <w:t xml:space="preserve">   </w:t>
            </w:r>
            <w:r>
              <w:rPr>
                <w:rStyle w:val="14"/>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5"/>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both"/>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部门：湖南省农业农村厅机关后勤服务中心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5"/>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5"/>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5043"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部门：湖南省农业农村厅机关后勤服务中心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0"/>
        <w:jc w:val="center"/>
        <w:rPr>
          <w:rFonts w:hint="eastAsia" w:ascii="方正小标宋_GBK" w:hAnsi="方正小标宋_GBK" w:eastAsia="方正小标宋_GBK" w:cs="方正小标宋_GBK"/>
          <w:sz w:val="70"/>
          <w:szCs w:val="70"/>
        </w:rPr>
      </w:pPr>
    </w:p>
    <w:p>
      <w:pPr>
        <w:pStyle w:val="10"/>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1330.81</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72.42</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5.76</w:t>
      </w:r>
      <w:r>
        <w:rPr>
          <w:rFonts w:hint="eastAsia" w:ascii="Times New Roman" w:hAnsi="Times New Roman" w:eastAsia="仿宋_GB2312"/>
          <w:sz w:val="32"/>
          <w:szCs w:val="32"/>
        </w:rPr>
        <w:t>%，主要是因为本年度在职人员减少2人</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758.88</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758.50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99.95</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0.38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1323.35</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893.56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67.52</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429.79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32.48</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0"/>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1192.52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55.07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%，主要是因为本年度在职人员减少2人</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1185.06</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89.55</w:t>
      </w:r>
      <w:r>
        <w:rPr>
          <w:rFonts w:hint="eastAsia" w:ascii="Times New Roman" w:hAnsi="Times New Roman" w:eastAsia="仿宋_GB2312"/>
          <w:sz w:val="32"/>
          <w:szCs w:val="32"/>
        </w:rPr>
        <w:t>%，与上年相比，财政拨款支出</w:t>
      </w:r>
      <w:r>
        <w:rPr>
          <w:rFonts w:hint="eastAsia" w:ascii="Times New Roman" w:hAnsi="Times New Roman" w:eastAsia="仿宋_GB2312"/>
          <w:sz w:val="32"/>
          <w:szCs w:val="32"/>
          <w:lang w:val="en-US" w:eastAsia="zh-CN"/>
        </w:rPr>
        <w:t>增加516.85</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增长77.35</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增加</w:t>
      </w:r>
      <w:r>
        <w:rPr>
          <w:rFonts w:hint="eastAsia" w:ascii="Times New Roman" w:hAnsi="Times New Roman" w:eastAsia="仿宋_GB2312"/>
          <w:sz w:val="32"/>
          <w:szCs w:val="32"/>
        </w:rPr>
        <w:t>河西综和办公楼装修改造项目资金</w:t>
      </w:r>
      <w:r>
        <w:rPr>
          <w:rFonts w:hint="eastAsia" w:ascii="Times New Roman" w:hAnsi="Times New Roman" w:eastAsia="仿宋_GB2312"/>
          <w:sz w:val="32"/>
          <w:szCs w:val="32"/>
          <w:lang w:val="en-US" w:eastAsia="zh-CN"/>
        </w:rPr>
        <w:t>。</w:t>
      </w:r>
    </w:p>
    <w:p>
      <w:pPr>
        <w:pStyle w:val="10"/>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1185.06</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103.00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8.69</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1082.06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91.31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702.18</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1185.06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168.77</w:t>
      </w:r>
      <w:r>
        <w:rPr>
          <w:rFonts w:hint="eastAsia" w:ascii="Times New Roman" w:hAnsi="Times New Roman" w:eastAsia="仿宋_GB2312"/>
          <w:sz w:val="32"/>
          <w:szCs w:val="32"/>
        </w:rPr>
        <w:t>%，其中：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103.00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103.00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2、农林水（类）农业农村（款）行政运行（项）。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60.55</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eastAsia="zh-CN"/>
        </w:rPr>
        <w:t>：年中追加</w:t>
      </w:r>
      <w:r>
        <w:rPr>
          <w:rFonts w:hint="eastAsia" w:ascii="Times New Roman" w:hAnsi="Times New Roman" w:eastAsia="仿宋_GB2312"/>
          <w:sz w:val="32"/>
          <w:szCs w:val="32"/>
          <w:lang w:val="en-US" w:eastAsia="zh-CN"/>
        </w:rPr>
        <w:t>绩效奖金。</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、农林水（类）农业农村（款）机关服务（项）。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599.18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1021.51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170.48</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增加</w:t>
      </w:r>
      <w:r>
        <w:rPr>
          <w:rFonts w:hint="eastAsia" w:ascii="Times New Roman" w:hAnsi="Times New Roman" w:eastAsia="仿宋_GB2312"/>
          <w:sz w:val="32"/>
          <w:szCs w:val="32"/>
        </w:rPr>
        <w:t>河西综和办公楼装修改造项目资金</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755.27</w:t>
      </w:r>
      <w:r>
        <w:rPr>
          <w:rFonts w:hint="eastAsia" w:ascii="Times New Roman" w:hAnsi="Times New Roman" w:eastAsia="仿宋_GB2312"/>
          <w:sz w:val="32"/>
          <w:szCs w:val="32"/>
        </w:rPr>
        <w:t>万元，其中：</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710.20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94.03</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绩效工资、机关事业单位基本养老保险缴费、住房公积金、其他工资福利支出、奖励金、其他对个人和家庭的补助。</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45.07</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5.97</w:t>
      </w:r>
      <w:r>
        <w:rPr>
          <w:rFonts w:hint="eastAsia" w:ascii="Times New Roman" w:hAnsi="Times New Roman" w:eastAsia="仿宋_GB2312"/>
          <w:sz w:val="32"/>
          <w:szCs w:val="32"/>
        </w:rPr>
        <w:t>%，主要包括办公费、印刷费、</w:t>
      </w:r>
      <w:r>
        <w:rPr>
          <w:rFonts w:hint="eastAsia" w:ascii="Times New Roman" w:hAnsi="Times New Roman" w:eastAsia="仿宋_GB2312"/>
          <w:sz w:val="32"/>
          <w:szCs w:val="32"/>
          <w:lang w:val="en-US" w:eastAsia="zh-CN"/>
        </w:rPr>
        <w:t>维修（护）费、培训费、劳务费、工会经费、福利费、其他交通费用、其他商品和服务支出。</w:t>
      </w:r>
    </w:p>
    <w:p>
      <w:pPr>
        <w:pStyle w:val="10"/>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0"/>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val="en-US" w:eastAsia="zh-CN"/>
        </w:rPr>
        <w:t>本单位严格三公经费开支，未发生公务接待事务</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0.17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本单位严格三公经费开支，未发生公务接待事务</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元，与上年</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left="638" w:leftChars="304" w:firstLine="0" w:firstLineChars="0"/>
        <w:textAlignment w:val="auto"/>
        <w:rPr>
          <w:rFonts w:hint="eastAsia" w:ascii="楷体" w:hAnsi="楷体" w:eastAsia="楷体" w:cs="楷体"/>
          <w:b/>
          <w:bCs w:val="0"/>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元，与上年</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r>
        <w:rPr>
          <w:rFonts w:hint="eastAsia" w:ascii="楷体" w:hAnsi="楷体" w:eastAsia="楷体" w:cs="楷体"/>
          <w:b/>
          <w:bCs w:val="0"/>
          <w:sz w:val="32"/>
          <w:szCs w:val="32"/>
        </w:rPr>
        <w:t>（二）“三公”经费财政拨款支出决算具体情况说明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bookmarkStart w:id="2" w:name="_GoBack"/>
      <w:bookmarkEnd w:id="2"/>
      <w:r>
        <w:rPr>
          <w:rFonts w:hint="eastAsia" w:ascii="Times New Roman" w:hAnsi="Times New Roman" w:eastAsia="仿宋_GB2312"/>
          <w:sz w:val="32"/>
          <w:szCs w:val="32"/>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0"/>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stheme="minorBidi"/>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sz w:val="32"/>
          <w:szCs w:val="32"/>
        </w:rPr>
        <w:t xml:space="preserve">    </w:t>
      </w:r>
      <w:r>
        <w:rPr>
          <w:rFonts w:hint="eastAsia" w:ascii="Times New Roman" w:hAnsi="Times New Roman" w:eastAsia="仿宋_GB2312" w:cstheme="minorBidi"/>
          <w:color w:val="000000" w:themeColor="text1"/>
          <w:kern w:val="2"/>
          <w:sz w:val="32"/>
          <w:szCs w:val="32"/>
          <w:lang w:val="en-US" w:eastAsia="zh-CN" w:bidi="ar-SA"/>
          <w14:textFill>
            <w14:solidFill>
              <w14:schemeClr w14:val="tx1"/>
            </w14:solidFill>
          </w14:textFill>
        </w:rPr>
        <w:t>本单位无政府性基金收支</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0.64</w:t>
      </w:r>
      <w:r>
        <w:rPr>
          <w:rFonts w:hint="eastAsia" w:ascii="Times New Roman" w:hAnsi="Times New Roman" w:eastAsia="仿宋_GB2312"/>
          <w:sz w:val="32"/>
          <w:szCs w:val="32"/>
        </w:rPr>
        <w:t>万元，用于开展事业单位工作人员培训费培训，人数</w:t>
      </w:r>
      <w:r>
        <w:rPr>
          <w:rFonts w:hint="eastAsia" w:ascii="Times New Roman" w:hAnsi="Times New Roman" w:eastAsia="仿宋_GB2312"/>
          <w:sz w:val="32"/>
          <w:szCs w:val="32"/>
          <w:lang w:val="en-US" w:eastAsia="zh-CN"/>
        </w:rPr>
        <w:t>21</w:t>
      </w:r>
      <w:r>
        <w:rPr>
          <w:rFonts w:hint="eastAsia" w:ascii="Times New Roman" w:hAnsi="Times New Roman" w:eastAsia="仿宋_GB2312"/>
          <w:sz w:val="32"/>
          <w:szCs w:val="32"/>
        </w:rPr>
        <w:t>人，内容为事业单位工作人员培训费培训；</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330.68</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4.39</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319.70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6.59</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330.68</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329.44</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99.63</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全年预算数1330.81万元，决算数1323.35万元，执行率99.44%，我单位全年整体预算执行率良好。</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人员经费预算数849.21万元，决算数848.50万元，公用经费数45.81万元，决算数45.07万元，均控制在预算范围内。</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制在预算范围内。</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color w:val="auto"/>
          <w:sz w:val="32"/>
          <w:szCs w:val="32"/>
          <w:lang w:val="en-US" w:eastAsia="zh-CN"/>
        </w:rPr>
        <w:t>会议费预算0万元，培训费</w:t>
      </w:r>
      <w:r>
        <w:rPr>
          <w:rFonts w:hint="eastAsia" w:ascii="Times New Roman" w:hAnsi="Times New Roman" w:eastAsia="仿宋_GB2312"/>
          <w:sz w:val="32"/>
          <w:szCs w:val="32"/>
          <w:lang w:val="en-US" w:eastAsia="zh-CN"/>
        </w:rPr>
        <w:t>预算1.00万元，决算0.64万元，均控制在预算范围内。</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rPr>
        <w:t>大力推进西院北栋办公楼项目建设。厅西院北栋办公楼的维修改造是厅里的重点建设工作。为顺利推进项目建设进度，后勤中心成立了厅西院建设领导小组，加强对项目建设的组织领导。年内，积极配合协助省农业技术推广总站、省农业农村信息中心做好湖南省农业成果展示中心、农业农村大数据中心的深化设计和施工。组织对办公楼内部结构进行加固设计，拆除原酒店装修设施，按要求做好办公楼建筑结构安全鉴定和项目实施安全性认证。制定北栋办公楼基础维修改造整体设计方案，做好项目造价咨询确定造价，完成财评、招投标工作。制定具体施工方案，组织实施办公楼内部装修及强电、弱电、给排水、消防系统维修改造等。目前，办公楼内部的墙体施工基本完成，水、电、消防工程完成过半，预计2023年2月份基本完成办公楼的内部装修。与此同时，针对新建数据中心大楼供电负荷要求，我们对西院北栋办公楼的配电间实施单改双增容改造，供电负荷由原来的500千伏安增加到1600千伏安，已完成初步设计，并向湘江新区供电公司送达相关资料。</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履职效能</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rPr>
        <w:t>精心组织机关大院维修改造。今年厅机关大院维修改造项目多、建设任务十分重，我们克服困难，不等不靠，积极争取政策和资金，按规定程序完成了厅机关一办公楼屋顶翻新及电力线路改造、机关南向门楼维修、二办公楼屋面维修、三办公楼维修及防水工程、公物仓建设以及机关院内垃圾站建设等6个工程项目招投标工作。10月份有序组织施工，精心做好施工方案和应急预案，安排专人进行现场施工管理，妥善处理好院内消防应急、车辆停行管理以及干部职工投诉等焦点问题，保证施工进度和施工安全。目前已完成厅机关一办公楼屋项翻新、二办公楼屋面维修建设，公物仓、垃圾站正在建设，已完成90%工程进度。</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rPr>
        <w:t>抓严机关安全生产。坚持人民至上、生命至上的安全观，贯彻落实“三个必须”的责任要求，认真落实安全生产责任制，层层签订责任状落实主体责任，强化人防、物防、技防综合防控措施。年内，督促指导物业做好消防应急准备，组织消防演练3次、消防培训6次，每月定期对全院消防设施进行检查登记存档，做好消防器材的维护与更换，坚持安全巡查，全年处置了6起火灾隐患。加强对高空坠物问题的处置，安排专人排查清除二办公楼屋顶琉璃瓦松动108处，消除大院住宅楼和办公楼的外立面、屋顶等安全安全隐患251处。加强安全施工管理，明确专人负责机关院内施工现场管理，在施工期间，每日进行安全施工巡检，每周召集物业管理人员及施工队开一次安全生产分析碰头会，确保不发生安全生产事故。</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rPr>
        <w:t>规范机关公共事务管理。根据省机关事务管理局的工作要求，完善厅办公用房信息统计，建立完善我厅办公用房信息数据库，完成全厅机关办公用房信息统计上报及厅系统办公用房数据统计摸底，与省机关事务局签订厅机关办公用房使用协议。强化办公用房信息化动态管理，规范做好厅机关办公用房的调整及清查整改，为机关借调、借用、跟办学习人员及工作专班调整安排办公室19间，开展2次办公用房集中清理，完成厅机关40人27间办公室面积超标整改。 积极开展节能宣传和节水周、节能周、世界地球日的宣教活动，组织全厅相关工作人员参与云课堂学习和减塑限塑知识培训。推动厅直单位节能降耗项目的申报与改造，协助厅系统单位进行创建与节能资金申报，扶持省工贸学校申报了2022年节能改造项目，协助贺家山原种场完成2021年节能补助资金绩效自评工作。持续推进垃圾分类精细化管理，完善垃圾投放设施，监督利用好机关两院的环保小屋发挥作用。承接机关固定资产管理，制定了《厅机关固定资产管理办法》，配备公物仓，并逐步完善资产信息建设、盘点清查、处置与购置工作，协助各处室清查资产、处理报废固定资产23件，涉及资产帐面原资产288341元，增购固定资产67件，变更资产信息23件。加强公务车辆信息管理，厅机关公务用车派车全面进入湖南省公务车辆用车信息管理平台，实现公务车辆管理“全省一张网”，全年网上派车1264次，安全运行216469公里。年内按规定报废处置2台旧公务用车，购置2台新能源车。规范基建维修项目申报及资金使用管理，做好机关委托管理资金费用的代收代付，确保资金安全。严格执行《省农业农村厅机关食堂餐卡限额管理方案》，加强机关职工餐卡管理。加强劳务合同管理，每月按时做好机关车队和文印室劳务派遣人员薪酬、福利申报审核，及时办理2名临聘人员劳务派遣手续，规范劳务用工。做好物业合同管理工作，制定物业绩效量化考评方案，强化督促管理，机关物业社会化管理水平进一步提高。</w:t>
      </w:r>
    </w:p>
    <w:p>
      <w:pPr>
        <w:spacing w:line="560" w:lineRule="exact"/>
        <w:ind w:firstLine="627" w:firstLineChars="196"/>
        <w:rPr>
          <w:rFonts w:hint="eastAsia" w:ascii="仿宋" w:hAnsi="仿宋" w:eastAsia="仿宋" w:cs="Times New Roman"/>
          <w:sz w:val="32"/>
          <w:szCs w:val="32"/>
        </w:rPr>
      </w:pPr>
      <w:r>
        <w:rPr>
          <w:rFonts w:hint="eastAsia" w:ascii="仿宋" w:hAnsi="仿宋" w:eastAsia="仿宋" w:cs="Times New Roman"/>
          <w:sz w:val="32"/>
          <w:szCs w:val="32"/>
        </w:rPr>
        <w:t>强化后勤基础保障。认真抓好电力、动力设备运行保障，严格执行24小时值班制度，强化技能培训和操作运行管理规程，做好电力、空调主机、燃气锅炉、电梯等设备设施的维护维修，引进专业机构对相关设备进行维护、保养与应急抢修，签定11个专业维保合同，涉及维保金额30万元。加强日常巡检，全年共进行设备维护维修80余次，确保供电力及动力设备运行正常。</w:t>
      </w:r>
    </w:p>
    <w:p>
      <w:pPr>
        <w:spacing w:line="560" w:lineRule="exact"/>
        <w:ind w:firstLine="627" w:firstLineChars="196"/>
        <w:rPr>
          <w:rFonts w:ascii="仿宋" w:hAnsi="仿宋" w:eastAsia="仿宋"/>
          <w:color w:val="000000"/>
          <w:sz w:val="32"/>
          <w:szCs w:val="32"/>
        </w:rPr>
      </w:pPr>
      <w:r>
        <w:rPr>
          <w:rFonts w:hint="eastAsia" w:ascii="仿宋" w:hAnsi="仿宋" w:eastAsia="仿宋" w:cs="Times New Roman"/>
          <w:sz w:val="32"/>
          <w:szCs w:val="32"/>
        </w:rPr>
        <w:t>优化后勤日常服务。机关食堂合理调配膳食结构，丰富菜色品种，改善就餐环境，狠抓食品安全和卫生管理，全面更换一次性可降解餐具和开展反食品浪费宣传，为干部职工提供满意的餐饮服务。热心、细致为干部职工提供中医理疗、看病、测量和健康咨询等服务，医务室全年接诊1400人次，上门出诊98次。做好巡视服务保障工作，抽调3名同志进驻省委第八巡视组会务组开展2个月的服务保障工作，圆满完成任务。精心做好机关日常会议会务工作，全年提供各种大、中、小型会议服务1450余次，其中、接待省委副书记朱国贤、副省长张迎春等领导的调研会议7场次。认真做好厅长办公楼办公用品、办公家俱设备采购及日常茶水供应工作，做好厅机关干部职工公积金、医保汇邀及餐卡、电卡、水卡的制发工作。响应省委省政府扶贫政策，助力乡村振兴，积极配合厅机关完成乡村振兴馆、“832”平台2022年政府采购脱贫地区农副产品任务，发放乡村振兴馆扶贫物资共计461人次23.39万元。坚持每天做好机关大院及办公楼公共区域的保洁服务工作，定期做好机关绿化修剪及灭蚊灭蟑除虫打药工作，全年开展绿化修剪4次、大院公共区域消杀灭蚊5次、化粪池全面清理2次、灭鼠灭蟑螂各4次，确保机关环境整洁卫生。做好元旦、春节及国庆节机关大院美化、亮化布置工作，营造节日气氛。合理调配物业人员力量，为机关提供临时性搬运服务和其它劳务工作60余次。</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、社会效应</w:t>
      </w:r>
    </w:p>
    <w:p>
      <w:pPr>
        <w:pStyle w:val="16"/>
        <w:spacing w:line="560" w:lineRule="exact"/>
        <w:rPr>
          <w:rFonts w:ascii="仿宋" w:hAnsi="仿宋" w:eastAsia="仿宋"/>
          <w:bCs/>
          <w:sz w:val="32"/>
          <w:szCs w:val="32"/>
        </w:rPr>
      </w:pPr>
      <w:r>
        <w:rPr>
          <w:rFonts w:hint="eastAsia" w:ascii="仿宋" w:hAnsi="仿宋" w:eastAsia="仿宋"/>
          <w:sz w:val="32"/>
          <w:szCs w:val="32"/>
        </w:rPr>
        <w:t>年内与属地街道社区、派出所全程开展联防共建，共同维持</w:t>
      </w:r>
      <w:r>
        <w:rPr>
          <w:rFonts w:ascii="仿宋" w:hAnsi="仿宋" w:eastAsia="仿宋"/>
          <w:sz w:val="32"/>
          <w:szCs w:val="32"/>
        </w:rPr>
        <w:t>上访</w:t>
      </w:r>
      <w:r>
        <w:rPr>
          <w:rFonts w:hint="eastAsia" w:ascii="仿宋" w:hAnsi="仿宋" w:eastAsia="仿宋"/>
          <w:sz w:val="32"/>
          <w:szCs w:val="32"/>
        </w:rPr>
        <w:t>秩序85</w:t>
      </w:r>
      <w:r>
        <w:rPr>
          <w:rFonts w:ascii="仿宋" w:hAnsi="仿宋" w:eastAsia="仿宋"/>
          <w:sz w:val="32"/>
          <w:szCs w:val="32"/>
        </w:rPr>
        <w:t>起，</w:t>
      </w:r>
      <w:r>
        <w:rPr>
          <w:rFonts w:hint="eastAsia" w:ascii="仿宋" w:hAnsi="仿宋" w:eastAsia="仿宋"/>
          <w:sz w:val="32"/>
          <w:szCs w:val="32"/>
        </w:rPr>
        <w:t>在机关大院内保障了多起省领导出席的活动。</w:t>
      </w:r>
      <w:r>
        <w:rPr>
          <w:rFonts w:hint="eastAsia" w:ascii="仿宋" w:hAnsi="仿宋" w:eastAsia="仿宋" w:cs="Times New Roman"/>
          <w:bCs/>
          <w:sz w:val="32"/>
          <w:szCs w:val="32"/>
        </w:rPr>
        <w:t>协助厅安委会做好机关大院信访维稳处突工作，全年</w:t>
      </w:r>
      <w:r>
        <w:rPr>
          <w:rFonts w:hint="eastAsia" w:ascii="仿宋" w:hAnsi="仿宋" w:eastAsia="仿宋" w:cs="Times New Roman"/>
          <w:sz w:val="32"/>
          <w:szCs w:val="32"/>
        </w:rPr>
        <w:t>有效引导劝导集体来访人员35批400多人次，处置冲突事件3次，</w:t>
      </w:r>
      <w:r>
        <w:rPr>
          <w:rFonts w:hint="eastAsia" w:ascii="仿宋" w:hAnsi="仿宋" w:eastAsia="仿宋"/>
          <w:sz w:val="32"/>
          <w:szCs w:val="32"/>
        </w:rPr>
        <w:t>处理车辆刮蹭纠纷10起，</w:t>
      </w:r>
      <w:r>
        <w:rPr>
          <w:rFonts w:hint="eastAsia" w:ascii="仿宋" w:hAnsi="仿宋" w:eastAsia="仿宋" w:cs="Times New Roman"/>
          <w:sz w:val="32"/>
          <w:szCs w:val="32"/>
        </w:rPr>
        <w:t>调解纠纷6起，主动对接公安派出所消除非规范、无效110报警2起。</w:t>
      </w:r>
    </w:p>
    <w:p>
      <w:pPr>
        <w:pStyle w:val="10"/>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可持续发展能力</w:t>
      </w:r>
    </w:p>
    <w:p>
      <w:pPr>
        <w:spacing w:line="560" w:lineRule="exact"/>
        <w:ind w:firstLine="640" w:firstLineChars="200"/>
        <w:rPr>
          <w:rFonts w:ascii="仿宋" w:hAnsi="仿宋" w:eastAsia="仿宋" w:cs="宋体"/>
          <w:sz w:val="32"/>
          <w:szCs w:val="32"/>
        </w:rPr>
      </w:pPr>
      <w:r>
        <w:rPr>
          <w:rFonts w:hint="eastAsia" w:ascii="仿宋" w:hAnsi="仿宋" w:eastAsia="仿宋" w:cs="仿宋"/>
          <w:sz w:val="32"/>
          <w:szCs w:val="32"/>
        </w:rPr>
        <w:t>农业厅机关大院是建于上世纪70—90年代的老旧小区，基础设施严重老化，居住环境和条件相对较差，干部职工意见很大，多次要求进行修缮。今年年初，</w:t>
      </w:r>
      <w:r>
        <w:rPr>
          <w:rFonts w:hint="eastAsia" w:ascii="仿宋" w:hAnsi="仿宋" w:eastAsia="仿宋" w:cs="仿宋"/>
          <w:sz w:val="32"/>
          <w:szCs w:val="32"/>
          <w:lang w:val="en-US" w:eastAsia="zh-CN"/>
        </w:rPr>
        <w:t>单位</w:t>
      </w:r>
      <w:r>
        <w:rPr>
          <w:rFonts w:hint="eastAsia" w:ascii="仿宋" w:hAnsi="仿宋" w:eastAsia="仿宋" w:cs="仿宋"/>
          <w:sz w:val="32"/>
          <w:szCs w:val="32"/>
        </w:rPr>
        <w:t>根据开福区城市人居环境局《关于组织2022年老旧小区改造入户调查和改造申请的通知》，主动与望麓园街道中山路社区联系，多次召集机关物业及小区业主开会协商， 组织发放</w:t>
      </w:r>
      <w:r>
        <w:rPr>
          <w:rFonts w:hint="eastAsia" w:ascii="仿宋" w:hAnsi="仿宋" w:eastAsia="仿宋" w:cs="宋体"/>
          <w:sz w:val="32"/>
          <w:szCs w:val="32"/>
        </w:rPr>
        <w:t>《长沙市老旧小区改造居民意愿调查问卷》，收集反馈问卷500多份，积极向区人居环境局提出书面申请，并配合完成现场踏勘和改造方案设计，为机关小区业主争取到了共3大类13小项约180万元的老旧小区提质改造资金。该项目是我厅机关多年来的一项重大民生工程，受到广大住户的热烈拥护和支持</w:t>
      </w:r>
      <w:r>
        <w:rPr>
          <w:rFonts w:hint="eastAsia" w:ascii="仿宋" w:hAnsi="仿宋" w:eastAsia="仿宋" w:cs="仿宋"/>
          <w:sz w:val="32"/>
          <w:szCs w:val="32"/>
        </w:rPr>
        <w:t>。年内，按长沙市住建局等部门的要求，支持机关小区住宿楼加装电梯，</w:t>
      </w:r>
      <w:r>
        <w:rPr>
          <w:rFonts w:hint="eastAsia" w:ascii="仿宋" w:hAnsi="仿宋" w:eastAsia="仿宋"/>
          <w:sz w:val="32"/>
          <w:szCs w:val="32"/>
        </w:rPr>
        <w:t>制定了《湖南省农业农村厅机关大院住加建电梯管理规定》、《家属区加装电梯物业服务协议》，认真听取电梯承建方、业主方及物业三方的意见与诉求，</w:t>
      </w:r>
      <w:r>
        <w:rPr>
          <w:rFonts w:hint="eastAsia" w:ascii="仿宋" w:hAnsi="仿宋" w:eastAsia="仿宋" w:cs="仿宋"/>
          <w:sz w:val="32"/>
          <w:szCs w:val="32"/>
        </w:rPr>
        <w:t>加强</w:t>
      </w:r>
      <w:r>
        <w:rPr>
          <w:rFonts w:hint="eastAsia" w:ascii="仿宋" w:hAnsi="仿宋" w:eastAsia="仿宋"/>
          <w:sz w:val="32"/>
          <w:szCs w:val="32"/>
        </w:rPr>
        <w:t>施工协调与安全管理服务工作,小区第一部自建电梯已建成运行。</w:t>
      </w:r>
    </w:p>
    <w:p>
      <w:pPr>
        <w:pStyle w:val="10"/>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0"/>
        <w:keepNext w:val="0"/>
        <w:keepLines w:val="0"/>
        <w:pageBreakBefore w:val="0"/>
        <w:widowControl w:val="0"/>
        <w:numPr>
          <w:ilvl w:val="0"/>
          <w:numId w:val="0"/>
        </w:numPr>
        <w:kinsoku/>
        <w:wordWrap/>
        <w:overflowPunct/>
        <w:topLinePunct w:val="0"/>
        <w:bidi w:val="0"/>
        <w:snapToGrid/>
        <w:spacing w:line="600" w:lineRule="exact"/>
        <w:ind w:left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通过各项工作的开展，服务对象和社会公众满意度在90%以上。</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固定资产年末有个别资产账实不符，开成的原因是本年有台式电脑按规定上交机关事务局后因未及时取得机关事务局的处置单未及时进行报废处理</w:t>
      </w:r>
      <w:r>
        <w:rPr>
          <w:rFonts w:hint="eastAsia" w:ascii="Times New Roman" w:hAnsi="Times New Roman" w:eastAsia="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下一步改进措施：与机关事务局沟通，取得处置单据后进行报废处理。</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基本支出：指为保障机构正常运转、完成日常工作任务而发生的各项支出，包括人员支出和公用支出。</w:t>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 xml:space="preserve">项目支出：指在基本支出以外为完成相关行政任务和事业发展目标所发生的各项支出。 </w:t>
      </w:r>
    </w:p>
    <w:p>
      <w:pPr>
        <w:pStyle w:val="10"/>
        <w:ind w:firstLine="640" w:firstLineChars="200"/>
        <w:rPr>
          <w:sz w:val="72"/>
          <w:szCs w:val="72"/>
        </w:rPr>
      </w:pPr>
      <w:r>
        <w:rPr>
          <w:rFonts w:hint="eastAsia" w:ascii="仿宋" w:hAnsi="仿宋" w:eastAsia="仿宋" w:cs="黑体"/>
          <w:bCs/>
          <w:color w:val="000000"/>
          <w:kern w:val="0"/>
          <w:sz w:val="32"/>
          <w:szCs w:val="32"/>
          <w:lang w:val="en-US" w:eastAsia="zh-CN" w:bidi="ar-SA"/>
        </w:rPr>
        <w:t>三、“三公”经费:纳入省财政预算管理的“三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2000000000000000000"/>
    <w:charset w:val="86"/>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DE2A6C"/>
    <w:multiLevelType w:val="singleLevel"/>
    <w:tmpl w:val="BCDE2A6C"/>
    <w:lvl w:ilvl="0" w:tentative="0">
      <w:start w:val="1"/>
      <w:numFmt w:val="chineseCounting"/>
      <w:suff w:val="nothing"/>
      <w:lvlText w:val="%1、"/>
      <w:lvlJc w:val="left"/>
      <w:rPr>
        <w:rFonts w:hint="eastAsia"/>
      </w:rPr>
    </w:lvl>
  </w:abstractNum>
  <w:abstractNum w:abstractNumId="1">
    <w:nsid w:val="C43F7D0C"/>
    <w:multiLevelType w:val="singleLevel"/>
    <w:tmpl w:val="C43F7D0C"/>
    <w:lvl w:ilvl="0" w:tentative="0">
      <w:start w:val="5"/>
      <w:numFmt w:val="decimal"/>
      <w:suff w:val="nothing"/>
      <w:lvlText w:val="%1、"/>
      <w:lvlJc w:val="left"/>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66D5287"/>
    <w:multiLevelType w:val="singleLevel"/>
    <w:tmpl w:val="366D5287"/>
    <w:lvl w:ilvl="0" w:tentative="0">
      <w:start w:val="7"/>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94A36"/>
    <w:rsid w:val="11274AD8"/>
    <w:rsid w:val="1A3E699D"/>
    <w:rsid w:val="22B443F0"/>
    <w:rsid w:val="2A4D218C"/>
    <w:rsid w:val="31760F22"/>
    <w:rsid w:val="3D9C64C5"/>
    <w:rsid w:val="40BD4BD4"/>
    <w:rsid w:val="4E8E3BDE"/>
    <w:rsid w:val="50B035F5"/>
    <w:rsid w:val="5F6C570A"/>
    <w:rsid w:val="6EC957A8"/>
    <w:rsid w:val="6F3C4584"/>
    <w:rsid w:val="71E30A3D"/>
    <w:rsid w:val="76145F5F"/>
    <w:rsid w:val="77220A24"/>
    <w:rsid w:val="792A6038"/>
    <w:rsid w:val="7DCF5B26"/>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 w:type="paragraph" w:customStyle="1" w:styleId="16">
    <w:name w:val="列表段落"/>
    <w:basedOn w:val="17"/>
    <w:qFormat/>
    <w:uiPriority w:val="34"/>
    <w:pPr>
      <w:ind w:firstLine="420"/>
    </w:pPr>
  </w:style>
  <w:style w:type="paragraph" w:customStyle="1" w:styleId="17">
    <w:name w:val="正文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c5c2706-774a-4038-afb8-12aa19507b92}">
  <ds:schemaRefs/>
</ds:datastoreItem>
</file>

<file path=customXml/itemProps2.xml><?xml version="1.0" encoding="utf-8"?>
<ds:datastoreItem xmlns:ds="http://schemas.openxmlformats.org/officeDocument/2006/customXml" ds:itemID="{0f1839d1-9776-44a7-ac7b-b7ba95b23fc7}">
  <ds:schemaRefs/>
</ds:datastoreItem>
</file>

<file path=customXml/itemProps3.xml><?xml version="1.0" encoding="utf-8"?>
<ds:datastoreItem xmlns:ds="http://schemas.openxmlformats.org/officeDocument/2006/customXml" ds:itemID="{4971a472-efd6-4715-b34d-11d20636eada}">
  <ds:schemaRefs/>
</ds:datastoreItem>
</file>

<file path=customXml/itemProps4.xml><?xml version="1.0" encoding="utf-8"?>
<ds:datastoreItem xmlns:ds="http://schemas.openxmlformats.org/officeDocument/2006/customXml" ds:itemID="{0bc663c9-fefb-4cf9-bd66-a1ce4eac349a}">
  <ds:schemaRefs/>
</ds:datastoreItem>
</file>

<file path=customXml/itemProps5.xml><?xml version="1.0" encoding="utf-8"?>
<ds:datastoreItem xmlns:ds="http://schemas.openxmlformats.org/officeDocument/2006/customXml" ds:itemID="{394121ff-ac24-4a4c-b43d-1d51595b3d0d}">
  <ds:schemaRefs/>
</ds:datastoreItem>
</file>

<file path=customXml/itemProps6.xml><?xml version="1.0" encoding="utf-8"?>
<ds:datastoreItem xmlns:ds="http://schemas.openxmlformats.org/officeDocument/2006/customXml" ds:itemID="{2d70c65d-7486-40ec-b2d4-335670ba4c86}">
  <ds:schemaRefs/>
</ds:datastoreItem>
</file>

<file path=customXml/itemProps7.xml><?xml version="1.0" encoding="utf-8"?>
<ds:datastoreItem xmlns:ds="http://schemas.openxmlformats.org/officeDocument/2006/customXml" ds:itemID="{5b325885-1479-47f9-b3ed-6604c577c40a}">
  <ds:schemaRefs/>
</ds:datastoreItem>
</file>

<file path=customXml/itemProps8.xml><?xml version="1.0" encoding="utf-8"?>
<ds:datastoreItem xmlns:ds="http://schemas.openxmlformats.org/officeDocument/2006/customXml" ds:itemID="{58d8d813-6529-40b1-ae0e-e2a9df28a3a2}">
  <ds:schemaRefs/>
</ds:datastoreItem>
</file>

<file path=customXml/itemProps9.xml><?xml version="1.0" encoding="utf-8"?>
<ds:datastoreItem xmlns:ds="http://schemas.openxmlformats.org/officeDocument/2006/customXml" ds:itemID="{287da36d-c728-4742-b57f-bc2fa86b1b9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2023-11-01T12:46:18Z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