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湖南省农作物良种引进示范中心</w:t>
      </w:r>
      <w:r>
        <w:rPr>
          <w:rFonts w:hint="eastAsia" w:ascii="方正小标宋_GBK" w:hAnsi="方正小标宋_GBK" w:eastAsia="方正小标宋_GBK" w:cs="方正小标宋_GBK"/>
          <w:sz w:val="84"/>
          <w:szCs w:val="84"/>
        </w:rPr>
        <w:t>部门决算</w:t>
      </w: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jc w:val="center"/>
        <w:rPr>
          <w:b/>
          <w:sz w:val="36"/>
          <w:szCs w:val="28"/>
        </w:rPr>
      </w:pPr>
      <w:r>
        <w:rPr>
          <w:rFonts w:hint="eastAsia"/>
          <w:b/>
          <w:sz w:val="36"/>
          <w:szCs w:val="28"/>
        </w:rPr>
        <w:t>目录</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湖南省农作物良种引进示范中心</w:t>
      </w:r>
      <w:r>
        <w:rPr>
          <w:rFonts w:hint="eastAsia" w:ascii="黑体" w:hAnsi="黑体" w:eastAsia="黑体" w:cs="黑体"/>
          <w:b w:val="0"/>
          <w:bCs/>
          <w:sz w:val="28"/>
          <w:szCs w:val="28"/>
        </w:rPr>
        <w:t>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湖南省农作物良种引进示范中心</w:t>
      </w:r>
      <w:r>
        <w:rPr>
          <w:rFonts w:hint="eastAsia" w:ascii="方正小标宋_GBK" w:hAnsi="方正小标宋_GBK" w:eastAsia="方正小标宋_GBK" w:cs="方正小标宋_GBK"/>
          <w:sz w:val="84"/>
          <w:szCs w:val="84"/>
        </w:rPr>
        <w:t>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24"/>
          <w:szCs w:val="24"/>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制定省级农作物品种区域试验实施方案和工作计划，完成省级区域试验数据资料的汇总工作。常年完成水稻、玉米、棉花等共180个以上区试样品收集、整理、编密、寄送工作，完成国家标准样品分类、包装和上交工作。参与全省水稻区试点测产和试验点专家考察任务。与全省各区试承担单位签订区</w:t>
      </w:r>
      <w:r>
        <w:rPr>
          <w:rFonts w:hint="eastAsia" w:ascii="Times New Roman" w:hAnsi="Times New Roman" w:eastAsia="仿宋_GB2312" w:cs="仿宋_GB2312"/>
          <w:sz w:val="32"/>
          <w:szCs w:val="32"/>
          <w:lang w:eastAsia="zh-CN"/>
        </w:rPr>
        <w:t>域</w:t>
      </w:r>
      <w:r>
        <w:rPr>
          <w:rFonts w:hint="eastAsia" w:ascii="Times New Roman" w:hAnsi="Times New Roman" w:eastAsia="仿宋_GB2312" w:cs="仿宋_GB2312"/>
          <w:sz w:val="32"/>
          <w:szCs w:val="32"/>
        </w:rPr>
        <w:t>试验合同，支付试验费。每年撰写100万字左右的试验总结报告。</w:t>
      </w:r>
    </w:p>
    <w:p>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承担国家和省级农业行政主管部门下达的农作物新品种区域试验任务。在永安试验站承担早稻区域试验、中稻迟熟二组区域试验、晚稻区域试验、水稻高、低温鉴定试验；承担普通玉米区域试验；开展“镉低积累水稻品种大田验证试验”。按照试验方案要求开展试验、观察记载，获取全面、准确的试验数据。</w:t>
      </w:r>
    </w:p>
    <w:p>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（三）品种登记工作。受省种子管理服务站的委托承担非主要农作物品种登记材料的受理和初步审查工作，每年向农业部上报完成省级初步审查的品种80个以上，完成登记程序并取得登记证书的品种50个左右。</w:t>
      </w:r>
    </w:p>
    <w:p>
      <w:pPr>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四）承担我省农作物新品种的引进和展示示范工作，推广农作物新品种；承担国外引进良种的隔离试种、试验工作；承担湖南省新品种区试基地的日常管理工作；完成省种子管理服务站及有关部门交办的其他工作。…</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ind w:firstLine="640" w:firstLineChars="200"/>
        <w:rPr>
          <w:rFonts w:ascii="仿宋" w:hAnsi="仿宋" w:eastAsia="仿宋"/>
          <w:color w:val="auto"/>
          <w:sz w:val="32"/>
          <w:szCs w:val="32"/>
        </w:rPr>
      </w:pPr>
      <w:r>
        <w:rPr>
          <w:rFonts w:hint="eastAsia" w:ascii="Times New Roman" w:hAnsi="Times New Roman" w:eastAsia="仿宋_GB2312" w:cs="仿宋_GB2312"/>
          <w:bCs/>
          <w:kern w:val="0"/>
          <w:sz w:val="32"/>
          <w:szCs w:val="32"/>
        </w:rPr>
        <w:t>（一）内设机构设置。</w:t>
      </w:r>
      <w:r>
        <w:rPr>
          <w:rFonts w:hint="eastAsia" w:ascii="仿宋" w:hAnsi="仿宋" w:eastAsia="仿宋"/>
          <w:color w:val="auto"/>
          <w:sz w:val="32"/>
          <w:szCs w:val="32"/>
        </w:rPr>
        <w:t>湖南省农作物良种引进示范中心内设机构包括：综合财务科，品种试验科，示范推广科等三个科室。</w:t>
      </w:r>
    </w:p>
    <w:p>
      <w:pPr>
        <w:widowControl/>
        <w:spacing w:line="600" w:lineRule="exact"/>
        <w:ind w:firstLine="640" w:firstLineChars="200"/>
        <w:rPr>
          <w:rFonts w:hint="eastAsia" w:ascii="仿宋_GB2312" w:eastAsia="仿宋_GB2312" w:hAnsiTheme="minorEastAsia"/>
          <w:sz w:val="28"/>
          <w:szCs w:val="32"/>
          <w:lang w:eastAsia="zh-CN"/>
        </w:rPr>
      </w:pPr>
      <w:r>
        <w:rPr>
          <w:rFonts w:hint="eastAsia" w:ascii="Times New Roman" w:hAnsi="Times New Roman" w:eastAsia="仿宋_GB2312" w:cs="仿宋_GB2312"/>
          <w:bCs/>
          <w:kern w:val="0"/>
          <w:sz w:val="32"/>
          <w:szCs w:val="32"/>
        </w:rPr>
        <w:t>（二）决算单位构成。</w:t>
      </w:r>
      <w:r>
        <w:rPr>
          <w:rFonts w:hint="eastAsia" w:ascii="仿宋" w:hAnsi="仿宋" w:eastAsia="仿宋"/>
          <w:color w:val="auto"/>
          <w:sz w:val="32"/>
          <w:szCs w:val="32"/>
        </w:rPr>
        <w:t>湖南省农作物良种引进示范中心</w:t>
      </w:r>
      <w:r>
        <w:rPr>
          <w:rFonts w:hint="eastAsia" w:ascii="Times New Roman" w:hAnsi="Times New Roman" w:eastAsia="仿宋_GB2312" w:cs="仿宋_GB2312"/>
          <w:bCs/>
          <w:kern w:val="0"/>
          <w:sz w:val="32"/>
          <w:szCs w:val="32"/>
        </w:rPr>
        <w:t>202</w:t>
      </w:r>
      <w:r>
        <w:rPr>
          <w:rFonts w:hint="eastAsia" w:ascii="Times New Roman" w:hAnsi="Times New Roman" w:eastAsia="仿宋_GB2312" w:cs="仿宋_GB2312"/>
          <w:bCs/>
          <w:kern w:val="0"/>
          <w:sz w:val="32"/>
          <w:szCs w:val="32"/>
          <w:lang w:val="en-US" w:eastAsia="zh-CN"/>
        </w:rPr>
        <w:t>2</w:t>
      </w:r>
      <w:r>
        <w:rPr>
          <w:rFonts w:hint="eastAsia" w:ascii="Times New Roman" w:hAnsi="Times New Roman" w:eastAsia="仿宋_GB2312" w:cs="仿宋_GB2312"/>
          <w:bCs/>
          <w:kern w:val="0"/>
          <w:sz w:val="32"/>
          <w:szCs w:val="32"/>
        </w:rPr>
        <w:t>年部门决算汇总公开单位构成包括：</w:t>
      </w:r>
      <w:r>
        <w:rPr>
          <w:rFonts w:hint="eastAsia" w:ascii="仿宋" w:hAnsi="仿宋" w:eastAsia="仿宋"/>
          <w:color w:val="auto"/>
          <w:sz w:val="32"/>
          <w:szCs w:val="32"/>
        </w:rPr>
        <w:t>湖南省农作物良种引进示范中心</w:t>
      </w:r>
      <w:r>
        <w:rPr>
          <w:rFonts w:hint="eastAsia" w:ascii="Times New Roman" w:hAnsi="Times New Roman" w:eastAsia="仿宋_GB2312" w:cs="仿宋_GB2312"/>
          <w:bCs/>
          <w:kern w:val="0"/>
          <w:sz w:val="32"/>
          <w:szCs w:val="32"/>
        </w:rPr>
        <w:t>本级</w:t>
      </w:r>
      <w:r>
        <w:rPr>
          <w:rFonts w:hint="eastAsia" w:ascii="Times New Roman" w:hAnsi="Times New Roman" w:eastAsia="仿宋_GB2312" w:cs="仿宋_GB2312"/>
          <w:bCs/>
          <w:kern w:val="0"/>
          <w:sz w:val="32"/>
          <w:szCs w:val="32"/>
          <w:lang w:eastAsia="zh-CN"/>
        </w:rPr>
        <w:t>。</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drawing>
          <wp:inline distT="0" distB="0" distL="114300" distR="114300">
            <wp:extent cx="9237345" cy="6511925"/>
            <wp:effectExtent l="0" t="0" r="8255" b="3175"/>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4"/>
                    <a:stretch>
                      <a:fillRect/>
                    </a:stretch>
                  </pic:blipFill>
                  <pic:spPr>
                    <a:xfrm>
                      <a:off x="0" y="0"/>
                      <a:ext cx="9237345" cy="6511925"/>
                    </a:xfrm>
                    <a:prstGeom prst="rect">
                      <a:avLst/>
                    </a:prstGeom>
                    <a:noFill/>
                    <a:ln>
                      <a:noFill/>
                    </a:ln>
                  </pic:spPr>
                </pic:pic>
              </a:graphicData>
            </a:graphic>
          </wp:inline>
        </w:drawing>
      </w:r>
      <w:r>
        <w:br w:type="page"/>
      </w:r>
    </w:p>
    <w:p>
      <w:pPr>
        <w:widowControl/>
        <w:rPr>
          <w:rFonts w:ascii="Times New Roman" w:hAnsi="Times New Roman" w:eastAsia="方正小标宋_GBK" w:cs="Times New Roman"/>
          <w:color w:val="000000"/>
          <w:kern w:val="0"/>
          <w:sz w:val="36"/>
          <w:szCs w:val="36"/>
        </w:rPr>
      </w:pPr>
      <w:r>
        <w:drawing>
          <wp:inline distT="0" distB="0" distL="114300" distR="114300">
            <wp:extent cx="9769475" cy="4027170"/>
            <wp:effectExtent l="0" t="0" r="9525"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9769475" cy="4027170"/>
                    </a:xfrm>
                    <a:prstGeom prst="rect">
                      <a:avLst/>
                    </a:prstGeom>
                    <a:noFill/>
                    <a:ln>
                      <a:noFill/>
                    </a:ln>
                  </pic:spPr>
                </pic:pic>
              </a:graphicData>
            </a:graphic>
          </wp:inline>
        </w:drawing>
      </w:r>
    </w:p>
    <w:p>
      <w:pPr>
        <w:widowControl/>
        <w:jc w:val="both"/>
        <w:rPr>
          <w:rFonts w:ascii="Times New Roman" w:hAnsi="Times New Roman" w:eastAsia="方正小标宋_GBK" w:cs="Times New Roman"/>
          <w:color w:val="000000"/>
          <w:kern w:val="0"/>
          <w:sz w:val="36"/>
          <w:szCs w:val="21"/>
        </w:rPr>
      </w:pPr>
    </w:p>
    <w:p>
      <w:pPr>
        <w:widowControl/>
        <w:jc w:val="left"/>
        <w:rPr>
          <w:rFonts w:ascii="Times New Roman" w:hAnsi="Times New Roman" w:eastAsia="仿宋_GB2312" w:cs="Times New Roman"/>
          <w:bCs/>
          <w:kern w:val="0"/>
          <w:szCs w:val="21"/>
        </w:rPr>
      </w:pPr>
      <w:bookmarkStart w:id="0" w:name="RANGE!A1:I22"/>
      <w:bookmarkEnd w:id="0"/>
    </w:p>
    <w:p>
      <w:pPr>
        <w:widowControl/>
        <w:jc w:val="left"/>
        <w:rPr>
          <w:rFonts w:ascii="Times New Roman" w:hAnsi="Times New Roman" w:eastAsia="仿宋_GB2312" w:cs="Times New Roman"/>
          <w:bCs/>
          <w:kern w:val="0"/>
          <w:szCs w:val="21"/>
        </w:rPr>
      </w:pPr>
      <w:r>
        <w:br w:type="page"/>
      </w:r>
      <w:r>
        <w:drawing>
          <wp:inline distT="0" distB="0" distL="114300" distR="114300">
            <wp:extent cx="9150350" cy="4394200"/>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9150350" cy="4394200"/>
                    </a:xfrm>
                    <a:prstGeom prst="rect">
                      <a:avLst/>
                    </a:prstGeom>
                    <a:noFill/>
                    <a:ln>
                      <a:noFill/>
                    </a:ln>
                  </pic:spPr>
                </pic:pic>
              </a:graphicData>
            </a:graphic>
          </wp:inline>
        </w:drawing>
      </w:r>
      <w:r>
        <w:drawing>
          <wp:inline distT="0" distB="0" distL="114300" distR="114300">
            <wp:extent cx="9347835" cy="6562725"/>
            <wp:effectExtent l="0" t="0" r="12065"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9347835" cy="6562725"/>
                    </a:xfrm>
                    <a:prstGeom prst="rect">
                      <a:avLst/>
                    </a:prstGeom>
                    <a:noFill/>
                    <a:ln>
                      <a:noFill/>
                    </a:ln>
                  </pic:spPr>
                </pic:pic>
              </a:graphicData>
            </a:graphic>
          </wp:inline>
        </w:drawing>
      </w:r>
      <w:r>
        <w:drawing>
          <wp:inline distT="0" distB="0" distL="114300" distR="114300">
            <wp:extent cx="9086850" cy="4375150"/>
            <wp:effectExtent l="0" t="0" r="635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9086850" cy="4375150"/>
                    </a:xfrm>
                    <a:prstGeom prst="rect">
                      <a:avLst/>
                    </a:prstGeom>
                    <a:noFill/>
                    <a:ln>
                      <a:noFill/>
                    </a:ln>
                  </pic:spPr>
                </pic:pic>
              </a:graphicData>
            </a:graphic>
          </wp:inline>
        </w:drawing>
      </w:r>
      <w:r>
        <w:drawing>
          <wp:inline distT="0" distB="0" distL="114300" distR="114300">
            <wp:extent cx="9777095" cy="6113780"/>
            <wp:effectExtent l="0" t="0" r="1905" b="762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9"/>
                    <a:stretch>
                      <a:fillRect/>
                    </a:stretch>
                  </pic:blipFill>
                  <pic:spPr>
                    <a:xfrm>
                      <a:off x="0" y="0"/>
                      <a:ext cx="9777095" cy="6113780"/>
                    </a:xfrm>
                    <a:prstGeom prst="rect">
                      <a:avLst/>
                    </a:prstGeom>
                    <a:noFill/>
                    <a:ln>
                      <a:noFill/>
                    </a:ln>
                  </pic:spPr>
                </pic:pic>
              </a:graphicData>
            </a:graphic>
          </wp:inline>
        </w:drawing>
      </w:r>
    </w:p>
    <w:tbl>
      <w:tblPr>
        <w:tblStyle w:val="7"/>
        <w:tblW w:w="15614" w:type="dxa"/>
        <w:tblInd w:w="0" w:type="dxa"/>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gridCol w:w="254"/>
      </w:tblGrid>
      <w:tr>
        <w:tblPrEx>
          <w:tblLayout w:type="fixed"/>
          <w:tblCellMar>
            <w:top w:w="0" w:type="dxa"/>
            <w:left w:w="108" w:type="dxa"/>
            <w:bottom w:w="0" w:type="dxa"/>
            <w:right w:w="108" w:type="dxa"/>
          </w:tblCellMar>
        </w:tblPrEx>
        <w:trPr>
          <w:trHeight w:val="113" w:hRule="atLeast"/>
        </w:trPr>
        <w:tc>
          <w:tcPr>
            <w:tcW w:w="15614" w:type="dxa"/>
            <w:gridSpan w:val="10"/>
            <w:tcBorders>
              <w:top w:val="nil"/>
              <w:left w:val="nil"/>
              <w:bottom w:val="nil"/>
              <w:right w:val="nil"/>
            </w:tcBorders>
            <w:shd w:val="clear" w:color="auto" w:fill="auto"/>
            <w:noWrap/>
            <w:vAlign w:val="center"/>
          </w:tcPr>
          <w:p>
            <w:pPr>
              <w:widowControl/>
              <w:jc w:val="right"/>
              <w:rPr>
                <w:rFonts w:ascii="华文中宋" w:hAnsi="华文中宋" w:eastAsia="华文中宋" w:cs="宋体"/>
                <w:color w:val="000000"/>
                <w:kern w:val="0"/>
                <w:szCs w:val="32"/>
              </w:rPr>
            </w:pPr>
          </w:p>
          <w:p>
            <w:pPr>
              <w:widowControl/>
              <w:jc w:val="right"/>
              <w:rPr>
                <w:rFonts w:ascii="华文中宋" w:hAnsi="华文中宋" w:eastAsia="华文中宋" w:cs="宋体"/>
                <w:color w:val="000000"/>
                <w:kern w:val="0"/>
                <w:szCs w:val="32"/>
              </w:rPr>
            </w:pPr>
          </w:p>
          <w:p>
            <w:pPr>
              <w:widowControl/>
              <w:jc w:val="right"/>
              <w:rPr>
                <w:rFonts w:ascii="华文中宋" w:hAnsi="华文中宋" w:eastAsia="华文中宋" w:cs="宋体"/>
                <w:color w:val="000000"/>
                <w:kern w:val="0"/>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90" w:hRule="atLeast"/>
        </w:trPr>
        <w:tc>
          <w:tcPr>
            <w:tcW w:w="15360" w:type="dxa"/>
            <w:gridSpan w:val="9"/>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345" w:hRule="atLeast"/>
        </w:trPr>
        <w:tc>
          <w:tcPr>
            <w:tcW w:w="1003"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40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90" w:hRule="atLeast"/>
        </w:trPr>
        <w:tc>
          <w:tcPr>
            <w:tcW w:w="4764" w:type="dxa"/>
            <w:gridSpan w:val="4"/>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部门：湖南省农作物良种引进示范中心</w:t>
            </w: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Style w:val="15"/>
                <w:lang w:val="en-US" w:eastAsia="zh-CN"/>
              </w:rPr>
              <w:t xml:space="preserve">   </w:t>
            </w:r>
            <w:r>
              <w:rPr>
                <w:rStyle w:val="16"/>
                <w:lang w:val="en-US" w:eastAsia="zh-CN"/>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725" w:hRule="atLeast"/>
        </w:trPr>
        <w:tc>
          <w:tcPr>
            <w:tcW w:w="1536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tbl>
      <w:tblPr>
        <w:tblStyle w:val="7"/>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部门：湖南省农作物良种引进示范中心</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Fonts w:hint="eastAsia" w:ascii="宋体" w:hAnsi="宋体" w:eastAsia="宋体" w:cs="宋体"/>
                <w:i w:val="0"/>
                <w:color w:val="000000"/>
                <w:kern w:val="0"/>
                <w:sz w:val="22"/>
                <w:szCs w:val="22"/>
                <w:u w:val="none"/>
                <w:lang w:val="en-US" w:eastAsia="zh-CN"/>
              </w:rPr>
              <w:t xml:space="preserve">   </w:t>
            </w:r>
            <w:r>
              <w:rPr>
                <w:rStyle w:val="17"/>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rPr>
      </w:pPr>
    </w:p>
    <w:tbl>
      <w:tblPr>
        <w:tblStyle w:val="7"/>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部门：湖南省农作物良种引进示范中心</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0.33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0.33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576.68</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25.56</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4.64</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年初结转结余增加。</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527.33</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527.33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484.89</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280.82</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57.92</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204.06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42.08</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keepNext w:val="0"/>
        <w:keepLines w:val="0"/>
        <w:pageBreakBefore w:val="0"/>
        <w:widowControl w:val="0"/>
        <w:kinsoku/>
        <w:wordWrap/>
        <w:overflowPunct/>
        <w:topLinePunct w:val="0"/>
        <w:bidi w:val="0"/>
        <w:snapToGrid/>
        <w:spacing w:line="60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569.97</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25.61</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4.70</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年初结转结余增加。</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484.74</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99.97</w:t>
      </w:r>
      <w:r>
        <w:rPr>
          <w:rFonts w:hint="eastAsia" w:ascii="Times New Roman" w:hAnsi="Times New Roman" w:eastAsia="仿宋_GB2312"/>
          <w:sz w:val="32"/>
          <w:szCs w:val="32"/>
        </w:rPr>
        <w:t>%，与上年相比，财政拨款支出增加</w:t>
      </w:r>
      <w:r>
        <w:rPr>
          <w:rFonts w:hint="eastAsia" w:ascii="Times New Roman" w:hAnsi="Times New Roman" w:eastAsia="仿宋_GB2312"/>
          <w:sz w:val="32"/>
          <w:szCs w:val="32"/>
          <w:lang w:val="en-US" w:eastAsia="zh-CN"/>
        </w:rPr>
        <w:t>11.46</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2.42</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年中追加绩效奖金。</w:t>
      </w:r>
    </w:p>
    <w:p>
      <w:pPr>
        <w:pStyle w:val="12"/>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484.74</w:t>
      </w:r>
      <w:r>
        <w:rPr>
          <w:rFonts w:hint="eastAsia" w:ascii="Times New Roman" w:hAnsi="Times New Roman" w:eastAsia="仿宋_GB2312"/>
          <w:sz w:val="32"/>
          <w:szCs w:val="32"/>
        </w:rPr>
        <w:t>万元，主要用于以下方面：社会保障和就业（类）支出</w:t>
      </w:r>
      <w:r>
        <w:rPr>
          <w:rFonts w:hint="eastAsia" w:ascii="Times New Roman" w:hAnsi="Times New Roman" w:eastAsia="仿宋_GB2312"/>
          <w:sz w:val="32"/>
          <w:szCs w:val="32"/>
          <w:lang w:val="en-US" w:eastAsia="zh-CN"/>
        </w:rPr>
        <w:t>16.93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3.49</w:t>
      </w:r>
      <w:r>
        <w:rPr>
          <w:rFonts w:hint="eastAsia" w:ascii="Times New Roman" w:hAnsi="Times New Roman" w:eastAsia="仿宋_GB2312"/>
          <w:sz w:val="32"/>
          <w:szCs w:val="32"/>
        </w:rPr>
        <w:t>%；农林水（类）支出</w:t>
      </w:r>
      <w:r>
        <w:rPr>
          <w:rFonts w:hint="eastAsia" w:ascii="Times New Roman" w:hAnsi="Times New Roman" w:eastAsia="仿宋_GB2312"/>
          <w:sz w:val="32"/>
          <w:szCs w:val="32"/>
          <w:lang w:val="en-US" w:eastAsia="zh-CN"/>
        </w:rPr>
        <w:t>446.41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92.09</w:t>
      </w:r>
      <w:r>
        <w:rPr>
          <w:rFonts w:hint="eastAsia" w:ascii="Times New Roman" w:hAnsi="Times New Roman" w:eastAsia="仿宋_GB2312"/>
          <w:sz w:val="32"/>
          <w:szCs w:val="32"/>
        </w:rPr>
        <w:t>%;住房保障（类）支出</w:t>
      </w:r>
      <w:r>
        <w:rPr>
          <w:rFonts w:hint="eastAsia" w:ascii="Times New Roman" w:hAnsi="Times New Roman" w:eastAsia="仿宋_GB2312"/>
          <w:sz w:val="32"/>
          <w:szCs w:val="32"/>
          <w:lang w:val="en-US" w:eastAsia="zh-CN"/>
        </w:rPr>
        <w:t>21.39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4.41</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528.70</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484.74</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91.68</w:t>
      </w:r>
      <w:r>
        <w:rPr>
          <w:rFonts w:hint="eastAsia" w:ascii="Times New Roman" w:hAnsi="Times New Roman" w:eastAsia="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1、社会保障和就业（类）行政事业单位养老支出（款）机关事业单位基本养老保险缴费支出（项）。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16.93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16.93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2、农林水（类）农业农村（款）行政运行（项）。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为万元，支出决算为</w:t>
      </w:r>
      <w:r>
        <w:rPr>
          <w:rFonts w:hint="eastAsia" w:ascii="Times New Roman" w:hAnsi="Times New Roman" w:eastAsia="仿宋_GB2312"/>
          <w:sz w:val="32"/>
          <w:szCs w:val="32"/>
          <w:lang w:val="en-US" w:eastAsia="zh-CN"/>
        </w:rPr>
        <w:t>7.37</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年中追加绩效奖金。</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、农林水（类）农业农村（款）事业运行（项）。</w:t>
      </w:r>
    </w:p>
    <w:p>
      <w:pPr>
        <w:pStyle w:val="12"/>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253.74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235.13</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92.67</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绩效工资跨年发放。</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、农林水（类）农业农村（款）科技转化与推广服务（项）。</w:t>
      </w:r>
    </w:p>
    <w:p>
      <w:pPr>
        <w:pStyle w:val="12"/>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201.44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167.38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83.09</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项目因疫情原因出差任务减少</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、农林水（类）农业农村（款）农产品质量安全（项）。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3.41</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年中追加农作物、畜禽种业安全监管项目资金。</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、农林水（类）农业农村（款）农业生产发展（项）。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33.12</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33.12</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rPr>
        <w:t>、住房保障（类）农住房改革支出（款）住房公积金（项）。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23.47</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21.39</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91.14</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人员支出执行中与年初测算有一定差异。</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280.82</w:t>
      </w:r>
      <w:r>
        <w:rPr>
          <w:rFonts w:hint="eastAsia" w:ascii="Times New Roman" w:hAnsi="Times New Roman" w:eastAsia="仿宋_GB2312"/>
          <w:sz w:val="32"/>
          <w:szCs w:val="32"/>
        </w:rPr>
        <w:t>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253.97</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90.44</w:t>
      </w:r>
      <w:r>
        <w:rPr>
          <w:rFonts w:hint="eastAsia" w:ascii="Times New Roman" w:hAnsi="Times New Roman" w:eastAsia="仿宋_GB2312"/>
          <w:sz w:val="32"/>
          <w:szCs w:val="32"/>
        </w:rPr>
        <w:t>%,主要包括基本工资、津贴补贴、奖金、伙食补助费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绩效工资、机关事业单位基本养老保险缴费、职工基本医疗保险缴费、其他社会保障缴费、医疗费、退休费、住房公积金、生活补助、奖励金等</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26.85</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9.56</w:t>
      </w:r>
      <w:r>
        <w:rPr>
          <w:rFonts w:hint="eastAsia" w:ascii="Times New Roman" w:hAnsi="Times New Roman" w:eastAsia="仿宋_GB2312"/>
          <w:sz w:val="32"/>
          <w:szCs w:val="32"/>
        </w:rPr>
        <w:t>%，主要包括办公费、印刷费、咨询费、</w:t>
      </w:r>
      <w:r>
        <w:rPr>
          <w:rFonts w:hint="eastAsia" w:ascii="Times New Roman" w:hAnsi="Times New Roman" w:eastAsia="仿宋_GB2312"/>
          <w:sz w:val="32"/>
          <w:szCs w:val="32"/>
          <w:lang w:val="en-US" w:eastAsia="zh-CN"/>
        </w:rPr>
        <w:t>水费、电费、邮电费、差旅费、维修（护）费、培训费、劳务费、工会经费、福利费、其他交通费、其他商品和服务支出。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黑体" w:hAnsi="黑体" w:eastAsia="黑体" w:cs="黑体"/>
          <w:b w:val="0"/>
          <w:bCs/>
          <w:sz w:val="32"/>
          <w:szCs w:val="32"/>
        </w:rPr>
        <w:t>七、财政拨款三公经费支出决算情况说明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0.33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0.33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%，决算数小于预算数的主要原因是</w:t>
      </w:r>
      <w:r>
        <w:rPr>
          <w:rFonts w:hint="eastAsia" w:ascii="Times New Roman" w:hAnsi="Times New Roman" w:eastAsia="仿宋_GB2312"/>
          <w:sz w:val="32"/>
          <w:szCs w:val="32"/>
          <w:lang w:val="en-US" w:eastAsia="zh-CN"/>
        </w:rPr>
        <w:t>单位厉行节约，未安排公务接待活动</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0.33</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%,减少的主要原因是</w:t>
      </w:r>
      <w:r>
        <w:rPr>
          <w:rFonts w:hint="eastAsia" w:ascii="Times New Roman" w:hAnsi="Times New Roman" w:eastAsia="仿宋_GB2312"/>
          <w:sz w:val="32"/>
          <w:szCs w:val="32"/>
          <w:lang w:val="en-US" w:eastAsia="zh-CN"/>
        </w:rPr>
        <w:t>单位厉行节约，未安排公务接待活动</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年度“三公”经费财政拨款支出决算中，公务接待费支出决算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万元,因公出国（境）费支出决算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万元，公务用车购置费及运行维护费支出决算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r>
        <w:rPr>
          <w:rFonts w:hint="eastAsia" w:ascii="Times New Roman" w:hAnsi="Times New Roman" w:eastAsia="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万元，单位本级更新公务用车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bookmarkStart w:id="1" w:name="_GoBack"/>
      <w:bookmarkEnd w:id="1"/>
      <w:r>
        <w:rPr>
          <w:rFonts w:hint="eastAsia" w:ascii="黑体" w:hAnsi="黑体" w:eastAsia="黑体" w:cs="黑体"/>
          <w:b w:val="0"/>
          <w:bCs/>
          <w:sz w:val="32"/>
          <w:szCs w:val="32"/>
        </w:rPr>
        <w:t>八、政府性基金预算收入支出决算情况</w:t>
      </w:r>
    </w:p>
    <w:p>
      <w:pPr>
        <w:pStyle w:val="12"/>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val="0"/>
          <w:bCs w:val="0"/>
          <w:i w:val="0"/>
          <w:iCs/>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楷体" w:hAnsi="楷体" w:eastAsia="楷体" w:cs="楷体"/>
          <w:b w:val="0"/>
          <w:bCs w:val="0"/>
          <w:i w:val="0"/>
          <w:iCs/>
          <w:color w:val="auto"/>
          <w:kern w:val="0"/>
          <w:sz w:val="32"/>
          <w:szCs w:val="32"/>
          <w:lang w:val="en-US" w:eastAsia="zh-CN" w:bidi="ar-SA"/>
        </w:rPr>
        <w:t>本单位无政府性基金收支。</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年本部门开支会议费</w:t>
      </w:r>
      <w:r>
        <w:rPr>
          <w:rFonts w:hint="eastAsia" w:ascii="Times New Roman" w:hAnsi="Times New Roman" w:eastAsia="仿宋_GB2312"/>
          <w:sz w:val="32"/>
          <w:szCs w:val="32"/>
          <w:lang w:val="en-US" w:eastAsia="zh-CN"/>
        </w:rPr>
        <w:t>0.06</w:t>
      </w:r>
      <w:r>
        <w:rPr>
          <w:rFonts w:hint="eastAsia" w:ascii="Times New Roman" w:hAnsi="Times New Roman" w:eastAsia="仿宋_GB2312"/>
          <w:sz w:val="32"/>
          <w:szCs w:val="32"/>
        </w:rPr>
        <w:t>万元，用于召开</w:t>
      </w:r>
      <w:r>
        <w:rPr>
          <w:rFonts w:hint="eastAsia" w:ascii="Times New Roman" w:hAnsi="Times New Roman" w:eastAsia="仿宋_GB2312"/>
          <w:sz w:val="32"/>
          <w:szCs w:val="32"/>
          <w:lang w:val="en-US" w:eastAsia="zh-CN"/>
        </w:rPr>
        <w:t>非主要农作物品种登记材料专家审议</w:t>
      </w:r>
      <w:r>
        <w:rPr>
          <w:rFonts w:hint="eastAsia" w:ascii="Times New Roman" w:hAnsi="Times New Roman" w:eastAsia="仿宋_GB2312"/>
          <w:sz w:val="32"/>
          <w:szCs w:val="32"/>
        </w:rPr>
        <w:t>会议，人数</w:t>
      </w:r>
      <w:r>
        <w:rPr>
          <w:rFonts w:hint="eastAsia" w:ascii="Times New Roman" w:hAnsi="Times New Roman" w:eastAsia="仿宋_GB2312"/>
          <w:sz w:val="32"/>
          <w:szCs w:val="32"/>
          <w:lang w:val="en-US" w:eastAsia="zh-CN"/>
        </w:rPr>
        <w:t>12</w:t>
      </w:r>
      <w:r>
        <w:rPr>
          <w:rFonts w:hint="eastAsia" w:ascii="Times New Roman" w:hAnsi="Times New Roman" w:eastAsia="仿宋_GB2312"/>
          <w:sz w:val="32"/>
          <w:szCs w:val="32"/>
        </w:rPr>
        <w:t>人，内容为</w:t>
      </w:r>
      <w:r>
        <w:rPr>
          <w:rFonts w:hint="eastAsia" w:ascii="Times New Roman" w:hAnsi="Times New Roman" w:eastAsia="仿宋_GB2312"/>
          <w:sz w:val="32"/>
          <w:szCs w:val="32"/>
          <w:lang w:val="en-US" w:eastAsia="zh-CN"/>
        </w:rPr>
        <w:t>要农作物品种登记材料专家审议</w:t>
      </w:r>
      <w:r>
        <w:rPr>
          <w:rFonts w:hint="eastAsia" w:ascii="Times New Roman" w:hAnsi="Times New Roman" w:eastAsia="仿宋_GB2312"/>
          <w:sz w:val="32"/>
          <w:szCs w:val="32"/>
        </w:rPr>
        <w:t>；开支培训费</w:t>
      </w:r>
      <w:r>
        <w:rPr>
          <w:rFonts w:hint="eastAsia" w:ascii="Times New Roman" w:hAnsi="Times New Roman" w:eastAsia="仿宋_GB2312"/>
          <w:sz w:val="32"/>
          <w:szCs w:val="32"/>
          <w:lang w:val="en-US" w:eastAsia="zh-CN"/>
        </w:rPr>
        <w:t>0.52</w:t>
      </w:r>
      <w:r>
        <w:rPr>
          <w:rFonts w:hint="eastAsia" w:ascii="Times New Roman" w:hAnsi="Times New Roman" w:eastAsia="仿宋_GB2312"/>
          <w:sz w:val="32"/>
          <w:szCs w:val="32"/>
        </w:rPr>
        <w:t>万元，用于开展</w:t>
      </w:r>
      <w:r>
        <w:rPr>
          <w:rFonts w:hint="eastAsia" w:ascii="Times New Roman" w:hAnsi="Times New Roman" w:eastAsia="仿宋_GB2312"/>
          <w:sz w:val="32"/>
          <w:szCs w:val="32"/>
          <w:lang w:val="en-US" w:eastAsia="zh-CN"/>
        </w:rPr>
        <w:t>事业单位人员</w:t>
      </w:r>
      <w:r>
        <w:rPr>
          <w:rFonts w:hint="eastAsia" w:ascii="Times New Roman" w:hAnsi="Times New Roman" w:eastAsia="仿宋_GB2312"/>
          <w:sz w:val="32"/>
          <w:szCs w:val="32"/>
        </w:rPr>
        <w:t>培训，人数</w:t>
      </w: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人，内容为</w:t>
      </w:r>
      <w:r>
        <w:rPr>
          <w:rFonts w:hint="eastAsia" w:ascii="Times New Roman" w:hAnsi="Times New Roman" w:eastAsia="仿宋_GB2312"/>
          <w:sz w:val="32"/>
          <w:szCs w:val="32"/>
          <w:lang w:val="en-US" w:eastAsia="zh-CN"/>
        </w:rPr>
        <w:t>事业单位人员</w:t>
      </w:r>
      <w:r>
        <w:rPr>
          <w:rFonts w:hint="eastAsia" w:ascii="Times New Roman" w:hAnsi="Times New Roman" w:eastAsia="仿宋_GB2312"/>
          <w:sz w:val="32"/>
          <w:szCs w:val="32"/>
        </w:rPr>
        <w:t>培训；</w:t>
      </w:r>
      <w:r>
        <w:rPr>
          <w:rFonts w:hint="eastAsia" w:ascii="Times New Roman" w:hAnsi="Times New Roman" w:eastAsia="仿宋_GB2312"/>
          <w:sz w:val="32"/>
          <w:szCs w:val="32"/>
          <w:lang w:val="en-US" w:eastAsia="zh-CN"/>
        </w:rPr>
        <w:t>未</w:t>
      </w:r>
      <w:r>
        <w:rPr>
          <w:rFonts w:hint="eastAsia" w:ascii="Times New Roman" w:hAnsi="Times New Roman" w:eastAsia="仿宋_GB2312"/>
          <w:sz w:val="32"/>
          <w:szCs w:val="32"/>
        </w:rPr>
        <w:t>举办节庆、晚会、论坛、赛事活动</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20.88</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8.15</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2.10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10.63</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20.88</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20.88</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%，工程采购授予中小企业合同金额占工程支出金额的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%，服务采购授予中小企业合同金额占服务支出金额的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辆；单位价值50万元以上通用设备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运行成本</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全年预算数576.69万元，决算数484.89万元，执行率84.08%，我单位全年整体支出控制在预算范围内。</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人员经费预算数288.23万元，决算数253.97万元，公用经费数27.34万元，决算数26.85万元，均控制在预算范围内。</w:t>
      </w:r>
    </w:p>
    <w:p>
      <w:pPr>
        <w:pStyle w:val="12"/>
        <w:keepNext w:val="0"/>
        <w:keepLines w:val="0"/>
        <w:pageBreakBefore w:val="0"/>
        <w:widowControl w:val="0"/>
        <w:numPr>
          <w:ilvl w:val="0"/>
          <w:numId w:val="2"/>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管理效率</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完成辣椒、油菜、茶树、番茄、西瓜、甜瓜等作物59个申请登记品种的受理和初步审查，纸质材料的收集，召开了第二十三批非主要农作物品种登记材料专家审核会议，按照相关程序报省种子管理服务站和种业管理处审核，完成湖南省农业农村厅《关于“沣油330”等59个申请登记的非主要农作物品种审查情况的报告》，10月17日已报农业部审批。</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完成“油菜已登记品种符合性验证试验”工作，形成试验报告；6月24日召开专家评议会，对参试品种的DUS数据进行了逐一比对，确定了参试品种的符合性并对下一步规范开展符合性验证试验提出了建议。完成了“辣椒已登记品种符合性验证试验”工作，形成试验报告；7月26日召开专家现场评议会，对参试品种的田间表现与申请材料进行了逐一比对，确定了参试品种的符合性并对下一步规范开展符合性验证试验提出了建议。</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开展“油菜已登记品种符合性验证试验”和“辣椒已登记品种符合性验证试验”工作，目前，已完成2022-2023年度已登记油菜品种符合性验证试验的品种征集和编密工作，并移交试验承担单位完成播种工作；辣椒试验正在征集品种。</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、履职效能</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省级主要农作物品种试验报告。完成了“省级主要农作物品种试验数据汇总与分析系统”的升级与改造。已完成早稻、中稻迟熟二组</w:t>
      </w:r>
      <w:r>
        <w:rPr>
          <w:rFonts w:hint="eastAsia" w:ascii="仿宋" w:hAnsi="仿宋" w:eastAsia="仿宋" w:cs="仿宋"/>
          <w:sz w:val="32"/>
          <w:szCs w:val="32"/>
          <w:lang w:eastAsia="zh-CN"/>
        </w:rPr>
        <w:t>、</w:t>
      </w:r>
      <w:r>
        <w:rPr>
          <w:rFonts w:hint="eastAsia" w:ascii="仿宋" w:hAnsi="仿宋" w:eastAsia="仿宋" w:cs="仿宋"/>
          <w:sz w:val="32"/>
          <w:szCs w:val="32"/>
        </w:rPr>
        <w:t>玉米、中稻和春大豆</w:t>
      </w:r>
      <w:r>
        <w:rPr>
          <w:rFonts w:hint="eastAsia" w:ascii="仿宋" w:hAnsi="仿宋" w:eastAsia="仿宋" w:cs="仿宋"/>
          <w:sz w:val="32"/>
          <w:szCs w:val="32"/>
          <w:lang w:eastAsia="zh-CN"/>
        </w:rPr>
        <w:t>、</w:t>
      </w:r>
      <w:r>
        <w:rPr>
          <w:rFonts w:hint="eastAsia" w:ascii="仿宋" w:hAnsi="仿宋" w:eastAsia="仿宋" w:cs="仿宋"/>
          <w:sz w:val="32"/>
          <w:szCs w:val="32"/>
        </w:rPr>
        <w:t>夏大豆品种区域试验总结。</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完成了2021年省级主要农作物品种试验拟审定品种的资料汇编。包括13个水稻品种，9个玉米品种，1个棉花品种2年关键试验数据汇总、审定公告(草案)审核修改等,为全省主要农作物品种初审会议做好了资料准备，确保在年前完成(省级)品种初审定工作。</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针对今年新纳入省级统一试验的大豆品种试验，编写“大豆品种试验观察记载项目、方法及标准”，编制“大豆品种试验记载手册”，印刷成册后发给各试验点用于试验数据记载。</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按照“三专一档”的要求，完成《2021年湖南省农作物区域试验品种报告》编辑、印刷和归档。报送《报告》纸质版二份给省种子管理服务站存档。</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协助省种子管理服务站完成了早稻、玉米、大豆区试苗期检查工作，并形成了苗期考察报告。协助省种子管理服务站完成了全省水稻、玉米、大豆品种试验专家考察工作，并形成专家考察报告。参与了国家水稻品种多渠道试验监督检查。</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完成了水稻、玉米、大豆区域试验和抗性鉴定等试验合同签订，试验费已经全部支付完成。</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对2022年省级审定品种的国家标准样品进行整理，同时对部分不合格的国家标准样品进行再征集，征集完成后上交国家样品库。</w:t>
      </w:r>
    </w:p>
    <w:p>
      <w:pPr>
        <w:spacing w:line="500" w:lineRule="exact"/>
        <w:ind w:firstLine="784" w:firstLineChars="245"/>
        <w:rPr>
          <w:rFonts w:hint="eastAsia" w:ascii="仿宋" w:hAnsi="仿宋" w:eastAsia="仿宋" w:cs="仿宋"/>
          <w:sz w:val="32"/>
          <w:szCs w:val="32"/>
        </w:rPr>
      </w:pPr>
      <w:r>
        <w:rPr>
          <w:rFonts w:hint="eastAsia" w:ascii="Times New Roman" w:hAnsi="Times New Roman" w:eastAsia="仿宋_GB2312"/>
          <w:sz w:val="32"/>
          <w:szCs w:val="32"/>
          <w:lang w:val="en-US" w:eastAsia="zh-CN"/>
        </w:rPr>
        <w:t>（8）</w:t>
      </w:r>
      <w:r>
        <w:rPr>
          <w:rFonts w:hint="eastAsia" w:ascii="仿宋" w:hAnsi="仿宋" w:eastAsia="仿宋" w:cs="仿宋"/>
          <w:sz w:val="32"/>
          <w:szCs w:val="32"/>
        </w:rPr>
        <w:t>按照省农业农村厅办公室发布的《2022年湖南省主要农作物品种试验方案》，根据永安基地实际情况，分别制定了“早稻早熟区试、中稻迟熟二组区试、晚稻区试、玉米区试、中稻续试品种田间耐高温、水稻续试品种田间耐低温、优质稻品种展示、优质糯玉米品种展示、镉低积累水稻品种大田验证试验、节水抗旱稻新品种品比试验和展示”等10个具体的实施方案，确保各项试验的规范实施。</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社会效应</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早稻集中育秧工作。中心抽调5位骨干力量参加全省早稻集中育秧调研指导组工作。从3月10日-4月25日，前往4个县市区参加早稻集中育秧调研指导工作，5位同志克服新冠疫情影响和本职工作压力，较好完成工作任务。</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可持续发展能力</w:t>
      </w:r>
    </w:p>
    <w:p>
      <w:pPr>
        <w:spacing w:line="5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种子市场调研指导工作。4位同志参加了全省种业市场监管调研指导工作，对株洲、衡阳、怀化、邵阳、长沙、湘潭等六市的种业市场进行调研和检查，并形成报告上报种业处。</w:t>
      </w:r>
    </w:p>
    <w:p>
      <w:pPr>
        <w:pStyle w:val="12"/>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服务对象满意度</w:t>
      </w:r>
    </w:p>
    <w:p>
      <w:pPr>
        <w:pStyle w:val="12"/>
        <w:keepNext w:val="0"/>
        <w:keepLines w:val="0"/>
        <w:pageBreakBefore w:val="0"/>
        <w:widowControl w:val="0"/>
        <w:numPr>
          <w:ilvl w:val="0"/>
          <w:numId w:val="0"/>
        </w:numPr>
        <w:kinsoku/>
        <w:wordWrap/>
        <w:overflowPunct/>
        <w:topLinePunct w:val="0"/>
        <w:bidi w:val="0"/>
        <w:snapToGrid/>
        <w:spacing w:line="600" w:lineRule="exact"/>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通过各项工作的开展，服务对象和社会公众满意度在90%以上。 </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pStyle w:val="12"/>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val="en-US" w:eastAsia="zh-CN"/>
        </w:rPr>
        <w:t>1、我单位项目支出预算执行率有待提高，我单位2022年项目预算执行率为78.15%，主要原因是项目因疫情原因</w:t>
      </w:r>
      <w:r>
        <w:rPr>
          <w:rFonts w:hint="eastAsia" w:ascii="Times New Roman" w:hAnsi="Times New Roman" w:eastAsia="仿宋_GB2312"/>
          <w:sz w:val="32"/>
          <w:szCs w:val="32"/>
        </w:rPr>
        <w:t>工作未及</w:t>
      </w:r>
      <w:r>
        <w:rPr>
          <w:rFonts w:hint="eastAsia" w:ascii="Times New Roman" w:hAnsi="Times New Roman" w:eastAsia="仿宋_GB2312"/>
          <w:sz w:val="32"/>
          <w:szCs w:val="32"/>
          <w:lang w:val="en-US" w:eastAsia="zh-CN"/>
        </w:rPr>
        <w:t>时</w:t>
      </w:r>
      <w:r>
        <w:rPr>
          <w:rFonts w:hint="eastAsia" w:ascii="Times New Roman" w:hAnsi="Times New Roman" w:eastAsia="仿宋_GB2312"/>
          <w:sz w:val="32"/>
          <w:szCs w:val="32"/>
        </w:rPr>
        <w:t>开展</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下一步改进措施：一是通过定期对项目资金的执行情况进行梳理，督促项目早启动、早规划、早实施、早验收、早结算，二是完善单位的预算编制管理，定期对项目资金的预算执行情况进行分析，作为下年预算编制的重要依据，进一步提高我单位的预算执行率。</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numPr>
          <w:ilvl w:val="0"/>
          <w:numId w:val="4"/>
        </w:numPr>
        <w:ind w:firstLine="640" w:firstLineChars="200"/>
        <w:jc w:val="left"/>
        <w:rPr>
          <w:rFonts w:hint="eastAsia" w:ascii="仿宋" w:hAnsi="仿宋" w:eastAsia="仿宋" w:cs="黑体"/>
          <w:bCs/>
          <w:color w:val="000000"/>
          <w:kern w:val="0"/>
          <w:sz w:val="32"/>
          <w:szCs w:val="32"/>
          <w:lang w:val="en-US" w:eastAsia="zh-CN" w:bidi="ar-SA"/>
        </w:rPr>
      </w:pPr>
      <w:r>
        <w:rPr>
          <w:rFonts w:hint="eastAsia" w:ascii="仿宋" w:hAnsi="仿宋" w:eastAsia="仿宋" w:cs="黑体"/>
          <w:bCs/>
          <w:color w:val="000000"/>
          <w:kern w:val="0"/>
          <w:sz w:val="32"/>
          <w:szCs w:val="32"/>
          <w:lang w:val="en-US" w:eastAsia="zh-CN" w:bidi="ar-SA"/>
        </w:rPr>
        <w:t>基本支出：指为保障机构正常运转、完成日常工作任务而发生的各项支出，包括人员支出和公用支出。</w:t>
      </w:r>
    </w:p>
    <w:p>
      <w:pPr>
        <w:numPr>
          <w:ilvl w:val="0"/>
          <w:numId w:val="4"/>
        </w:numPr>
        <w:ind w:firstLine="640" w:firstLineChars="200"/>
        <w:jc w:val="left"/>
        <w:rPr>
          <w:rFonts w:hint="eastAsia" w:ascii="仿宋" w:hAnsi="仿宋" w:eastAsia="仿宋" w:cs="黑体"/>
          <w:bCs/>
          <w:color w:val="000000"/>
          <w:kern w:val="0"/>
          <w:sz w:val="32"/>
          <w:szCs w:val="32"/>
          <w:lang w:val="en-US" w:eastAsia="zh-CN" w:bidi="ar-SA"/>
        </w:rPr>
      </w:pPr>
      <w:r>
        <w:rPr>
          <w:rFonts w:hint="eastAsia" w:ascii="仿宋" w:hAnsi="仿宋" w:eastAsia="仿宋" w:cs="黑体"/>
          <w:bCs/>
          <w:color w:val="000000"/>
          <w:kern w:val="0"/>
          <w:sz w:val="32"/>
          <w:szCs w:val="32"/>
          <w:lang w:val="en-US" w:eastAsia="zh-CN" w:bidi="ar-SA"/>
        </w:rPr>
        <w:t xml:space="preserve">项目支出：指在基本支出以外为完成相关行政任务和事业发展目标所发生的各项支出。 </w:t>
      </w:r>
    </w:p>
    <w:p>
      <w:pPr>
        <w:pStyle w:val="12"/>
        <w:ind w:firstLine="640" w:firstLineChars="200"/>
        <w:rPr>
          <w:rFonts w:ascii="仿宋" w:hAnsi="仿宋" w:eastAsia="仿宋"/>
          <w:bCs/>
          <w:sz w:val="32"/>
          <w:szCs w:val="32"/>
        </w:rPr>
      </w:pPr>
      <w:r>
        <w:rPr>
          <w:rFonts w:hint="eastAsia" w:ascii="仿宋" w:hAnsi="仿宋" w:eastAsia="仿宋" w:cs="黑体"/>
          <w:bCs/>
          <w:color w:val="000000"/>
          <w:kern w:val="0"/>
          <w:sz w:val="32"/>
          <w:szCs w:val="32"/>
          <w:lang w:val="en-US" w:eastAsia="zh-CN" w:bidi="ar-SA"/>
        </w:rPr>
        <w:t>三、“三公”经费:纳入省财政预算管理的“三</w:t>
      </w:r>
      <w:r>
        <w:rPr>
          <w:rFonts w:hint="eastAsia" w:ascii="仿宋" w:hAnsi="仿宋" w:eastAsia="仿宋"/>
          <w:bCs/>
          <w:sz w:val="32"/>
          <w:szCs w:val="32"/>
        </w:rPr>
        <w:t>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DE2A6C"/>
    <w:multiLevelType w:val="singleLevel"/>
    <w:tmpl w:val="BCDE2A6C"/>
    <w:lvl w:ilvl="0" w:tentative="0">
      <w:start w:val="1"/>
      <w:numFmt w:val="chineseCounting"/>
      <w:suff w:val="nothing"/>
      <w:lvlText w:val="%1、"/>
      <w:lvlJc w:val="left"/>
      <w:rPr>
        <w:rFonts w:hint="eastAsia"/>
      </w:rPr>
    </w:lvl>
  </w:abstractNum>
  <w:abstractNum w:abstractNumId="1">
    <w:nsid w:val="C8805216"/>
    <w:multiLevelType w:val="singleLevel"/>
    <w:tmpl w:val="C8805216"/>
    <w:lvl w:ilvl="0" w:tentative="0">
      <w:start w:val="2"/>
      <w:numFmt w:val="decimal"/>
      <w:suff w:val="nothing"/>
      <w:lvlText w:val="%1、"/>
      <w:lvlJc w:val="left"/>
    </w:lvl>
  </w:abstractNum>
  <w:abstractNum w:abstractNumId="2">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05F7B16"/>
    <w:multiLevelType w:val="singleLevel"/>
    <w:tmpl w:val="505F7B16"/>
    <w:lvl w:ilvl="0" w:tentative="0">
      <w:start w:val="6"/>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D9798F"/>
    <w:rsid w:val="0A511F57"/>
    <w:rsid w:val="1E076466"/>
    <w:rsid w:val="220F6479"/>
    <w:rsid w:val="226852A0"/>
    <w:rsid w:val="23B958D1"/>
    <w:rsid w:val="29073B33"/>
    <w:rsid w:val="2BB20D8E"/>
    <w:rsid w:val="365969AA"/>
    <w:rsid w:val="3D463873"/>
    <w:rsid w:val="46100BA5"/>
    <w:rsid w:val="4DF2318A"/>
    <w:rsid w:val="52FE775E"/>
    <w:rsid w:val="5FB657E7"/>
    <w:rsid w:val="603644F6"/>
    <w:rsid w:val="71A00E0C"/>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2"/>
    <w:qFormat/>
    <w:uiPriority w:val="0"/>
    <w:pPr>
      <w:ind w:firstLine="420" w:firstLineChars="200"/>
    </w:pPr>
  </w:style>
  <w:style w:type="table" w:styleId="8">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3"/>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 w:type="paragraph" w:customStyle="1" w:styleId="18">
    <w:name w:val="BodyText"/>
    <w:basedOn w:val="1"/>
    <w:qFormat/>
    <w:uiPriority w:val="0"/>
    <w:pPr>
      <w:spacing w:after="120"/>
      <w:jc w:val="both"/>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4.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5.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7.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8.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7b611d47-d82a-418b-abf4-7046f1d95825}">
  <ds:schemaRefs/>
</ds:datastoreItem>
</file>

<file path=customXml/itemProps2.xml><?xml version="1.0" encoding="utf-8"?>
<ds:datastoreItem xmlns:ds="http://schemas.openxmlformats.org/officeDocument/2006/customXml" ds:itemID="{c6396d9a-1902-4e69-90d6-e641dd7ee584}">
  <ds:schemaRefs/>
</ds:datastoreItem>
</file>

<file path=customXml/itemProps3.xml><?xml version="1.0" encoding="utf-8"?>
<ds:datastoreItem xmlns:ds="http://schemas.openxmlformats.org/officeDocument/2006/customXml" ds:itemID="{492e90d0-4619-491b-9b82-097edd6cd063}">
  <ds:schemaRefs/>
</ds:datastoreItem>
</file>

<file path=customXml/itemProps4.xml><?xml version="1.0" encoding="utf-8"?>
<ds:datastoreItem xmlns:ds="http://schemas.openxmlformats.org/officeDocument/2006/customXml" ds:itemID="{be7735d6-1518-45d5-aae9-2d6d88912a85}">
  <ds:schemaRefs/>
</ds:datastoreItem>
</file>

<file path=customXml/itemProps5.xml><?xml version="1.0" encoding="utf-8"?>
<ds:datastoreItem xmlns:ds="http://schemas.openxmlformats.org/officeDocument/2006/customXml" ds:itemID="{f7b6cd40-d7aa-401c-8a0d-7da5d269429d}">
  <ds:schemaRefs/>
</ds:datastoreItem>
</file>

<file path=customXml/itemProps6.xml><?xml version="1.0" encoding="utf-8"?>
<ds:datastoreItem xmlns:ds="http://schemas.openxmlformats.org/officeDocument/2006/customXml" ds:itemID="{d5d1fc51-b0f6-4e55-9b32-71a70672d117}">
  <ds:schemaRefs/>
</ds:datastoreItem>
</file>

<file path=customXml/itemProps7.xml><?xml version="1.0" encoding="utf-8"?>
<ds:datastoreItem xmlns:ds="http://schemas.openxmlformats.org/officeDocument/2006/customXml" ds:itemID="{48326648-c9db-4483-8c31-8027a79d4db4}">
  <ds:schemaRefs/>
</ds:datastoreItem>
</file>

<file path=customXml/itemProps8.xml><?xml version="1.0" encoding="utf-8"?>
<ds:datastoreItem xmlns:ds="http://schemas.openxmlformats.org/officeDocument/2006/customXml" ds:itemID="{e5d8c251-4d1b-47b1-9d37-bb5216ac7aa6}">
  <ds:schemaRefs/>
</ds:datastoreItem>
</file>

<file path=customXml/itemProps9.xml><?xml version="1.0" encoding="utf-8"?>
<ds:datastoreItem xmlns:ds="http://schemas.openxmlformats.org/officeDocument/2006/customXml" ds:itemID="{c70b1675-8b25-4fe3-bab9-0ad6bdee539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0</TotalTime>
  <ScaleCrop>false</ScaleCrop>
  <LinksUpToDate>false</LinksUpToDate>
  <CharactersWithSpaces>9008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2023-11-01T12:50:50Z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