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湖南省水产原种场</w:t>
      </w: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2"/>
        <w:jc w:val="center"/>
        <w:rPr>
          <w:rFonts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Ansi="黑体"/>
          <w:bCs/>
          <w:sz w:val="28"/>
          <w:szCs w:val="28"/>
        </w:rPr>
      </w:pPr>
      <w:r>
        <w:rPr>
          <w:rFonts w:hint="eastAsia" w:hAnsi="黑体"/>
          <w:bCs/>
          <w:sz w:val="28"/>
          <w:szCs w:val="28"/>
        </w:rPr>
        <w:t>第一部分 湖南省水产原种场单位概况</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Ansi="黑体"/>
          <w:bCs/>
          <w:sz w:val="28"/>
          <w:szCs w:val="28"/>
        </w:rPr>
      </w:pPr>
      <w:r>
        <w:rPr>
          <w:rFonts w:hint="eastAsia" w:hAnsi="黑体"/>
          <w:bCs/>
          <w:sz w:val="28"/>
          <w:szCs w:val="28"/>
        </w:rPr>
        <w:t>第二部分 部门决算表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Ansi="黑体"/>
          <w:bCs/>
          <w:sz w:val="28"/>
          <w:szCs w:val="28"/>
        </w:rPr>
      </w:pPr>
      <w:r>
        <w:rPr>
          <w:rFonts w:hint="eastAsia" w:hAnsi="黑体"/>
          <w:bCs/>
          <w:sz w:val="28"/>
          <w:szCs w:val="28"/>
        </w:rPr>
        <w:t>第三部分 部门决算情况说明</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2"/>
        <w:spacing w:line="500" w:lineRule="exact"/>
        <w:rPr>
          <w:rFonts w:hAnsi="黑体"/>
          <w:bCs/>
          <w:sz w:val="28"/>
          <w:szCs w:val="28"/>
        </w:rPr>
      </w:pPr>
      <w:r>
        <w:rPr>
          <w:rFonts w:hint="eastAsia" w:hAnsi="黑体"/>
          <w:bCs/>
          <w:sz w:val="28"/>
          <w:szCs w:val="28"/>
        </w:rPr>
        <w:t>第四部分 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湖南省水产原种场</w:t>
      </w: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3"/>
        <w:numPr>
          <w:ilvl w:val="0"/>
          <w:numId w:val="1"/>
        </w:numPr>
        <w:ind w:firstLineChars="0"/>
        <w:jc w:val="left"/>
        <w:rPr>
          <w:rFonts w:ascii="黑体" w:hAnsi="黑体" w:eastAsia="黑体" w:cs="黑体"/>
          <w:sz w:val="32"/>
          <w:szCs w:val="32"/>
        </w:rPr>
      </w:pPr>
      <w:r>
        <w:rPr>
          <w:rFonts w:hint="eastAsia" w:ascii="黑体" w:hAnsi="黑体" w:eastAsia="黑体" w:cs="黑体"/>
          <w:sz w:val="32"/>
          <w:szCs w:val="32"/>
        </w:rPr>
        <w:t>部门职责</w:t>
      </w:r>
    </w:p>
    <w:p>
      <w:pPr>
        <w:widowControl/>
        <w:spacing w:line="600" w:lineRule="exact"/>
        <w:ind w:firstLine="640" w:firstLineChars="20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本单位的主要职能为采集、培育、保存水产原种，选育、推广水产养殖良种；四大家鱼、鳜鱼、中华鳖、龟等水产种质保存与遗传改良研究，专业技术推广与培训教育，相关社会服务。</w:t>
      </w:r>
    </w:p>
    <w:p>
      <w:pPr>
        <w:widowControl/>
        <w:spacing w:line="600" w:lineRule="exact"/>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（一）内设机构设置。湖南省水产原种场</w:t>
      </w:r>
      <w:r>
        <w:rPr>
          <w:rFonts w:hint="eastAsia" w:ascii="Times New Roman" w:hAnsi="Times New Roman" w:eastAsia="仿宋_GB2312" w:cs="仿宋_GB2312"/>
          <w:bCs/>
          <w:kern w:val="0"/>
          <w:sz w:val="32"/>
          <w:szCs w:val="32"/>
          <w:lang w:eastAsia="zh-CN"/>
        </w:rPr>
        <w:t>内设机构</w:t>
      </w:r>
      <w:r>
        <w:rPr>
          <w:rFonts w:hint="eastAsia" w:ascii="Times New Roman" w:hAnsi="Times New Roman" w:eastAsia="仿宋_GB2312" w:cs="仿宋_GB2312"/>
          <w:bCs/>
          <w:kern w:val="0"/>
          <w:sz w:val="32"/>
          <w:szCs w:val="32"/>
        </w:rPr>
        <w:t>包括：综合业务科、计划财务科、原种生产科、质量管理科。</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（二）决算单位构成。湖南省水产原种场2022年部门决算汇总公开单位构成包括：湖南省水产原种场本级。</w:t>
      </w:r>
    </w:p>
    <w:p>
      <w:pPr>
        <w:ind w:firstLine="640" w:firstLineChars="200"/>
        <w:rPr>
          <w:rFonts w:ascii="Times New Roman" w:hAnsi="Times New Roman" w:eastAsia="仿宋_GB2312" w:cs="仿宋_GB2312"/>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7"/>
        <w:tblW w:w="15428" w:type="dxa"/>
        <w:tblInd w:w="0" w:type="dxa"/>
        <w:tblLayout w:type="fixed"/>
        <w:tblCellMar>
          <w:top w:w="0" w:type="dxa"/>
          <w:left w:w="0" w:type="dxa"/>
          <w:bottom w:w="0" w:type="dxa"/>
          <w:right w:w="0" w:type="dxa"/>
        </w:tblCellMar>
      </w:tblPr>
      <w:tblGrid>
        <w:gridCol w:w="484"/>
        <w:gridCol w:w="450"/>
        <w:gridCol w:w="5535"/>
        <w:gridCol w:w="1545"/>
        <w:gridCol w:w="1545"/>
        <w:gridCol w:w="936"/>
        <w:gridCol w:w="1077"/>
        <w:gridCol w:w="863"/>
        <w:gridCol w:w="833"/>
        <w:gridCol w:w="2160"/>
      </w:tblGrid>
      <w:tr>
        <w:tblPrEx>
          <w:tblLayout w:type="fixed"/>
          <w:tblCellMar>
            <w:top w:w="0" w:type="dxa"/>
            <w:left w:w="0" w:type="dxa"/>
            <w:bottom w:w="0" w:type="dxa"/>
            <w:right w:w="0" w:type="dxa"/>
          </w:tblCellMar>
        </w:tblPrEx>
        <w:trPr>
          <w:trHeight w:val="435" w:hRule="atLeast"/>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tcPr>
          <w:tbl>
            <w:tblPr>
              <w:tblStyle w:val="7"/>
              <w:tblW w:w="15398" w:type="dxa"/>
              <w:tblInd w:w="0" w:type="dxa"/>
              <w:tblLayout w:type="fixed"/>
              <w:tblCellMar>
                <w:top w:w="0" w:type="dxa"/>
                <w:left w:w="108" w:type="dxa"/>
                <w:bottom w:w="0" w:type="dxa"/>
                <w:right w:w="108" w:type="dxa"/>
              </w:tblCellMar>
            </w:tblPr>
            <w:tblGrid>
              <w:gridCol w:w="4278"/>
              <w:gridCol w:w="616"/>
              <w:gridCol w:w="1353"/>
              <w:gridCol w:w="4847"/>
              <w:gridCol w:w="958"/>
              <w:gridCol w:w="1126"/>
              <w:gridCol w:w="2220"/>
            </w:tblGrid>
            <w:tr>
              <w:tblPrEx>
                <w:tblLayout w:type="fixed"/>
                <w:tblCellMar>
                  <w:top w:w="0" w:type="dxa"/>
                  <w:left w:w="108" w:type="dxa"/>
                  <w:bottom w:w="0" w:type="dxa"/>
                  <w:right w:w="108" w:type="dxa"/>
                </w:tblCellMar>
              </w:tblPrEx>
              <w:trPr>
                <w:trHeight w:val="304" w:hRule="atLeast"/>
              </w:trPr>
              <w:tc>
                <w:tcPr>
                  <w:tcW w:w="4278" w:type="dxa"/>
                  <w:tcBorders>
                    <w:top w:val="nil"/>
                    <w:left w:val="nil"/>
                    <w:bottom w:val="nil"/>
                    <w:right w:val="nil"/>
                  </w:tcBorders>
                  <w:shd w:val="clear" w:color="auto" w:fill="auto"/>
                  <w:noWrap/>
                  <w:vAlign w:val="center"/>
                </w:tcPr>
                <w:p>
                  <w:pPr>
                    <w:jc w:val="left"/>
                    <w:rPr>
                      <w:rFonts w:ascii="黑体" w:hAnsi="宋体" w:eastAsia="黑体" w:cs="黑体"/>
                      <w:color w:val="000000"/>
                      <w:sz w:val="24"/>
                      <w:szCs w:val="24"/>
                    </w:rPr>
                  </w:pPr>
                </w:p>
              </w:tc>
              <w:tc>
                <w:tcPr>
                  <w:tcW w:w="616" w:type="dxa"/>
                  <w:tcBorders>
                    <w:top w:val="nil"/>
                    <w:left w:val="nil"/>
                    <w:bottom w:val="nil"/>
                    <w:right w:val="nil"/>
                  </w:tcBorders>
                  <w:shd w:val="clear" w:color="auto" w:fill="auto"/>
                  <w:noWrap/>
                  <w:vAlign w:val="center"/>
                </w:tcPr>
                <w:p>
                  <w:pPr>
                    <w:jc w:val="right"/>
                    <w:rPr>
                      <w:rFonts w:ascii="宋体" w:hAnsi="宋体" w:eastAsia="宋体" w:cs="宋体"/>
                      <w:color w:val="000000"/>
                      <w:sz w:val="24"/>
                      <w:szCs w:val="24"/>
                    </w:rPr>
                  </w:pPr>
                </w:p>
              </w:tc>
              <w:tc>
                <w:tcPr>
                  <w:tcW w:w="1353" w:type="dxa"/>
                  <w:tcBorders>
                    <w:top w:val="nil"/>
                    <w:left w:val="nil"/>
                    <w:bottom w:val="nil"/>
                    <w:right w:val="nil"/>
                  </w:tcBorders>
                  <w:shd w:val="clear" w:color="auto" w:fill="auto"/>
                  <w:noWrap/>
                  <w:vAlign w:val="center"/>
                </w:tcPr>
                <w:p>
                  <w:pPr>
                    <w:jc w:val="right"/>
                    <w:rPr>
                      <w:rFonts w:ascii="宋体" w:hAnsi="宋体" w:eastAsia="宋体" w:cs="宋体"/>
                      <w:color w:val="000000"/>
                      <w:sz w:val="24"/>
                      <w:szCs w:val="24"/>
                    </w:rPr>
                  </w:pPr>
                </w:p>
              </w:tc>
              <w:tc>
                <w:tcPr>
                  <w:tcW w:w="4847" w:type="dxa"/>
                  <w:tcBorders>
                    <w:top w:val="nil"/>
                    <w:left w:val="nil"/>
                    <w:bottom w:val="nil"/>
                    <w:right w:val="nil"/>
                  </w:tcBorders>
                  <w:shd w:val="clear" w:color="auto" w:fill="auto"/>
                  <w:noWrap/>
                  <w:vAlign w:val="center"/>
                </w:tcPr>
                <w:p>
                  <w:pPr>
                    <w:jc w:val="right"/>
                    <w:rPr>
                      <w:rFonts w:ascii="宋体" w:hAnsi="宋体" w:eastAsia="宋体" w:cs="宋体"/>
                      <w:color w:val="000000"/>
                      <w:sz w:val="24"/>
                      <w:szCs w:val="24"/>
                    </w:rPr>
                  </w:pPr>
                </w:p>
              </w:tc>
              <w:tc>
                <w:tcPr>
                  <w:tcW w:w="2084" w:type="dxa"/>
                  <w:gridSpan w:val="2"/>
                  <w:tcBorders>
                    <w:top w:val="nil"/>
                    <w:left w:val="nil"/>
                    <w:bottom w:val="nil"/>
                    <w:right w:val="nil"/>
                  </w:tcBorders>
                  <w:shd w:val="clear" w:color="auto" w:fill="auto"/>
                  <w:noWrap/>
                  <w:vAlign w:val="center"/>
                </w:tcPr>
                <w:p>
                  <w:pPr>
                    <w:jc w:val="right"/>
                    <w:rPr>
                      <w:rFonts w:ascii="宋体" w:hAnsi="宋体" w:eastAsia="宋体" w:cs="宋体"/>
                      <w:color w:val="000000"/>
                      <w:sz w:val="24"/>
                      <w:szCs w:val="24"/>
                    </w:rPr>
                  </w:pPr>
                </w:p>
              </w:tc>
              <w:tc>
                <w:tcPr>
                  <w:tcW w:w="2220" w:type="dxa"/>
                  <w:tcBorders>
                    <w:top w:val="nil"/>
                    <w:left w:val="nil"/>
                    <w:bottom w:val="nil"/>
                    <w:right w:val="nil"/>
                  </w:tcBorders>
                  <w:shd w:val="clear" w:color="auto" w:fill="auto"/>
                  <w:noWrap/>
                  <w:vAlign w:val="center"/>
                </w:tcPr>
                <w:p>
                  <w:pPr>
                    <w:jc w:val="right"/>
                    <w:rPr>
                      <w:rFonts w:ascii="黑体" w:hAnsi="宋体" w:eastAsia="黑体" w:cs="黑体"/>
                      <w:color w:val="000000"/>
                      <w:sz w:val="24"/>
                      <w:szCs w:val="24"/>
                    </w:rPr>
                  </w:pPr>
                </w:p>
              </w:tc>
            </w:tr>
            <w:tr>
              <w:tblPrEx>
                <w:tblLayout w:type="fixed"/>
                <w:tblCellMar>
                  <w:top w:w="0" w:type="dxa"/>
                  <w:left w:w="108" w:type="dxa"/>
                  <w:bottom w:w="0" w:type="dxa"/>
                  <w:right w:w="108" w:type="dxa"/>
                </w:tblCellMar>
              </w:tblPrEx>
              <w:trPr>
                <w:trHeight w:val="609" w:hRule="atLeast"/>
              </w:trPr>
              <w:tc>
                <w:tcPr>
                  <w:tcW w:w="15398" w:type="dxa"/>
                  <w:gridSpan w:val="7"/>
                  <w:tcBorders>
                    <w:top w:val="nil"/>
                    <w:left w:val="nil"/>
                    <w:bottom w:val="nil"/>
                    <w:right w:val="nil"/>
                  </w:tcBorders>
                  <w:shd w:val="clear" w:color="auto" w:fill="auto"/>
                  <w:noWrap/>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收入支出决算总表</w:t>
                  </w:r>
                </w:p>
              </w:tc>
            </w:tr>
            <w:tr>
              <w:tblPrEx>
                <w:tblLayout w:type="fixed"/>
                <w:tblCellMar>
                  <w:top w:w="0" w:type="dxa"/>
                  <w:left w:w="108" w:type="dxa"/>
                  <w:bottom w:w="0" w:type="dxa"/>
                  <w:right w:w="108" w:type="dxa"/>
                </w:tblCellMar>
              </w:tblPrEx>
              <w:trPr>
                <w:trHeight w:val="304" w:hRule="atLeast"/>
              </w:trPr>
              <w:tc>
                <w:tcPr>
                  <w:tcW w:w="4278"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616"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1353"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4847"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084" w:type="dxa"/>
                  <w:gridSpan w:val="2"/>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22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04" w:hRule="atLeast"/>
              </w:trPr>
              <w:tc>
                <w:tcPr>
                  <w:tcW w:w="4278" w:type="dxa"/>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部门：湖南省水产原种场</w:t>
                  </w:r>
                </w:p>
              </w:tc>
              <w:tc>
                <w:tcPr>
                  <w:tcW w:w="616"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1353"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4847" w:type="dxa"/>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084" w:type="dxa"/>
                  <w:gridSpan w:val="2"/>
                  <w:tcBorders>
                    <w:top w:val="nil"/>
                    <w:left w:val="nil"/>
                    <w:bottom w:val="nil"/>
                    <w:right w:val="nil"/>
                  </w:tcBorders>
                  <w:shd w:val="clear" w:color="auto" w:fill="FFFFFF"/>
                  <w:noWrap/>
                  <w:vAlign w:val="center"/>
                </w:tcPr>
                <w:p>
                  <w:pPr>
                    <w:jc w:val="right"/>
                    <w:rPr>
                      <w:rFonts w:ascii="宋体" w:hAnsi="宋体" w:eastAsia="宋体" w:cs="宋体"/>
                      <w:color w:val="000000"/>
                      <w:sz w:val="24"/>
                      <w:szCs w:val="24"/>
                    </w:rPr>
                  </w:pPr>
                </w:p>
              </w:tc>
              <w:tc>
                <w:tcPr>
                  <w:tcW w:w="222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gridAfter w:val="1"/>
                <w:wAfter w:w="2220" w:type="dxa"/>
                <w:trHeight w:val="448" w:hRule="atLeast"/>
              </w:trPr>
              <w:tc>
                <w:tcPr>
                  <w:tcW w:w="6247"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收入</w:t>
                  </w:r>
                </w:p>
              </w:tc>
              <w:tc>
                <w:tcPr>
                  <w:tcW w:w="6931"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支出</w:t>
                  </w:r>
                </w:p>
              </w:tc>
            </w:tr>
            <w:tr>
              <w:tblPrEx>
                <w:tblLayout w:type="fixed"/>
                <w:tblCellMar>
                  <w:top w:w="0" w:type="dxa"/>
                  <w:left w:w="108" w:type="dxa"/>
                  <w:bottom w:w="0" w:type="dxa"/>
                  <w:right w:w="108" w:type="dxa"/>
                </w:tblCellMar>
              </w:tblPrEx>
              <w:trPr>
                <w:gridAfter w:val="1"/>
                <w:wAfter w:w="2220" w:type="dxa"/>
                <w:trHeight w:val="62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    目</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13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决算数</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    目</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11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决算数</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    次</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ascii="宋体" w:hAnsi="宋体" w:eastAsia="宋体" w:cs="宋体"/>
                      <w:color w:val="000000"/>
                      <w:sz w:val="24"/>
                      <w:szCs w:val="24"/>
                    </w:rPr>
                  </w:pPr>
                </w:p>
              </w:tc>
              <w:tc>
                <w:tcPr>
                  <w:tcW w:w="135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    次</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ascii="宋体" w:hAnsi="宋体" w:eastAsia="宋体" w:cs="宋体"/>
                      <w:color w:val="000000"/>
                      <w:sz w:val="24"/>
                      <w:szCs w:val="24"/>
                    </w:rPr>
                  </w:pPr>
                </w:p>
              </w:tc>
              <w:tc>
                <w:tcPr>
                  <w:tcW w:w="11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一、一般公共预算财政拨款收入</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1025.03</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0"/>
                      <w:szCs w:val="20"/>
                      <w:lang w:bidi="ar"/>
                    </w:rPr>
                    <w:t>31</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二、政府性基金预算财政拨款收入</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0"/>
                      <w:szCs w:val="20"/>
                      <w:lang w:bidi="ar"/>
                    </w:rPr>
                    <w:t>32</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三、国有资本经营预算财政拨款收入</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0"/>
                      <w:szCs w:val="20"/>
                      <w:lang w:bidi="ar"/>
                    </w:rPr>
                    <w:t>33</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四、上级补助收入</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0"/>
                      <w:szCs w:val="20"/>
                      <w:lang w:bidi="ar"/>
                    </w:rPr>
                    <w:t>34</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五、事业收入</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112.3</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0"/>
                      <w:szCs w:val="20"/>
                      <w:lang w:bidi="ar"/>
                    </w:rPr>
                    <w:t>35</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六、经营收入</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0"/>
                      <w:szCs w:val="20"/>
                      <w:lang w:bidi="ar"/>
                    </w:rPr>
                    <w:t>36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七、附属单位上缴收入</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7</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七、文化旅游体育与传媒支出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0"/>
                      <w:szCs w:val="20"/>
                      <w:lang w:bidi="ar"/>
                    </w:rPr>
                    <w:t>37</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八、其他收入</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8</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2.28</w:t>
                  </w: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八、社会保障和就业支出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39.96</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九、卫生健康支出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十、节能环保支出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十一、城乡社区支出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十二、农林水支出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1483.41</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十三、交通运输支出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150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十四、资源勘探工业信息等支出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十五、商业服务业等支出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十六、金融支出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十七、援助其他地区支出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十八、自然资源海洋气象等支出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十九、住房保障支出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二十、粮油物资储备支出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left"/>
                    <w:textAlignment w:val="center"/>
                    <w:rPr>
                      <w:rFonts w:ascii="宋体" w:hAnsi="宋体" w:eastAsia="宋体" w:cs="宋体"/>
                      <w:color w:val="000000"/>
                      <w:kern w:val="0"/>
                      <w:sz w:val="22"/>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二十一、国有资本经营预算支出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二十二、灾害防治及应急管理支出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二十三、其他支出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二十四、债务还本支出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二十五、债务付息支出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宋体"/>
                      <w:color w:val="000000"/>
                      <w:sz w:val="20"/>
                      <w:szCs w:val="20"/>
                    </w:rPr>
                  </w:pP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二十六、抗疫特别国债安排的支出</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2"/>
                    </w:rPr>
                  </w:pPr>
                  <w:r>
                    <w:rPr>
                      <w:rFonts w:hint="eastAsia" w:ascii="宋体" w:hAnsi="宋体" w:eastAsia="宋体" w:cs="宋体"/>
                      <w:b/>
                      <w:color w:val="000000"/>
                      <w:kern w:val="0"/>
                      <w:sz w:val="22"/>
                    </w:rPr>
                    <w:t>本年收入合计</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r>
                    <w:rPr>
                      <w:rFonts w:ascii="宋体" w:hAnsi="宋体" w:eastAsia="宋体" w:cs="宋体"/>
                      <w:kern w:val="0"/>
                      <w:sz w:val="22"/>
                    </w:rPr>
                    <w:t>1139.6</w:t>
                  </w: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b/>
                      <w:color w:val="000000"/>
                      <w:sz w:val="22"/>
                    </w:rPr>
                  </w:pPr>
                  <w:r>
                    <w:rPr>
                      <w:rFonts w:hint="eastAsia" w:ascii="宋体" w:hAnsi="宋体" w:eastAsia="宋体" w:cs="宋体"/>
                      <w:b/>
                      <w:color w:val="000000"/>
                      <w:kern w:val="0"/>
                      <w:sz w:val="22"/>
                    </w:rPr>
                    <w:t>本年支出合计</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0"/>
                      <w:szCs w:val="20"/>
                      <w:lang w:bidi="ar"/>
                    </w:rPr>
                    <w:t>57</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1673.37</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 xml:space="preserve">         使用非财政拨款结余</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r>
                    <w:rPr>
                      <w:rFonts w:ascii="宋体" w:hAnsi="宋体" w:eastAsia="宋体" w:cs="宋体"/>
                      <w:kern w:val="0"/>
                      <w:sz w:val="22"/>
                    </w:rPr>
                    <w:t>12.45</w:t>
                  </w: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 xml:space="preserve">                结余分配</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ascii="宋体" w:hAnsi="宋体" w:eastAsia="宋体" w:cs="宋体"/>
                      <w:color w:val="000000"/>
                      <w:sz w:val="22"/>
                    </w:rPr>
                  </w:pPr>
                  <w:r>
                    <w:rPr>
                      <w:rFonts w:hint="eastAsia" w:ascii="宋体" w:hAnsi="宋体" w:eastAsia="宋体" w:cs="宋体"/>
                      <w:kern w:val="0"/>
                      <w:sz w:val="22"/>
                    </w:rPr>
                    <w:t>58</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gridAfter w:val="1"/>
                <w:wAfter w:w="2220" w:type="dxa"/>
                <w:trHeight w:val="62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 xml:space="preserve">         年初结转和结余</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kern w:val="0"/>
                      <w:sz w:val="22"/>
                    </w:rPr>
                  </w:pPr>
                  <w:r>
                    <w:rPr>
                      <w:rFonts w:ascii="宋体" w:hAnsi="宋体" w:eastAsia="宋体" w:cs="宋体"/>
                      <w:kern w:val="0"/>
                      <w:sz w:val="22"/>
                    </w:rPr>
                    <w:t>737.55</w:t>
                  </w:r>
                </w:p>
              </w:tc>
              <w:tc>
                <w:tcPr>
                  <w:tcW w:w="48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 xml:space="preserve">                年末结转和结余</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ascii="宋体" w:hAnsi="宋体" w:eastAsia="宋体" w:cs="宋体"/>
                      <w:color w:val="000000"/>
                      <w:sz w:val="22"/>
                    </w:rPr>
                  </w:pPr>
                  <w:r>
                    <w:rPr>
                      <w:rFonts w:hint="eastAsia" w:ascii="宋体" w:hAnsi="宋体" w:eastAsia="宋体" w:cs="宋体"/>
                      <w:kern w:val="0"/>
                      <w:sz w:val="22"/>
                    </w:rPr>
                    <w:t>59</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216.23</w:t>
                  </w:r>
                </w:p>
              </w:tc>
            </w:tr>
            <w:tr>
              <w:tblPrEx>
                <w:tblLayout w:type="fixed"/>
                <w:tblCellMar>
                  <w:top w:w="0" w:type="dxa"/>
                  <w:left w:w="108" w:type="dxa"/>
                  <w:bottom w:w="0" w:type="dxa"/>
                  <w:right w:w="108" w:type="dxa"/>
                </w:tblCellMar>
              </w:tblPrEx>
              <w:trPr>
                <w:gridAfter w:val="1"/>
                <w:wAfter w:w="2220" w:type="dxa"/>
                <w:trHeight w:val="448" w:hRule="atLeast"/>
              </w:trPr>
              <w:tc>
                <w:tcPr>
                  <w:tcW w:w="427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b/>
                      <w:color w:val="000000"/>
                      <w:sz w:val="22"/>
                    </w:rPr>
                  </w:pPr>
                  <w:r>
                    <w:rPr>
                      <w:rFonts w:hint="eastAsia" w:ascii="宋体" w:hAnsi="宋体" w:eastAsia="宋体" w:cs="宋体"/>
                      <w:b/>
                      <w:color w:val="000000"/>
                      <w:kern w:val="0"/>
                      <w:sz w:val="22"/>
                    </w:rPr>
                    <w:t>总计</w:t>
                  </w:r>
                </w:p>
              </w:tc>
              <w:tc>
                <w:tcPr>
                  <w:tcW w:w="61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30</w:t>
                  </w:r>
                </w:p>
              </w:tc>
              <w:tc>
                <w:tcPr>
                  <w:tcW w:w="13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r>
                    <w:rPr>
                      <w:rFonts w:ascii="宋体" w:hAnsi="宋体" w:eastAsia="宋体" w:cs="宋体"/>
                      <w:color w:val="000000"/>
                      <w:sz w:val="22"/>
                    </w:rPr>
                    <w:t>1889.6</w:t>
                  </w:r>
                </w:p>
              </w:tc>
              <w:tc>
                <w:tcPr>
                  <w:tcW w:w="48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textAlignment w:val="center"/>
                    <w:rPr>
                      <w:rFonts w:ascii="宋体" w:hAnsi="宋体" w:eastAsia="宋体" w:cs="宋体"/>
                      <w:b/>
                      <w:color w:val="000000"/>
                      <w:sz w:val="22"/>
                    </w:rPr>
                  </w:pPr>
                  <w:r>
                    <w:rPr>
                      <w:rFonts w:hint="eastAsia" w:ascii="宋体" w:hAnsi="宋体" w:eastAsia="宋体" w:cs="宋体"/>
                      <w:b/>
                      <w:color w:val="000000"/>
                      <w:kern w:val="0"/>
                      <w:sz w:val="22"/>
                    </w:rPr>
                    <w:t>总计</w:t>
                  </w:r>
                </w:p>
              </w:tc>
              <w:tc>
                <w:tcPr>
                  <w:tcW w:w="9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ascii="宋体" w:hAnsi="宋体" w:eastAsia="宋体" w:cs="宋体"/>
                      <w:color w:val="000000"/>
                      <w:sz w:val="22"/>
                    </w:rPr>
                  </w:pPr>
                  <w:r>
                    <w:rPr>
                      <w:rFonts w:hint="eastAsia" w:ascii="宋体" w:hAnsi="宋体" w:eastAsia="宋体" w:cs="宋体"/>
                      <w:kern w:val="0"/>
                      <w:sz w:val="22"/>
                    </w:rPr>
                    <w:t>60</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rPr>
                  </w:pPr>
                  <w:r>
                    <w:rPr>
                      <w:rFonts w:hint="eastAsia" w:ascii="宋体" w:hAnsi="宋体" w:eastAsia="宋体" w:cs="宋体"/>
                      <w:color w:val="000000"/>
                      <w:sz w:val="22"/>
                    </w:rPr>
                    <w:t>1889.6</w:t>
                  </w:r>
                </w:p>
              </w:tc>
            </w:tr>
            <w:tr>
              <w:tblPrEx>
                <w:tblLayout w:type="fixed"/>
                <w:tblCellMar>
                  <w:top w:w="0" w:type="dxa"/>
                  <w:left w:w="108" w:type="dxa"/>
                  <w:bottom w:w="0" w:type="dxa"/>
                  <w:right w:w="108" w:type="dxa"/>
                </w:tblCellMar>
              </w:tblPrEx>
              <w:trPr>
                <w:trHeight w:val="1015" w:hRule="atLeast"/>
              </w:trPr>
              <w:tc>
                <w:tcPr>
                  <w:tcW w:w="15398" w:type="dxa"/>
                  <w:gridSpan w:val="7"/>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注：1.本表反映部门本年度的总收支和年末结转结余情况。</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2.本套报表金额单位转换时可能存在尾数误差。</w:t>
                  </w:r>
                </w:p>
                <w:p>
                  <w:pPr>
                    <w:widowControl/>
                    <w:jc w:val="left"/>
                    <w:textAlignment w:val="center"/>
                    <w:rPr>
                      <w:rFonts w:ascii="宋体" w:hAnsi="宋体" w:eastAsia="宋体" w:cs="宋体"/>
                      <w:color w:val="000000"/>
                      <w:sz w:val="24"/>
                      <w:szCs w:val="24"/>
                    </w:rPr>
                  </w:pPr>
                </w:p>
                <w:p>
                  <w:pPr>
                    <w:widowControl/>
                    <w:jc w:val="left"/>
                    <w:textAlignment w:val="center"/>
                    <w:rPr>
                      <w:rFonts w:ascii="宋体" w:hAnsi="宋体" w:eastAsia="宋体" w:cs="宋体"/>
                      <w:color w:val="000000"/>
                      <w:sz w:val="24"/>
                      <w:szCs w:val="24"/>
                    </w:rPr>
                  </w:pPr>
                </w:p>
                <w:p>
                  <w:pPr>
                    <w:widowControl/>
                    <w:jc w:val="left"/>
                    <w:textAlignment w:val="center"/>
                    <w:rPr>
                      <w:rFonts w:ascii="宋体" w:hAnsi="宋体" w:eastAsia="宋体" w:cs="宋体"/>
                      <w:color w:val="000000"/>
                      <w:sz w:val="24"/>
                      <w:szCs w:val="24"/>
                    </w:rPr>
                  </w:pPr>
                </w:p>
                <w:p>
                  <w:pPr>
                    <w:widowControl/>
                    <w:jc w:val="left"/>
                    <w:textAlignment w:val="center"/>
                    <w:rPr>
                      <w:rFonts w:ascii="宋体" w:hAnsi="宋体" w:eastAsia="宋体" w:cs="宋体"/>
                      <w:color w:val="000000"/>
                      <w:sz w:val="24"/>
                      <w:szCs w:val="24"/>
                    </w:rPr>
                  </w:pPr>
                </w:p>
                <w:p>
                  <w:pPr>
                    <w:widowControl/>
                    <w:jc w:val="left"/>
                    <w:textAlignment w:val="center"/>
                    <w:rPr>
                      <w:rFonts w:ascii="宋体" w:hAnsi="宋体" w:eastAsia="宋体" w:cs="宋体"/>
                      <w:color w:val="000000"/>
                      <w:sz w:val="24"/>
                      <w:szCs w:val="24"/>
                    </w:rPr>
                  </w:pPr>
                </w:p>
                <w:p>
                  <w:pPr>
                    <w:widowControl/>
                    <w:jc w:val="left"/>
                    <w:textAlignment w:val="center"/>
                    <w:rPr>
                      <w:rFonts w:ascii="宋体" w:hAnsi="宋体" w:eastAsia="宋体" w:cs="宋体"/>
                      <w:color w:val="000000"/>
                      <w:sz w:val="24"/>
                      <w:szCs w:val="24"/>
                    </w:rPr>
                  </w:pPr>
                </w:p>
                <w:p>
                  <w:pPr>
                    <w:widowControl/>
                    <w:jc w:val="left"/>
                    <w:textAlignment w:val="center"/>
                    <w:rPr>
                      <w:rFonts w:ascii="宋体" w:hAnsi="宋体" w:eastAsia="宋体" w:cs="宋体"/>
                      <w:color w:val="000000"/>
                      <w:sz w:val="24"/>
                      <w:szCs w:val="24"/>
                    </w:rPr>
                  </w:pPr>
                </w:p>
                <w:p>
                  <w:pPr>
                    <w:widowControl/>
                    <w:jc w:val="left"/>
                    <w:textAlignment w:val="center"/>
                    <w:rPr>
                      <w:rFonts w:hint="eastAsia" w:ascii="宋体" w:hAnsi="宋体" w:eastAsia="宋体" w:cs="宋体"/>
                      <w:color w:val="000000"/>
                      <w:sz w:val="24"/>
                      <w:szCs w:val="24"/>
                    </w:rPr>
                  </w:pPr>
                </w:p>
              </w:tc>
            </w:tr>
          </w:tbl>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48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5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53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93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07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6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3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6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285" w:hRule="atLeast"/>
        </w:trPr>
        <w:tc>
          <w:tcPr>
            <w:tcW w:w="8014" w:type="dxa"/>
            <w:gridSpan w:val="4"/>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部门：湖南省水产原种场</w:t>
            </w:r>
          </w:p>
          <w:p>
            <w:pPr>
              <w:jc w:val="right"/>
              <w:rPr>
                <w:rFonts w:ascii="宋体" w:hAnsi="宋体" w:eastAsia="宋体" w:cs="宋体"/>
                <w:sz w:val="24"/>
                <w:szCs w:val="24"/>
              </w:rPr>
            </w:pPr>
            <w:r>
              <w:rPr>
                <w:rFonts w:hint="eastAsia"/>
              </w:rPr>
              <w:t>　</w:t>
            </w:r>
          </w:p>
          <w:p>
            <w:pPr>
              <w:jc w:val="right"/>
              <w:rPr>
                <w:rFonts w:ascii="宋体" w:hAnsi="宋体" w:eastAsia="宋体" w:cs="宋体"/>
                <w:sz w:val="24"/>
                <w:szCs w:val="24"/>
              </w:rPr>
            </w:pPr>
            <w:r>
              <w:rPr>
                <w:rFonts w:hint="eastAsia"/>
              </w:rPr>
              <w:t>　</w:t>
            </w:r>
          </w:p>
        </w:tc>
        <w:tc>
          <w:tcPr>
            <w:tcW w:w="154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936"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07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6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3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6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6469"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54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54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93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07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86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83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1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934"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5535"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5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93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86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83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93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5535"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4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93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86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83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646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54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54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93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07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86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83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16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646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r>
              <w:t>139.6</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1025.03</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112.3</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2.28</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t>208</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p>
            <w:pPr>
              <w:widowControl/>
              <w:rPr>
                <w:rFonts w:ascii="宋体" w:hAnsi="宋体" w:eastAsia="宋体" w:cs="宋体"/>
                <w:color w:val="000000"/>
                <w:kern w:val="0"/>
                <w:sz w:val="22"/>
              </w:rPr>
            </w:pPr>
            <w:r>
              <w:rPr>
                <w:rFonts w:hint="eastAsia"/>
                <w:color w:val="000000"/>
                <w:sz w:val="22"/>
              </w:rPr>
              <w:t>社会保障和就业支出</w:t>
            </w:r>
          </w:p>
          <w:p>
            <w:pPr>
              <w:rPr>
                <w:rFonts w:ascii="宋体" w:hAnsi="宋体" w:eastAsia="宋体" w:cs="宋体"/>
                <w:sz w:val="24"/>
                <w:szCs w:val="24"/>
              </w:rPr>
            </w:pP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39.96</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39.96</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ascii="宋体" w:hAnsi="宋体" w:eastAsia="宋体" w:cs="宋体"/>
                <w:sz w:val="24"/>
                <w:szCs w:val="24"/>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r>
              <w:t>0</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t>20805</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color w:val="000000"/>
                <w:sz w:val="22"/>
              </w:rPr>
              <w:t>行政事业单位养老支出</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sz w:val="24"/>
                <w:szCs w:val="24"/>
              </w:rPr>
            </w:pPr>
            <w:r>
              <w:rPr>
                <w:rFonts w:ascii="华文中宋" w:hAnsi="华文中宋" w:eastAsia="华文中宋"/>
              </w:rPr>
              <w:t>39.96</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ascii="华文中宋" w:hAnsi="华文中宋" w:eastAsia="华文中宋"/>
              </w:rPr>
              <w:t>39.96</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t>2080505</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p>
            <w:pPr>
              <w:widowControl/>
              <w:rPr>
                <w:rFonts w:ascii="宋体" w:hAnsi="宋体" w:eastAsia="宋体" w:cs="宋体"/>
                <w:color w:val="000000"/>
                <w:kern w:val="0"/>
                <w:sz w:val="22"/>
              </w:rPr>
            </w:pPr>
            <w:r>
              <w:rPr>
                <w:rFonts w:hint="eastAsia"/>
                <w:color w:val="000000"/>
                <w:sz w:val="22"/>
              </w:rPr>
              <w:t>机关事业单位基本养老保险缴费支出</w:t>
            </w:r>
          </w:p>
          <w:p>
            <w:pPr>
              <w:rPr>
                <w:rFonts w:ascii="宋体" w:hAnsi="宋体" w:eastAsia="宋体" w:cs="宋体"/>
                <w:sz w:val="24"/>
                <w:szCs w:val="24"/>
              </w:rPr>
            </w:pP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39.96</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39.96</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t>213</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rPr>
                <w:rFonts w:hint="eastAsia"/>
                <w:color w:val="000000"/>
                <w:sz w:val="22"/>
              </w:rPr>
              <w:t>农林水支出</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1099.64</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985.07</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112.3</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2.28</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t>21301</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rPr>
                <w:rFonts w:hint="eastAsia"/>
                <w:color w:val="000000"/>
                <w:sz w:val="22"/>
              </w:rPr>
              <w:t>农业农村</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529.64</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415.07</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112.3</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2.28</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r>
              <w:t>2130101</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行政运行</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24.56</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t>24.56</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0</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t>2130104</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事业运行</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t>385.08</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t>270.51</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t>112.3</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t>2.28</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t>2130111</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统计监测与信息服务</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2</w:t>
            </w:r>
            <w:r>
              <w:t>0</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2</w:t>
            </w:r>
            <w:r>
              <w:t>0</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t>2130135</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农业资源保护修复与利用</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1</w:t>
            </w:r>
            <w:r>
              <w:t>00</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1</w:t>
            </w:r>
            <w:r>
              <w:t>00</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t>21302</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林业和草原</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5</w:t>
            </w:r>
            <w:r>
              <w:t>70</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5</w:t>
            </w:r>
            <w:r>
              <w:t>70</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r>
      <w:tr>
        <w:tblPrEx>
          <w:tblLayout w:type="fixed"/>
          <w:tblCellMar>
            <w:top w:w="0" w:type="dxa"/>
            <w:left w:w="0" w:type="dxa"/>
            <w:bottom w:w="0" w:type="dxa"/>
            <w:right w:w="0" w:type="dxa"/>
          </w:tblCellMar>
        </w:tblPrEx>
        <w:trPr>
          <w:trHeight w:val="450" w:hRule="atLeast"/>
        </w:trPr>
        <w:tc>
          <w:tcPr>
            <w:tcW w:w="93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t>2130299</w:t>
            </w:r>
          </w:p>
        </w:tc>
        <w:tc>
          <w:tcPr>
            <w:tcW w:w="553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其他林业和草原支出</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5</w:t>
            </w:r>
            <w:r>
              <w:t>70</w:t>
            </w:r>
          </w:p>
        </w:tc>
        <w:tc>
          <w:tcPr>
            <w:tcW w:w="154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5</w:t>
            </w:r>
            <w:r>
              <w:t>70</w:t>
            </w:r>
          </w:p>
        </w:tc>
        <w:tc>
          <w:tcPr>
            <w:tcW w:w="93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107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6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c>
          <w:tcPr>
            <w:tcW w:w="216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0</w:t>
            </w:r>
          </w:p>
        </w:tc>
      </w:tr>
      <w:tr>
        <w:tblPrEx>
          <w:tblLayout w:type="fixed"/>
          <w:tblCellMar>
            <w:top w:w="0" w:type="dxa"/>
            <w:left w:w="0" w:type="dxa"/>
            <w:bottom w:w="0" w:type="dxa"/>
            <w:right w:w="0" w:type="dxa"/>
          </w:tblCellMar>
        </w:tblPrEx>
        <w:trPr>
          <w:trHeight w:val="615" w:hRule="atLeast"/>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br w:type="page"/>
      </w:r>
    </w:p>
    <w:p>
      <w:pPr>
        <w:widowControl/>
        <w:rPr>
          <w:rFonts w:ascii="Times New Roman" w:hAnsi="Times New Roman" w:eastAsia="方正小标宋_GBK" w:cs="Times New Roman"/>
          <w:color w:val="000000"/>
          <w:kern w:val="0"/>
          <w:sz w:val="36"/>
          <w:szCs w:val="36"/>
        </w:rPr>
      </w:pPr>
    </w:p>
    <w:tbl>
      <w:tblPr>
        <w:tblStyle w:val="7"/>
        <w:tblW w:w="15640" w:type="dxa"/>
        <w:tblInd w:w="93" w:type="dxa"/>
        <w:tblLayout w:type="fixed"/>
        <w:tblCellMar>
          <w:top w:w="0" w:type="dxa"/>
          <w:left w:w="108" w:type="dxa"/>
          <w:bottom w:w="0" w:type="dxa"/>
          <w:right w:w="108" w:type="dxa"/>
        </w:tblCellMar>
      </w:tblPr>
      <w:tblGrid>
        <w:gridCol w:w="1236"/>
        <w:gridCol w:w="263"/>
        <w:gridCol w:w="1481"/>
        <w:gridCol w:w="1952"/>
        <w:gridCol w:w="1991"/>
        <w:gridCol w:w="1991"/>
        <w:gridCol w:w="1991"/>
        <w:gridCol w:w="1991"/>
        <w:gridCol w:w="2744"/>
      </w:tblGrid>
      <w:tr>
        <w:tblPrEx>
          <w:tblLayout w:type="fixed"/>
        </w:tblPrEx>
        <w:trPr>
          <w:trHeight w:val="807" w:hRule="atLeast"/>
        </w:trPr>
        <w:tc>
          <w:tcPr>
            <w:tcW w:w="15640"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403" w:hRule="atLeast"/>
        </w:trPr>
        <w:tc>
          <w:tcPr>
            <w:tcW w:w="12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6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8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5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4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403" w:hRule="atLeast"/>
        </w:trPr>
        <w:tc>
          <w:tcPr>
            <w:tcW w:w="4932"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部门：湖南省水产原种场</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4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95" w:hRule="atLeast"/>
        </w:trPr>
        <w:tc>
          <w:tcPr>
            <w:tcW w:w="2980"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95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991"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74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595" w:hRule="atLeast"/>
        </w:trPr>
        <w:tc>
          <w:tcPr>
            <w:tcW w:w="149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48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9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7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74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298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95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99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74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595" w:hRule="atLeast"/>
        </w:trPr>
        <w:tc>
          <w:tcPr>
            <w:tcW w:w="2980"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1673.37</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362.2</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1311.17</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208</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社会保障和就业支出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39.96</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39.96</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20805</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社会保障和就业支出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39.96</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39.96</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2080505</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机关事业单位基本养老保险缴费支出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39.96</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39.96</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213</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农林水支出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1483.41</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322.24</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1161.17</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21301</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农业农村</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721.55</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322.24</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399.31</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r>
              <w:rPr>
                <w:rFonts w:ascii="宋体" w:hAnsi="宋体" w:eastAsia="宋体" w:cs="宋体"/>
                <w:kern w:val="0"/>
                <w:sz w:val="24"/>
                <w:szCs w:val="24"/>
              </w:rPr>
              <w:t>2130101</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行政运行</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1483.41</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24.56</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2130104</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事业运行</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397.53</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297.68</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99.85</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2130122</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农业生产发展</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210.13</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210.13</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2130135</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农业资源保护修复与利用</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89.33</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89.33</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21302</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林业和草原</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734.64</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734.64</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2130299</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其他林业和草原支出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734.64</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734.64</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21303</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水利</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25.5</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25.5</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2130305</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水利工程建设</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25.5</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25.5</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21399</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其他农林水支出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1.72</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1.72</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2139999</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其他农林水支出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1.72</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1.72</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214</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交通运输支出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150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150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21499</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其他交通运输支出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150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150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ascii="宋体" w:hAnsi="宋体" w:eastAsia="宋体" w:cs="宋体"/>
                <w:kern w:val="0"/>
                <w:sz w:val="24"/>
                <w:szCs w:val="24"/>
              </w:rPr>
              <w:t>2149999</w:t>
            </w:r>
          </w:p>
        </w:tc>
        <w:tc>
          <w:tcPr>
            <w:tcW w:w="1481" w:type="dxa"/>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其他交通运输支出</w:t>
            </w:r>
          </w:p>
        </w:tc>
        <w:tc>
          <w:tcPr>
            <w:tcW w:w="195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ascii="宋体" w:hAnsi="宋体" w:eastAsia="宋体" w:cs="宋体"/>
                <w:kern w:val="0"/>
                <w:sz w:val="24"/>
                <w:szCs w:val="24"/>
              </w:rPr>
              <w:t>150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199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c>
          <w:tcPr>
            <w:tcW w:w="274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0</w:t>
            </w:r>
          </w:p>
        </w:tc>
      </w:tr>
      <w:tr>
        <w:tblPrEx>
          <w:tblLayout w:type="fixed"/>
          <w:tblCellMar>
            <w:top w:w="0" w:type="dxa"/>
            <w:left w:w="108" w:type="dxa"/>
            <w:bottom w:w="0" w:type="dxa"/>
            <w:right w:w="108" w:type="dxa"/>
          </w:tblCellMar>
        </w:tblPrEx>
        <w:trPr>
          <w:trHeight w:val="828" w:hRule="atLeast"/>
        </w:trPr>
        <w:tc>
          <w:tcPr>
            <w:tcW w:w="15640"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rPr>
          <w:rFonts w:ascii="Times New Roman" w:hAnsi="Times New Roman" w:eastAsia="方正小标宋_GBK" w:cs="Times New Roman"/>
          <w:color w:val="000000"/>
          <w:kern w:val="0"/>
          <w:sz w:val="36"/>
          <w:szCs w:val="21"/>
        </w:rPr>
      </w:pPr>
    </w:p>
    <w:tbl>
      <w:tblPr>
        <w:tblStyle w:val="7"/>
        <w:tblW w:w="15521" w:type="dxa"/>
        <w:tblInd w:w="93"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Layout w:type="fixed"/>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部门：湖南省水产原种场</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ascii="宋体" w:hAnsi="宋体" w:eastAsia="宋体" w:cs="宋体"/>
                <w:kern w:val="0"/>
                <w:sz w:val="22"/>
              </w:rPr>
              <w:t>1025.03</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33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34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35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36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37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38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七、文化旅游体育与传媒支出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39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八、社会保障和就业支出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39.96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39.96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九、卫生健康支出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十、节能环保支出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十一、城乡社区支出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十二、农林水支出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1356.39</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1356.39</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十三、交通运输支出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150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150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十四、资源勘探工业信息等支出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十五、商业服务业等支出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十六、金融支出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十七、援助其他地区支出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49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18</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十八、自然资源海洋气象等支出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50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19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十九、住房保障支出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51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20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lang w:bidi="ar"/>
              </w:rPr>
              <w:t>二十、粮油物资储备支出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52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21</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二十一、国有资本经营预算支出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53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22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color w:val="000000"/>
                <w:kern w:val="0"/>
                <w:sz w:val="20"/>
                <w:szCs w:val="20"/>
                <w:lang w:bidi="ar"/>
              </w:rPr>
              <w:t>二十二、灾害防治及应急管理支出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54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23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二十三、其他支出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55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24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二十四、债务还本支出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56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25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color w:val="000000"/>
                <w:kern w:val="0"/>
                <w:sz w:val="20"/>
                <w:szCs w:val="20"/>
                <w:lang w:bidi="ar"/>
              </w:rPr>
              <w:t>二十五、债务付息支出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57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p>
            <w:pPr>
              <w:widowControl/>
              <w:jc w:val="center"/>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hint="eastAsia" w:ascii="宋体" w:hAnsi="宋体" w:eastAsia="宋体" w:cs="宋体"/>
                <w:kern w:val="0"/>
                <w:sz w:val="22"/>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color w:val="000000"/>
                <w:kern w:val="0"/>
                <w:sz w:val="20"/>
                <w:szCs w:val="20"/>
                <w:lang w:bidi="ar"/>
              </w:rPr>
              <w:t>二十六、抗疫特别国债安排的支出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58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1025.03</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59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1546.35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1546.35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737.55</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60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216.23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216.23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29</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ascii="宋体" w:hAnsi="宋体" w:eastAsia="宋体" w:cs="宋体"/>
                <w:kern w:val="0"/>
                <w:sz w:val="22"/>
              </w:rPr>
              <w:t>737.55</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61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30</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color w:val="000000"/>
                <w:kern w:val="0"/>
                <w:sz w:val="20"/>
                <w:szCs w:val="20"/>
                <w:lang w:bidi="ar"/>
              </w:rPr>
              <w:t>62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31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63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32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ascii="宋体" w:hAnsi="宋体" w:eastAsia="宋体" w:cs="宋体"/>
                <w:kern w:val="0"/>
                <w:sz w:val="22"/>
              </w:rPr>
              <w:t>1762.58</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color w:val="000000"/>
                <w:kern w:val="0"/>
                <w:sz w:val="20"/>
                <w:szCs w:val="20"/>
                <w:lang w:bidi="ar"/>
              </w:rPr>
              <w:t>64</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ascii="宋体" w:hAnsi="宋体" w:eastAsia="宋体" w:cs="宋体"/>
                <w:kern w:val="0"/>
                <w:sz w:val="22"/>
              </w:rPr>
              <w:t>1762.58</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ascii="宋体" w:hAnsi="宋体" w:eastAsia="宋体" w:cs="宋体"/>
                <w:kern w:val="0"/>
                <w:sz w:val="22"/>
              </w:rPr>
              <w:t>1762.58</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0</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湖南省水产原种场</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7"/>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1546.35　</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335.03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1211.32　</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208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39.96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39.96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20805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行政事业单位养老支出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39.96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39.96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2080505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39.96</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39.96</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213</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农林水支出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1356.39</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295.07</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1061.32</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21301</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农业农村</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594.53</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295.07</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299.46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2130101</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行政运行</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24.56</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24.56</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2130104</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事业运行</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270.51</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270.51</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2130111</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统计监测与信息服务</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2130122</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农业生产发展</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210.13</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210.13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2130135</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农业资源保护修复与利用</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89.33</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89.33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21302</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林业和草原</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734.64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734.64</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2130299</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其他林业和草原支出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734.64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734.64</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21303</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水利</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25.5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25.5</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2130305</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水利工程建设</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25.5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25.5</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21399</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其他农林水支出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1.72</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1.72</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2139999</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其他农林水支出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1.72</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1.72</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214</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其他农林水支出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150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150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21499</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其他交通运输支出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150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150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2149999</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其他交通运输支出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150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150</w:t>
            </w: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br w:type="page"/>
      </w:r>
    </w:p>
    <w:tbl>
      <w:tblPr>
        <w:tblStyle w:val="7"/>
        <w:tblW w:w="15614" w:type="dxa"/>
        <w:tblInd w:w="0" w:type="dxa"/>
        <w:tblLayout w:type="fixed"/>
        <w:tblCellMar>
          <w:top w:w="0" w:type="dxa"/>
          <w:left w:w="108" w:type="dxa"/>
          <w:bottom w:w="0" w:type="dxa"/>
          <w:right w:w="108" w:type="dxa"/>
        </w:tblCellMar>
      </w:tblPr>
      <w:tblGrid>
        <w:gridCol w:w="976"/>
        <w:gridCol w:w="240"/>
        <w:gridCol w:w="216"/>
        <w:gridCol w:w="1154"/>
        <w:gridCol w:w="1581"/>
        <w:gridCol w:w="501"/>
        <w:gridCol w:w="750"/>
        <w:gridCol w:w="1190"/>
        <w:gridCol w:w="306"/>
        <w:gridCol w:w="1785"/>
        <w:gridCol w:w="296"/>
        <w:gridCol w:w="691"/>
        <w:gridCol w:w="1101"/>
        <w:gridCol w:w="357"/>
        <w:gridCol w:w="2057"/>
        <w:gridCol w:w="1366"/>
        <w:gridCol w:w="761"/>
        <w:gridCol w:w="286"/>
      </w:tblGrid>
      <w:tr>
        <w:tblPrEx>
          <w:tblLayout w:type="fixed"/>
          <w:tblCellMar>
            <w:top w:w="0" w:type="dxa"/>
            <w:left w:w="108" w:type="dxa"/>
            <w:bottom w:w="0" w:type="dxa"/>
            <w:right w:w="108" w:type="dxa"/>
          </w:tblCellMar>
        </w:tblPrEx>
        <w:trPr>
          <w:trHeight w:val="113" w:hRule="atLeast"/>
        </w:trPr>
        <w:tc>
          <w:tcPr>
            <w:tcW w:w="15614" w:type="dxa"/>
            <w:gridSpan w:val="18"/>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 xml:space="preserve">湖南省水产原种场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4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273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09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8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7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4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290.92</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44.11</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89.52</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0.53</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16.9</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10.82</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10.2</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91.1</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22.11</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10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16.38</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15</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4.12</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26.23</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3</w:t>
            </w:r>
            <w:r>
              <w:rPr>
                <w:rFonts w:ascii="宋体" w:hAnsi="宋体" w:eastAsia="宋体" w:cs="宋体"/>
                <w:color w:val="000000"/>
                <w:kern w:val="0"/>
                <w:szCs w:val="20"/>
              </w:rPr>
              <w:t>.3</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4.5</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0.42</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0.14</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9.19</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3</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Layout w:type="fixed"/>
          <w:tblCellMar>
            <w:top w:w="0" w:type="dxa"/>
            <w:left w:w="108" w:type="dxa"/>
            <w:bottom w:w="0" w:type="dxa"/>
            <w:right w:w="108" w:type="dxa"/>
          </w:tblCellMar>
        </w:tblPrEx>
        <w:trPr>
          <w:trHeight w:val="284" w:hRule="exact"/>
        </w:trPr>
        <w:tc>
          <w:tcPr>
            <w:tcW w:w="1432"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273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11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09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987"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r>
              <w:rPr>
                <w:rFonts w:ascii="宋体" w:hAnsi="宋体" w:eastAsia="宋体" w:cs="宋体"/>
                <w:color w:val="000000"/>
                <w:kern w:val="0"/>
                <w:szCs w:val="18"/>
              </w:rPr>
              <w:t>1.33</w:t>
            </w:r>
          </w:p>
        </w:tc>
        <w:tc>
          <w:tcPr>
            <w:tcW w:w="3780"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Layout w:type="fixed"/>
          <w:tblCellMar>
            <w:top w:w="0" w:type="dxa"/>
            <w:left w:w="108" w:type="dxa"/>
            <w:bottom w:w="0" w:type="dxa"/>
            <w:right w:w="108" w:type="dxa"/>
          </w:tblCellMar>
        </w:tblPrEx>
        <w:trPr>
          <w:trHeight w:val="284" w:hRule="exact"/>
        </w:trPr>
        <w:tc>
          <w:tcPr>
            <w:tcW w:w="4167"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25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ascii="宋体" w:hAnsi="宋体" w:eastAsia="宋体" w:cs="宋体"/>
                <w:color w:val="000000"/>
                <w:kern w:val="0"/>
                <w:szCs w:val="20"/>
              </w:rPr>
              <w:t>290.92</w:t>
            </w:r>
          </w:p>
        </w:tc>
        <w:tc>
          <w:tcPr>
            <w:tcW w:w="9149"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04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18"/>
              </w:rPr>
            </w:pPr>
            <w:r>
              <w:rPr>
                <w:rFonts w:ascii="宋体" w:hAnsi="宋体" w:eastAsia="宋体" w:cs="宋体"/>
                <w:color w:val="000000"/>
                <w:kern w:val="0"/>
                <w:szCs w:val="18"/>
              </w:rPr>
              <w:t>44.11</w:t>
            </w:r>
          </w:p>
        </w:tc>
      </w:tr>
      <w:tr>
        <w:tblPrEx>
          <w:tblLayout w:type="fixed"/>
          <w:tblCellMar>
            <w:top w:w="0" w:type="dxa"/>
            <w:left w:w="108" w:type="dxa"/>
            <w:bottom w:w="0" w:type="dxa"/>
            <w:right w:w="108" w:type="dxa"/>
          </w:tblCellMar>
        </w:tblPrEx>
        <w:trPr>
          <w:trHeight w:val="284" w:hRule="exact"/>
        </w:trPr>
        <w:tc>
          <w:tcPr>
            <w:tcW w:w="15614" w:type="dxa"/>
            <w:gridSpan w:val="18"/>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r>
        <w:tblPrEx>
          <w:tblLayout w:type="fixed"/>
          <w:tblCellMar>
            <w:top w:w="0" w:type="dxa"/>
            <w:left w:w="108" w:type="dxa"/>
            <w:bottom w:w="0" w:type="dxa"/>
            <w:right w:w="108" w:type="dxa"/>
          </w:tblCellMar>
        </w:tblPrEx>
        <w:trPr>
          <w:gridAfter w:val="1"/>
          <w:wAfter w:w="286" w:type="dxa"/>
          <w:trHeight w:val="690" w:hRule="atLeast"/>
        </w:trPr>
        <w:tc>
          <w:tcPr>
            <w:tcW w:w="15328" w:type="dxa"/>
            <w:gridSpan w:val="17"/>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政府性基金预算财政拨款收入支出决算表</w:t>
            </w:r>
          </w:p>
        </w:tc>
      </w:tr>
      <w:tr>
        <w:tblPrEx>
          <w:tblLayout w:type="fixed"/>
          <w:tblCellMar>
            <w:top w:w="0" w:type="dxa"/>
            <w:left w:w="108" w:type="dxa"/>
            <w:bottom w:w="0" w:type="dxa"/>
            <w:right w:w="108" w:type="dxa"/>
          </w:tblCellMar>
        </w:tblPrEx>
        <w:trPr>
          <w:gridAfter w:val="1"/>
          <w:wAfter w:w="286" w:type="dxa"/>
          <w:trHeight w:val="345" w:hRule="atLeast"/>
        </w:trPr>
        <w:tc>
          <w:tcPr>
            <w:tcW w:w="976"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40"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1370" w:type="dxa"/>
            <w:gridSpan w:val="2"/>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082"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246"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081"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49"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057"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7" w:type="dxa"/>
            <w:gridSpan w:val="2"/>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公开07表</w:t>
            </w:r>
          </w:p>
        </w:tc>
      </w:tr>
      <w:tr>
        <w:tblPrEx>
          <w:tblLayout w:type="fixed"/>
          <w:tblCellMar>
            <w:top w:w="0" w:type="dxa"/>
            <w:left w:w="108" w:type="dxa"/>
            <w:bottom w:w="0" w:type="dxa"/>
            <w:right w:w="108" w:type="dxa"/>
          </w:tblCellMar>
        </w:tblPrEx>
        <w:trPr>
          <w:gridAfter w:val="1"/>
          <w:wAfter w:w="286" w:type="dxa"/>
          <w:trHeight w:val="690" w:hRule="atLeast"/>
        </w:trPr>
        <w:tc>
          <w:tcPr>
            <w:tcW w:w="4668" w:type="dxa"/>
            <w:gridSpan w:val="6"/>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部门：湖南省水产原种场</w:t>
            </w:r>
          </w:p>
        </w:tc>
        <w:tc>
          <w:tcPr>
            <w:tcW w:w="2246"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081" w:type="dxa"/>
            <w:gridSpan w:val="2"/>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49" w:type="dxa"/>
            <w:gridSpan w:val="3"/>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057"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7" w:type="dxa"/>
            <w:gridSpan w:val="2"/>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gridAfter w:val="1"/>
          <w:wAfter w:w="286" w:type="dxa"/>
          <w:trHeight w:val="459" w:hRule="atLeast"/>
        </w:trPr>
        <w:tc>
          <w:tcPr>
            <w:tcW w:w="25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15"/>
                <w:rFonts w:hint="default"/>
              </w:rPr>
              <w:t xml:space="preserve">   </w:t>
            </w:r>
            <w:r>
              <w:rPr>
                <w:rStyle w:val="16"/>
                <w:rFonts w:hint="default"/>
              </w:rPr>
              <w:t>目</w:t>
            </w:r>
          </w:p>
        </w:tc>
        <w:tc>
          <w:tcPr>
            <w:tcW w:w="20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年初结转和结余</w:t>
            </w:r>
          </w:p>
        </w:tc>
        <w:tc>
          <w:tcPr>
            <w:tcW w:w="224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本年收入</w:t>
            </w:r>
          </w:p>
        </w:tc>
        <w:tc>
          <w:tcPr>
            <w:tcW w:w="62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c>
          <w:tcPr>
            <w:tcW w:w="21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年末结转和结余</w:t>
            </w:r>
          </w:p>
        </w:tc>
      </w:tr>
      <w:tr>
        <w:tblPrEx>
          <w:tblLayout w:type="fixed"/>
          <w:tblCellMar>
            <w:top w:w="0" w:type="dxa"/>
            <w:left w:w="108" w:type="dxa"/>
            <w:bottom w:w="0" w:type="dxa"/>
            <w:right w:w="108" w:type="dxa"/>
          </w:tblCellMar>
        </w:tblPrEx>
        <w:trPr>
          <w:gridAfter w:val="1"/>
          <w:wAfter w:w="286" w:type="dxa"/>
          <w:trHeight w:val="609" w:hRule="atLeast"/>
        </w:trPr>
        <w:tc>
          <w:tcPr>
            <w:tcW w:w="12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13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2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小计</w:t>
            </w:r>
          </w:p>
        </w:tc>
        <w:tc>
          <w:tcPr>
            <w:tcW w:w="214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20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c>
          <w:tcPr>
            <w:tcW w:w="21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409" w:hRule="atLeast"/>
        </w:trPr>
        <w:tc>
          <w:tcPr>
            <w:tcW w:w="12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4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509" w:hRule="atLeast"/>
        </w:trPr>
        <w:tc>
          <w:tcPr>
            <w:tcW w:w="12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4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509" w:hRule="atLeast"/>
        </w:trPr>
        <w:tc>
          <w:tcPr>
            <w:tcW w:w="25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2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2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2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r>
      <w:tr>
        <w:tblPrEx>
          <w:tblLayout w:type="fixed"/>
          <w:tblCellMar>
            <w:top w:w="0" w:type="dxa"/>
            <w:left w:w="108" w:type="dxa"/>
            <w:bottom w:w="0" w:type="dxa"/>
            <w:right w:w="108" w:type="dxa"/>
          </w:tblCellMar>
        </w:tblPrEx>
        <w:trPr>
          <w:gridAfter w:val="1"/>
          <w:wAfter w:w="286" w:type="dxa"/>
          <w:trHeight w:val="509" w:hRule="atLeast"/>
        </w:trPr>
        <w:tc>
          <w:tcPr>
            <w:tcW w:w="258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509" w:hRule="atLeast"/>
        </w:trPr>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509" w:hRule="atLeast"/>
        </w:trPr>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509" w:hRule="atLeast"/>
        </w:trPr>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509" w:hRule="atLeast"/>
        </w:trPr>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509" w:hRule="atLeast"/>
        </w:trPr>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509" w:hRule="atLeast"/>
        </w:trPr>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2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gridAfter w:val="1"/>
          <w:wAfter w:w="286" w:type="dxa"/>
          <w:trHeight w:val="725" w:hRule="atLeast"/>
        </w:trPr>
        <w:tc>
          <w:tcPr>
            <w:tcW w:w="15328" w:type="dxa"/>
            <w:gridSpan w:val="17"/>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注：本表反映部门本年度政府性基金预算财政拨款收入、支出及结转和结余情况。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说明：我单位没有政府性基金收入，也没有使用政府性基金安排的支出，故本表无数据。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tbl>
      <w:tblPr>
        <w:tblStyle w:val="7"/>
        <w:tblW w:w="15120" w:type="dxa"/>
        <w:tblInd w:w="93" w:type="dxa"/>
        <w:tblLayout w:type="fixed"/>
        <w:tblCellMar>
          <w:top w:w="0" w:type="dxa"/>
          <w:left w:w="108" w:type="dxa"/>
          <w:bottom w:w="0" w:type="dxa"/>
          <w:right w:w="108" w:type="dxa"/>
        </w:tblCellMar>
      </w:tblPr>
      <w:tblGrid>
        <w:gridCol w:w="1326"/>
        <w:gridCol w:w="701"/>
        <w:gridCol w:w="2292"/>
        <w:gridCol w:w="3315"/>
        <w:gridCol w:w="3315"/>
        <w:gridCol w:w="4171"/>
      </w:tblGrid>
      <w:tr>
        <w:tblPrEx>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701"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292"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公开08表</w:t>
            </w:r>
          </w:p>
        </w:tc>
      </w:tr>
      <w:tr>
        <w:tblPrEx>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center"/>
              <w:rPr>
                <w:rFonts w:ascii="宋体" w:hAnsi="宋体" w:eastAsia="宋体" w:cs="宋体"/>
                <w:color w:val="000000"/>
                <w:sz w:val="20"/>
                <w:szCs w:val="20"/>
              </w:rPr>
            </w:pPr>
            <w:r>
              <w:rPr>
                <w:rFonts w:hint="eastAsia" w:ascii="宋体" w:hAnsi="宋体" w:eastAsia="宋体" w:cs="宋体"/>
                <w:color w:val="000000"/>
                <w:kern w:val="0"/>
                <w:sz w:val="20"/>
                <w:szCs w:val="20"/>
              </w:rPr>
              <w:t>部门：湖南省水产原种场</w:t>
            </w: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Fonts w:hint="eastAsia" w:ascii="宋体" w:hAnsi="宋体" w:eastAsia="宋体" w:cs="宋体"/>
                <w:color w:val="000000"/>
                <w:kern w:val="0"/>
                <w:sz w:val="22"/>
              </w:rPr>
              <w:t xml:space="preserve">   </w:t>
            </w:r>
            <w:r>
              <w:rPr>
                <w:rStyle w:val="17"/>
                <w:rFonts w:hint="default"/>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r>
      <w:tr>
        <w:tblPrEx>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注：本表反映部门本年度国有资本经营预算财政拨款支出情况。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说明：我单位没有使用国有资本经营预算安排的支出，故本表无数据。</w:t>
            </w:r>
          </w:p>
        </w:tc>
      </w:tr>
    </w:tbl>
    <w:p>
      <w:pPr>
        <w:widowControl/>
        <w:jc w:val="center"/>
        <w:rPr>
          <w:rFonts w:ascii="Times New Roman" w:hAnsi="Times New Roman" w:eastAsia="方正小标宋_GBK" w:cs="Times New Roman"/>
          <w:color w:val="000000"/>
          <w:kern w:val="0"/>
          <w:sz w:val="36"/>
          <w:szCs w:val="36"/>
        </w:rPr>
      </w:pPr>
    </w:p>
    <w:tbl>
      <w:tblPr>
        <w:tblStyle w:val="7"/>
        <w:tblW w:w="15140" w:type="dxa"/>
        <w:tblInd w:w="93" w:type="dxa"/>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财政拨款“三公”经费支出决算表</w:t>
            </w:r>
          </w:p>
        </w:tc>
      </w:tr>
      <w:tr>
        <w:tblPrEx>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部门：湖南省水产原种场</w:t>
            </w: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决算数</w:t>
            </w:r>
          </w:p>
        </w:tc>
      </w:tr>
      <w:tr>
        <w:tblPrEx>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r>
      <w:tr>
        <w:tblPrEx>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12</w:t>
            </w:r>
          </w:p>
        </w:tc>
      </w:tr>
      <w:tr>
        <w:tblPrEx>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3</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r>
              <w:rPr>
                <w:rFonts w:hint="eastAsia" w:ascii="宋体" w:hAnsi="宋体" w:eastAsia="宋体" w:cs="宋体"/>
                <w:color w:val="000000"/>
                <w:sz w:val="22"/>
              </w:rPr>
              <w:t>0</w:t>
            </w:r>
          </w:p>
        </w:tc>
      </w:tr>
      <w:tr>
        <w:tblPrEx>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2022年度部门决算情况说明</w:t>
      </w:r>
    </w:p>
    <w:p>
      <w:pPr>
        <w:widowControl/>
        <w:jc w:val="left"/>
        <w:rPr>
          <w:rFonts w:asciiTheme="minorEastAsia" w:hAnsiTheme="minorEastAsia"/>
          <w:sz w:val="32"/>
          <w:szCs w:val="32"/>
        </w:rPr>
      </w:pPr>
      <w:r>
        <w:br w:type="page"/>
      </w:r>
    </w:p>
    <w:p>
      <w:pPr>
        <w:pStyle w:val="12"/>
        <w:spacing w:line="600" w:lineRule="exact"/>
        <w:ind w:firstLine="640" w:firstLineChars="200"/>
        <w:rPr>
          <w:rFonts w:hAnsi="黑体"/>
          <w:bCs/>
          <w:sz w:val="32"/>
          <w:szCs w:val="32"/>
        </w:rPr>
      </w:pPr>
      <w:r>
        <w:rPr>
          <w:rFonts w:hint="eastAsia" w:hAnsi="黑体"/>
          <w:bCs/>
          <w:sz w:val="32"/>
          <w:szCs w:val="32"/>
        </w:rPr>
        <w:t>一、收入支出决算总体情况说明</w:t>
      </w:r>
    </w:p>
    <w:p>
      <w:pPr>
        <w:widowControl/>
        <w:spacing w:line="600" w:lineRule="exact"/>
        <w:ind w:firstLine="640" w:firstLineChars="200"/>
        <w:rPr>
          <w:rFonts w:hint="default"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rPr>
        <w:t>2022年度收、支总计</w:t>
      </w:r>
      <w:r>
        <w:rPr>
          <w:rFonts w:hint="eastAsia" w:ascii="Times New Roman" w:hAnsi="Times New Roman" w:eastAsia="仿宋_GB2312" w:cs="仿宋_GB2312"/>
          <w:bCs/>
          <w:kern w:val="0"/>
          <w:sz w:val="32"/>
          <w:szCs w:val="32"/>
          <w:lang w:val="en-US" w:eastAsia="zh-CN"/>
        </w:rPr>
        <w:t>1889.6</w:t>
      </w:r>
      <w:r>
        <w:rPr>
          <w:rFonts w:hint="eastAsia" w:ascii="Times New Roman" w:hAnsi="Times New Roman" w:eastAsia="仿宋_GB2312" w:cs="仿宋_GB2312"/>
          <w:bCs/>
          <w:kern w:val="0"/>
          <w:sz w:val="32"/>
          <w:szCs w:val="32"/>
        </w:rPr>
        <w:t>万元。与上年相比，增加</w:t>
      </w:r>
      <w:r>
        <w:rPr>
          <w:rFonts w:hint="eastAsia" w:ascii="Times New Roman" w:hAnsi="Times New Roman" w:eastAsia="仿宋_GB2312" w:cs="仿宋_GB2312"/>
          <w:bCs/>
          <w:kern w:val="0"/>
          <w:sz w:val="32"/>
          <w:szCs w:val="32"/>
          <w:lang w:val="en-US" w:eastAsia="zh-CN"/>
        </w:rPr>
        <w:t>614.98</w:t>
      </w:r>
      <w:r>
        <w:rPr>
          <w:rFonts w:hint="eastAsia" w:ascii="Times New Roman" w:hAnsi="Times New Roman" w:eastAsia="仿宋_GB2312" w:cs="仿宋_GB2312"/>
          <w:bCs/>
          <w:kern w:val="0"/>
          <w:sz w:val="32"/>
          <w:szCs w:val="32"/>
        </w:rPr>
        <w:t>万元，增长</w:t>
      </w:r>
      <w:r>
        <w:rPr>
          <w:rFonts w:hint="eastAsia" w:ascii="Times New Roman" w:hAnsi="Times New Roman" w:eastAsia="仿宋_GB2312" w:cs="仿宋_GB2312"/>
          <w:bCs/>
          <w:kern w:val="0"/>
          <w:sz w:val="32"/>
          <w:szCs w:val="32"/>
          <w:lang w:val="en-US" w:eastAsia="zh-CN"/>
        </w:rPr>
        <w:t>48.25</w:t>
      </w:r>
      <w:r>
        <w:rPr>
          <w:rFonts w:hint="eastAsia" w:ascii="Times New Roman" w:hAnsi="Times New Roman" w:eastAsia="仿宋_GB2312" w:cs="仿宋_GB2312"/>
          <w:bCs/>
          <w:kern w:val="0"/>
          <w:sz w:val="32"/>
          <w:szCs w:val="32"/>
        </w:rPr>
        <w:t>%，主要是因为</w:t>
      </w:r>
      <w:r>
        <w:rPr>
          <w:rFonts w:hint="eastAsia" w:ascii="Times New Roman" w:hAnsi="Times New Roman" w:eastAsia="仿宋_GB2312" w:cs="仿宋_GB2312"/>
          <w:bCs/>
          <w:kern w:val="0"/>
          <w:sz w:val="32"/>
          <w:szCs w:val="32"/>
          <w:lang w:val="en-US" w:eastAsia="zh-CN"/>
        </w:rPr>
        <w:t>增加</w:t>
      </w:r>
      <w:r>
        <w:rPr>
          <w:rFonts w:hint="eastAsia" w:ascii="Times New Roman" w:hAnsi="Times New Roman" w:eastAsia="仿宋_GB2312" w:cs="仿宋_GB2312"/>
          <w:bCs/>
          <w:kern w:val="0"/>
          <w:sz w:val="32"/>
          <w:szCs w:val="32"/>
          <w:lang w:eastAsia="zh-CN"/>
        </w:rPr>
        <w:t>鱼类种质资源场建设项目</w:t>
      </w:r>
      <w:r>
        <w:rPr>
          <w:rFonts w:hint="eastAsia" w:ascii="Times New Roman" w:hAnsi="Times New Roman" w:eastAsia="仿宋_GB2312" w:cs="仿宋_GB2312"/>
          <w:bCs/>
          <w:kern w:val="0"/>
          <w:sz w:val="32"/>
          <w:szCs w:val="32"/>
          <w:lang w:val="en-US" w:eastAsia="zh-CN"/>
        </w:rPr>
        <w:t>及鱼类资源增殖与保护专项资金。</w:t>
      </w:r>
    </w:p>
    <w:p>
      <w:pPr>
        <w:pStyle w:val="12"/>
        <w:spacing w:line="600" w:lineRule="exact"/>
        <w:ind w:firstLine="640" w:firstLineChars="200"/>
        <w:rPr>
          <w:rFonts w:hAnsi="黑体"/>
          <w:bCs/>
          <w:sz w:val="32"/>
          <w:szCs w:val="32"/>
        </w:rPr>
      </w:pPr>
      <w:r>
        <w:rPr>
          <w:rFonts w:hint="eastAsia" w:hAnsi="黑体"/>
          <w:bCs/>
          <w:sz w:val="32"/>
          <w:szCs w:val="32"/>
        </w:rPr>
        <w:t>二、收入决算情况说明</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2022年度收入合计</w:t>
      </w:r>
      <w:r>
        <w:rPr>
          <w:rFonts w:hint="eastAsia" w:ascii="Times New Roman" w:hAnsi="Times New Roman" w:eastAsia="仿宋_GB2312" w:cs="仿宋_GB2312"/>
          <w:bCs/>
          <w:kern w:val="0"/>
          <w:sz w:val="32"/>
          <w:szCs w:val="32"/>
          <w:lang w:val="en-US" w:eastAsia="zh-CN"/>
        </w:rPr>
        <w:t>1139.6</w:t>
      </w:r>
      <w:r>
        <w:rPr>
          <w:rFonts w:hint="eastAsia" w:ascii="Times New Roman" w:hAnsi="Times New Roman" w:eastAsia="仿宋_GB2312" w:cs="仿宋_GB2312"/>
          <w:bCs/>
          <w:kern w:val="0"/>
          <w:sz w:val="32"/>
          <w:szCs w:val="32"/>
        </w:rPr>
        <w:t>万元，其中：财政拨款收入</w:t>
      </w:r>
      <w:r>
        <w:rPr>
          <w:rFonts w:hint="eastAsia" w:ascii="Times New Roman" w:hAnsi="Times New Roman" w:eastAsia="仿宋_GB2312" w:cs="仿宋_GB2312"/>
          <w:bCs/>
          <w:kern w:val="0"/>
          <w:sz w:val="32"/>
          <w:szCs w:val="32"/>
          <w:lang w:val="en-US" w:eastAsia="zh-CN"/>
        </w:rPr>
        <w:t>1025.03</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89.95</w:t>
      </w:r>
      <w:r>
        <w:rPr>
          <w:rFonts w:hint="eastAsia" w:ascii="Times New Roman" w:hAnsi="Times New Roman" w:eastAsia="仿宋_GB2312" w:cs="仿宋_GB2312"/>
          <w:bCs/>
          <w:kern w:val="0"/>
          <w:sz w:val="32"/>
          <w:szCs w:val="32"/>
        </w:rPr>
        <w:t>%；上级补助收入</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%；事业收入</w:t>
      </w:r>
      <w:r>
        <w:rPr>
          <w:rFonts w:hint="eastAsia" w:ascii="Times New Roman" w:hAnsi="Times New Roman" w:eastAsia="仿宋_GB2312" w:cs="仿宋_GB2312"/>
          <w:bCs/>
          <w:kern w:val="0"/>
          <w:sz w:val="32"/>
          <w:szCs w:val="32"/>
          <w:lang w:val="en-US" w:eastAsia="zh-CN"/>
        </w:rPr>
        <w:t>112.3</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9.85</w:t>
      </w:r>
      <w:r>
        <w:rPr>
          <w:rFonts w:hint="eastAsia" w:ascii="Times New Roman" w:hAnsi="Times New Roman" w:eastAsia="仿宋_GB2312" w:cs="仿宋_GB2312"/>
          <w:bCs/>
          <w:kern w:val="0"/>
          <w:sz w:val="32"/>
          <w:szCs w:val="32"/>
        </w:rPr>
        <w:t>%；经营收入</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%；附属单位上缴收入</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%；其他收入</w:t>
      </w:r>
      <w:r>
        <w:rPr>
          <w:rFonts w:hint="eastAsia" w:ascii="Times New Roman" w:hAnsi="Times New Roman" w:eastAsia="仿宋_GB2312" w:cs="仿宋_GB2312"/>
          <w:bCs/>
          <w:kern w:val="0"/>
          <w:sz w:val="32"/>
          <w:szCs w:val="32"/>
          <w:lang w:val="en-US" w:eastAsia="zh-CN"/>
        </w:rPr>
        <w:t>2.28</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0.2</w:t>
      </w:r>
      <w:r>
        <w:rPr>
          <w:rFonts w:hint="eastAsia" w:ascii="Times New Roman" w:hAnsi="Times New Roman" w:eastAsia="仿宋_GB2312" w:cs="仿宋_GB2312"/>
          <w:bCs/>
          <w:kern w:val="0"/>
          <w:sz w:val="32"/>
          <w:szCs w:val="32"/>
        </w:rPr>
        <w:t>%。</w:t>
      </w:r>
    </w:p>
    <w:p>
      <w:pPr>
        <w:pStyle w:val="12"/>
        <w:spacing w:line="600" w:lineRule="exact"/>
        <w:ind w:firstLine="640" w:firstLineChars="200"/>
        <w:rPr>
          <w:rFonts w:hAnsi="黑体"/>
          <w:bCs/>
          <w:sz w:val="32"/>
          <w:szCs w:val="32"/>
        </w:rPr>
      </w:pPr>
      <w:r>
        <w:rPr>
          <w:rFonts w:hint="eastAsia" w:hAnsi="黑体"/>
          <w:bCs/>
          <w:sz w:val="32"/>
          <w:szCs w:val="32"/>
        </w:rPr>
        <w:t>三、支出决算情况说明</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2022年度支出合计</w:t>
      </w:r>
      <w:r>
        <w:rPr>
          <w:rFonts w:hint="eastAsia" w:ascii="Times New Roman" w:hAnsi="Times New Roman" w:eastAsia="仿宋_GB2312" w:cs="仿宋_GB2312"/>
          <w:bCs/>
          <w:kern w:val="0"/>
          <w:sz w:val="32"/>
          <w:szCs w:val="32"/>
          <w:lang w:val="en-US" w:eastAsia="zh-CN"/>
        </w:rPr>
        <w:t>1673.37</w:t>
      </w:r>
      <w:r>
        <w:rPr>
          <w:rFonts w:hint="eastAsia" w:ascii="Times New Roman" w:hAnsi="Times New Roman" w:eastAsia="仿宋_GB2312" w:cs="仿宋_GB2312"/>
          <w:bCs/>
          <w:kern w:val="0"/>
          <w:sz w:val="32"/>
          <w:szCs w:val="32"/>
        </w:rPr>
        <w:t>万元，其中：基本支出</w:t>
      </w:r>
      <w:r>
        <w:rPr>
          <w:rFonts w:hint="eastAsia" w:ascii="Times New Roman" w:hAnsi="Times New Roman" w:eastAsia="仿宋_GB2312" w:cs="仿宋_GB2312"/>
          <w:bCs/>
          <w:kern w:val="0"/>
          <w:sz w:val="32"/>
          <w:szCs w:val="32"/>
          <w:lang w:val="en-US" w:eastAsia="zh-CN"/>
        </w:rPr>
        <w:t>362.2</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21.64</w:t>
      </w:r>
      <w:r>
        <w:rPr>
          <w:rFonts w:hint="eastAsia" w:ascii="Times New Roman" w:hAnsi="Times New Roman" w:eastAsia="仿宋_GB2312" w:cs="仿宋_GB2312"/>
          <w:bCs/>
          <w:kern w:val="0"/>
          <w:sz w:val="32"/>
          <w:szCs w:val="32"/>
        </w:rPr>
        <w:t>%；项目支出</w:t>
      </w:r>
      <w:r>
        <w:rPr>
          <w:rFonts w:hint="eastAsia" w:ascii="Times New Roman" w:hAnsi="Times New Roman" w:eastAsia="仿宋_GB2312" w:cs="仿宋_GB2312"/>
          <w:bCs/>
          <w:kern w:val="0"/>
          <w:sz w:val="32"/>
          <w:szCs w:val="32"/>
          <w:lang w:val="en-US" w:eastAsia="zh-CN"/>
        </w:rPr>
        <w:t>1311.17</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78.36</w:t>
      </w:r>
      <w:r>
        <w:rPr>
          <w:rFonts w:hint="eastAsia" w:ascii="Times New Roman" w:hAnsi="Times New Roman" w:eastAsia="仿宋_GB2312" w:cs="仿宋_GB2312"/>
          <w:bCs/>
          <w:kern w:val="0"/>
          <w:sz w:val="32"/>
          <w:szCs w:val="32"/>
        </w:rPr>
        <w:t>%；上缴上级支出</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%；经营支出</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%；对附属单位补助支出</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万元，占</w:t>
      </w:r>
      <w:r>
        <w:rPr>
          <w:rFonts w:hint="eastAsia" w:ascii="Times New Roman" w:hAnsi="Times New Roman" w:eastAsia="仿宋_GB2312" w:cs="仿宋_GB2312"/>
          <w:bCs/>
          <w:kern w:val="0"/>
          <w:sz w:val="32"/>
          <w:szCs w:val="32"/>
          <w:lang w:val="en-US" w:eastAsia="zh-CN"/>
        </w:rPr>
        <w:t>0</w:t>
      </w:r>
      <w:r>
        <w:rPr>
          <w:rFonts w:hint="eastAsia" w:ascii="Times New Roman" w:hAnsi="Times New Roman" w:eastAsia="仿宋_GB2312" w:cs="仿宋_GB2312"/>
          <w:bCs/>
          <w:kern w:val="0"/>
          <w:sz w:val="32"/>
          <w:szCs w:val="32"/>
        </w:rPr>
        <w:t>%。</w:t>
      </w:r>
    </w:p>
    <w:p>
      <w:pPr>
        <w:pStyle w:val="12"/>
        <w:spacing w:line="600" w:lineRule="exact"/>
        <w:ind w:firstLine="640" w:firstLineChars="200"/>
        <w:rPr>
          <w:rFonts w:hAnsi="黑体"/>
          <w:bCs/>
          <w:sz w:val="32"/>
          <w:szCs w:val="32"/>
        </w:rPr>
      </w:pPr>
      <w:r>
        <w:rPr>
          <w:rFonts w:hint="eastAsia" w:hAnsi="黑体"/>
          <w:bCs/>
          <w:sz w:val="32"/>
          <w:szCs w:val="32"/>
        </w:rPr>
        <w:t>四、财政拨款收入支出决算总体情况说明</w:t>
      </w:r>
    </w:p>
    <w:p>
      <w:pPr>
        <w:pStyle w:val="12"/>
        <w:spacing w:line="600" w:lineRule="exact"/>
        <w:rPr>
          <w:rFonts w:hint="default"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Times New Roman" w:hAnsi="Times New Roman" w:eastAsia="仿宋_GB2312" w:cs="仿宋_GB2312"/>
          <w:bCs/>
          <w:color w:val="auto"/>
          <w:kern w:val="0"/>
          <w:sz w:val="32"/>
          <w:szCs w:val="32"/>
          <w:lang w:val="en-US" w:eastAsia="zh-CN" w:bidi="ar-SA"/>
        </w:rPr>
        <w:t>2022年度财政拨款收、支总计1025.03万元，与上年相比，减少49.44万元,减少4.6%，主要是因为减少中央渔业补助资金专项。</w:t>
      </w:r>
    </w:p>
    <w:p>
      <w:pPr>
        <w:pStyle w:val="12"/>
        <w:spacing w:line="600" w:lineRule="exact"/>
        <w:ind w:firstLine="640" w:firstLineChars="200"/>
        <w:rPr>
          <w:rFonts w:hAnsi="黑体"/>
          <w:bCs/>
          <w:sz w:val="32"/>
          <w:szCs w:val="32"/>
        </w:rPr>
      </w:pPr>
      <w:r>
        <w:rPr>
          <w:rFonts w:hint="eastAsia" w:hAnsi="黑体"/>
          <w:bCs/>
          <w:sz w:val="32"/>
          <w:szCs w:val="32"/>
        </w:rPr>
        <w:t>五、一般公共预算财政拨款支出决算情况说明</w:t>
      </w:r>
    </w:p>
    <w:p>
      <w:pPr>
        <w:pStyle w:val="12"/>
        <w:spacing w:line="600" w:lineRule="exact"/>
        <w:ind w:firstLine="640" w:firstLineChars="20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（一）财政拨款支出决算总体情况</w:t>
      </w:r>
    </w:p>
    <w:p>
      <w:pPr>
        <w:pStyle w:val="12"/>
        <w:spacing w:line="600" w:lineRule="exact"/>
        <w:ind w:firstLine="640" w:firstLineChars="200"/>
        <w:rPr>
          <w:rFonts w:hint="default"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2022年度财政拨款支出1546.35万元，占本年支出合计的92.41%，与上年相比，财政拨款支出增加1219.43万元，增长373.01%，主要原因是</w:t>
      </w:r>
      <w:r>
        <w:rPr>
          <w:rFonts w:hint="default" w:ascii="Times New Roman" w:hAnsi="Times New Roman" w:eastAsia="仿宋_GB2312" w:cs="仿宋_GB2312"/>
          <w:bCs/>
          <w:color w:val="auto"/>
          <w:kern w:val="0"/>
          <w:sz w:val="32"/>
          <w:szCs w:val="32"/>
          <w:lang w:val="en-US" w:eastAsia="zh-CN" w:bidi="ar-SA"/>
        </w:rPr>
        <w:t>①</w:t>
      </w:r>
      <w:r>
        <w:rPr>
          <w:rFonts w:hint="eastAsia" w:ascii="Times New Roman" w:hAnsi="Times New Roman" w:eastAsia="仿宋_GB2312" w:cs="仿宋_GB2312"/>
          <w:bCs/>
          <w:color w:val="auto"/>
          <w:kern w:val="0"/>
          <w:sz w:val="32"/>
          <w:szCs w:val="32"/>
          <w:lang w:val="en-US" w:eastAsia="zh-CN" w:bidi="ar-SA"/>
        </w:rPr>
        <w:t>根据政府采购合同及工程进度，湖南省鱼类种质资源场建设项目资金在本年支付</w:t>
      </w:r>
      <w:r>
        <w:rPr>
          <w:rFonts w:hint="default" w:ascii="Times New Roman" w:hAnsi="Times New Roman" w:eastAsia="仿宋_GB2312" w:cs="仿宋_GB2312"/>
          <w:bCs/>
          <w:color w:val="auto"/>
          <w:kern w:val="0"/>
          <w:sz w:val="32"/>
          <w:szCs w:val="32"/>
          <w:lang w:val="en-US" w:eastAsia="zh-CN" w:bidi="ar-SA"/>
        </w:rPr>
        <w:t>②</w:t>
      </w:r>
      <w:r>
        <w:rPr>
          <w:rFonts w:hint="eastAsia" w:ascii="Times New Roman" w:hAnsi="Times New Roman" w:eastAsia="仿宋_GB2312" w:cs="仿宋_GB2312"/>
          <w:bCs/>
          <w:color w:val="auto"/>
          <w:kern w:val="0"/>
          <w:sz w:val="32"/>
          <w:szCs w:val="32"/>
          <w:lang w:val="en-US" w:eastAsia="zh-CN" w:bidi="ar-SA"/>
        </w:rPr>
        <w:t>鱼类资源增殖放流等项目资金增加，从而导致支出增加。</w:t>
      </w:r>
    </w:p>
    <w:p>
      <w:pPr>
        <w:pStyle w:val="12"/>
        <w:spacing w:line="600" w:lineRule="exact"/>
        <w:ind w:firstLine="640" w:firstLineChars="200"/>
        <w:rPr>
          <w:rFonts w:hint="eastAsia" w:ascii="Times New Roman" w:hAnsi="Times New Roman" w:eastAsia="仿宋_GB2312" w:cs="仿宋_GB2312"/>
          <w:bCs/>
          <w:color w:val="auto"/>
          <w:kern w:val="0"/>
          <w:sz w:val="32"/>
          <w:szCs w:val="32"/>
          <w:lang w:val="en-US" w:eastAsia="zh-CN" w:bidi="ar-SA"/>
        </w:rPr>
      </w:pPr>
      <w:r>
        <w:rPr>
          <w:rFonts w:hint="eastAsia" w:ascii="Times New Roman" w:hAnsi="Times New Roman" w:eastAsia="仿宋_GB2312" w:cs="仿宋_GB2312"/>
          <w:bCs/>
          <w:color w:val="auto"/>
          <w:kern w:val="0"/>
          <w:sz w:val="32"/>
          <w:szCs w:val="32"/>
          <w:lang w:val="en-US" w:eastAsia="zh-CN" w:bidi="ar-SA"/>
        </w:rPr>
        <w:t>（二）财政拨款支出决算结构情况</w:t>
      </w:r>
    </w:p>
    <w:p>
      <w:pPr>
        <w:pStyle w:val="12"/>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cs="仿宋_GB2312"/>
          <w:bCs/>
          <w:color w:val="auto"/>
          <w:kern w:val="0"/>
          <w:sz w:val="32"/>
          <w:szCs w:val="32"/>
          <w:lang w:val="en-US" w:eastAsia="zh-CN" w:bidi="ar-SA"/>
        </w:rPr>
        <w:t>2022年度财政拨款支出1546.35万元，主要用于以下方面：社会保障和</w:t>
      </w:r>
      <w:r>
        <w:rPr>
          <w:rFonts w:hint="eastAsia" w:ascii="Times New Roman" w:hAnsi="Times New Roman" w:eastAsia="仿宋_GB2312"/>
          <w:sz w:val="32"/>
          <w:szCs w:val="32"/>
          <w:lang w:eastAsia="zh-CN"/>
        </w:rPr>
        <w:t>就业</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39.36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2.55</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交通运输</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150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9.73</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农林水</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1356.39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87.72</w:t>
      </w:r>
      <w:r>
        <w:rPr>
          <w:rFonts w:hint="eastAsia" w:ascii="Times New Roman" w:hAnsi="Times New Roman" w:eastAsia="仿宋_GB2312"/>
          <w:sz w:val="32"/>
          <w:szCs w:val="32"/>
        </w:rPr>
        <w:t>%;</w:t>
      </w:r>
    </w:p>
    <w:p>
      <w:pPr>
        <w:pStyle w:val="12"/>
        <w:spacing w:line="600" w:lineRule="exact"/>
        <w:ind w:firstLine="800" w:firstLineChars="250"/>
        <w:rPr>
          <w:rFonts w:ascii="楷体" w:hAnsi="楷体" w:eastAsia="楷体" w:cs="楷体"/>
          <w:bCs/>
          <w:sz w:val="32"/>
          <w:szCs w:val="32"/>
        </w:rPr>
      </w:pPr>
      <w:r>
        <w:rPr>
          <w:rFonts w:hint="eastAsia" w:ascii="楷体" w:hAnsi="楷体" w:eastAsia="楷体" w:cs="楷体"/>
          <w:bCs/>
          <w:sz w:val="32"/>
          <w:szCs w:val="32"/>
        </w:rPr>
        <w:t>（三）财政拨款支出决算具体情况</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2022年度财政拨款支出年初预算数为1158.02万元，支出决算数为1546.35万元，完成年初预算的133.53%，其中：</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1、社会保障和就业（类）行政事业单位养老支出（款）机关事业单位基本养老保险缴费支出（项）。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年初预算为39.96万元，支出决算为39.96万元，完成年初预算的100%。</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2、交通运输（类）其他交通运输支出（款）其他交通运输支出（项）。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年初预算为150万元，支出决算为150万元，完成年初预算的100%。</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3、农林水（类）农业农村（款）行政运行（项）。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年初预算为0万元，支出决算为24.56万元，决算数大于年初预算数的主要原因是：年中追加绩效工资。</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4、农林水（类）农业农村（款）事业运行（项）。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年初预算为270.51万元，支出决算为270.51万元，完成年初预算的100%。</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5、农林水（类）农业农村（款）农业生产发展（项）。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年初预算为210.13万元，支出决算为210.13万元，完成年初预算的100%。</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6、农林水（类）农业农村（款）农业资源保护与修复利用（项）。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年初预算为0万元，支出决算为89.33万元，决算数大于年初预算数的主要原因是：年中追加渔业资源增殖与保护专项资金。</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7、农林水（类）林业和草原（款）其他林业和草原（项）。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年初预算为350.2万元，支出决算为734.64万元，完成年初预算的209.78%，决算数大于年初预算数的主要原因是：年中追加湖南省鱼类种质资源场建设专项资金。</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8、农林水（类）水利（款）水利工程建设（项）。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年初预算为25.5万元，支出决算为25.5万元，完成年初预算的100%。</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9、农林水（类）其他农林水支出（款）其他农林水支出（项）。</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年初预算为11.72万元，支出决算为1.72万元，完成年初预算的14.68%，决算数小于年初预算数的主要原因是：跨年项目。</w:t>
      </w:r>
    </w:p>
    <w:p>
      <w:pPr>
        <w:pStyle w:val="12"/>
        <w:spacing w:line="600" w:lineRule="exact"/>
        <w:ind w:firstLine="640" w:firstLineChars="200"/>
        <w:rPr>
          <w:rFonts w:hAnsi="黑体"/>
          <w:bCs/>
          <w:sz w:val="32"/>
          <w:szCs w:val="32"/>
        </w:rPr>
      </w:pPr>
      <w:r>
        <w:rPr>
          <w:rFonts w:hint="eastAsia" w:hAnsi="黑体"/>
          <w:bCs/>
          <w:sz w:val="32"/>
          <w:szCs w:val="32"/>
        </w:rPr>
        <w:t>六、一般公共预算财政拨款基本支出决算情况说明</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2022年度财政拨款基本支出335.03万元，其中：</w:t>
      </w:r>
    </w:p>
    <w:p>
      <w:pPr>
        <w:pStyle w:val="12"/>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290.92万元，占基本支出的86.83%,主要包括基本工资、津贴补贴、奖金、伙食补助费和住房公积金等。</w:t>
      </w:r>
    </w:p>
    <w:p>
      <w:pPr>
        <w:pStyle w:val="12"/>
        <w:spacing w:line="600" w:lineRule="exact"/>
        <w:ind w:firstLine="640" w:firstLineChars="200"/>
        <w:rPr>
          <w:rFonts w:ascii="Times New Roman" w:hAnsi="Times New Roman" w:eastAsia="仿宋_GB2312"/>
          <w:b/>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44.11万元，占基本支出的13.17%，主要包括办公费、物业管理费、电费和工会经费等。</w:t>
      </w:r>
    </w:p>
    <w:p>
      <w:pPr>
        <w:pStyle w:val="12"/>
        <w:spacing w:line="600" w:lineRule="exact"/>
        <w:ind w:firstLine="640" w:firstLineChars="200"/>
        <w:rPr>
          <w:rFonts w:ascii="Times New Roman" w:hAnsi="Times New Roman" w:eastAsia="仿宋_GB2312"/>
          <w:b/>
          <w:sz w:val="32"/>
          <w:szCs w:val="32"/>
        </w:rPr>
      </w:pPr>
      <w:r>
        <w:rPr>
          <w:rFonts w:hint="eastAsia" w:hAnsi="黑体"/>
          <w:bCs/>
          <w:sz w:val="32"/>
          <w:szCs w:val="32"/>
        </w:rPr>
        <w:t>七、财政拨款三公经费支出决算情况说明</w:t>
      </w:r>
    </w:p>
    <w:p>
      <w:pPr>
        <w:pStyle w:val="12"/>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“三公”经费财政拨款支出预算为3万元，支出决算为3万元，完成预算的100%，其中：</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因公出国（境）费支出预算为0万元，支出决算为0万元，与上年相比增加0万元。</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公务接待费支出预算为0万元，支出决算为0万元，与上年相比增加0万元。</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公务用车购置费支出预算为0万元，支出决算为0万元，与上年相比增加0万元。</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公务用车运行维护费支出预算为3万元，支出决算为3万元，完成预算的100%，与上年持平。</w:t>
      </w:r>
    </w:p>
    <w:p>
      <w:pPr>
        <w:pStyle w:val="12"/>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2022年度“三公”经费财政拨款支出决算中，公务接待费支出决算0万元，占0%,因公出国（境）费支出决算0万元，占0%,公务用车购置费及运行维护费支出决算3万元，占100%。其中：</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1、因公出国（境）费支出决算为0万元，全年安排因公出国（境）团组0个，累计0人次。</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2、公务接待费支出决算为0万元，全年共接待来访团组0个、来宾0人次。</w:t>
      </w:r>
    </w:p>
    <w:p>
      <w:pPr>
        <w:pStyle w:val="12"/>
        <w:spacing w:line="600" w:lineRule="exact"/>
        <w:ind w:firstLine="640" w:firstLineChars="200"/>
        <w:rPr>
          <w:rFonts w:ascii="楷体" w:hAnsi="楷体" w:eastAsia="楷体" w:cs="楷体"/>
          <w:b/>
          <w:bCs/>
          <w:i/>
          <w:kern w:val="0"/>
          <w:sz w:val="32"/>
          <w:szCs w:val="32"/>
        </w:rPr>
      </w:pPr>
      <w:r>
        <w:rPr>
          <w:rFonts w:hint="eastAsia" w:ascii="Times New Roman" w:hAnsi="Times New Roman" w:eastAsia="仿宋_GB2312"/>
          <w:sz w:val="32"/>
          <w:szCs w:val="32"/>
          <w:lang w:val="en-US" w:eastAsia="zh-CN"/>
        </w:rPr>
        <w:t>3、公务用车购置费及运行维护费支出决算为3万元，其中：公务用车购置费0万元，</w:t>
      </w:r>
      <w:r>
        <w:rPr>
          <w:rFonts w:hint="eastAsia" w:ascii="Times New Roman" w:hAnsi="Times New Roman" w:eastAsia="仿宋_GB2312"/>
          <w:sz w:val="32"/>
          <w:szCs w:val="32"/>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val="en-US" w:eastAsia="zh-CN"/>
        </w:rPr>
        <w:t>。公务用车运行维护费3万元，主要是汽车油费支出，截止2022年12月31日，我单位开支财政拨款的公务用车保有量为2辆。</w:t>
      </w:r>
    </w:p>
    <w:p>
      <w:pPr>
        <w:pStyle w:val="12"/>
        <w:spacing w:line="600" w:lineRule="exact"/>
        <w:ind w:firstLine="640" w:firstLineChars="200"/>
        <w:rPr>
          <w:rFonts w:hAnsi="黑体"/>
          <w:bCs/>
          <w:sz w:val="32"/>
          <w:szCs w:val="32"/>
        </w:rPr>
      </w:pPr>
      <w:r>
        <w:rPr>
          <w:rFonts w:hint="eastAsia" w:hAnsi="黑体"/>
          <w:bCs/>
          <w:sz w:val="32"/>
          <w:szCs w:val="32"/>
        </w:rPr>
        <w:t>八、政府性基金预算收入支出决算情况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本单位无政府性基金收支。</w:t>
      </w:r>
    </w:p>
    <w:p>
      <w:pPr>
        <w:pStyle w:val="12"/>
        <w:spacing w:line="600" w:lineRule="exact"/>
        <w:ind w:firstLine="640" w:firstLineChars="200"/>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本部门2022年度机关运行经费支出0万元。</w:t>
      </w:r>
    </w:p>
    <w:p>
      <w:pPr>
        <w:pStyle w:val="12"/>
        <w:spacing w:line="600" w:lineRule="exact"/>
        <w:ind w:firstLine="640" w:firstLineChars="200"/>
        <w:rPr>
          <w:rFonts w:hAnsi="黑体"/>
          <w:bCs/>
          <w:sz w:val="32"/>
          <w:szCs w:val="32"/>
        </w:rPr>
      </w:pPr>
      <w:r>
        <w:rPr>
          <w:rFonts w:hint="eastAsia" w:hAnsi="黑体"/>
          <w:bCs/>
          <w:sz w:val="32"/>
          <w:szCs w:val="32"/>
        </w:rPr>
        <w:t>十、一般性支出情况说明</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2022年本部门开支会议费0万元；开支培训费0.96万元，用于开展事业人员培训，人数17人，内容为2021、2022年两年（34人/次）事业人员培训费用；未举办节庆、晚会、论坛、赛事活动。</w:t>
      </w:r>
    </w:p>
    <w:p>
      <w:pPr>
        <w:pStyle w:val="12"/>
        <w:spacing w:line="600" w:lineRule="exact"/>
        <w:ind w:firstLine="640" w:firstLineChars="200"/>
        <w:rPr>
          <w:rFonts w:hAnsi="黑体"/>
          <w:bCs/>
          <w:sz w:val="32"/>
          <w:szCs w:val="32"/>
        </w:rPr>
      </w:pPr>
      <w:r>
        <w:rPr>
          <w:rFonts w:hint="eastAsia" w:hAnsi="黑体"/>
          <w:bCs/>
          <w:sz w:val="32"/>
          <w:szCs w:val="32"/>
        </w:rPr>
        <w:t>十一、关于政府采购支出说明</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本部门2022年度政府采购支出总额667.88万元，其中：政府采购货物支出185.52万元、政府采购工程支出482.36万元、政府采购服务支出0万元。授予中小企业合同金额667.88万元，占政府采购支出总额的100%，其中：授予小微企业合同金额667.88万元，占政府采购支出总额的100%。货物采购授予中小企业合同金额占货物支出金额的</w:t>
      </w:r>
      <w:r>
        <w:rPr>
          <w:rFonts w:hint="eastAsia" w:ascii="Times New Roman" w:hAnsi="Times New Roman" w:eastAsia="仿宋_GB2312"/>
          <w:sz w:val="32"/>
          <w:szCs w:val="32"/>
          <w:highlight w:val="none"/>
          <w:lang w:val="en-US" w:eastAsia="zh-CN"/>
        </w:rPr>
        <w:t>100%，工程采购授予中小企业合同金额占工程支出金额的100%</w:t>
      </w:r>
      <w:r>
        <w:rPr>
          <w:rFonts w:hint="eastAsia" w:ascii="Times New Roman" w:hAnsi="Times New Roman" w:eastAsia="仿宋_GB2312"/>
          <w:sz w:val="32"/>
          <w:szCs w:val="32"/>
          <w:lang w:val="en-US" w:eastAsia="zh-CN"/>
        </w:rPr>
        <w:t>。</w:t>
      </w:r>
    </w:p>
    <w:p>
      <w:pPr>
        <w:pStyle w:val="12"/>
        <w:spacing w:line="600" w:lineRule="exact"/>
        <w:ind w:firstLine="640" w:firstLineChars="200"/>
        <w:rPr>
          <w:rFonts w:hAnsi="黑体"/>
          <w:bCs/>
          <w:sz w:val="32"/>
          <w:szCs w:val="32"/>
        </w:rPr>
      </w:pPr>
      <w:r>
        <w:rPr>
          <w:rFonts w:hint="eastAsia" w:hAnsi="黑体"/>
          <w:bCs/>
          <w:sz w:val="32"/>
          <w:szCs w:val="32"/>
        </w:rPr>
        <w:t>十二、关于国有资产占用情况说明</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截至2022年12月31日，本单位共有车辆2辆，其中，主要领导干部用车0辆，机要通信用车0辆、应急保障用车0辆、执法执勤用车0辆、特种专业技术用车0辆、其他用车2辆，其他用车主要是采集、培育、保存水产原种，选育、推广水产养殖良种等业务工作；</w:t>
      </w:r>
      <w:bookmarkStart w:id="3" w:name="_GoBack"/>
      <w:bookmarkEnd w:id="3"/>
      <w:r>
        <w:rPr>
          <w:rFonts w:hint="eastAsia" w:ascii="Times New Roman" w:hAnsi="Times New Roman" w:eastAsia="仿宋_GB2312"/>
          <w:sz w:val="32"/>
          <w:szCs w:val="32"/>
          <w:lang w:val="en-US" w:eastAsia="zh-CN"/>
        </w:rPr>
        <w:t>单位价值50万元以上通用设备0台（套）；单位价值100万元以上专用设备0台（套）。</w:t>
      </w:r>
    </w:p>
    <w:p>
      <w:pPr>
        <w:pStyle w:val="12"/>
        <w:spacing w:line="600" w:lineRule="exact"/>
        <w:ind w:firstLine="640" w:firstLineChars="200"/>
        <w:rPr>
          <w:rFonts w:hAnsi="黑体"/>
          <w:bCs/>
          <w:sz w:val="32"/>
          <w:szCs w:val="32"/>
        </w:rPr>
      </w:pPr>
      <w:r>
        <w:rPr>
          <w:rFonts w:hint="eastAsia" w:hAnsi="黑体"/>
          <w:bCs/>
          <w:sz w:val="32"/>
          <w:szCs w:val="32"/>
        </w:rPr>
        <w:t>十三、关于</w:t>
      </w:r>
      <w:r>
        <w:rPr>
          <w:rFonts w:hint="eastAsia" w:ascii="Times New Roman" w:hAnsi="Times New Roman" w:eastAsia="仿宋_GB2312"/>
          <w:sz w:val="32"/>
          <w:szCs w:val="32"/>
        </w:rPr>
        <w:t>2022</w:t>
      </w:r>
      <w:r>
        <w:rPr>
          <w:rFonts w:hint="eastAsia" w:hAnsi="黑体"/>
          <w:bCs/>
          <w:sz w:val="32"/>
          <w:szCs w:val="32"/>
        </w:rPr>
        <w:t>年度预算绩效情况的说明</w:t>
      </w:r>
    </w:p>
    <w:p>
      <w:pPr>
        <w:pStyle w:val="12"/>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（一）部门整体支出绩效情况</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2022年度我场总支出1673.37万元，其中：基本支出362.2万元，项目支出1311.17万元，各项工作稳步推进，为水产苗种采集、培育，水产原种保存选育和推广，四大家鱼、鳜鱼、中华鳖、龟等水产种质保存与遗传等做了积极贡献。</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1、提升原种保育能力，增强可持续发展能力</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是扎实推进“四大家鱼”、中华鳖、鳜鱼原种采集、种质更新工作。二是增设了湘江湘潭段雨湖区罐子窑江段天然鱼苗采集点，共捞鱼苗18批次，培育“四大家鱼”夏花23万尾。三是培育四龄以上原种亲本47623公斤，培育湘江捞苗鳜夏花约1万尾，繁育鳜原种子一代约10万尾。</w:t>
      </w:r>
    </w:p>
    <w:p>
      <w:pPr>
        <w:pStyle w:val="12"/>
        <w:spacing w:line="60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2、促进良好社会效应</w:t>
      </w:r>
    </w:p>
    <w:p>
      <w:pPr>
        <w:pStyle w:val="12"/>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一是组织科研人员对“一江一湖四水”水域进行水生生物资源监测。二是在湘江增殖放流水生生物。三是推广优质鱼苗1亿多尾，推广“四大家鱼”原种亲本7611.5公斤。</w:t>
      </w:r>
    </w:p>
    <w:p>
      <w:pPr>
        <w:pStyle w:val="12"/>
        <w:numPr>
          <w:ilvl w:val="0"/>
          <w:numId w:val="0"/>
        </w:numPr>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3、促进经济效益提升</w:t>
      </w:r>
    </w:p>
    <w:p>
      <w:pPr>
        <w:pStyle w:val="12"/>
        <w:numPr>
          <w:ilvl w:val="0"/>
          <w:numId w:val="0"/>
        </w:numPr>
        <w:spacing w:line="600" w:lineRule="exact"/>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通过推进原种亲本应用更新，提高种苗质量，减少饲料、药物等投入品使用，降低环境污染，促进水产养殖业提质增效，提高了服务对象水产养殖水平，推动经济发展。</w:t>
      </w:r>
    </w:p>
    <w:p>
      <w:pPr>
        <w:pStyle w:val="12"/>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（二）存在的问题及原因分析</w:t>
      </w:r>
    </w:p>
    <w:p>
      <w:pPr>
        <w:pStyle w:val="12"/>
        <w:keepNext w:val="0"/>
        <w:keepLines w:val="0"/>
        <w:pageBreakBefore w:val="0"/>
        <w:widowControl w:val="0"/>
        <w:numPr>
          <w:ilvl w:val="0"/>
          <w:numId w:val="0"/>
        </w:numPr>
        <w:kinsoku/>
        <w:wordWrap/>
        <w:overflowPunct/>
        <w:topLinePunct w:val="0"/>
        <w:bidi w:val="0"/>
        <w:snapToGrid/>
        <w:spacing w:line="600" w:lineRule="exact"/>
        <w:jc w:val="left"/>
        <w:textAlignment w:val="auto"/>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 xml:space="preserve">   我单位部分项目资金预算执行率有待提高。2022年一般公共预算项目支出总预算1762.58万元，预算执行1546.35万元，预算执行率87.73%。其中个别项目资金预算执行率较低。</w:t>
      </w:r>
    </w:p>
    <w:p>
      <w:pPr>
        <w:pStyle w:val="12"/>
        <w:keepNext w:val="0"/>
        <w:keepLines w:val="0"/>
        <w:pageBreakBefore w:val="0"/>
        <w:widowControl w:val="0"/>
        <w:numPr>
          <w:ilvl w:val="0"/>
          <w:numId w:val="0"/>
        </w:numPr>
        <w:kinsoku/>
        <w:wordWrap/>
        <w:overflowPunct/>
        <w:topLinePunct w:val="0"/>
        <w:bidi w:val="0"/>
        <w:snapToGrid/>
        <w:spacing w:line="600" w:lineRule="exact"/>
        <w:ind w:firstLine="640"/>
        <w:jc w:val="left"/>
        <w:textAlignment w:val="auto"/>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原因分析：该项目未预算追加资金项目，预算下达时间较晚。</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（三）下一步改进措施</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s="黑体"/>
          <w:bCs w:val="0"/>
          <w:color w:val="000000"/>
          <w:kern w:val="0"/>
          <w:sz w:val="32"/>
          <w:szCs w:val="32"/>
          <w:lang w:val="en-US" w:eastAsia="zh-CN" w:bidi="ar-SA"/>
        </w:rPr>
        <w:t>进一步提高预算资金执行率。</w:t>
      </w:r>
      <w:r>
        <w:rPr>
          <w:rFonts w:hint="eastAsia" w:ascii="Times New Roman" w:hAnsi="Times New Roman" w:eastAsia="仿宋_GB2312"/>
          <w:color w:val="auto"/>
          <w:sz w:val="32"/>
          <w:szCs w:val="32"/>
        </w:rPr>
        <w:t>提高年初预算编制准确性</w:t>
      </w:r>
      <w:r>
        <w:rPr>
          <w:rFonts w:hint="eastAsia" w:ascii="Times New Roman" w:hAnsi="Times New Roman" w:eastAsia="仿宋_GB2312"/>
          <w:color w:val="auto"/>
          <w:sz w:val="32"/>
          <w:szCs w:val="32"/>
          <w:lang w:eastAsia="zh-CN"/>
        </w:rPr>
        <w:t>，</w:t>
      </w:r>
      <w:r>
        <w:rPr>
          <w:rFonts w:hint="eastAsia" w:ascii="Times New Roman" w:hAnsi="Times New Roman" w:eastAsia="仿宋_GB2312" w:cs="黑体"/>
          <w:bCs w:val="0"/>
          <w:color w:val="000000"/>
          <w:kern w:val="0"/>
          <w:sz w:val="32"/>
          <w:szCs w:val="32"/>
          <w:lang w:val="en-US" w:eastAsia="zh-CN" w:bidi="ar-SA"/>
        </w:rPr>
        <w:t>科学合理编制预算执行计划，并将编制责任落实到具体项目组，定期召开预算执行分析会议，分析存在的问题，及时提出改进措施并完成整改，</w:t>
      </w:r>
      <w:r>
        <w:rPr>
          <w:rFonts w:hint="eastAsia" w:ascii="Times New Roman" w:hAnsi="Times New Roman" w:eastAsia="仿宋_GB2312"/>
          <w:color w:val="auto"/>
          <w:sz w:val="32"/>
          <w:szCs w:val="32"/>
        </w:rPr>
        <w:t>从而提高部门整体预算执行率。</w:t>
      </w:r>
    </w:p>
    <w:p>
      <w:pPr>
        <w:pStyle w:val="12"/>
        <w:keepNext w:val="0"/>
        <w:keepLines w:val="0"/>
        <w:pageBreakBefore w:val="0"/>
        <w:widowControl w:val="0"/>
        <w:numPr>
          <w:ilvl w:val="0"/>
          <w:numId w:val="0"/>
        </w:numPr>
        <w:kinsoku/>
        <w:wordWrap/>
        <w:overflowPunct/>
        <w:topLinePunct w:val="0"/>
        <w:bidi w:val="0"/>
        <w:snapToGrid/>
        <w:spacing w:line="600" w:lineRule="exact"/>
        <w:ind w:firstLine="640"/>
        <w:jc w:val="left"/>
        <w:textAlignment w:val="auto"/>
        <w:rPr>
          <w:rFonts w:hint="eastAsia" w:ascii="Times New Roman" w:hAnsi="Times New Roman" w:eastAsia="仿宋_GB2312" w:cs="黑体"/>
          <w:bCs w:val="0"/>
          <w:color w:val="000000"/>
          <w:kern w:val="0"/>
          <w:sz w:val="32"/>
          <w:szCs w:val="32"/>
          <w:lang w:val="en-US" w:eastAsia="zh-CN" w:bidi="ar-SA"/>
        </w:rPr>
      </w:pPr>
    </w:p>
    <w:p>
      <w:pPr>
        <w:pStyle w:val="12"/>
        <w:jc w:val="both"/>
        <w:rPr>
          <w:rFonts w:hint="default" w:eastAsia="黑体"/>
          <w:sz w:val="72"/>
          <w:szCs w:val="72"/>
          <w:lang w:val="en-US" w:eastAsia="zh-CN"/>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p>
    <w:p>
      <w:pPr>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2"/>
        <w:ind w:firstLine="600" w:firstLineChars="20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一）基</w:t>
      </w:r>
      <w:r>
        <w:rPr>
          <w:rFonts w:ascii="Times New Roman" w:hAnsi="仿宋" w:eastAsia="仿宋" w:cs="Times New Roman"/>
          <w:color w:val="auto"/>
          <w:sz w:val="30"/>
          <w:szCs w:val="30"/>
        </w:rPr>
        <w:t>本支出：指为保障机构正常运转、完成日常工作任务而发生的各项支出，包括人员支出和公用支出。</w:t>
      </w:r>
    </w:p>
    <w:p>
      <w:pPr>
        <w:pStyle w:val="12"/>
        <w:ind w:firstLine="450" w:firstLineChars="15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（二）</w:t>
      </w:r>
      <w:r>
        <w:rPr>
          <w:rFonts w:ascii="Times New Roman" w:hAnsi="仿宋" w:eastAsia="仿宋" w:cs="Times New Roman"/>
          <w:color w:val="auto"/>
          <w:sz w:val="30"/>
          <w:szCs w:val="30"/>
        </w:rPr>
        <w:t xml:space="preserve"> 项目支出：指在基本支出以外为完成相关任务和事业发展目标所发生的各项支出。 </w:t>
      </w:r>
    </w:p>
    <w:p>
      <w:pPr>
        <w:pStyle w:val="12"/>
        <w:ind w:firstLine="450" w:firstLineChars="15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（三）</w:t>
      </w:r>
      <w:r>
        <w:rPr>
          <w:rFonts w:ascii="Times New Roman" w:hAnsi="仿宋" w:eastAsia="仿宋" w:cs="Times New Roman"/>
          <w:color w:val="auto"/>
          <w:sz w:val="30"/>
          <w:szCs w:val="30"/>
        </w:rPr>
        <w:t xml:space="preserve">“三公”经费：指通过财政拨款资金安排的因公出国（境）费、公务用车购置及运行费和公务接待费支出。 </w:t>
      </w:r>
    </w:p>
    <w:p>
      <w:pPr>
        <w:widowControl/>
        <w:ind w:firstLine="300" w:firstLineChars="100"/>
        <w:jc w:val="left"/>
        <w:rPr>
          <w:rFonts w:ascii="Times New Roman" w:hAnsi="仿宋" w:eastAsia="仿宋" w:cs="Times New Roman"/>
          <w:color w:val="auto"/>
          <w:kern w:val="0"/>
          <w:sz w:val="30"/>
          <w:szCs w:val="30"/>
          <w:lang w:val="en-US" w:eastAsia="zh-CN" w:bidi="ar-SA"/>
        </w:rPr>
      </w:pPr>
      <w:r>
        <w:rPr>
          <w:rFonts w:hint="eastAsia" w:ascii="Times New Roman" w:hAnsi="仿宋" w:eastAsia="仿宋" w:cs="Times New Roman"/>
          <w:sz w:val="30"/>
          <w:szCs w:val="30"/>
        </w:rPr>
        <w:t>（四）</w:t>
      </w:r>
      <w:r>
        <w:rPr>
          <w:rFonts w:ascii="Times New Roman" w:hAnsi="仿宋" w:eastAsia="仿宋" w:cs="Times New Roman"/>
          <w:sz w:val="30"/>
          <w:szCs w:val="30"/>
        </w:rPr>
        <w:t>机关运行经费</w:t>
      </w:r>
      <w:r>
        <w:rPr>
          <w:rFonts w:ascii="Times New Roman" w:hAnsi="仿宋" w:eastAsia="仿宋" w:cs="Times New Roman"/>
          <w:color w:val="auto"/>
          <w:kern w:val="0"/>
          <w:sz w:val="30"/>
          <w:szCs w:val="30"/>
          <w:lang w:val="en-US" w:eastAsia="zh-CN" w:bidi="ar-SA"/>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M2QyYTRhMDRjZGVlZjY4YmUzZTRkNGRlN2MwMTYifQ=="/>
  </w:docVars>
  <w:rsids>
    <w:rsidRoot w:val="00184A7F"/>
    <w:rsid w:val="00184A7F"/>
    <w:rsid w:val="00252388"/>
    <w:rsid w:val="00540231"/>
    <w:rsid w:val="0057259E"/>
    <w:rsid w:val="006A3E95"/>
    <w:rsid w:val="00744FE2"/>
    <w:rsid w:val="007C0DB6"/>
    <w:rsid w:val="007D24A8"/>
    <w:rsid w:val="007D7122"/>
    <w:rsid w:val="007F66BF"/>
    <w:rsid w:val="008B230B"/>
    <w:rsid w:val="00CF3ABD"/>
    <w:rsid w:val="00D76283"/>
    <w:rsid w:val="00EA77C4"/>
    <w:rsid w:val="079D6851"/>
    <w:rsid w:val="1CF50B53"/>
    <w:rsid w:val="1F674F53"/>
    <w:rsid w:val="23766EA5"/>
    <w:rsid w:val="2ABC3685"/>
    <w:rsid w:val="2B3D52A7"/>
    <w:rsid w:val="332A6F55"/>
    <w:rsid w:val="39CB2171"/>
    <w:rsid w:val="39F04F15"/>
    <w:rsid w:val="3FD049E7"/>
    <w:rsid w:val="425B4B8C"/>
    <w:rsid w:val="45202315"/>
    <w:rsid w:val="49991A9C"/>
    <w:rsid w:val="4E3D0273"/>
    <w:rsid w:val="51045C38"/>
    <w:rsid w:val="67750BB5"/>
    <w:rsid w:val="67EC296B"/>
    <w:rsid w:val="718378EC"/>
    <w:rsid w:val="78AB74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left="200" w:leftChars="200"/>
      <w:outlineLvl w:val="0"/>
    </w:pPr>
    <w:rPr>
      <w:rFonts w:eastAsia="黑体"/>
      <w:bCs/>
      <w:kern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6.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9.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74DCF4C-83D1-4C3C-8870-8ED92623C593}">
  <ds:schemaRefs/>
</ds:datastoreItem>
</file>

<file path=customXml/itemProps2.xml><?xml version="1.0" encoding="utf-8"?>
<ds:datastoreItem xmlns:ds="http://schemas.openxmlformats.org/officeDocument/2006/customXml" ds:itemID="{693CDAC8-CB04-42AA-BD7E-2FDD1F7AC326}">
  <ds:schemaRefs/>
</ds:datastoreItem>
</file>

<file path=customXml/itemProps3.xml><?xml version="1.0" encoding="utf-8"?>
<ds:datastoreItem xmlns:ds="http://schemas.openxmlformats.org/officeDocument/2006/customXml" ds:itemID="{14EC6FEC-B820-49A9-92C0-3E3C55EADCAF}">
  <ds:schemaRefs/>
</ds:datastoreItem>
</file>

<file path=customXml/itemProps4.xml><?xml version="1.0" encoding="utf-8"?>
<ds:datastoreItem xmlns:ds="http://schemas.openxmlformats.org/officeDocument/2006/customXml" ds:itemID="{118F27CA-522C-4321-B02F-D05333AEA263}">
  <ds:schemaRefs/>
</ds:datastoreItem>
</file>

<file path=customXml/itemProps5.xml><?xml version="1.0" encoding="utf-8"?>
<ds:datastoreItem xmlns:ds="http://schemas.openxmlformats.org/officeDocument/2006/customXml" ds:itemID="{13D862CF-2F8F-439C-93B5-BAD449F97D3E}">
  <ds:schemaRefs/>
</ds:datastoreItem>
</file>

<file path=customXml/itemProps6.xml><?xml version="1.0" encoding="utf-8"?>
<ds:datastoreItem xmlns:ds="http://schemas.openxmlformats.org/officeDocument/2006/customXml" ds:itemID="{BC291EB0-CCA8-487D-9306-8DFAF04477BD}">
  <ds:schemaRefs/>
</ds:datastoreItem>
</file>

<file path=customXml/itemProps7.xml><?xml version="1.0" encoding="utf-8"?>
<ds:datastoreItem xmlns:ds="http://schemas.openxmlformats.org/officeDocument/2006/customXml" ds:itemID="{4D009258-5152-4051-BB10-3492A5738A0A}">
  <ds:schemaRefs/>
</ds:datastoreItem>
</file>

<file path=customXml/itemProps8.xml><?xml version="1.0" encoding="utf-8"?>
<ds:datastoreItem xmlns:ds="http://schemas.openxmlformats.org/officeDocument/2006/customXml" ds:itemID="{769D3944-AAB4-4A6A-B359-9439914A9207}">
  <ds:schemaRefs/>
</ds:datastoreItem>
</file>

<file path=customXml/itemProps9.xml><?xml version="1.0" encoding="utf-8"?>
<ds:datastoreItem xmlns:ds="http://schemas.openxmlformats.org/officeDocument/2006/customXml" ds:itemID="{CBB354B6-CA82-4531-A1EC-F5B82006B5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28</Pages>
  <Words>1768</Words>
  <Characters>10080</Characters>
  <Lines>84</Lines>
  <Paragraphs>23</Paragraphs>
  <TotalTime>1</TotalTime>
  <ScaleCrop>false</ScaleCrop>
  <LinksUpToDate>false</LinksUpToDate>
  <CharactersWithSpaces>11825</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2023-11-01T13:10:48Z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54141346DC464CBDB0248213D606939E_12</vt:lpwstr>
  </property>
</Properties>
</file>