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湖南省饲料工业办公室</w:t>
      </w:r>
      <w:r>
        <w:rPr>
          <w:rFonts w:hint="eastAsia" w:ascii="方正小标宋_GBK" w:hAnsi="方正小标宋_GBK" w:eastAsia="方正小标宋_GBK" w:cs="方正小标宋_GBK"/>
          <w:sz w:val="84"/>
          <w:szCs w:val="84"/>
        </w:rPr>
        <w:t>部门决算</w:t>
      </w: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center"/>
        <w:rPr>
          <w:b/>
          <w:sz w:val="36"/>
          <w:szCs w:val="28"/>
        </w:rPr>
      </w:pPr>
      <w:r>
        <w:rPr>
          <w:rFonts w:hint="eastAsia"/>
          <w:b/>
          <w:sz w:val="36"/>
          <w:szCs w:val="28"/>
        </w:rPr>
        <w:t>目录</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湖南省饲料工业办公室</w:t>
      </w:r>
      <w:r>
        <w:rPr>
          <w:rFonts w:hint="eastAsia" w:ascii="黑体" w:hAnsi="黑体" w:eastAsia="黑体" w:cs="黑体"/>
          <w:b w:val="0"/>
          <w:bCs/>
          <w:sz w:val="28"/>
          <w:szCs w:val="28"/>
        </w:rPr>
        <w:t>概况</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湖南省饲料工业办公室</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pStyle w:val="2"/>
        <w:rPr>
          <w:sz w:val="72"/>
          <w:szCs w:val="72"/>
        </w:rPr>
      </w:pPr>
    </w:p>
    <w:p>
      <w:pPr>
        <w:pStyle w:val="4"/>
        <w:rPr>
          <w:sz w:val="72"/>
          <w:szCs w:val="72"/>
        </w:rPr>
      </w:pPr>
    </w:p>
    <w:p/>
    <w:p>
      <w:pPr>
        <w:jc w:val="center"/>
        <w:rPr>
          <w:sz w:val="72"/>
          <w:szCs w:val="72"/>
        </w:rPr>
      </w:pPr>
    </w:p>
    <w:p>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湖南省饲料工业办公室是湖南省农业农村厅下属正处级参公事业单位，受省农业农村厅委托，主要承担全省饲料和饲料添加剂行政许可事务性工作、负责饲料产品质量安全监管、行业服务与指导等相关业务工作。</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（一）内设机构设置。湖南省饲料工业办公室现有在职干部</w:t>
      </w:r>
      <w:r>
        <w:rPr>
          <w:rFonts w:hint="eastAsia" w:ascii="Times New Roman" w:hAnsi="Times New Roman" w:eastAsia="仿宋_GB2312" w:cs="仿宋_GB2312"/>
          <w:bCs/>
          <w:kern w:val="0"/>
          <w:sz w:val="32"/>
          <w:szCs w:val="32"/>
          <w:lang w:val="en-US" w:eastAsia="zh-CN"/>
        </w:rPr>
        <w:t>7</w:t>
      </w:r>
      <w:r>
        <w:rPr>
          <w:rFonts w:hint="eastAsia" w:ascii="Times New Roman" w:hAnsi="Times New Roman" w:eastAsia="仿宋_GB2312" w:cs="仿宋_GB2312"/>
          <w:bCs/>
          <w:kern w:val="0"/>
          <w:sz w:val="32"/>
          <w:szCs w:val="32"/>
        </w:rPr>
        <w:t>名，退休人员4名，无内设科室。</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（二）决算单位构成。湖南省饲料工业办公室202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年部门决算汇总公开单位构成包括：湖南省饲料工业办公室本级</w:t>
      </w:r>
      <w:r>
        <w:rPr>
          <w:rFonts w:hint="eastAsia" w:ascii="Times New Roman" w:hAnsi="Times New Roman" w:eastAsia="仿宋_GB2312" w:cs="仿宋_GB2312"/>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rPr>
          <w:rFonts w:ascii="Times New Roman" w:hAnsi="Times New Roman" w:eastAsia="方正小标宋_GBK" w:cs="Times New Roman"/>
          <w:color w:val="000000"/>
          <w:kern w:val="0"/>
          <w:sz w:val="36"/>
          <w:szCs w:val="36"/>
        </w:rPr>
      </w:pPr>
      <w:r>
        <w:drawing>
          <wp:inline distT="0" distB="0" distL="114300" distR="114300">
            <wp:extent cx="9770745" cy="6638290"/>
            <wp:effectExtent l="0" t="0" r="8255" b="381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4"/>
                    <a:stretch>
                      <a:fillRect/>
                    </a:stretch>
                  </pic:blipFill>
                  <pic:spPr>
                    <a:xfrm>
                      <a:off x="0" y="0"/>
                      <a:ext cx="9770745" cy="6638290"/>
                    </a:xfrm>
                    <a:prstGeom prst="rect">
                      <a:avLst/>
                    </a:prstGeom>
                    <a:noFill/>
                    <a:ln>
                      <a:noFill/>
                    </a:ln>
                  </pic:spPr>
                </pic:pic>
              </a:graphicData>
            </a:graphic>
          </wp:inline>
        </w:drawing>
      </w:r>
      <w:r>
        <w:drawing>
          <wp:inline distT="0" distB="0" distL="114300" distR="114300">
            <wp:extent cx="9773920" cy="3242310"/>
            <wp:effectExtent l="0" t="0" r="508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73920" cy="3242310"/>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p>
    <w:p>
      <w:pPr>
        <w:widowControl/>
        <w:jc w:val="left"/>
        <w:rPr>
          <w:rFonts w:ascii="Times New Roman" w:hAnsi="Times New Roman" w:eastAsia="仿宋_GB2312" w:cs="Times New Roman"/>
          <w:bCs/>
          <w:kern w:val="0"/>
          <w:szCs w:val="21"/>
        </w:rPr>
      </w:pPr>
      <w:bookmarkStart w:id="0" w:name="RANGE!A1:I22"/>
      <w:bookmarkEnd w:id="0"/>
    </w:p>
    <w:p>
      <w:pPr>
        <w:widowControl/>
        <w:jc w:val="left"/>
      </w:pPr>
      <w:r>
        <w:br w:type="page"/>
      </w:r>
      <w:r>
        <w:drawing>
          <wp:inline distT="0" distB="0" distL="114300" distR="114300">
            <wp:extent cx="9537700" cy="3251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537700" cy="3251200"/>
                    </a:xfrm>
                    <a:prstGeom prst="rect">
                      <a:avLst/>
                    </a:prstGeom>
                    <a:noFill/>
                    <a:ln>
                      <a:noFill/>
                    </a:ln>
                  </pic:spPr>
                </pic:pic>
              </a:graphicData>
            </a:graphic>
          </wp:inline>
        </w:drawing>
      </w:r>
      <w:r>
        <w:drawing>
          <wp:inline distT="0" distB="0" distL="114300" distR="114300">
            <wp:extent cx="8590280" cy="6419850"/>
            <wp:effectExtent l="0" t="0" r="762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590280" cy="6419850"/>
                    </a:xfrm>
                    <a:prstGeom prst="rect">
                      <a:avLst/>
                    </a:prstGeom>
                    <a:noFill/>
                    <a:ln>
                      <a:noFill/>
                    </a:ln>
                  </pic:spPr>
                </pic:pic>
              </a:graphicData>
            </a:graphic>
          </wp:inline>
        </w:drawing>
      </w:r>
      <w:r>
        <w:drawing>
          <wp:inline distT="0" distB="0" distL="114300" distR="114300">
            <wp:extent cx="8864600" cy="3232150"/>
            <wp:effectExtent l="0" t="0" r="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8864600" cy="3232150"/>
                    </a:xfrm>
                    <a:prstGeom prst="rect">
                      <a:avLst/>
                    </a:prstGeom>
                    <a:noFill/>
                    <a:ln>
                      <a:noFill/>
                    </a:ln>
                  </pic:spPr>
                </pic:pic>
              </a:graphicData>
            </a:graphic>
          </wp:inline>
        </w:drawing>
      </w:r>
      <w:r>
        <w:drawing>
          <wp:inline distT="0" distB="0" distL="114300" distR="114300">
            <wp:extent cx="9770110" cy="5701030"/>
            <wp:effectExtent l="0" t="0" r="8890" b="127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a:stretch>
                      <a:fillRect/>
                    </a:stretch>
                  </pic:blipFill>
                  <pic:spPr>
                    <a:xfrm>
                      <a:off x="0" y="0"/>
                      <a:ext cx="9770110" cy="5701030"/>
                    </a:xfrm>
                    <a:prstGeom prst="rect">
                      <a:avLst/>
                    </a:prstGeom>
                    <a:noFill/>
                    <a:ln>
                      <a:noFill/>
                    </a:ln>
                  </pic:spPr>
                </pic:pic>
              </a:graphicData>
            </a:graphic>
          </wp:inline>
        </w:drawing>
      </w:r>
    </w:p>
    <w:p>
      <w:pPr>
        <w:pStyle w:val="2"/>
      </w:pPr>
    </w:p>
    <w:p>
      <w:pPr>
        <w:pStyle w:val="4"/>
      </w:pPr>
    </w:p>
    <w:p/>
    <w:p/>
    <w:p>
      <w:pPr>
        <w:pStyle w:val="2"/>
      </w:pPr>
    </w:p>
    <w:tbl>
      <w:tblPr>
        <w:tblStyle w:val="8"/>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部门：湖南省饲料工业办公室</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6"/>
                <w:lang w:val="en-US" w:eastAsia="zh-CN"/>
              </w:rPr>
              <w:t xml:space="preserve">   </w:t>
            </w:r>
            <w:r>
              <w:rPr>
                <w:rStyle w:val="17"/>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rPr>
          <w:rFonts w:hint="eastAsia"/>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部门：湖南省饲料工业办公室</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8"/>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部门：湖南省饲料工业办公室</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0.48</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423.70</w:t>
      </w:r>
      <w:r>
        <w:rPr>
          <w:rFonts w:hint="eastAsia" w:ascii="Times New Roman" w:hAnsi="Times New Roman" w:eastAsia="仿宋_GB2312"/>
          <w:sz w:val="32"/>
          <w:szCs w:val="32"/>
        </w:rPr>
        <w:t>万元。与上年相比，</w:t>
      </w:r>
      <w:r>
        <w:rPr>
          <w:rFonts w:hint="eastAsia" w:ascii="Times New Roman" w:hAnsi="Times New Roman" w:eastAsia="仿宋_GB2312"/>
          <w:sz w:val="32"/>
          <w:szCs w:val="32"/>
          <w:lang w:val="en-US" w:eastAsia="zh-CN"/>
        </w:rPr>
        <w:t>增加49.25</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增长12.15</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年初结转结余增加。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300.54</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300.39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99.95</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0.15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0.05</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284.49</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235.08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82.63</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49.41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17.37</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372.05</w:t>
      </w:r>
      <w:r>
        <w:rPr>
          <w:rFonts w:hint="eastAsia" w:ascii="Times New Roman" w:hAnsi="Times New Roman" w:eastAsia="仿宋_GB2312"/>
          <w:sz w:val="32"/>
          <w:szCs w:val="32"/>
        </w:rPr>
        <w:t>万元，与上年相比，</w:t>
      </w:r>
      <w:r>
        <w:rPr>
          <w:rFonts w:hint="eastAsia" w:ascii="Times New Roman" w:hAnsi="Times New Roman" w:eastAsia="仿宋_GB2312"/>
          <w:sz w:val="32"/>
          <w:szCs w:val="32"/>
          <w:lang w:val="en-US" w:eastAsia="zh-CN"/>
        </w:rPr>
        <w:t>增加56.04</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增长17.73</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年初结转结余增加。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284.49</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，与上年相比，财政拨款支出</w:t>
      </w:r>
      <w:r>
        <w:rPr>
          <w:rFonts w:hint="eastAsia" w:ascii="Times New Roman" w:hAnsi="Times New Roman" w:eastAsia="仿宋_GB2312"/>
          <w:sz w:val="32"/>
          <w:szCs w:val="32"/>
          <w:lang w:val="en-US" w:eastAsia="zh-CN"/>
        </w:rPr>
        <w:t>增加66.34</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增长30.41</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追加2021、2022年绩效奖金。</w:t>
      </w:r>
    </w:p>
    <w:p>
      <w:pPr>
        <w:pStyle w:val="13"/>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284.49</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10.96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3.85</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273.53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96.15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283.36</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284.49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100.40</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11.00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10.96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99.63</w:t>
      </w:r>
      <w:r>
        <w:rPr>
          <w:rFonts w:hint="eastAsia" w:ascii="Times New Roman" w:hAnsi="Times New Roman" w:eastAsia="仿宋_GB2312"/>
          <w:sz w:val="32"/>
          <w:szCs w:val="32"/>
        </w:rPr>
        <w:t>%，决算数小于年初预算数的主要原因是：机关事业单位基本养老保险缴费支出</w:t>
      </w:r>
      <w:r>
        <w:rPr>
          <w:rFonts w:hint="eastAsia" w:ascii="Times New Roman" w:hAnsi="Times New Roman" w:eastAsia="仿宋_GB2312"/>
          <w:sz w:val="32"/>
          <w:szCs w:val="32"/>
          <w:lang w:val="en-US" w:eastAsia="zh-CN"/>
        </w:rPr>
        <w:t>年末有小额结余。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2、农林水（类）农业农村（款）行政运行（项）。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140.70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224.12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159.29</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val="en-US" w:eastAsia="zh-CN"/>
        </w:rPr>
        <w:t>年中追加绩效工资。</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、农林水（类）农业农村（款）农业生产发展（项）。</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131.66</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49.41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37.52</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由</w:t>
      </w:r>
      <w:r>
        <w:rPr>
          <w:rFonts w:hint="eastAsia" w:ascii="仿宋_GB2312" w:hAnsi="仿宋_GB2312" w:eastAsia="仿宋_GB2312" w:cs="仿宋_GB2312"/>
          <w:b w:val="0"/>
          <w:bCs w:val="0"/>
          <w:color w:val="000000"/>
          <w:kern w:val="2"/>
          <w:sz w:val="32"/>
          <w:szCs w:val="32"/>
          <w:lang w:val="en-US" w:eastAsia="zh-CN" w:bidi="ar-SA"/>
        </w:rPr>
        <w:t>于疫情原因培训班未如期举行</w:t>
      </w:r>
      <w:r>
        <w:rPr>
          <w:rFonts w:hint="eastAsia" w:ascii="Times New Roman" w:hAnsi="Times New Roman" w:eastAsia="仿宋_GB2312"/>
          <w:sz w:val="32"/>
          <w:szCs w:val="32"/>
          <w:lang w:val="en-US"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235.08</w:t>
      </w:r>
      <w:r>
        <w:rPr>
          <w:rFonts w:hint="eastAsia" w:ascii="Times New Roman" w:hAnsi="Times New Roman" w:eastAsia="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221.95</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94.41</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、机关事业单位基本养老保险缴费、职工基本医疗保险缴费、</w:t>
      </w:r>
      <w:r>
        <w:rPr>
          <w:rFonts w:hint="eastAsia" w:ascii="Times New Roman" w:hAnsi="Times New Roman" w:eastAsia="仿宋_GB2312"/>
          <w:sz w:val="32"/>
          <w:szCs w:val="32"/>
          <w:lang w:val="en-US" w:eastAsia="zh-CN"/>
        </w:rPr>
        <w:t>住房公积金、退休费、奖励金、其他对个人和家庭的补助</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left="319" w:leftChars="152" w:firstLine="320" w:firstLineChars="1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13.13</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5.59</w:t>
      </w:r>
      <w:r>
        <w:rPr>
          <w:rFonts w:hint="eastAsia" w:ascii="Times New Roman" w:hAnsi="Times New Roman" w:eastAsia="仿宋_GB2312"/>
          <w:sz w:val="32"/>
          <w:szCs w:val="32"/>
        </w:rPr>
        <w:t>%，主要包括</w:t>
      </w:r>
      <w:r>
        <w:rPr>
          <w:rFonts w:hint="eastAsia" w:ascii="Times New Roman" w:hAnsi="Times New Roman" w:eastAsia="仿宋_GB2312"/>
          <w:sz w:val="32"/>
          <w:szCs w:val="32"/>
          <w:lang w:val="en-US" w:eastAsia="zh-CN"/>
        </w:rPr>
        <w:t>差旅费、工会经费、其他交通费用。</w:t>
      </w:r>
    </w:p>
    <w:p>
      <w:pPr>
        <w:pStyle w:val="13"/>
        <w:keepNext w:val="0"/>
        <w:keepLines w:val="0"/>
        <w:pageBreakBefore w:val="0"/>
        <w:widowControl w:val="0"/>
        <w:kinsoku/>
        <w:wordWrap/>
        <w:overflowPunct/>
        <w:topLinePunct w:val="0"/>
        <w:bidi w:val="0"/>
        <w:snapToGrid/>
        <w:spacing w:line="600" w:lineRule="exact"/>
        <w:ind w:left="319" w:leftChars="152" w:firstLine="320" w:firstLineChars="1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6.50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0.56</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8.62</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0.08</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5.33</w:t>
      </w:r>
      <w:r>
        <w:rPr>
          <w:rFonts w:hint="eastAsia" w:ascii="Times New Roman" w:hAnsi="Times New Roman" w:eastAsia="仿宋_GB2312"/>
          <w:sz w:val="32"/>
          <w:szCs w:val="32"/>
        </w:rPr>
        <w:t>%，决算数小</w:t>
      </w:r>
      <w:r>
        <w:rPr>
          <w:rFonts w:hint="eastAsia" w:ascii="Times New Roman" w:hAnsi="Times New Roman" w:eastAsia="仿宋_GB2312"/>
          <w:sz w:val="32"/>
          <w:szCs w:val="32"/>
          <w:lang w:val="en-US" w:eastAsia="zh-CN"/>
        </w:rPr>
        <w:t>于</w:t>
      </w:r>
      <w:r>
        <w:rPr>
          <w:rFonts w:hint="eastAsia" w:ascii="Times New Roman" w:hAnsi="Times New Roman" w:eastAsia="仿宋_GB2312"/>
          <w:sz w:val="32"/>
          <w:szCs w:val="32"/>
        </w:rPr>
        <w:t>预算数的主要原因是</w:t>
      </w:r>
      <w:r>
        <w:rPr>
          <w:rFonts w:hint="eastAsia" w:ascii="Times New Roman" w:hAnsi="Times New Roman" w:eastAsia="仿宋_GB2312"/>
          <w:sz w:val="32"/>
          <w:szCs w:val="32"/>
          <w:lang w:eastAsia="zh-CN"/>
        </w:rPr>
        <w:t>我</w:t>
      </w:r>
      <w:r>
        <w:rPr>
          <w:rFonts w:hint="eastAsia" w:ascii="Times New Roman" w:hAnsi="Times New Roman" w:eastAsia="仿宋_GB2312"/>
          <w:sz w:val="32"/>
          <w:szCs w:val="32"/>
          <w:lang w:val="en-US" w:eastAsia="zh-CN"/>
        </w:rPr>
        <w:t>单位厉行节约，严控三公经费支出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大力压减公用经费支出</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0.11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57.89</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我</w:t>
      </w:r>
      <w:r>
        <w:rPr>
          <w:rFonts w:hint="eastAsia" w:ascii="Times New Roman" w:hAnsi="Times New Roman" w:eastAsia="仿宋_GB2312"/>
          <w:sz w:val="32"/>
          <w:szCs w:val="32"/>
          <w:lang w:val="en-US" w:eastAsia="zh-CN"/>
        </w:rPr>
        <w:t>单位厉行节约，严控三公经费支出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因疫情原因公务接待活动减少</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5.00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0.48</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9.06</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我</w:t>
      </w:r>
      <w:r>
        <w:rPr>
          <w:rFonts w:hint="eastAsia" w:ascii="Times New Roman" w:hAnsi="Times New Roman" w:eastAsia="仿宋_GB2312"/>
          <w:sz w:val="32"/>
          <w:szCs w:val="32"/>
          <w:lang w:val="en-US" w:eastAsia="zh-CN"/>
        </w:rPr>
        <w:t>单位厉行节约，严控三公经费支出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大力压减公用经费支出</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1.30</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73.03</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我</w:t>
      </w:r>
      <w:r>
        <w:rPr>
          <w:rFonts w:hint="eastAsia" w:ascii="Times New Roman" w:hAnsi="Times New Roman" w:eastAsia="仿宋_GB2312"/>
          <w:sz w:val="32"/>
          <w:szCs w:val="32"/>
          <w:lang w:val="en-US" w:eastAsia="zh-CN"/>
        </w:rPr>
        <w:t>单位厉行节约，严控三公经费支出</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大力压减公用经费支出。</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0.08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14.29</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0.48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85.71</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万元，全年安排因公出国（境）团组0个，累计0人次</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0.08</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人次，主要</w:t>
      </w:r>
      <w:r>
        <w:rPr>
          <w:rFonts w:hint="eastAsia" w:ascii="Times New Roman" w:hAnsi="Times New Roman" w:eastAsia="仿宋_GB2312"/>
          <w:sz w:val="32"/>
          <w:szCs w:val="32"/>
          <w:lang w:val="en-US" w:eastAsia="zh-CN"/>
        </w:rPr>
        <w:t>是中央部委抽样工作</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0.48</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0.48</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val="en-US" w:eastAsia="zh-CN"/>
        </w:rPr>
        <w:t>公务用车加油、保险费</w:t>
      </w:r>
      <w:r>
        <w:rPr>
          <w:rFonts w:hint="eastAsia" w:ascii="Times New Roman" w:hAnsi="Times New Roman" w:eastAsia="仿宋_GB2312"/>
          <w:sz w:val="32"/>
          <w:szCs w:val="32"/>
        </w:rPr>
        <w:t>支出，截止202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13.13</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比上年决算数减少</w:t>
      </w:r>
      <w:r>
        <w:rPr>
          <w:rFonts w:hint="eastAsia" w:ascii="Times New Roman" w:hAnsi="Times New Roman" w:eastAsia="仿宋_GB2312"/>
          <w:sz w:val="32"/>
          <w:szCs w:val="32"/>
          <w:lang w:val="en-US" w:eastAsia="zh-CN"/>
        </w:rPr>
        <w:t>1.12</w:t>
      </w:r>
      <w:r>
        <w:rPr>
          <w:rFonts w:hint="eastAsia" w:ascii="Times New Roman" w:hAnsi="Times New Roman" w:eastAsia="仿宋_GB2312"/>
          <w:sz w:val="32"/>
          <w:szCs w:val="32"/>
        </w:rPr>
        <w:t>万元，降低</w:t>
      </w:r>
      <w:r>
        <w:rPr>
          <w:rFonts w:hint="eastAsia" w:ascii="Times New Roman" w:hAnsi="Times New Roman" w:eastAsia="仿宋_GB2312"/>
          <w:sz w:val="32"/>
          <w:szCs w:val="32"/>
          <w:lang w:val="en-US" w:eastAsia="zh-CN"/>
        </w:rPr>
        <w:t>7.85</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eastAsia="zh-CN"/>
        </w:rPr>
        <w:t>我</w:t>
      </w:r>
      <w:r>
        <w:rPr>
          <w:rFonts w:hint="eastAsia" w:ascii="Times New Roman" w:hAnsi="Times New Roman" w:eastAsia="仿宋_GB2312"/>
          <w:sz w:val="32"/>
          <w:szCs w:val="32"/>
          <w:lang w:val="en-US" w:eastAsia="zh-CN"/>
        </w:rPr>
        <w:t>单位厉行节约，大力压减公用经费支出</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val="en-US" w:eastAsia="zh-CN"/>
        </w:rPr>
        <w:t>事业单位人员</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val="en-US" w:eastAsia="zh-CN"/>
        </w:rPr>
        <w:t>事业单位人员培训</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 xml:space="preserve"> 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万元，其中：授予小微企业合同金额</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bookmarkStart w:id="1" w:name="_GoBack"/>
      <w:bookmarkEnd w:id="1"/>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numPr>
          <w:ilvl w:val="0"/>
          <w:numId w:val="0"/>
        </w:numPr>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2022年，我办在厅党组的关心支持下，坚持党建引领，做到党建与业务工作有机融合。按照年初工作计划，配合厅畜牧兽医处切实做好饲料行业监督管理与服务工作。</w:t>
      </w:r>
    </w:p>
    <w:p>
      <w:pPr>
        <w:spacing w:line="360" w:lineRule="auto"/>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1、运行成本方面</w:t>
      </w:r>
    </w:p>
    <w:p>
      <w:pPr>
        <w:spacing w:line="360" w:lineRule="auto"/>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2022年部门财政拨款收入300.54万元，支出284.49万元，预算执行率为94.66%。其中：2022年“三公”经费支出0.5635万元。包括公务接待费0.0826万元、公务用车运行维护费0.4809万元、因公出国(境)费支出0万元,较年初预算6.5万元节约5.9365万元，节约比为91.33%。2022年我办各项支出均合理控制在预算范围内。</w:t>
      </w:r>
    </w:p>
    <w:p>
      <w:pPr>
        <w:numPr>
          <w:ilvl w:val="0"/>
          <w:numId w:val="2"/>
        </w:numPr>
        <w:spacing w:line="360" w:lineRule="auto"/>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管理效率方面</w:t>
      </w:r>
    </w:p>
    <w:p>
      <w:pPr>
        <w:pStyle w:val="2"/>
        <w:numPr>
          <w:ilvl w:val="0"/>
          <w:numId w:val="0"/>
        </w:numPr>
        <w:ind w:right="0" w:rightChars="0" w:firstLine="640" w:firstLineChars="200"/>
        <w:rPr>
          <w:rFonts w:hint="default"/>
          <w:lang w:val="en-US" w:eastAsia="zh-CN"/>
        </w:rPr>
      </w:pPr>
      <w:r>
        <w:rPr>
          <w:rFonts w:hint="eastAsia" w:ascii="Times New Roman" w:hAnsi="Times New Roman" w:eastAsia="仿宋_GB2312" w:cs="黑体"/>
          <w:color w:val="000000"/>
          <w:kern w:val="0"/>
          <w:sz w:val="32"/>
          <w:szCs w:val="32"/>
          <w:lang w:val="en-US" w:eastAsia="zh-CN" w:bidi="ar-SA"/>
        </w:rPr>
        <w:t>一是产品质量稳步提升。</w:t>
      </w:r>
      <w:r>
        <w:rPr>
          <w:rFonts w:hint="eastAsia" w:eastAsia="仿宋_GB2312"/>
          <w:sz w:val="32"/>
          <w:szCs w:val="32"/>
          <w:lang w:val="en-US" w:eastAsia="zh-CN"/>
        </w:rPr>
        <w:t>各级饲料行业主管部门持续强化监管、优化服务，健全风险监测、监督抽查、现场检查等监管举措，在全行业形成了遵规守法的良好氛围。在国家、省组织开展的各项饲料质量安全监督抽查中，产品检测合格率长年保持在98%以上。多年没发生一起饲料产品质量安全事故，有效守护了全省畜禽水产品质量安全。二是</w:t>
      </w:r>
      <w:r>
        <w:rPr>
          <w:rFonts w:hint="eastAsia" w:ascii="Times New Roman" w:hAnsi="Times New Roman" w:eastAsia="仿宋_GB2312" w:cs="黑体"/>
          <w:color w:val="000000"/>
          <w:kern w:val="0"/>
          <w:sz w:val="32"/>
          <w:szCs w:val="32"/>
          <w:lang w:val="en-US" w:eastAsia="zh-CN" w:bidi="ar-SA"/>
        </w:rPr>
        <w:t>产业转型步伐加快。</w:t>
      </w:r>
      <w:r>
        <w:rPr>
          <w:rFonts w:hint="eastAsia" w:eastAsia="仿宋_GB2312"/>
          <w:sz w:val="32"/>
          <w:szCs w:val="32"/>
          <w:lang w:val="en-US" w:eastAsia="zh-CN"/>
        </w:rPr>
        <w:t>截止目前，省域内年产量超100万吨的集团企业3家，其中唐人神集团全国年产量突破600万吨。有41家饲料生产厂年产量超10万吨，占全省饲料总产量的53.98%。三是产业地位日益凸显。立足国之大者，扎实推进豆粕玉米替代减量、地方饲料原料开发利用、低蛋白日粮技术研发推广，有力减少玉米、豆粕等大宗饲料原料对外依存度，全省饲用豆粕添加量低于全国平均水平约1个百分点。为保障国家粮食安全，促进粮食及副产物加工、转化与增值，推动养殖业降本增效，稳定农民增收作出了重要贡献。</w:t>
      </w:r>
    </w:p>
    <w:p>
      <w:pPr>
        <w:spacing w:line="360" w:lineRule="auto"/>
        <w:ind w:firstLine="640" w:firstLineChars="200"/>
        <w:rPr>
          <w:rFonts w:hint="default"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3、履职效能方面</w:t>
      </w:r>
    </w:p>
    <w:p>
      <w:pPr>
        <w:keepNext w:val="0"/>
        <w:keepLines w:val="0"/>
        <w:pageBreakBefore w:val="0"/>
        <w:widowControl/>
        <w:kinsoku/>
        <w:wordWrap/>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一是优化审批服务。2022年共办理饲料和饲料添加剂生产许可证153个，办理饲料添加剂产品批准文号16个，为20家企业办理饲料和饲料添加剂企业委托备案，为35家企业办理自由销售证明。审批事项均在3-10个工作日内办结，未发生“红黄牌”预警，及时准确推送“双公示”等信用信息，无迟报漏报现象。二是开展安全监督检查。配合厅畜牧兽医处制定下发了《2022年湖南省饲料质量安全监管工作方案》、《关于开展2022年上半年全省饲料质量安全监督抽查的通知》等文件，根据监管工作方案要求，组织开展饲料产品质量安全监督检查，全省各市、县农业行政执法部门共组织检查饲料和饲料添加剂生产企业582家次。组织对137家饲料添加剂、混合型饲料添加剂、预混合饲料企业、配合浓缩饲料、单一饲料企业，12家饲料经销门店、6家养殖场自配点进行监督抽样，完成监督抽样393批次。</w:t>
      </w:r>
    </w:p>
    <w:p>
      <w:pPr>
        <w:keepNext w:val="0"/>
        <w:keepLines w:val="0"/>
        <w:pageBreakBefore w:val="0"/>
        <w:widowControl/>
        <w:kinsoku/>
        <w:wordWrap/>
        <w:overflowPunct/>
        <w:topLinePunct w:val="0"/>
        <w:autoSpaceDN/>
        <w:bidi w:val="0"/>
        <w:spacing w:line="560" w:lineRule="exact"/>
        <w:ind w:firstLine="640" w:firstLineChars="200"/>
        <w:jc w:val="both"/>
        <w:textAlignment w:val="auto"/>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4、社会效益方面</w:t>
      </w:r>
    </w:p>
    <w:p>
      <w:pPr>
        <w:pStyle w:val="2"/>
        <w:ind w:left="0" w:leftChars="0" w:firstLine="640" w:firstLineChars="200"/>
        <w:rPr>
          <w:rFonts w:hint="eastAsia" w:ascii="仿宋" w:hAnsi="仿宋" w:eastAsia="仿宋" w:cs="仿宋"/>
          <w:sz w:val="32"/>
          <w:szCs w:val="32"/>
          <w:highlight w:val="none"/>
          <w:lang w:val="en-US" w:eastAsia="zh-CN"/>
        </w:rPr>
      </w:pPr>
      <w:r>
        <w:rPr>
          <w:rFonts w:hint="eastAsia" w:ascii="Times New Roman" w:hAnsi="Times New Roman" w:eastAsia="仿宋_GB2312" w:cs="黑体"/>
          <w:color w:val="000000"/>
          <w:kern w:val="0"/>
          <w:sz w:val="32"/>
          <w:szCs w:val="32"/>
          <w:lang w:val="en-US" w:eastAsia="zh-CN" w:bidi="ar-SA"/>
        </w:rPr>
        <w:t>202</w:t>
      </w:r>
      <w:r>
        <w:rPr>
          <w:rFonts w:hint="eastAsia" w:ascii="仿宋_GB2312" w:hAnsi="仿宋_GB2312" w:eastAsia="仿宋_GB2312" w:cs="仿宋_GB2312"/>
          <w:b w:val="0"/>
          <w:bCs w:val="0"/>
          <w:color w:val="000000"/>
          <w:sz w:val="32"/>
          <w:szCs w:val="32"/>
          <w:lang w:val="en-US" w:eastAsia="zh-CN"/>
        </w:rPr>
        <w:t>2年全省饲料总产量达1313.86万吨，同比增长5.2%</w:t>
      </w:r>
      <w:r>
        <w:rPr>
          <w:rFonts w:hint="eastAsia"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lang w:val="en-US" w:eastAsia="zh-CN"/>
        </w:rPr>
        <w:t>全省饲料工业总产值529.42亿，同比增长10.86%，</w:t>
      </w:r>
      <w:r>
        <w:rPr>
          <w:rFonts w:hint="eastAsia" w:eastAsia="仿宋_GB2312" w:cs="仿宋_GB2312"/>
          <w:b w:val="0"/>
          <w:bCs w:val="0"/>
          <w:color w:val="000000"/>
          <w:sz w:val="32"/>
          <w:szCs w:val="32"/>
          <w:lang w:val="en-US" w:eastAsia="zh-CN"/>
        </w:rPr>
        <w:t>产量产值均创历史新高。</w:t>
      </w:r>
      <w:r>
        <w:rPr>
          <w:rFonts w:hint="eastAsia" w:ascii="仿宋_GB2312" w:hAnsi="仿宋_GB2312" w:eastAsia="仿宋_GB2312" w:cs="仿宋_GB2312"/>
          <w:b w:val="0"/>
          <w:bCs w:val="0"/>
          <w:color w:val="000000"/>
          <w:sz w:val="32"/>
          <w:szCs w:val="32"/>
          <w:lang w:val="en-US" w:eastAsia="zh-CN"/>
        </w:rPr>
        <w:t>其中猪料862.69万吨，同比增长5.5%；蛋禽料132.44万吨，同比下降0.9%；肉禽饲料165.32万吨，同比增长2.5%；水产料150.59万吨，同比增长12.60%。</w:t>
      </w:r>
    </w:p>
    <w:p>
      <w:pPr>
        <w:numPr>
          <w:ilvl w:val="0"/>
          <w:numId w:val="0"/>
        </w:numPr>
        <w:pBdr>
          <w:bottom w:val="single" w:color="FFFFFF" w:sz="4" w:space="31"/>
        </w:pBdr>
        <w:tabs>
          <w:tab w:val="left" w:pos="1440"/>
        </w:tabs>
        <w:spacing w:line="580" w:lineRule="exact"/>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5、可持续发展能力方面</w:t>
      </w:r>
    </w:p>
    <w:p>
      <w:pPr>
        <w:numPr>
          <w:ilvl w:val="0"/>
          <w:numId w:val="0"/>
        </w:numPr>
        <w:pBdr>
          <w:bottom w:val="single" w:color="FFFFFF" w:sz="4" w:space="31"/>
        </w:pBdr>
        <w:tabs>
          <w:tab w:val="left" w:pos="1440"/>
        </w:tabs>
        <w:spacing w:line="580" w:lineRule="exact"/>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支持饲料企业、科研院所调整优化饲料配方，持续推进玉米、豆粕减量替代工作，据统计全省饲料企业使用小麦、政策性粮食等替代玉米102.94万吨；使用棉菜粕、牧草等等其他蛋白原料替代豆粕46.71万吨。支持饲料企业通过竞价采购政策性粮食、争取玉米进口配额，组织我省饲料加工企业参加政策性粮食定向邀标竞拍，全年共成交95.37万吨；在保证安全前提下，多渠道拓展饲料原料来源，增加稻谷、饲料桑叶、牧草、作物秸秆等自产原料开发利用。</w:t>
      </w:r>
    </w:p>
    <w:p>
      <w:pPr>
        <w:numPr>
          <w:ilvl w:val="0"/>
          <w:numId w:val="0"/>
        </w:numPr>
        <w:pBdr>
          <w:bottom w:val="single" w:color="FFFFFF" w:sz="4" w:space="31"/>
        </w:pBdr>
        <w:tabs>
          <w:tab w:val="left" w:pos="1440"/>
        </w:tabs>
        <w:spacing w:line="580" w:lineRule="exact"/>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6、服务对象满意度方面</w:t>
      </w:r>
    </w:p>
    <w:p>
      <w:pPr>
        <w:numPr>
          <w:ilvl w:val="0"/>
          <w:numId w:val="0"/>
        </w:numPr>
        <w:pBdr>
          <w:bottom w:val="single" w:color="FFFFFF" w:sz="4" w:space="31"/>
        </w:pBdr>
        <w:tabs>
          <w:tab w:val="left" w:pos="1440"/>
        </w:tabs>
        <w:spacing w:line="580" w:lineRule="exact"/>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通过线上满意度调查，部门整体服务对象的满意度为90%以上。</w:t>
      </w:r>
    </w:p>
    <w:p>
      <w:pPr>
        <w:numPr>
          <w:ilvl w:val="0"/>
          <w:numId w:val="0"/>
        </w:numPr>
        <w:pBdr>
          <w:bottom w:val="single" w:color="FFFFFF" w:sz="4" w:space="31"/>
        </w:pBdr>
        <w:tabs>
          <w:tab w:val="left" w:pos="1440"/>
        </w:tabs>
        <w:spacing w:line="580" w:lineRule="exact"/>
        <w:ind w:firstLine="640" w:firstLineChars="200"/>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numPr>
          <w:ilvl w:val="0"/>
          <w:numId w:val="0"/>
        </w:numPr>
        <w:pBdr>
          <w:bottom w:val="single" w:color="FFFFFF" w:sz="4" w:space="31"/>
        </w:pBdr>
        <w:tabs>
          <w:tab w:val="left" w:pos="1440"/>
        </w:tabs>
        <w:spacing w:line="580" w:lineRule="exact"/>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2022年预算指标372.05万元，实际支付284.49万元，预算执行率为76.47%。由于疫情原因：1、原定开展的全省饲料质量安全及政策培训班（三期，共420人）未如期举行。2、行政审批现场评审工作实施进度减慢导致各项预算执行率低。</w:t>
      </w:r>
    </w:p>
    <w:p>
      <w:pPr>
        <w:numPr>
          <w:ilvl w:val="0"/>
          <w:numId w:val="0"/>
        </w:numPr>
        <w:pBdr>
          <w:bottom w:val="single" w:color="FFFFFF" w:sz="4" w:space="31"/>
        </w:pBdr>
        <w:tabs>
          <w:tab w:val="left" w:pos="1440"/>
        </w:tabs>
        <w:spacing w:line="580" w:lineRule="exact"/>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下一步改进措施：一方面进一步提高预算编制的科学性、准确性和合理性，强化预算管理，提高预算执行力度。通过定期对项目实施和预算执行情况进行跟踪，及时掌握项目进度、发现问题和解决问题，按计划推进项目实施。</w:t>
      </w:r>
    </w:p>
    <w:p>
      <w:pPr>
        <w:pStyle w:val="2"/>
        <w:rPr>
          <w:rFonts w:hint="eastAsia"/>
        </w:rPr>
      </w:pPr>
    </w:p>
    <w:p>
      <w:pPr>
        <w:pStyle w:val="2"/>
        <w:numPr>
          <w:ilvl w:val="0"/>
          <w:numId w:val="0"/>
        </w:numPr>
        <w:ind w:leftChars="262" w:right="0" w:rightChars="0"/>
        <w:rPr>
          <w:rFonts w:hint="eastAsia"/>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3"/>
        <w:ind w:firstLine="640" w:firstLineChars="2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一、基本支出：指为保障机构正常运转、完成日常工作任务而发生的各项支出，包括人员支出和公用支出。</w:t>
      </w:r>
    </w:p>
    <w:p>
      <w:pPr>
        <w:pStyle w:val="13"/>
        <w:ind w:firstLine="320" w:firstLineChars="1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 xml:space="preserve">  二、项目支出：指在基本支出以外为完成相关行政任务和事业发展目标所发生的各项支出。 </w:t>
      </w:r>
    </w:p>
    <w:p>
      <w:pPr>
        <w:pStyle w:val="13"/>
        <w:ind w:firstLine="480" w:firstLineChars="15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 xml:space="preserve">三、“三公”经费：指通过财政拨款资金安排的因公出国（境）费、公务用车购置及运行费和公务接待费支出。 </w:t>
      </w:r>
    </w:p>
    <w:p>
      <w:pPr>
        <w:pStyle w:val="13"/>
        <w:ind w:firstLine="320" w:firstLineChars="100"/>
        <w:rPr>
          <w:rFonts w:hint="eastAsia" w:ascii="仿宋_GB2312" w:hAnsi="仿宋_GB2312" w:eastAsia="仿宋_GB2312" w:cs="仿宋_GB2312"/>
          <w:b w:val="0"/>
          <w:bCs w:val="0"/>
          <w:color w:val="000000"/>
          <w:kern w:val="2"/>
          <w:sz w:val="32"/>
          <w:szCs w:val="32"/>
          <w:lang w:val="en-US" w:eastAsia="zh-CN" w:bidi="ar-SA"/>
        </w:rPr>
      </w:pPr>
      <w:r>
        <w:rPr>
          <w:rFonts w:hint="eastAsia" w:ascii="仿宋_GB2312" w:hAnsi="仿宋_GB2312" w:eastAsia="仿宋_GB2312" w:cs="仿宋_GB2312"/>
          <w:b w:val="0"/>
          <w:bCs w:val="0"/>
          <w:color w:val="000000"/>
          <w:kern w:val="2"/>
          <w:sz w:val="32"/>
          <w:szCs w:val="32"/>
          <w:lang w:val="en-US" w:eastAsia="zh-CN" w:bidi="ar-SA"/>
        </w:rPr>
        <w:t xml:space="preserve"> 四、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5B97FB-25A4-4E9D-A1A0-511B3AA464E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0" w:usb1="00000000" w:usb2="00000000" w:usb3="00000000" w:csb0="00000000" w:csb1="00000000"/>
    <w:embedRegular r:id="rId2" w:fontKey="{65450B29-72B1-4ADB-AA6E-2FF7973B3E9A}"/>
  </w:font>
  <w:font w:name="仿宋">
    <w:panose1 w:val="02010609060101010101"/>
    <w:charset w:val="86"/>
    <w:family w:val="auto"/>
    <w:pitch w:val="default"/>
    <w:sig w:usb0="800002BF" w:usb1="38CF7CFA" w:usb2="00000016" w:usb3="00000000" w:csb0="00040001" w:csb1="00000000"/>
    <w:embedRegular r:id="rId3" w:fontKey="{003991C8-B4FE-47A3-AF71-A2BB4EA1F714}"/>
  </w:font>
  <w:font w:name="方正小标宋_GBK">
    <w:panose1 w:val="02000000000000000000"/>
    <w:charset w:val="86"/>
    <w:family w:val="auto"/>
    <w:pitch w:val="default"/>
    <w:sig w:usb0="00000000" w:usb1="00000000" w:usb2="00000000" w:usb3="00000000" w:csb0="00000000" w:csb1="00000000"/>
    <w:embedRegular r:id="rId4" w:fontKey="{A344A417-1CF6-4738-9C64-905489020A4A}"/>
  </w:font>
  <w:font w:name="华文中宋">
    <w:panose1 w:val="02010600040101010101"/>
    <w:charset w:val="86"/>
    <w:family w:val="auto"/>
    <w:pitch w:val="default"/>
    <w:sig w:usb0="00000287" w:usb1="080F0000" w:usb2="00000000" w:usb3="00000000" w:csb0="0004009F" w:csb1="DFD70000"/>
    <w:embedRegular r:id="rId5" w:fontKey="{7BE291A4-8136-4A65-97EB-8C70B42DB67C}"/>
  </w:font>
  <w:font w:name="楷体">
    <w:panose1 w:val="02010609060101010101"/>
    <w:charset w:val="86"/>
    <w:family w:val="auto"/>
    <w:pitch w:val="default"/>
    <w:sig w:usb0="800002BF" w:usb1="38CF7CFA" w:usb2="00000016" w:usb3="00000000" w:csb0="00040001" w:csb1="00000000"/>
    <w:embedRegular r:id="rId6" w:fontKey="{F45A5A3E-07A1-4B1E-9F18-9864BFB7C819}"/>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F54C3BDC"/>
    <w:multiLevelType w:val="singleLevel"/>
    <w:tmpl w:val="F54C3BDC"/>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TrueTypeFonts/>
  <w:saveSubsetFonts/>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1YTczYTg3YjllOTU1OTUyNmI0ZWUzYmRiM2FjYWMifQ=="/>
  </w:docVars>
  <w:rsids>
    <w:rsidRoot w:val="00000000"/>
    <w:rsid w:val="034F65A7"/>
    <w:rsid w:val="03CF07E7"/>
    <w:rsid w:val="0ED034C5"/>
    <w:rsid w:val="0EEC4FD8"/>
    <w:rsid w:val="13CB78D6"/>
    <w:rsid w:val="14511F44"/>
    <w:rsid w:val="15A91F63"/>
    <w:rsid w:val="177A16F8"/>
    <w:rsid w:val="18C7014D"/>
    <w:rsid w:val="1A5B175B"/>
    <w:rsid w:val="1BA92BA2"/>
    <w:rsid w:val="227F27A2"/>
    <w:rsid w:val="26D854CF"/>
    <w:rsid w:val="2B3E16CC"/>
    <w:rsid w:val="2C92725E"/>
    <w:rsid w:val="36744505"/>
    <w:rsid w:val="3D3F3B9E"/>
    <w:rsid w:val="48390E49"/>
    <w:rsid w:val="4A6C0C97"/>
    <w:rsid w:val="58953BEB"/>
    <w:rsid w:val="58A61C17"/>
    <w:rsid w:val="65232FA5"/>
    <w:rsid w:val="710226F8"/>
    <w:rsid w:val="733C304D"/>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spacing w:line="336" w:lineRule="auto"/>
      <w:ind w:left="200" w:firstLine="40"/>
    </w:pPr>
    <w:rPr>
      <w:rFonts w:ascii="仿宋_GB2312" w:hAnsi="仿宋_GB2312" w:eastAsia="仿宋" w:cs="仿宋_GB2312"/>
      <w:szCs w:val="32"/>
    </w:rPr>
  </w:style>
  <w:style w:type="paragraph" w:styleId="3">
    <w:name w:val="Body Text Indent"/>
    <w:basedOn w:val="1"/>
    <w:qFormat/>
    <w:uiPriority w:val="0"/>
    <w:pPr>
      <w:keepNext w:val="0"/>
      <w:keepLines w:val="0"/>
      <w:widowControl w:val="0"/>
      <w:suppressLineNumbers w:val="0"/>
      <w:spacing w:before="0" w:beforeLines="0" w:beforeAutospacing="0" w:after="0" w:afterLines="0" w:afterAutospacing="0"/>
      <w:ind w:left="0" w:right="0" w:firstLine="666" w:firstLineChars="262"/>
      <w:jc w:val="both"/>
    </w:pPr>
    <w:rPr>
      <w:rFonts w:hint="default" w:ascii="Calibri" w:hAnsi="Calibri" w:eastAsia="宋体" w:cs="黑体"/>
      <w:kern w:val="2"/>
      <w:sz w:val="24"/>
      <w:szCs w:val="24"/>
      <w:lang w:val="en-US" w:eastAsia="zh-CN" w:bidi="ar-SA"/>
    </w:rPr>
  </w:style>
  <w:style w:type="paragraph" w:styleId="4">
    <w:name w:val="index 6"/>
    <w:basedOn w:val="1"/>
    <w:next w:val="1"/>
    <w:qFormat/>
    <w:uiPriority w:val="0"/>
    <w:pPr>
      <w:widowControl w:val="0"/>
      <w:ind w:left="2100"/>
      <w:jc w:val="both"/>
    </w:pPr>
    <w:rPr>
      <w:rFonts w:ascii="Calibri" w:hAnsi="Calibri" w:eastAsia="宋体" w:cs="Times New Roman"/>
      <w:kern w:val="2"/>
      <w:sz w:val="21"/>
      <w:lang w:val="en-US" w:eastAsia="zh-CN" w:bidi="ar-SA"/>
    </w:r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 w:type="paragraph" w:customStyle="1" w:styleId="19">
    <w:name w:val="PlainText"/>
    <w:basedOn w:val="1"/>
    <w:qFormat/>
    <w:uiPriority w:val="0"/>
    <w:pPr>
      <w:jc w:val="both"/>
      <w:textAlignment w:val="baseline"/>
    </w:pPr>
    <w:rPr>
      <w:rFonts w:ascii="宋体" w:hAnsi="Courier New"/>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e61f9b7-8fd7-4af2-ae03-92f7732164cd}">
  <ds:schemaRefs/>
</ds:datastoreItem>
</file>

<file path=customXml/itemProps2.xml><?xml version="1.0" encoding="utf-8"?>
<ds:datastoreItem xmlns:ds="http://schemas.openxmlformats.org/officeDocument/2006/customXml" ds:itemID="{a6652ec0-d14b-417b-95ed-25698d08a984}">
  <ds:schemaRefs/>
</ds:datastoreItem>
</file>

<file path=customXml/itemProps3.xml><?xml version="1.0" encoding="utf-8"?>
<ds:datastoreItem xmlns:ds="http://schemas.openxmlformats.org/officeDocument/2006/customXml" ds:itemID="{583b81d1-a53a-4778-847c-43db8e645ddd}">
  <ds:schemaRefs/>
</ds:datastoreItem>
</file>

<file path=customXml/itemProps4.xml><?xml version="1.0" encoding="utf-8"?>
<ds:datastoreItem xmlns:ds="http://schemas.openxmlformats.org/officeDocument/2006/customXml" ds:itemID="{8d23cad8-e7c8-4c22-9091-fb6d91804094}">
  <ds:schemaRefs/>
</ds:datastoreItem>
</file>

<file path=customXml/itemProps5.xml><?xml version="1.0" encoding="utf-8"?>
<ds:datastoreItem xmlns:ds="http://schemas.openxmlformats.org/officeDocument/2006/customXml" ds:itemID="{fac6b107-5047-4f5e-af83-bfbfe78209f5}">
  <ds:schemaRefs/>
</ds:datastoreItem>
</file>

<file path=customXml/itemProps6.xml><?xml version="1.0" encoding="utf-8"?>
<ds:datastoreItem xmlns:ds="http://schemas.openxmlformats.org/officeDocument/2006/customXml" ds:itemID="{3d37d9b2-9055-4a19-a4ee-7dc4aad322f2}">
  <ds:schemaRefs/>
</ds:datastoreItem>
</file>

<file path=customXml/itemProps7.xml><?xml version="1.0" encoding="utf-8"?>
<ds:datastoreItem xmlns:ds="http://schemas.openxmlformats.org/officeDocument/2006/customXml" ds:itemID="{c2f6c4ca-bba4-4ef4-b269-4bd486b656d9}">
  <ds:schemaRefs/>
</ds:datastoreItem>
</file>

<file path=customXml/itemProps8.xml><?xml version="1.0" encoding="utf-8"?>
<ds:datastoreItem xmlns:ds="http://schemas.openxmlformats.org/officeDocument/2006/customXml" ds:itemID="{25882342-7dd2-41e6-8fd9-46e5ae4dadc9}">
  <ds:schemaRefs/>
</ds:datastoreItem>
</file>

<file path=customXml/itemProps9.xml><?xml version="1.0" encoding="utf-8"?>
<ds:datastoreItem xmlns:ds="http://schemas.openxmlformats.org/officeDocument/2006/customXml" ds:itemID="{ef0f39f0-6969-46a4-9c4b-90ae0ab482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5163</Words>
  <Characters>5747</Characters>
  <Lines>63</Lines>
  <Paragraphs>18</Paragraphs>
  <TotalTime>0</TotalTime>
  <ScaleCrop>false</ScaleCrop>
  <LinksUpToDate>false</LinksUpToDate>
  <CharactersWithSpaces>5776</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2023-11-01T13:12:49Z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836CE96123204835A234D39A564568F3_13</vt:lpwstr>
  </property>
</Properties>
</file>