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r>
        <w:rPr>
          <w:rFonts w:hint="eastAsia" w:ascii="方正小标宋_GBK" w:hAnsi="方正小标宋_GBK" w:eastAsia="方正小标宋_GBK" w:cs="方正小标宋_GBK"/>
          <w:sz w:val="84"/>
          <w:szCs w:val="84"/>
          <w:lang w:val="en-US" w:eastAsia="zh-CN"/>
        </w:rPr>
        <w:t>湖南省植保植检站</w:t>
      </w:r>
      <w:r>
        <w:rPr>
          <w:rFonts w:hint="eastAsia" w:ascii="方正小标宋_GBK" w:hAnsi="方正小标宋_GBK" w:eastAsia="方正小标宋_GBK" w:cs="方正小标宋_GBK"/>
          <w:sz w:val="84"/>
          <w:szCs w:val="84"/>
        </w:rPr>
        <w:t>单位决算</w:t>
      </w:r>
    </w:p>
    <w:p>
      <w:pPr>
        <w:pStyle w:val="13"/>
        <w:jc w:val="center"/>
        <w:rPr>
          <w:rFonts w:hint="eastAsia" w:ascii="方正小标宋_GBK" w:hAnsi="方正小标宋_GBK" w:eastAsia="方正小标宋_GBK" w:cs="方正小标宋_GBK"/>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both"/>
        <w:rPr>
          <w:b/>
          <w:sz w:val="36"/>
          <w:szCs w:val="28"/>
        </w:rPr>
      </w:pPr>
    </w:p>
    <w:p>
      <w:pPr>
        <w:pStyle w:val="13"/>
        <w:spacing w:line="500" w:lineRule="exact"/>
        <w:jc w:val="center"/>
        <w:rPr>
          <w:b/>
          <w:sz w:val="36"/>
          <w:szCs w:val="28"/>
        </w:rPr>
      </w:pPr>
      <w:r>
        <w:rPr>
          <w:rFonts w:hint="eastAsia"/>
          <w:b/>
          <w:sz w:val="36"/>
          <w:szCs w:val="28"/>
        </w:rPr>
        <w:t>目录</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湖南省植保植检站</w:t>
      </w:r>
      <w:r>
        <w:rPr>
          <w:rFonts w:hint="eastAsia" w:ascii="黑体" w:hAnsi="黑体" w:eastAsia="黑体" w:cs="黑体"/>
          <w:b w:val="0"/>
          <w:bCs/>
          <w:sz w:val="28"/>
          <w:szCs w:val="28"/>
        </w:rPr>
        <w:t>单位概况</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3"/>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3"/>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湖南省植保植检站</w:t>
      </w:r>
      <w:r>
        <w:rPr>
          <w:rFonts w:hint="eastAsia" w:ascii="方正小标宋_GBK" w:hAnsi="方正小标宋_GBK" w:eastAsia="方正小标宋_GBK" w:cs="方正小标宋_GBK"/>
          <w:sz w:val="84"/>
          <w:szCs w:val="84"/>
        </w:rPr>
        <w:t>单位概况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4"/>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（一）研究拟定全省植保植检工作中长期规划，指导植保植检体系和队伍建设，组织并指导全省开展大面积农作物病虫草鼠防治工作。</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（二）承担全省专业性病虫测报体系规划、建设及相关业务管理，制定病虫草鼠调查测报办法，及时做出农业有害生物发生趋势预测，发布农业有害生物预报或灾情警报。</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（三）组织农作物病虫害防控与重大农业生物灾害控制。</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（四）组织贯彻植物检疫法律和法规</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rPr>
        <w:t>承办检疫审批、检疫检验、签发证书、组织疫情普查，制定封锁和消灭措施。</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（五）负责植保新技术、新农药、新药械的试验示范、开发及推广应用，开展农药使用等专业技术培训及监督管理。</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ind w:firstLine="600"/>
        <w:jc w:val="left"/>
        <w:rPr>
          <w:rFonts w:asciiTheme="minorEastAsia" w:hAnsiTheme="minorEastAsia"/>
          <w:bCs/>
          <w:color w:val="auto"/>
          <w:kern w:val="0"/>
          <w:sz w:val="32"/>
          <w:szCs w:val="32"/>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湖南省植保植检站</w:t>
      </w:r>
      <w:r>
        <w:rPr>
          <w:rFonts w:hint="eastAsia" w:ascii="Times New Roman" w:hAnsi="Times New Roman" w:eastAsia="仿宋_GB2312" w:cs="仿宋_GB2312"/>
          <w:bCs/>
          <w:kern w:val="0"/>
          <w:sz w:val="32"/>
          <w:szCs w:val="32"/>
        </w:rPr>
        <w:t>内设机构包括：</w:t>
      </w:r>
      <w:r>
        <w:rPr>
          <w:rFonts w:hint="eastAsia" w:ascii="Times New Roman" w:hAnsi="Times New Roman" w:eastAsia="仿宋_GB2312" w:cs="仿宋_GB2312"/>
          <w:bCs/>
          <w:kern w:val="0"/>
          <w:sz w:val="32"/>
          <w:szCs w:val="32"/>
          <w:lang w:val="en-US" w:eastAsia="zh-CN"/>
        </w:rPr>
        <w:t>综合科、测报科、检疫科、防治科、计财科、药械科、经保科、信息科等8个科室（机构）</w:t>
      </w:r>
      <w:r>
        <w:rPr>
          <w:rFonts w:hint="eastAsia" w:asciiTheme="minorEastAsia" w:hAnsiTheme="minorEastAsia"/>
          <w:bCs/>
          <w:color w:val="auto"/>
          <w:kern w:val="0"/>
          <w:sz w:val="32"/>
          <w:szCs w:val="32"/>
        </w:rPr>
        <w:t>。</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val="en-US" w:eastAsia="zh-CN"/>
        </w:rPr>
        <w:t>湖南省植保植检站</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Times New Roman" w:hAnsi="Times New Roman" w:eastAsia="仿宋_GB2312" w:cs="仿宋_GB2312"/>
          <w:bCs/>
          <w:kern w:val="0"/>
          <w:sz w:val="32"/>
          <w:szCs w:val="32"/>
          <w:lang w:val="en-US" w:eastAsia="zh-CN"/>
        </w:rPr>
        <w:t>湖南省植保植检站</w:t>
      </w:r>
      <w:r>
        <w:rPr>
          <w:rFonts w:hint="eastAsia" w:ascii="Times New Roman" w:hAnsi="Times New Roman" w:eastAsia="仿宋_GB2312" w:cs="仿宋_GB2312"/>
          <w:bCs/>
          <w:kern w:val="0"/>
          <w:sz w:val="32"/>
          <w:szCs w:val="32"/>
        </w:rPr>
        <w:t>本级</w:t>
      </w:r>
      <w:r>
        <w:rPr>
          <w:rFonts w:hint="eastAsia" w:ascii="Times New Roman" w:hAnsi="Times New Roman" w:eastAsia="仿宋_GB2312" w:cs="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3"/>
        <w:jc w:val="center"/>
        <w:rPr>
          <w:rFonts w:hint="eastAsia" w:ascii="方正小标宋_GBK" w:hAnsi="方正小标宋_GBK" w:eastAsia="方正小标宋_GBK" w:cs="方正小标宋_GBK"/>
          <w:sz w:val="84"/>
          <w:szCs w:val="84"/>
        </w:rPr>
      </w:pPr>
    </w:p>
    <w:p>
      <w:pPr>
        <w:pStyle w:val="13"/>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sectPr>
          <w:pgSz w:w="11906" w:h="16838"/>
          <w:pgMar w:top="720" w:right="720" w:bottom="720" w:left="720" w:header="851" w:footer="992" w:gutter="0"/>
          <w:cols w:space="425" w:num="1"/>
          <w:docGrid w:type="lines" w:linePitch="312" w:charSpace="0"/>
        </w:sectPr>
      </w:pPr>
    </w:p>
    <w:p>
      <w:pPr>
        <w:widowControl/>
        <w:rPr>
          <w:rFonts w:ascii="Times New Roman" w:hAnsi="Times New Roman" w:eastAsia="方正小标宋_GBK" w:cs="Times New Roman"/>
          <w:color w:val="000000"/>
          <w:kern w:val="0"/>
          <w:sz w:val="36"/>
          <w:szCs w:val="36"/>
        </w:rPr>
      </w:pPr>
      <w:r>
        <w:drawing>
          <wp:inline distT="0" distB="0" distL="114300" distR="114300">
            <wp:extent cx="9557385" cy="6598285"/>
            <wp:effectExtent l="0" t="0" r="571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557385" cy="6598285"/>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r>
        <w:drawing>
          <wp:inline distT="0" distB="0" distL="114300" distR="114300">
            <wp:extent cx="9769475" cy="5487035"/>
            <wp:effectExtent l="0" t="0" r="9525"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9769475" cy="5487035"/>
                    </a:xfrm>
                    <a:prstGeom prst="rect">
                      <a:avLst/>
                    </a:prstGeom>
                    <a:noFill/>
                    <a:ln>
                      <a:noFill/>
                    </a:ln>
                  </pic:spPr>
                </pic:pic>
              </a:graphicData>
            </a:graphic>
          </wp:inline>
        </w:drawing>
      </w: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r>
        <w:drawing>
          <wp:inline distT="0" distB="0" distL="114300" distR="114300">
            <wp:extent cx="9150350" cy="5727700"/>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9150350" cy="5727700"/>
                    </a:xfrm>
                    <a:prstGeom prst="rect">
                      <a:avLst/>
                    </a:prstGeom>
                    <a:noFill/>
                    <a:ln>
                      <a:noFill/>
                    </a:ln>
                  </pic:spPr>
                </pic:pic>
              </a:graphicData>
            </a:graphic>
          </wp:inline>
        </w:drawing>
      </w:r>
    </w:p>
    <w:p>
      <w:pPr>
        <w:widowControl/>
        <w:jc w:val="left"/>
        <w:rPr>
          <w:rFonts w:ascii="Times New Roman" w:hAnsi="Times New Roman" w:eastAsia="仿宋_GB2312" w:cs="Times New Roman"/>
          <w:bCs/>
          <w:kern w:val="0"/>
          <w:szCs w:val="21"/>
        </w:rPr>
      </w:pPr>
      <w:r>
        <w:br w:type="page"/>
      </w:r>
    </w:p>
    <w:p>
      <w:pPr>
        <w:widowControl/>
        <w:jc w:val="center"/>
        <w:rPr>
          <w:rFonts w:hint="eastAsia" w:ascii="Times New Roman" w:hAnsi="Times New Roman" w:eastAsia="方正小标宋_GBK" w:cs="Times New Roman"/>
          <w:color w:val="000000"/>
          <w:kern w:val="0"/>
          <w:sz w:val="36"/>
          <w:szCs w:val="36"/>
        </w:rPr>
      </w:pPr>
      <w:r>
        <w:drawing>
          <wp:inline distT="0" distB="0" distL="114300" distR="114300">
            <wp:extent cx="9248140" cy="6664325"/>
            <wp:effectExtent l="0" t="0" r="1016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9248140" cy="6664325"/>
                    </a:xfrm>
                    <a:prstGeom prst="rect">
                      <a:avLst/>
                    </a:prstGeom>
                    <a:noFill/>
                    <a:ln>
                      <a:noFill/>
                    </a:ln>
                  </pic:spPr>
                </pic:pic>
              </a:graphicData>
            </a:graphic>
          </wp:inline>
        </w:drawing>
      </w:r>
    </w:p>
    <w:p>
      <w:pPr>
        <w:widowControl/>
        <w:jc w:val="center"/>
      </w:pPr>
      <w:r>
        <w:drawing>
          <wp:inline distT="0" distB="0" distL="114300" distR="114300">
            <wp:extent cx="7346950" cy="570865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7346950" cy="5708650"/>
                    </a:xfrm>
                    <a:prstGeom prst="rect">
                      <a:avLst/>
                    </a:prstGeom>
                    <a:noFill/>
                    <a:ln>
                      <a:noFill/>
                    </a:ln>
                  </pic:spPr>
                </pic:pic>
              </a:graphicData>
            </a:graphic>
          </wp:inline>
        </w:drawing>
      </w:r>
    </w:p>
    <w:p>
      <w:pPr>
        <w:widowControl/>
        <w:jc w:val="center"/>
        <w:rPr>
          <w:rFonts w:hint="eastAsia" w:ascii="华文中宋" w:hAnsi="华文中宋" w:eastAsia="华文中宋" w:cs="宋体"/>
          <w:color w:val="000000"/>
          <w:kern w:val="0"/>
          <w:szCs w:val="32"/>
        </w:rPr>
      </w:pPr>
      <w:bookmarkStart w:id="2" w:name="RANGE!A1:I34"/>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ascii="华文中宋" w:hAnsi="华文中宋" w:eastAsia="华文中宋" w:cs="宋体"/>
          <w:color w:val="000000"/>
          <w:kern w:val="0"/>
          <w:szCs w:val="32"/>
        </w:rPr>
      </w:pPr>
    </w:p>
    <w:p>
      <w:pPr>
        <w:widowControl/>
        <w:jc w:val="center"/>
        <w:rPr>
          <w:rFonts w:hint="eastAsia"/>
        </w:rPr>
      </w:pPr>
      <w:r>
        <w:rPr>
          <w:rFonts w:hint="eastAsia" w:ascii="华文中宋" w:hAnsi="华文中宋" w:eastAsia="华文中宋" w:cs="宋体"/>
          <w:color w:val="000000"/>
          <w:kern w:val="0"/>
          <w:szCs w:val="32"/>
        </w:rPr>
        <w:t>一般公共预算财政拨款基本支出决算明细表</w:t>
      </w:r>
      <w:bookmarkEnd w:id="2"/>
      <w:r>
        <w:drawing>
          <wp:inline distT="0" distB="0" distL="114300" distR="114300">
            <wp:extent cx="9770110" cy="5640705"/>
            <wp:effectExtent l="0" t="0" r="8890"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9770110" cy="5640705"/>
                    </a:xfrm>
                    <a:prstGeom prst="rect">
                      <a:avLst/>
                    </a:prstGeom>
                    <a:noFill/>
                    <a:ln>
                      <a:noFill/>
                    </a:ln>
                  </pic:spPr>
                </pic:pic>
              </a:graphicData>
            </a:graphic>
          </wp:inline>
        </w:drawing>
      </w:r>
    </w:p>
    <w:tbl>
      <w:tblPr>
        <w:tblStyle w:val="8"/>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2645" w:type="dxa"/>
            <w:gridSpan w:val="3"/>
            <w:tcBorders>
              <w:top w:val="nil"/>
              <w:left w:val="nil"/>
              <w:bottom w:val="nil"/>
              <w:right w:val="nil"/>
            </w:tcBorders>
            <w:shd w:val="clear" w:color="auto" w:fill="FFFFFF"/>
            <w:noWrap/>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部门：湖南省植保植检站</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6"/>
                <w:lang w:val="en-US" w:eastAsia="zh-CN"/>
              </w:rPr>
              <w:t xml:space="preserve">   </w:t>
            </w:r>
            <w:r>
              <w:rPr>
                <w:rStyle w:val="17"/>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rPr>
      </w:pPr>
    </w:p>
    <w:p>
      <w:pPr>
        <w:pStyle w:val="2"/>
        <w:rPr>
          <w:rFonts w:hint="eastAsia"/>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部门：湖南省植保植检站</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8"/>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部门：湖南省植保植检站</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3"/>
        <w:jc w:val="center"/>
        <w:rPr>
          <w:rFonts w:hint="eastAsia" w:ascii="方正小标宋_GBK" w:hAnsi="方正小标宋_GBK" w:eastAsia="方正小标宋_GBK" w:cs="方正小标宋_GBK"/>
          <w:sz w:val="70"/>
          <w:szCs w:val="70"/>
        </w:rPr>
      </w:pPr>
    </w:p>
    <w:p>
      <w:pPr>
        <w:pStyle w:val="13"/>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6281.61</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1930.78</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44.38</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一是年中追加绩效奖金，二是2022年藏粮于地藏粮于技专项（动植物保护能力提升工程项目）中央基建投资预算项目资金增加。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4626.60</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4619.42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99.84</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4.00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0.09</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3.18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2626.23</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1189.61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45.30</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1436.62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54.70</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6271.92</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1936.74</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44.67</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一是年中追加绩效奖金，二是2022年藏粮于地藏粮于技专项（动植物保护能力提升工程项目）中央基建投资预算项目资金增加。</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2623.05</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99.88</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605.13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29.99</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一是年中追加绩效奖金，二是2022年藏粮于地藏粮于技专项（动植物保护能力提升工程项目）中央基建投资预算项目资金增加。</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p>
    <w:p>
      <w:pPr>
        <w:pStyle w:val="13"/>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2623.05</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51.91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1.98</w:t>
      </w:r>
      <w:r>
        <w:rPr>
          <w:rFonts w:hint="eastAsia" w:ascii="Times New Roman" w:hAnsi="Times New Roman" w:eastAsia="仿宋_GB2312"/>
          <w:sz w:val="32"/>
          <w:szCs w:val="32"/>
        </w:rPr>
        <w:t>%；卫生健康（类）支出</w:t>
      </w:r>
      <w:r>
        <w:rPr>
          <w:rFonts w:hint="eastAsia" w:ascii="Times New Roman" w:hAnsi="Times New Roman" w:eastAsia="仿宋_GB2312"/>
          <w:sz w:val="32"/>
          <w:szCs w:val="32"/>
          <w:lang w:val="en-US" w:eastAsia="zh-CN"/>
        </w:rPr>
        <w:t>85.66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3.27</w:t>
      </w:r>
      <w:r>
        <w:rPr>
          <w:rFonts w:hint="eastAsia" w:ascii="Times New Roman" w:hAnsi="Times New Roman" w:eastAsia="仿宋_GB2312"/>
          <w:sz w:val="32"/>
          <w:szCs w:val="32"/>
        </w:rPr>
        <w:t>%;农林水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2414.48</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92.05</w:t>
      </w:r>
      <w:r>
        <w:rPr>
          <w:rFonts w:hint="eastAsia" w:ascii="Times New Roman" w:hAnsi="Times New Roman" w:eastAsia="仿宋_GB2312"/>
          <w:sz w:val="32"/>
          <w:szCs w:val="32"/>
        </w:rPr>
        <w:t>%;住房保障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71.00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2.71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2652.22</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2623.05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98.90</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rPr>
        <w:t>（类）行政事业单位养老</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rPr>
        <w:t>（款）机关事业单位基本养老保险缴费</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rPr>
        <w:t>（项）。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53.00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51.91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97.94</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人员经费有结余。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2、卫生健康</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类）行政事业单位医疗（款）行政单位医疗（项）。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43.00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41.00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95.35</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人员经费有结余。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、卫生健康</w:t>
      </w:r>
      <w:r>
        <w:rPr>
          <w:rFonts w:hint="eastAsia" w:ascii="Times New Roman" w:hAnsi="Times New Roman" w:eastAsia="仿宋_GB2312"/>
          <w:sz w:val="32"/>
          <w:szCs w:val="32"/>
          <w:lang w:val="en-US" w:eastAsia="zh-CN"/>
        </w:rPr>
        <w:t>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类）行政事业单位医疗（款）公务员医疗补助（项）。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36.00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33.66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93.50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人员经费有结余。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、卫生健康</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类）行政事业单位医疗（款）其他行政事业单位医疗支出（项）。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11.00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91.67</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人员经费有结余。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类）农业农村（款）</w:t>
      </w:r>
      <w:r>
        <w:rPr>
          <w:rFonts w:hint="eastAsia" w:ascii="Times New Roman" w:hAnsi="Times New Roman" w:eastAsia="仿宋_GB2312"/>
          <w:sz w:val="32"/>
          <w:szCs w:val="32"/>
          <w:lang w:val="en-US" w:eastAsia="zh-CN"/>
        </w:rPr>
        <w:t>行政运行</w:t>
      </w:r>
      <w:r>
        <w:rPr>
          <w:rFonts w:hint="eastAsia" w:ascii="Times New Roman" w:hAnsi="Times New Roman" w:eastAsia="仿宋_GB2312"/>
          <w:sz w:val="32"/>
          <w:szCs w:val="32"/>
        </w:rPr>
        <w:t>（项）。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603.72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738.91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122.39</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类）农业农村（款）病虫害控制（项）。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w:t>
      </w:r>
      <w:r>
        <w:rPr>
          <w:rFonts w:hint="eastAsia" w:ascii="Times New Roman" w:hAnsi="Times New Roman" w:eastAsia="仿宋_GB2312"/>
          <w:sz w:val="32"/>
          <w:szCs w:val="32"/>
          <w:lang w:val="en-US" w:eastAsia="zh-CN"/>
        </w:rPr>
        <w:t>70.00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按规定暂停项目实施。</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类）农业农村（款）农业生产发展（项）。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183.40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130.30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71.04</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受疫情影响相关业务未能即期开展</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类）林业和草原（款）其他林业和草原支出（项）。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1580.10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1306.27</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82.67</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受疫情影响相关业务未能即期开展。</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rPr>
        <w:t>、农林水支出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w:t>
      </w:r>
      <w:r>
        <w:rPr>
          <w:rFonts w:hint="eastAsia" w:ascii="Times New Roman" w:hAnsi="Times New Roman" w:eastAsia="仿宋_GB2312"/>
          <w:sz w:val="32"/>
          <w:szCs w:val="32"/>
          <w:lang w:val="en-US" w:eastAsia="zh-CN"/>
        </w:rPr>
        <w:t>水利</w:t>
      </w:r>
      <w:r>
        <w:rPr>
          <w:rFonts w:hint="eastAsia" w:ascii="Times New Roman" w:hAnsi="Times New Roman" w:eastAsia="仿宋_GB2312"/>
          <w:sz w:val="32"/>
          <w:szCs w:val="32"/>
        </w:rPr>
        <w:t>（款）行政运行（项）。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239.00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、住房保障支出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类）住房改革支出（款）住房公积金（项）。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71.00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71.00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w:t>
      </w:r>
      <w:bookmarkStart w:id="3" w:name="_GoBack"/>
      <w:bookmarkEnd w:id="3"/>
      <w:r>
        <w:rPr>
          <w:rFonts w:hint="eastAsia" w:ascii="Times New Roman" w:hAnsi="Times New Roman" w:eastAsia="仿宋_GB2312"/>
          <w:sz w:val="32"/>
          <w:szCs w:val="32"/>
        </w:rPr>
        <w:t>本支出</w:t>
      </w:r>
      <w:r>
        <w:rPr>
          <w:rFonts w:hint="eastAsia" w:ascii="Times New Roman" w:hAnsi="Times New Roman" w:eastAsia="仿宋_GB2312"/>
          <w:sz w:val="32"/>
          <w:szCs w:val="32"/>
          <w:lang w:val="en-US" w:eastAsia="zh-CN"/>
        </w:rPr>
        <w:t>1186.48</w:t>
      </w:r>
      <w:r>
        <w:rPr>
          <w:rFonts w:hint="eastAsia" w:ascii="Times New Roman" w:hAnsi="Times New Roman" w:eastAsia="仿宋_GB2312"/>
          <w:sz w:val="32"/>
          <w:szCs w:val="32"/>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1068.04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90.02</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机关事业单位基本养老保险缴费、住房公积金、公务员医疗补助缴费、职工基本医疗保险缴费、退休费、奖励金等</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118.43</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9.98</w:t>
      </w:r>
      <w:r>
        <w:rPr>
          <w:rFonts w:hint="eastAsia" w:ascii="Times New Roman" w:hAnsi="Times New Roman" w:eastAsia="仿宋_GB2312"/>
          <w:sz w:val="32"/>
          <w:szCs w:val="32"/>
        </w:rPr>
        <w:t>%，主要包括办公费、印刷费、咨询费、</w:t>
      </w:r>
      <w:r>
        <w:rPr>
          <w:rFonts w:hint="eastAsia" w:ascii="Times New Roman" w:hAnsi="Times New Roman" w:eastAsia="仿宋_GB2312"/>
          <w:sz w:val="32"/>
          <w:szCs w:val="32"/>
          <w:lang w:val="en-US" w:eastAsia="zh-CN"/>
        </w:rPr>
        <w:t>水费、电费、邮电费、物业管理费、郑州费、会议费、工会经费、福利费、公务用车运行维护费、其他交通费、其他商品和服务支出等</w:t>
      </w:r>
      <w:r>
        <w:rPr>
          <w:rFonts w:hint="eastAsia" w:ascii="Times New Roman" w:hAnsi="Times New Roman" w:eastAsia="仿宋_GB2312"/>
          <w:sz w:val="32"/>
          <w:szCs w:val="32"/>
        </w:rPr>
        <w:t>。</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9.50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6.41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67.47</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万元，与上年</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3.50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0.41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11.71</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单位厉行节约，压减三公经费</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2.57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86.24</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eastAsia="zh-CN"/>
        </w:rPr>
        <w:t>单位厉行节约，压减三公经费</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万元，与上年相比</w:t>
      </w:r>
      <w:r>
        <w:rPr>
          <w:rFonts w:hint="eastAsia" w:ascii="Times New Roman" w:hAnsi="Times New Roman" w:eastAsia="仿宋_GB2312"/>
          <w:sz w:val="32"/>
          <w:szCs w:val="32"/>
          <w:lang w:val="en-US" w:eastAsia="zh-CN"/>
        </w:rPr>
        <w:t>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6.00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6.00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w:t>
      </w:r>
      <w:r>
        <w:rPr>
          <w:rFonts w:hint="eastAsia" w:ascii="Times New Roman" w:hAnsi="Times New Roman" w:eastAsia="仿宋_GB2312"/>
          <w:sz w:val="32"/>
          <w:szCs w:val="32"/>
          <w:lang w:val="en-US" w:eastAsia="zh-CN"/>
        </w:rPr>
        <w:t>基本持平</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0.41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6.40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6.00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93.60</w:t>
      </w:r>
      <w:r>
        <w:rPr>
          <w:rFonts w:hint="eastAsia" w:ascii="Times New Roman" w:hAnsi="Times New Roman" w:eastAsia="仿宋_GB2312"/>
          <w:sz w:val="32"/>
          <w:szCs w:val="32"/>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0.41</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28</w:t>
      </w:r>
      <w:r>
        <w:rPr>
          <w:rFonts w:hint="eastAsia" w:ascii="Times New Roman" w:hAnsi="Times New Roman" w:eastAsia="仿宋_GB2312"/>
          <w:sz w:val="32"/>
          <w:szCs w:val="32"/>
        </w:rPr>
        <w:t>人次，主要是</w:t>
      </w:r>
      <w:r>
        <w:rPr>
          <w:rFonts w:hint="eastAsia" w:ascii="Times New Roman" w:hAnsi="Times New Roman" w:eastAsia="仿宋_GB2312"/>
          <w:sz w:val="32"/>
          <w:szCs w:val="32"/>
          <w:lang w:val="en-US" w:eastAsia="zh-CN"/>
        </w:rPr>
        <w:t>各地州市县植保植检植检部门间工作联系</w:t>
      </w:r>
      <w:r>
        <w:rPr>
          <w:rFonts w:hint="eastAsia" w:ascii="Times New Roman" w:hAnsi="Times New Roman" w:eastAsia="仿宋_GB2312"/>
          <w:sz w:val="32"/>
          <w:szCs w:val="32"/>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6.00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6.00</w:t>
      </w:r>
      <w:r>
        <w:rPr>
          <w:rFonts w:hint="eastAsia" w:ascii="Times New Roman" w:hAnsi="Times New Roman" w:eastAsia="仿宋_GB2312"/>
          <w:sz w:val="32"/>
          <w:szCs w:val="32"/>
        </w:rPr>
        <w:t>万元，主要是公务用车辆燃油</w:t>
      </w:r>
      <w:r>
        <w:rPr>
          <w:rFonts w:ascii="Times New Roman" w:hAnsi="Times New Roman" w:eastAsia="仿宋_GB2312"/>
          <w:sz w:val="32"/>
          <w:szCs w:val="32"/>
        </w:rPr>
        <w:t>费</w:t>
      </w:r>
      <w:r>
        <w:rPr>
          <w:rFonts w:hint="eastAsia" w:ascii="Times New Roman" w:hAnsi="Times New Roman" w:eastAsia="仿宋_GB2312"/>
          <w:sz w:val="32"/>
          <w:szCs w:val="32"/>
        </w:rPr>
        <w:t>、</w:t>
      </w:r>
      <w:r>
        <w:rPr>
          <w:rFonts w:ascii="Times New Roman" w:hAnsi="Times New Roman" w:eastAsia="仿宋_GB2312"/>
          <w:sz w:val="32"/>
          <w:szCs w:val="32"/>
        </w:rPr>
        <w:t>维修保养费</w:t>
      </w:r>
      <w:r>
        <w:rPr>
          <w:rFonts w:hint="eastAsia" w:ascii="Times New Roman" w:hAnsi="Times New Roman" w:eastAsia="仿宋_GB2312"/>
          <w:sz w:val="32"/>
          <w:szCs w:val="32"/>
        </w:rPr>
        <w:t>、</w:t>
      </w:r>
      <w:r>
        <w:rPr>
          <w:rFonts w:ascii="Times New Roman" w:hAnsi="Times New Roman" w:eastAsia="仿宋_GB2312"/>
          <w:sz w:val="32"/>
          <w:szCs w:val="32"/>
        </w:rPr>
        <w:t>保险费</w:t>
      </w:r>
      <w:r>
        <w:rPr>
          <w:rFonts w:hint="eastAsia" w:ascii="Times New Roman" w:hAnsi="Times New Roman" w:eastAsia="仿宋_GB2312"/>
          <w:sz w:val="32"/>
          <w:szCs w:val="32"/>
        </w:rPr>
        <w:t>、过路过桥费支出，截止202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118.43</w:t>
      </w:r>
      <w:r>
        <w:rPr>
          <w:rFonts w:hint="eastAsia" w:ascii="Times New Roman" w:hAnsi="Times New Roman" w:eastAsia="仿宋_GB2312"/>
          <w:sz w:val="32"/>
          <w:szCs w:val="32"/>
        </w:rPr>
        <w:t>万元，比上年决算数减少</w:t>
      </w:r>
      <w:r>
        <w:rPr>
          <w:rFonts w:hint="eastAsia" w:ascii="Times New Roman" w:hAnsi="Times New Roman" w:eastAsia="仿宋_GB2312"/>
          <w:sz w:val="32"/>
          <w:szCs w:val="32"/>
          <w:lang w:val="en-US" w:eastAsia="zh-CN"/>
        </w:rPr>
        <w:t>10.09</w:t>
      </w:r>
      <w:r>
        <w:rPr>
          <w:rFonts w:hint="eastAsia" w:ascii="Times New Roman" w:hAnsi="Times New Roman" w:eastAsia="仿宋_GB2312"/>
          <w:sz w:val="32"/>
          <w:szCs w:val="32"/>
        </w:rPr>
        <w:t>万元，降低</w:t>
      </w:r>
      <w:r>
        <w:rPr>
          <w:rFonts w:hint="eastAsia" w:ascii="Times New Roman" w:hAnsi="Times New Roman" w:eastAsia="仿宋_GB2312"/>
          <w:sz w:val="32"/>
          <w:szCs w:val="32"/>
          <w:lang w:val="en-US" w:eastAsia="zh-CN"/>
        </w:rPr>
        <w:t>9.31</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val="en-US" w:eastAsia="zh-CN"/>
        </w:rPr>
        <w:t>厉行节约，大力压着各项经费开支。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1.05</w:t>
      </w:r>
      <w:r>
        <w:rPr>
          <w:rFonts w:hint="eastAsia" w:ascii="Times New Roman" w:hAnsi="Times New Roman" w:eastAsia="仿宋_GB2312"/>
          <w:sz w:val="32"/>
          <w:szCs w:val="32"/>
        </w:rPr>
        <w:t>万元，用于召开2022年度植保体系建设工作座谈会，人数</w:t>
      </w:r>
      <w:r>
        <w:rPr>
          <w:rFonts w:hint="eastAsia" w:ascii="Times New Roman" w:hAnsi="Times New Roman" w:eastAsia="仿宋_GB2312"/>
          <w:sz w:val="32"/>
          <w:szCs w:val="32"/>
          <w:lang w:val="en-US" w:eastAsia="zh-CN"/>
        </w:rPr>
        <w:t>36</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0.91万元；</w:t>
      </w:r>
      <w:r>
        <w:rPr>
          <w:rFonts w:hint="eastAsia" w:ascii="Times New Roman" w:hAnsi="Times New Roman" w:eastAsia="仿宋_GB2312"/>
          <w:sz w:val="32"/>
          <w:szCs w:val="32"/>
          <w:lang w:eastAsia="zh-CN"/>
        </w:rPr>
        <w:t>植保体系征求意见座谈会，</w:t>
      </w:r>
      <w:r>
        <w:rPr>
          <w:rFonts w:hint="eastAsia" w:ascii="Times New Roman" w:hAnsi="Times New Roman" w:eastAsia="仿宋_GB2312"/>
          <w:sz w:val="32"/>
          <w:szCs w:val="32"/>
          <w:lang w:val="en-US" w:eastAsia="zh-CN"/>
        </w:rPr>
        <w:t>人数13人，0.13万元</w:t>
      </w:r>
      <w:r>
        <w:rPr>
          <w:rFonts w:hint="eastAsia" w:ascii="Times New Roman" w:hAnsi="Times New Roman" w:eastAsia="仿宋_GB2312"/>
          <w:sz w:val="32"/>
          <w:szCs w:val="32"/>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开支培训费</w:t>
      </w:r>
      <w:r>
        <w:rPr>
          <w:rFonts w:hint="eastAsia" w:ascii="Times New Roman" w:hAnsi="Times New Roman" w:eastAsia="仿宋_GB2312"/>
          <w:sz w:val="32"/>
          <w:szCs w:val="32"/>
          <w:lang w:val="en-US" w:eastAsia="zh-CN"/>
        </w:rPr>
        <w:t>15.12</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全省蔬菜（三棵菜）病虫害防控现场观摩培训会，65人，2.84万元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全省柑橘黄龙病防控培训会</w:t>
      </w:r>
      <w:r>
        <w:rPr>
          <w:rFonts w:hint="eastAsia" w:ascii="Times New Roman" w:hAnsi="Times New Roman" w:eastAsia="仿宋_GB2312"/>
          <w:sz w:val="32"/>
          <w:szCs w:val="32"/>
          <w:lang w:val="en-US" w:eastAsia="zh-CN"/>
        </w:rPr>
        <w:t>，115人，9.06万元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t>全省秋粮作物重大病虫害防控暨粮食作物病虫绿色防控项目推进培训会</w:t>
      </w:r>
      <w:r>
        <w:rPr>
          <w:rFonts w:hint="eastAsia" w:ascii="Times New Roman" w:hAnsi="Times New Roman" w:eastAsia="仿宋_GB2312"/>
          <w:sz w:val="32"/>
          <w:szCs w:val="32"/>
          <w:lang w:val="en-US" w:eastAsia="zh-CN"/>
        </w:rPr>
        <w:t>，55人，3.21万元。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1324.60</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1273.16</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23.57</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27.87</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37.12</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2.80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6.65</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0.50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2.92</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 xml:space="preserve">  </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辆其中，主要领导干部用车0辆，机要通信用车0辆、应急保障用车0辆、执法执勤用车0辆、特种专业技术用车1辆、其他用车0辆；单位价值50万元以上通用设备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sz w:val="32"/>
          <w:szCs w:val="32"/>
        </w:rPr>
      </w:pPr>
      <w:r>
        <w:rPr>
          <w:rFonts w:hint="eastAsia" w:ascii="Times New Roman" w:hAnsi="Times New Roman" w:eastAsia="仿宋_GB2312"/>
          <w:sz w:val="32"/>
          <w:szCs w:val="32"/>
        </w:rPr>
        <w:t>2022年以来，全省农作物有害生物总体偏重发生。我站在厅党组的正确领导下，提高站位，及早部署，积极应对，主动作为，以习近平新时代中国特色社会主义思想为指导，全面贯彻落实党中央国务院重要决策部署，紧紧围绕国家粮食安全、我省主要经济作物产业健康发展及农业面源污染治理大局，持续强化植保植检体系建设，大力推进“两增两减”虫口夺粮促丰收行动，着力抓好粮油作物重大病虫大面积防控，进一步推进病虫害绿色防控与专业化统防统治，切实保障了粮油作物生产安全，实现了控害保安和化学农药减量双赢。</w:t>
      </w:r>
    </w:p>
    <w:p>
      <w:pPr>
        <w:pStyle w:val="13"/>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运行成本</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全年预算数6281.61万元，决算数2626.23万元，执行率41.81%，我单位全年整体支出控制在预算范围内。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人员经费预算数1121.62万元，决算数1068.04万元，公用经费数129.98万元，决算数121.56万元，均控制在预算范围内。</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9.50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6.41</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67.47</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控制在预算范围内。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在2022年1月农业农村部、中央编办联合印发《关于加强基层动植物疫病防控体系建设的意见》后，我省高度重视，主动作为，迅速行动。一是参与制定“实施方案”。我站在厅党组的领导下，联合省委编办对全省植保体系现状进行了全面摸底统计，深入多地调研实况，组织召开植保体系建设座谈会，听取市县乡三级相关人员意见建议，组织全省各级农业农村部门据实填报全国植保体系建设信息系统，积极与省委编办共同研究起草出台《湖南省关于加强基层动植物疫病防控体系建设实施方案》，于2022年11月11日正式印发。二是全力确保方案落实。11月21日，我省组织全省各市州、县市区农业农村部门主要负责同志和机构编制部门分管负责同志，联合召开了加强基层动植物疫病防控工作视频会议，对“实施方案”进行了解读介绍，提出明确任务要求，重点强调时间节点。12月上中旬，我站分4组对全省14个市州的植保植检体系建设工作进行了全面督导推进。将植保体系建设纳入市州粮食安全责任落实情况考核内容，赋分0.5分，并严格按照 “实施方案”规定的时间节点进行打分。截止12月21日，全省绝大多数县市区编制部门已按要求印发了当地正式文件。</w:t>
      </w:r>
    </w:p>
    <w:p>
      <w:pPr>
        <w:pStyle w:val="13"/>
        <w:keepNext w:val="0"/>
        <w:keepLines w:val="0"/>
        <w:pageBreakBefore w:val="0"/>
        <w:widowControl w:val="0"/>
        <w:numPr>
          <w:ilvl w:val="0"/>
          <w:numId w:val="4"/>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履职效能</w:t>
      </w:r>
    </w:p>
    <w:p>
      <w:pPr>
        <w:pStyle w:val="13"/>
        <w:keepNext w:val="0"/>
        <w:keepLines w:val="0"/>
        <w:pageBreakBefore w:val="0"/>
        <w:widowControl w:val="0"/>
        <w:numPr>
          <w:ilvl w:val="0"/>
          <w:numId w:val="0"/>
        </w:numPr>
        <w:kinsoku/>
        <w:wordWrap/>
        <w:overflowPunct/>
        <w:topLinePunct w:val="0"/>
        <w:bidi w:val="0"/>
        <w:snapToGrid/>
        <w:spacing w:line="600" w:lineRule="exact"/>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一是着力夯实病虫监测预警。根据我省农作物种植情况及重大病虫发生实际，结合历年监测站点安排情况，2022年，全省继续以玉米、水稻为重点，兼顾油菜、马铃薯、棉花等经济作物，科学布设监测网点，全省共布设水稻病虫监测点25个，玉米病虫监测点8个，油菜、茶叶病虫监测点各10个，柑橘、蔬菜病虫监测点各6个，马铃薯、棉花病虫监测点各4个。及时修复和更新监测设备，推广应用自动识别虫情测报灯，确保病虫监测设备的有效运行及推陈出新，做到重大病虫早发现早预警，向实现精准测报目标迈进。通过湖南省农作物重大病虫害监测预警信息系统和全国农作物重大病虫害数字化监测预警系统收集和汇总病虫监测信息，充分运用新型媒体资源，通过电视预报、病虫情报公告版、微信等多种渠道广泛及时发布病虫发生与防治信息。全省病虫信息与植保技术平均进村率超过97%，平均入户率在90%以上，社会反响良好。二是切实抓好主要农作物重大病虫防治工作。2022年，全省农作物有害生物总体偏重发生，轻于上年。主要农作物病、虫、草、鼠害发生面积4.9亿亩次，比上年减少7.5%；防治面积5.7亿亩次，比上年减少6.5%。我站以“虫口夺粮”促丰收为目标，以农业绿色发展为导向，以水稻和玉米一、二类重大病虫害防控为重点，早谋划早部署，及时开展应急处置，全省主要粮食作物重大病虫害防治处置率达95%以上，其中迁飞性、流行性、暴发性重大病虫害关键发生区、重发区防控处置率100%，病虫为害总体损失率控制在5%以下。通过防治挽回稻谷损失410.3万吨、棉花1.1万吨、柑桔100.2万吨、蔬菜130.4万吨、油菜21.7万吨、玉米20.9万吨、马铃薯2.6万吨。三是抓好经济作物病虫防治。我站以省农业农村厅印发的《2022年全省植保植检工作要点》为指南，把果菜茶重大病虫害作为主攻对象，兼顾其他特色作物病虫害防控，注重示范带动，突出绿色防控，确保果菜茶等经济作物重大病虫害防治处置率在90%以上，病虫总体危害损失率不超过8%，单个病虫危害损失5%以下。2022年3月印发了《湖南省葫芦科主要作物重大病虫害防控技术方案》（湘植保函〔2022〕4号），指导全省开展瓜类作物病虫害防控工作。6月、7月、9月，分别发布了《切实加强柑橘溃疡病防控》、《大力开展瓜类实蝇绿色防控》、《切实抓好虫果处理，有效减少虫源基数》等病虫防控指导意见，指导全省开展相关病虫害防控工作。在《湖南农业》上刊载《湖南省经济作物病虫害主推绿色防控技术》、《豇豆、韭菜、芹菜主要病虫害绿色防控技术》，普及绿色防控技术，指导生产经营主体开展绿色防控。深入30多个县市生产一线指导经作病虫防控，日常通过微信、QQ及时了解经作病虫发生防治情况，指导防控工作开展。四是推进“三棵菜”治理行动。2月下旬，以省农业农村厅厅文（湘农办发[2022]7号）布置“三棵菜”治理行动；后续印发了《关于加强豇豆、韭菜、芹菜科学安全用药培训指导和绿色防控工作的通知》（湘植保[2022]2号），转发了农业农村部《豇豆、韭菜、芹菜质量安全管控技术性指导意见》，修订了豇豆、韭菜、芹菜主要病虫害绿色防控技术要点，进一步提高了绿色防控水平。5月16日至20日，按照《关于联合开展食用农产品“治违禁 控药残 促提升”三年行动巡查检查》要求，我站与省农业农村厅农产品质量安全监管处、省人民检察院第四检察部组成调研组，对株洲、衡阳开展了联合巡查检查，对发现的问题当场提出了整改意见，形成了检查报告，上报有关部门。我站赴石门、平江、宁乡等多个县市区对“三棵菜”等蔬菜病虫害防治进行了田间指导，督导督促基层植保人员开展相关工作。实施“三棵菜”科学用药与绿色防控项目，首次从中央救灾资金切块200万元，选择20个“三棵菜”主产县，每县支持10万元，用于开展豇豆、韭菜、芹菜科学安全用药和绿色防控技术宣传培训；另投入中央和省级资金570万元，在汉寿、华容、攸县等23个蔬菜主产县开展包括三棵菜在内的蔬菜病虫害绿色防控示范与推广，创建省级核心示范区45个，核心示范面积1.15万亩，全省实施豇豆、韭菜、芹菜病虫害绿色防控面积分别为57.2万亩、12.2万亩、29.1万亩。五是狠抓重大植物疫情阻截防控。根据疫情发生的规律特点、危害程度和防控可行性等因素，将疫情分级分类，对不同类别疫情制定了不同防控目标，采取相应措施，有侧重的进行处置，全力做好了柑橘黄龙病、红火蚁等疫情的阻截防控工作。2022年全省维护、新建柑橘黄龙病监测点335个，培训监测人员3200人次，监测覆盖面积达450多万亩，创建防控示范样板30个，示范面积近3万亩，辐射带动10万亩以上，2021年11月至目前，全省累计清除病树病苗17.2万株；建立红火蚁固定监测点60个，流动监测点2600个，定期开展监测，年监测覆盖面积100万亩以上，全省已累计开展防控面积62.1万亩，已采用县培训到乡镇、乡镇培训到村、村培训到户的方式，累计开展培训175多次，累计培训5200余人次，印发了资料50000多份。六是严格检疫审批与执法检查。从源头上加强检疫监管，严厉打击乱繁乱引等违法行为，严格控制疫情传播扩散，防止疫情人为传播。在柑橘苗木调运高峰期，及时下发《湖南省农业农村厅办公室关于切实加强柑橘苗木检疫监管工作的通知》，切实加强了柑橘苗木检疫执法监管工作，从源头上把控疫情。</w:t>
      </w:r>
    </w:p>
    <w:p>
      <w:pPr>
        <w:pStyle w:val="13"/>
        <w:keepNext w:val="0"/>
        <w:keepLines w:val="0"/>
        <w:pageBreakBefore w:val="0"/>
        <w:widowControl w:val="0"/>
        <w:numPr>
          <w:ilvl w:val="0"/>
          <w:numId w:val="4"/>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社会效应</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全省有服务组织1991家，经登记注册的1564家，获省站授权的831家，植保无人机保有量8392台，实施主要农作物病虫害统防统治面积2959.6万亩，覆盖率达45.1%。实现了“虫口夺粮”保丰收，经济、社会、生态效益显著。一是高标准建设专业化统防统治标准化区域服务站。我站继续将农作物病虫害专业化统防统治标准化区域服务站建设作为统防统治工作的重要抓手，在历年建成的数百个标准化区域服务站的基础上，2022全省依托服务组织创建200个专业化统防统治标准化区域服务站。二是促进专业化统防统治服务组织做大做强。我省遴选了一批专业化统防统治服务组织作为全省2022年农作物病虫害应急防控队伍，用于服务组织自主采购应急防控物资和应急防控作业补助，共完成134.6万亩次生物灾害应急防控任务。省站按全程承包服务面积、植保机械数量、赢利能力、延伸服务、诚信守法经营、规范管理等六个指标对服务组织实施评价，并实行末位淘汰制。岳阳田园牧歌、桃江大队长农业、益阳中盛农业等6家服务组织获评省级农业产业化龙头企业。岳阳市田园牧歌农业综合服务有限公司、湖南农飞客农业科技有限公司、岳阳市农飞客农业科技有限公司等5个优秀统防统治服务组织获得农业农村部“农作物病虫害应急防控大队”授牌。汨罗市、桃源县、祁东县、安仁县四个县市区全国“统防统治百强县”评选已在全国农技推广网上公示。三是加强新药械新技术推广和指导。联合省农机事务中心，于5 月 26 日、31 日分别在怀化市和在郴州市举办的全省植保无人机操控培训班上，培训了植保无人机操作和科学安全用药知识。在鼎城区、祁东县、桃江县开展了3个农药减量集成示范，涉及拌种剂、除草剂、杀虫剂、杀菌剂、植物生长调节剂等新产品12个。开展水稻二化螟防治药剂3个品种试验，水稻纹枯病试验4个，水稻植物生长调节剂2个。四是着力提升专业化统防统治服务水平。广泛开展服务组织用药指导与调研，我站组织到14个市州开展农药使用量调研指导工作，实地察看专业化统防统治服务组织近3年农药使用记录台账，指出用药方案和药剂中存在的问题，提出科学合理的用药建议。各县市区通过微信群等方式，在病虫发生关键时期，及时将病虫发生防控信息告知服务组织负责人。</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、可持续发展能力</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分作物分层级创建省级绿色防控示范区227个。要求各地以农业防治为基础，生物防治、理化诱控、生态调控为补充手段，化学防治为应急手段，切实抓好重大病虫大面积防控，持续推进绿色防控，确保实现虫口夺粮促丰收和病虫害可持续治理。其中水稻84个，主要开展粮食作物病虫害绿色防控产品与技术集中展示示范、水稻病虫害绿色防控与专业化统防统治全域融合推进示范、水稻病虫害全程绿色防控示范和二化螟防控重点县全域实施翻耕灌深水灭蛹与性诱技术压基数示范等；玉米21个，主要开展草地贪夜蛾综合防控示范；油菜16个，主要开展油菜病虫害绿色防控示范；小麦22个，主要开展穗期“一喷三防”示范；经济作物106个，主要开展蔬菜和茶叶、柑橘、猕猴桃、百合等特色经济作物主要病虫害绿色防控示范。通过集成示范，形成精准的绿色防控技术集成和可复制推广的模式，引领带动全省大面积推广应用。目前，我省已创建全国绿色防控整建制推进县22个，部省共建的病虫害绿色防控示范推广基地5个。带动全省主要农作物绿色防控覆盖率达到49.55%，较上年提升6.58个百分点。</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我单位预算执行率有待提高，主要原因是因为受疫情影响相关业务未能即期开展。</w:t>
      </w:r>
    </w:p>
    <w:p>
      <w:pPr>
        <w:spacing w:line="60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w:t>
      </w:r>
      <w:r>
        <w:rPr>
          <w:rFonts w:hint="eastAsia" w:ascii="仿宋" w:hAnsi="仿宋" w:eastAsia="仿宋"/>
          <w:color w:val="auto"/>
          <w:kern w:val="0"/>
          <w:sz w:val="32"/>
          <w:szCs w:val="32"/>
        </w:rPr>
        <w:t>定期对项目实施和预算执行情况进行跟踪，及时掌握项目进度、发现问题和解决问题，按计划推进项目实施</w:t>
      </w:r>
      <w:r>
        <w:rPr>
          <w:rFonts w:hint="eastAsia" w:ascii="仿宋" w:hAnsi="仿宋" w:eastAsia="仿宋" w:cs="仿宋"/>
          <w:color w:val="auto"/>
          <w:sz w:val="32"/>
          <w:szCs w:val="32"/>
          <w:lang w:val="en-US" w:eastAsia="zh-CN"/>
        </w:rPr>
        <w:t>；</w:t>
      </w:r>
      <w:r>
        <w:rPr>
          <w:rFonts w:hint="eastAsia" w:ascii="Times New Roman" w:hAnsi="Times New Roman" w:eastAsia="仿宋_GB2312"/>
          <w:sz w:val="32"/>
          <w:szCs w:val="32"/>
          <w:lang w:val="en-US" w:eastAsia="zh-CN"/>
        </w:rPr>
        <w:t>二是项目实施后督促按计划推进，完工后及时按程序验收，及时支付项目款，进一步提高我单位的预算执行率。</w:t>
      </w:r>
    </w:p>
    <w:p>
      <w:pPr>
        <w:pStyle w:val="13"/>
        <w:jc w:val="center"/>
        <w:rPr>
          <w:rFonts w:hint="default" w:eastAsia="黑体"/>
          <w:sz w:val="72"/>
          <w:szCs w:val="72"/>
          <w:lang w:val="en-US" w:eastAsia="zh-CN"/>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p>
    <w:p>
      <w:pPr>
        <w:pStyle w:val="13"/>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widowControl/>
        <w:spacing w:line="600" w:lineRule="exact"/>
        <w:ind w:firstLine="66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一、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sz w:val="72"/>
          <w:szCs w:val="72"/>
        </w:rPr>
      </w:pPr>
      <w:r>
        <w:rPr>
          <w:rFonts w:hint="eastAsia" w:ascii="Times New Roman" w:hAnsi="Times New Roman" w:eastAsia="仿宋_GB2312" w:cs="黑体"/>
          <w:color w:val="000000"/>
          <w:kern w:val="0"/>
          <w:sz w:val="32"/>
          <w:szCs w:val="32"/>
          <w:lang w:val="en-US" w:eastAsia="zh-CN" w:bidi="ar-SA"/>
        </w:rPr>
        <w:t>二、“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altName w:val="Arial Unicode MS"/>
    <w:panose1 w:val="02000000000000000000"/>
    <w:charset w:val="86"/>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7102E"/>
    <w:multiLevelType w:val="singleLevel"/>
    <w:tmpl w:val="8457102E"/>
    <w:lvl w:ilvl="0" w:tentative="0">
      <w:start w:val="3"/>
      <w:numFmt w:val="decimal"/>
      <w:suff w:val="nothing"/>
      <w:lvlText w:val="%1、"/>
      <w:lvlJc w:val="left"/>
    </w:lvl>
  </w:abstractNum>
  <w:abstractNum w:abstractNumId="1">
    <w:nsid w:val="C7D8A583"/>
    <w:multiLevelType w:val="singleLevel"/>
    <w:tmpl w:val="C7D8A583"/>
    <w:lvl w:ilvl="0" w:tentative="0">
      <w:start w:val="1"/>
      <w:numFmt w:val="decimal"/>
      <w:suff w:val="nothing"/>
      <w:lvlText w:val="%1、"/>
      <w:lvlJc w:val="left"/>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55CB7CA"/>
    <w:multiLevelType w:val="singleLevel"/>
    <w:tmpl w:val="455CB7CA"/>
    <w:lvl w:ilvl="0" w:tentative="0">
      <w:start w:val="7"/>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B22AC5"/>
    <w:rsid w:val="0DC81510"/>
    <w:rsid w:val="1B6C7690"/>
    <w:rsid w:val="226C1E08"/>
    <w:rsid w:val="28840391"/>
    <w:rsid w:val="28EC5CA1"/>
    <w:rsid w:val="2A183402"/>
    <w:rsid w:val="485D5866"/>
    <w:rsid w:val="4A2A435D"/>
    <w:rsid w:val="568D18B7"/>
    <w:rsid w:val="57D2104D"/>
    <w:rsid w:val="5A4F143D"/>
    <w:rsid w:val="5A9F6136"/>
    <w:rsid w:val="61AC3FDB"/>
    <w:rsid w:val="64171D6E"/>
    <w:rsid w:val="68A45CD8"/>
    <w:rsid w:val="6B383561"/>
    <w:rsid w:val="77E668AB"/>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qFormat/>
    <w:uiPriority w:val="0"/>
    <w:pPr>
      <w:adjustRightInd w:val="0"/>
      <w:snapToGrid w:val="0"/>
      <w:spacing w:line="579" w:lineRule="atLeast"/>
      <w:ind w:firstLine="200" w:firstLineChars="200"/>
      <w:outlineLvl w:val="2"/>
    </w:pPr>
    <w:rPr>
      <w:rFonts w:ascii="Times New Roman" w:hAnsi="Times New Roman" w:eastAsia="楷体_GB2312"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5">
    <w:name w:val="Balloon Text"/>
    <w:basedOn w:val="1"/>
    <w:link w:val="15"/>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5"/>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96e93be-3673-4a43-bf9d-6a130139d957}">
  <ds:schemaRefs/>
</ds:datastoreItem>
</file>

<file path=customXml/itemProps2.xml><?xml version="1.0" encoding="utf-8"?>
<ds:datastoreItem xmlns:ds="http://schemas.openxmlformats.org/officeDocument/2006/customXml" ds:itemID="{4fbb4252-2abf-4494-922c-935807182dc0}">
  <ds:schemaRefs/>
</ds:datastoreItem>
</file>

<file path=customXml/itemProps3.xml><?xml version="1.0" encoding="utf-8"?>
<ds:datastoreItem xmlns:ds="http://schemas.openxmlformats.org/officeDocument/2006/customXml" ds:itemID="{41fd1a04-c2be-4045-a0a5-f1fa2e3c2ade}">
  <ds:schemaRefs/>
</ds:datastoreItem>
</file>

<file path=customXml/itemProps4.xml><?xml version="1.0" encoding="utf-8"?>
<ds:datastoreItem xmlns:ds="http://schemas.openxmlformats.org/officeDocument/2006/customXml" ds:itemID="{2fbbf5ff-6e4e-4d92-aa54-f23c4da2fa76}">
  <ds:schemaRefs/>
</ds:datastoreItem>
</file>

<file path=customXml/itemProps5.xml><?xml version="1.0" encoding="utf-8"?>
<ds:datastoreItem xmlns:ds="http://schemas.openxmlformats.org/officeDocument/2006/customXml" ds:itemID="{6ceaeaf0-40de-4315-a901-872b10d814a0}">
  <ds:schemaRefs/>
</ds:datastoreItem>
</file>

<file path=customXml/itemProps6.xml><?xml version="1.0" encoding="utf-8"?>
<ds:datastoreItem xmlns:ds="http://schemas.openxmlformats.org/officeDocument/2006/customXml" ds:itemID="{5b40f78c-31f4-4fed-9d74-bd0567a826fa}">
  <ds:schemaRefs/>
</ds:datastoreItem>
</file>

<file path=customXml/itemProps7.xml><?xml version="1.0" encoding="utf-8"?>
<ds:datastoreItem xmlns:ds="http://schemas.openxmlformats.org/officeDocument/2006/customXml" ds:itemID="{8e312d45-9b21-4096-9323-c456d62c5469}">
  <ds:schemaRefs/>
</ds:datastoreItem>
</file>

<file path=customXml/itemProps8.xml><?xml version="1.0" encoding="utf-8"?>
<ds:datastoreItem xmlns:ds="http://schemas.openxmlformats.org/officeDocument/2006/customXml" ds:itemID="{b81b1c74-0ab2-469f-b22e-7e220101779a}">
  <ds:schemaRefs/>
</ds:datastoreItem>
</file>

<file path=customXml/itemProps9.xml><?xml version="1.0" encoding="utf-8"?>
<ds:datastoreItem xmlns:ds="http://schemas.openxmlformats.org/officeDocument/2006/customXml" ds:itemID="{3ae56e29-029c-42c1-bfa0-464e66a07c8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2023-11-02T09:02:47Z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