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jc w:val="center"/>
        <w:rPr>
          <w:sz w:val="56"/>
          <w:szCs w:val="56"/>
        </w:rPr>
      </w:pPr>
    </w:p>
    <w:p>
      <w:pPr>
        <w:pStyle w:val="16"/>
        <w:jc w:val="center"/>
        <w:rPr>
          <w:sz w:val="56"/>
          <w:szCs w:val="56"/>
        </w:rPr>
      </w:pPr>
    </w:p>
    <w:p>
      <w:pPr>
        <w:pStyle w:val="16"/>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2022年度</w:t>
      </w: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 湖南省农作物种质资源保护与良种繁育中心部门决算</w:t>
      </w:r>
    </w:p>
    <w:p>
      <w:pPr>
        <w:pStyle w:val="16"/>
        <w:jc w:val="center"/>
        <w:rPr>
          <w:rFonts w:ascii="方正小标宋_GBK" w:hAnsi="方正小标宋_GBK" w:eastAsia="方正小标宋_GBK" w:cs="方正小标宋_GBK"/>
          <w:sz w:val="56"/>
          <w:szCs w:val="56"/>
        </w:rPr>
      </w:pPr>
    </w:p>
    <w:p>
      <w:pPr>
        <w:pStyle w:val="16"/>
        <w:jc w:val="center"/>
        <w:rPr>
          <w:sz w:val="56"/>
          <w:szCs w:val="56"/>
        </w:rPr>
      </w:pPr>
    </w:p>
    <w:p>
      <w:pPr>
        <w:pStyle w:val="16"/>
        <w:jc w:val="center"/>
        <w:rPr>
          <w:sz w:val="56"/>
          <w:szCs w:val="56"/>
        </w:rPr>
      </w:pPr>
    </w:p>
    <w:p>
      <w:pPr>
        <w:pStyle w:val="16"/>
        <w:jc w:val="center"/>
        <w:rPr>
          <w:sz w:val="56"/>
          <w:szCs w:val="56"/>
        </w:rPr>
      </w:pPr>
    </w:p>
    <w:p>
      <w:pPr>
        <w:pStyle w:val="16"/>
        <w:jc w:val="center"/>
        <w:rPr>
          <w:sz w:val="56"/>
          <w:szCs w:val="56"/>
        </w:rPr>
      </w:pPr>
    </w:p>
    <w:p>
      <w:pPr>
        <w:pStyle w:val="16"/>
        <w:jc w:val="center"/>
        <w:rPr>
          <w:sz w:val="32"/>
          <w:szCs w:val="32"/>
        </w:rPr>
      </w:pPr>
    </w:p>
    <w:p>
      <w:pPr>
        <w:pStyle w:val="16"/>
        <w:jc w:val="center"/>
        <w:rPr>
          <w:sz w:val="32"/>
          <w:szCs w:val="32"/>
        </w:rPr>
      </w:pPr>
    </w:p>
    <w:p>
      <w:pPr>
        <w:pStyle w:val="16"/>
        <w:jc w:val="center"/>
        <w:rPr>
          <w:sz w:val="32"/>
          <w:szCs w:val="32"/>
        </w:rPr>
      </w:pPr>
    </w:p>
    <w:p>
      <w:pPr>
        <w:pStyle w:val="16"/>
        <w:spacing w:line="500" w:lineRule="exact"/>
        <w:jc w:val="both"/>
        <w:rPr>
          <w:b/>
          <w:sz w:val="36"/>
          <w:szCs w:val="28"/>
        </w:rPr>
      </w:pPr>
    </w:p>
    <w:p>
      <w:pPr>
        <w:pStyle w:val="16"/>
        <w:spacing w:line="500" w:lineRule="exact"/>
        <w:jc w:val="center"/>
        <w:rPr>
          <w:b/>
          <w:sz w:val="36"/>
          <w:szCs w:val="28"/>
        </w:rPr>
      </w:pPr>
      <w:r>
        <w:rPr>
          <w:rFonts w:hint="eastAsia"/>
          <w:b/>
          <w:sz w:val="36"/>
          <w:szCs w:val="28"/>
        </w:rPr>
        <w:t>目录</w:t>
      </w:r>
    </w:p>
    <w:p>
      <w:pPr>
        <w:pStyle w:val="16"/>
        <w:spacing w:line="500" w:lineRule="exact"/>
        <w:rPr>
          <w:rFonts w:hAnsi="黑体"/>
          <w:bCs/>
          <w:sz w:val="28"/>
          <w:szCs w:val="28"/>
        </w:rPr>
      </w:pPr>
      <w:r>
        <w:rPr>
          <w:rFonts w:hint="eastAsia" w:hAnsi="黑体"/>
          <w:bCs/>
          <w:sz w:val="28"/>
          <w:szCs w:val="28"/>
        </w:rPr>
        <w:t>第一部分湖南省农作物种质资源保护与良种繁育中心单位概况</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6"/>
        <w:spacing w:line="500" w:lineRule="exact"/>
        <w:rPr>
          <w:rFonts w:hAnsi="黑体"/>
          <w:bCs/>
          <w:sz w:val="28"/>
          <w:szCs w:val="28"/>
        </w:rPr>
      </w:pPr>
      <w:r>
        <w:rPr>
          <w:rFonts w:hint="eastAsia" w:hAnsi="黑体"/>
          <w:bCs/>
          <w:sz w:val="28"/>
          <w:szCs w:val="28"/>
        </w:rPr>
        <w:t>第二部分部门决算表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6"/>
        <w:spacing w:line="500" w:lineRule="exact"/>
        <w:rPr>
          <w:rFonts w:hAnsi="黑体"/>
          <w:bCs/>
          <w:sz w:val="28"/>
          <w:szCs w:val="28"/>
        </w:rPr>
      </w:pPr>
      <w:r>
        <w:rPr>
          <w:rFonts w:hint="eastAsia" w:hAnsi="黑体"/>
          <w:bCs/>
          <w:sz w:val="28"/>
          <w:szCs w:val="28"/>
        </w:rPr>
        <w:t>第三部分部门决算情况说明</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6"/>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6"/>
        <w:spacing w:line="500" w:lineRule="exact"/>
        <w:rPr>
          <w:rFonts w:hAnsi="黑体"/>
          <w:bCs/>
          <w:sz w:val="28"/>
          <w:szCs w:val="28"/>
        </w:rPr>
      </w:pPr>
      <w:r>
        <w:rPr>
          <w:rFonts w:hint="eastAsia" w:hAnsi="黑体"/>
          <w:bCs/>
          <w:sz w:val="28"/>
          <w:szCs w:val="28"/>
        </w:rPr>
        <w:t>第四部分名词解释</w:t>
      </w:r>
    </w:p>
    <w:p>
      <w:pPr>
        <w:jc w:val="center"/>
        <w:rPr>
          <w:sz w:val="72"/>
          <w:szCs w:val="72"/>
        </w:rPr>
      </w:pPr>
    </w:p>
    <w:p>
      <w:pPr>
        <w:jc w:val="center"/>
        <w:rPr>
          <w:sz w:val="72"/>
          <w:szCs w:val="72"/>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湖南省农作物种质资源保护与良种繁育中心概况</w:t>
      </w:r>
    </w:p>
    <w:p>
      <w:pPr>
        <w:jc w:val="center"/>
        <w:rPr>
          <w:rFonts w:ascii="方正小标宋_GBK" w:hAnsi="方正小标宋_GBK" w:eastAsia="方正小标宋_GBK" w:cs="方正小标宋_GBK"/>
          <w:sz w:val="72"/>
          <w:szCs w:val="72"/>
        </w:rPr>
      </w:pPr>
    </w:p>
    <w:p>
      <w:pPr>
        <w:jc w:val="center"/>
        <w:rPr>
          <w:rFonts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7"/>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农作物种质资源收集、保存、保护、开发和利用</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良种引进与繁育</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良种试验示范与推广</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现代农业设施与高新技术示范推广</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农业科技培训与学术交流</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科技成果转化应用</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农业科普教育</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现代农业高效发展模式探索与展示推广</w:t>
      </w:r>
      <w:r>
        <w:rPr>
          <w:rFonts w:hint="eastAsia" w:ascii="Times New Roman" w:hAnsi="Times New Roman" w:eastAsia="仿宋_GB2312" w:cs="仿宋_GB2312"/>
          <w:sz w:val="32"/>
          <w:szCs w:val="32"/>
          <w:lang w:val="en-US" w:eastAsia="zh-CN"/>
        </w:rPr>
        <w:t>；</w:t>
      </w:r>
    </w:p>
    <w:p>
      <w:pPr>
        <w:widowControl/>
        <w:numPr>
          <w:ilvl w:val="0"/>
          <w:numId w:val="2"/>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现代农业信息服务等。</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（一）内设机构设置。湖南省农作物种质资源保护与良种繁育中心内设机构包括：综合科、财务科、产业开发科、后勤服务科、良种繁育科、种质资源科、技术推广科</w:t>
      </w:r>
      <w:r>
        <w:rPr>
          <w:rFonts w:hint="eastAsia" w:ascii="Times New Roman" w:hAnsi="Times New Roman" w:eastAsia="仿宋_GB2312" w:cs="仿宋_GB2312"/>
          <w:bCs/>
          <w:kern w:val="0"/>
          <w:sz w:val="32"/>
          <w:szCs w:val="32"/>
          <w:lang w:eastAsia="zh-CN"/>
        </w:rPr>
        <w:t>。</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（二）决算单位构成。湖南省农作物种质资源保护与良种繁育中心2022年部门决算汇总公开单位构成包括：湖南省农作物种质资源保护与良种繁育中心本级</w:t>
      </w:r>
      <w:r>
        <w:rPr>
          <w:rFonts w:hint="eastAsia" w:ascii="Times New Roman" w:hAnsi="Times New Roman" w:eastAsia="仿宋_GB2312" w:cs="仿宋_GB2312"/>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6"/>
        <w:jc w:val="center"/>
        <w:rPr>
          <w:rFonts w:ascii="方正小标宋_GBK" w:hAnsi="方正小标宋_GBK" w:eastAsia="方正小标宋_GBK" w:cs="方正小标宋_GBK"/>
          <w:sz w:val="84"/>
          <w:szCs w:val="84"/>
        </w:rPr>
      </w:pPr>
    </w:p>
    <w:p>
      <w:pPr>
        <w:pStyle w:val="16"/>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drawing>
          <wp:inline distT="0" distB="0" distL="114300" distR="114300">
            <wp:extent cx="9330055" cy="6360160"/>
            <wp:effectExtent l="0" t="0" r="444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9330055" cy="6360160"/>
                    </a:xfrm>
                    <a:prstGeom prst="rect">
                      <a:avLst/>
                    </a:prstGeom>
                    <a:noFill/>
                    <a:ln>
                      <a:noFill/>
                    </a:ln>
                  </pic:spPr>
                </pic:pic>
              </a:graphicData>
            </a:graphic>
          </wp:inline>
        </w:drawing>
      </w:r>
      <w:r>
        <w:br w:type="page"/>
      </w:r>
    </w:p>
    <w:p>
      <w:pPr>
        <w:widowControl/>
        <w:rPr>
          <w:rFonts w:ascii="Times New Roman" w:hAnsi="Times New Roman" w:eastAsia="方正小标宋_GBK" w:cs="Times New Roman"/>
          <w:color w:val="000000"/>
          <w:kern w:val="0"/>
          <w:sz w:val="36"/>
          <w:szCs w:val="36"/>
        </w:rPr>
      </w:pPr>
      <w:r>
        <w:drawing>
          <wp:inline distT="0" distB="0" distL="114300" distR="114300">
            <wp:extent cx="9777095" cy="5407025"/>
            <wp:effectExtent l="0" t="0" r="190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77095" cy="5407025"/>
                    </a:xfrm>
                    <a:prstGeom prst="rect">
                      <a:avLst/>
                    </a:prstGeom>
                    <a:noFill/>
                    <a:ln>
                      <a:noFill/>
                    </a:ln>
                  </pic:spPr>
                </pic:pic>
              </a:graphicData>
            </a:graphic>
          </wp:inline>
        </w:drawing>
      </w:r>
    </w:p>
    <w:p>
      <w:pPr>
        <w:widowControl/>
        <w:rPr>
          <w:rFonts w:ascii="Times New Roman" w:hAnsi="Times New Roman" w:eastAsia="方正小标宋_GBK" w:cs="Times New Roman"/>
          <w:color w:val="000000"/>
          <w:kern w:val="0"/>
          <w:sz w:val="36"/>
          <w:szCs w:val="21"/>
        </w:rPr>
      </w:pPr>
    </w:p>
    <w:p>
      <w:pPr>
        <w:widowControl/>
        <w:jc w:val="left"/>
        <w:rPr>
          <w:rFonts w:ascii="Times New Roman" w:hAnsi="Times New Roman" w:eastAsia="仿宋_GB2312" w:cs="Times New Roman"/>
          <w:bCs/>
          <w:kern w:val="0"/>
          <w:szCs w:val="21"/>
        </w:rPr>
      </w:pPr>
      <w:bookmarkStart w:id="0" w:name="RANGE!A1:I22"/>
      <w:bookmarkEnd w:id="0"/>
    </w:p>
    <w:p>
      <w:pPr>
        <w:widowControl/>
        <w:jc w:val="left"/>
        <w:rPr>
          <w:rFonts w:ascii="Times New Roman" w:hAnsi="Times New Roman" w:eastAsia="仿宋_GB2312" w:cs="Times New Roman"/>
          <w:bCs/>
          <w:kern w:val="0"/>
          <w:szCs w:val="21"/>
        </w:rPr>
      </w:pPr>
      <w:r>
        <w:br w:type="page"/>
      </w:r>
      <w:r>
        <w:drawing>
          <wp:inline distT="0" distB="0" distL="114300" distR="114300">
            <wp:extent cx="9150350" cy="57277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150350" cy="5727700"/>
                    </a:xfrm>
                    <a:prstGeom prst="rect">
                      <a:avLst/>
                    </a:prstGeom>
                    <a:noFill/>
                    <a:ln>
                      <a:noFill/>
                    </a:ln>
                  </pic:spPr>
                </pic:pic>
              </a:graphicData>
            </a:graphic>
          </wp:inline>
        </w:drawing>
      </w:r>
      <w:r>
        <w:drawing>
          <wp:inline distT="0" distB="0" distL="114300" distR="114300">
            <wp:extent cx="8339455" cy="6020435"/>
            <wp:effectExtent l="0" t="0" r="444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8339455" cy="6020435"/>
                    </a:xfrm>
                    <a:prstGeom prst="rect">
                      <a:avLst/>
                    </a:prstGeom>
                    <a:noFill/>
                    <a:ln>
                      <a:noFill/>
                    </a:ln>
                  </pic:spPr>
                </pic:pic>
              </a:graphicData>
            </a:graphic>
          </wp:inline>
        </w:drawing>
      </w:r>
      <w:r>
        <w:drawing>
          <wp:inline distT="0" distB="0" distL="114300" distR="114300">
            <wp:extent cx="8305800" cy="5708650"/>
            <wp:effectExtent l="0" t="0" r="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8305800" cy="5708650"/>
                    </a:xfrm>
                    <a:prstGeom prst="rect">
                      <a:avLst/>
                    </a:prstGeom>
                    <a:noFill/>
                    <a:ln>
                      <a:noFill/>
                    </a:ln>
                  </pic:spPr>
                </pic:pic>
              </a:graphicData>
            </a:graphic>
          </wp:inline>
        </w:drawing>
      </w:r>
      <w:r>
        <w:drawing>
          <wp:inline distT="0" distB="0" distL="114300" distR="114300">
            <wp:extent cx="9773920" cy="5790565"/>
            <wp:effectExtent l="0" t="0" r="508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9773920" cy="5790565"/>
                    </a:xfrm>
                    <a:prstGeom prst="rect">
                      <a:avLst/>
                    </a:prstGeom>
                    <a:noFill/>
                    <a:ln>
                      <a:noFill/>
                    </a:ln>
                  </pic:spPr>
                </pic:pic>
              </a:graphicData>
            </a:graphic>
          </wp:inline>
        </w:drawing>
      </w:r>
    </w:p>
    <w:tbl>
      <w:tblPr>
        <w:tblStyle w:val="9"/>
        <w:tblW w:w="15360"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tblGrid>
      <w:tr>
        <w:tblPrEx>
          <w:tblLayout w:type="fixed"/>
          <w:tblCellMar>
            <w:top w:w="0" w:type="dxa"/>
            <w:left w:w="108" w:type="dxa"/>
            <w:bottom w:w="0" w:type="dxa"/>
            <w:right w:w="108" w:type="dxa"/>
          </w:tblCellMar>
        </w:tblPrEx>
        <w:trPr>
          <w:trHeight w:val="690" w:hRule="atLeast"/>
        </w:trPr>
        <w:tc>
          <w:tcPr>
            <w:tcW w:w="15360" w:type="dxa"/>
            <w:gridSpan w:val="9"/>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Layout w:type="fixed"/>
          <w:tblCellMar>
            <w:top w:w="0" w:type="dxa"/>
            <w:left w:w="108" w:type="dxa"/>
            <w:bottom w:w="0" w:type="dxa"/>
            <w:right w:w="108" w:type="dxa"/>
          </w:tblCellMar>
        </w:tblPrEx>
        <w:trPr>
          <w:trHeight w:val="345" w:hRule="atLeast"/>
        </w:trPr>
        <w:tc>
          <w:tcPr>
            <w:tcW w:w="1003"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40"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140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公开07表</w:t>
            </w:r>
          </w:p>
        </w:tc>
      </w:tr>
      <w:tr>
        <w:tblPrEx>
          <w:tblLayout w:type="fixed"/>
          <w:tblCellMar>
            <w:top w:w="0" w:type="dxa"/>
            <w:left w:w="108" w:type="dxa"/>
            <w:bottom w:w="0" w:type="dxa"/>
            <w:right w:w="108" w:type="dxa"/>
          </w:tblCellMar>
        </w:tblPrEx>
        <w:trPr>
          <w:trHeight w:val="690" w:hRule="atLeast"/>
        </w:trPr>
        <w:tc>
          <w:tcPr>
            <w:tcW w:w="6883" w:type="dxa"/>
            <w:gridSpan w:val="5"/>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部门：湖南省农作物种质资源保护与良种繁育中心</w:t>
            </w: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19"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212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20"/>
                <w:rFonts w:hint="default"/>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年末结转和结余</w:t>
            </w:r>
          </w:p>
        </w:tc>
      </w:tr>
      <w:tr>
        <w:tblPrEx>
          <w:tblLayout w:type="fixed"/>
          <w:tblCellMar>
            <w:top w:w="0" w:type="dxa"/>
            <w:left w:w="108" w:type="dxa"/>
            <w:bottom w:w="0" w:type="dxa"/>
            <w:right w:w="108" w:type="dxa"/>
          </w:tblCellMar>
        </w:tblPrEx>
        <w:trPr>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r>
      <w:tr>
        <w:tblPrEx>
          <w:tblLayout w:type="fixed"/>
          <w:tblCellMar>
            <w:top w:w="0" w:type="dxa"/>
            <w:left w:w="108" w:type="dxa"/>
            <w:bottom w:w="0" w:type="dxa"/>
            <w:right w:w="108" w:type="dxa"/>
          </w:tblCellMar>
        </w:tblPrEx>
        <w:trPr>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725" w:hRule="atLeast"/>
        </w:trPr>
        <w:tc>
          <w:tcPr>
            <w:tcW w:w="15360" w:type="dxa"/>
            <w:gridSpan w:val="9"/>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注：本表反映部门本年度政府性基金预算财政拨款收入、支出及结转和结余情况。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说明：我单位没有政府性基金收入，也没有使用政府性基金安排的支出，故本表无数据。</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tbl>
      <w:tblPr>
        <w:tblStyle w:val="9"/>
        <w:tblW w:w="15120" w:type="dxa"/>
        <w:tblInd w:w="93" w:type="dxa"/>
        <w:tblLayout w:type="fixed"/>
        <w:tblCellMar>
          <w:top w:w="0" w:type="dxa"/>
          <w:left w:w="108" w:type="dxa"/>
          <w:bottom w:w="0" w:type="dxa"/>
          <w:right w:w="108" w:type="dxa"/>
        </w:tblCellMar>
      </w:tblPr>
      <w:tblGrid>
        <w:gridCol w:w="1326"/>
        <w:gridCol w:w="701"/>
        <w:gridCol w:w="2292"/>
        <w:gridCol w:w="3315"/>
        <w:gridCol w:w="3315"/>
        <w:gridCol w:w="4171"/>
      </w:tblGrid>
      <w:tr>
        <w:tblPrEx>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701"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2292" w:type="dxa"/>
            <w:tcBorders>
              <w:top w:val="nil"/>
              <w:left w:val="nil"/>
              <w:bottom w:val="nil"/>
              <w:right w:val="nil"/>
            </w:tcBorders>
            <w:shd w:val="clear" w:color="auto" w:fill="FFFFFF"/>
            <w:vAlign w:val="center"/>
          </w:tcPr>
          <w:p>
            <w:pPr>
              <w:jc w:val="cente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公开08表</w:t>
            </w:r>
          </w:p>
        </w:tc>
      </w:tr>
      <w:tr>
        <w:tblPrEx>
          <w:tblLayout w:type="fixed"/>
          <w:tblCellMar>
            <w:top w:w="0" w:type="dxa"/>
            <w:left w:w="108" w:type="dxa"/>
            <w:bottom w:w="0" w:type="dxa"/>
            <w:right w:w="108" w:type="dxa"/>
          </w:tblCellMar>
        </w:tblPrEx>
        <w:trPr>
          <w:trHeight w:val="417" w:hRule="atLeast"/>
        </w:trPr>
        <w:tc>
          <w:tcPr>
            <w:tcW w:w="7634" w:type="dxa"/>
            <w:gridSpan w:val="4"/>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rPr>
              <w:t>部门：湖南省农作物种质资源保护与良种繁育中心</w:t>
            </w:r>
          </w:p>
        </w:tc>
        <w:tc>
          <w:tcPr>
            <w:tcW w:w="3315"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4171"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项 </w:t>
            </w:r>
            <w:r>
              <w:rPr>
                <w:rStyle w:val="21"/>
                <w:rFonts w:hint="default"/>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本年支出</w:t>
            </w:r>
          </w:p>
        </w:tc>
      </w:tr>
      <w:tr>
        <w:tblPrEx>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项目支出</w:t>
            </w: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r>
      <w:tr>
        <w:tblPrEx>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szCs w:val="24"/>
              </w:rPr>
            </w:pPr>
          </w:p>
        </w:tc>
      </w:tr>
      <w:tr>
        <w:tblPrEx>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注：本表反映部门本年度国有资本经营预算财政拨款支出情况。</w:t>
            </w:r>
          </w:p>
          <w:p>
            <w:pPr>
              <w:widowControl/>
              <w:jc w:val="left"/>
              <w:textAlignment w:val="center"/>
              <w:rPr>
                <w:rFonts w:ascii="宋体" w:hAnsi="宋体" w:eastAsia="宋体" w:cs="宋体"/>
                <w:color w:val="000000"/>
                <w:kern w:val="0"/>
                <w:sz w:val="24"/>
                <w:szCs w:val="24"/>
              </w:rPr>
            </w:pPr>
          </w:p>
          <w:p>
            <w:pPr>
              <w:widowControl/>
              <w:jc w:val="left"/>
              <w:textAlignment w:val="center"/>
              <w:rPr>
                <w:rFonts w:ascii="宋体" w:hAnsi="宋体" w:eastAsia="宋体" w:cs="宋体"/>
                <w:color w:val="000000"/>
                <w:kern w:val="0"/>
                <w:sz w:val="24"/>
                <w:szCs w:val="24"/>
              </w:rPr>
            </w:pPr>
            <w:r>
              <w:rPr>
                <w:rFonts w:hint="eastAsia" w:ascii="楷体" w:hAnsi="楷体" w:eastAsia="楷体" w:cs="楷体"/>
                <w:b/>
                <w:bCs/>
                <w:kern w:val="0"/>
                <w:sz w:val="24"/>
                <w:szCs w:val="24"/>
              </w:rPr>
              <w:t>说明：我单位没有使用国有资本经营预算安排的支出，故本表无数据。</w:t>
            </w:r>
          </w:p>
        </w:tc>
      </w:tr>
    </w:tbl>
    <w:p>
      <w:pPr>
        <w:widowControl/>
        <w:jc w:val="center"/>
        <w:rPr>
          <w:rFonts w:ascii="Times New Roman" w:hAnsi="Times New Roman" w:eastAsia="方正小标宋_GBK" w:cs="Times New Roman"/>
          <w:color w:val="000000"/>
          <w:kern w:val="0"/>
          <w:sz w:val="36"/>
          <w:szCs w:val="36"/>
        </w:rPr>
      </w:pPr>
    </w:p>
    <w:tbl>
      <w:tblPr>
        <w:tblStyle w:val="9"/>
        <w:tblW w:w="15140" w:type="dxa"/>
        <w:tblInd w:w="93" w:type="dxa"/>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s="华文中宋"/>
                <w:color w:val="000000"/>
                <w:kern w:val="0"/>
                <w:sz w:val="32"/>
                <w:szCs w:val="32"/>
              </w:rPr>
            </w:pPr>
          </w:p>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420" w:hRule="atLeast"/>
        </w:trPr>
        <w:tc>
          <w:tcPr>
            <w:tcW w:w="5043" w:type="dxa"/>
            <w:gridSpan w:val="4"/>
            <w:tcBorders>
              <w:top w:val="nil"/>
              <w:left w:val="nil"/>
              <w:bottom w:val="nil"/>
              <w:right w:val="nil"/>
            </w:tcBorders>
            <w:shd w:val="clear" w:color="auto" w:fill="FFFFFF"/>
            <w:noWrap/>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rPr>
              <w:t>部门：湖南省农作物种质资源保护与良种繁育中心</w:t>
            </w: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61" w:type="dxa"/>
            <w:tcBorders>
              <w:top w:val="nil"/>
              <w:left w:val="nil"/>
              <w:bottom w:val="nil"/>
              <w:right w:val="nil"/>
            </w:tcBorders>
            <w:shd w:val="clear" w:color="auto" w:fill="FFFFFF"/>
            <w:vAlign w:val="center"/>
          </w:tcPr>
          <w:p>
            <w:pPr>
              <w:rPr>
                <w:rFonts w:ascii="宋体" w:hAnsi="宋体" w:eastAsia="宋体" w:cs="宋体"/>
                <w:color w:val="000000"/>
                <w:sz w:val="20"/>
                <w:szCs w:val="20"/>
              </w:rPr>
            </w:pPr>
          </w:p>
        </w:tc>
        <w:tc>
          <w:tcPr>
            <w:tcW w:w="127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决算数</w:t>
            </w:r>
          </w:p>
        </w:tc>
      </w:tr>
      <w:tr>
        <w:tblPrEx>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公务接待费</w:t>
            </w:r>
          </w:p>
        </w:tc>
      </w:tr>
      <w:tr>
        <w:tblPrEx>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公务用车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r>
      <w:tr>
        <w:tblPrEx>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widowControl/>
              <w:jc w:val="left"/>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注：本表反映部门本年度财政拨款“三公”经费支出预决算情况。其中，预算数为“三公”经费全年预算数，反映按规定程序调整后的预算数；决算数是包括当年财政拨款和以前年度结转资金安排的实际支出。</w:t>
            </w:r>
          </w:p>
          <w:p>
            <w:pPr>
              <w:widowControl/>
              <w:jc w:val="left"/>
              <w:textAlignment w:val="center"/>
              <w:rPr>
                <w:rFonts w:hint="eastAsia" w:ascii="宋体" w:hAnsi="宋体" w:eastAsia="宋体" w:cs="宋体"/>
                <w:color w:val="000000"/>
                <w:kern w:val="0"/>
                <w:sz w:val="24"/>
                <w:szCs w:val="24"/>
              </w:rPr>
            </w:pPr>
            <w:r>
              <w:rPr>
                <w:rFonts w:hint="eastAsia" w:ascii="楷体" w:hAnsi="楷体" w:eastAsia="楷体" w:cs="楷体"/>
                <w:b/>
                <w:bCs/>
                <w:kern w:val="0"/>
                <w:sz w:val="24"/>
                <w:szCs w:val="24"/>
              </w:rPr>
              <w:t>说明：我单位没有</w:t>
            </w:r>
            <w:r>
              <w:rPr>
                <w:rFonts w:hint="eastAsia" w:ascii="楷体" w:hAnsi="楷体" w:eastAsia="楷体" w:cs="楷体"/>
                <w:b/>
                <w:bCs/>
                <w:kern w:val="0"/>
                <w:sz w:val="24"/>
                <w:szCs w:val="24"/>
                <w:lang w:val="en-US" w:eastAsia="zh-CN"/>
              </w:rPr>
              <w:t>财政拨款</w:t>
            </w:r>
            <w:r>
              <w:rPr>
                <w:rFonts w:hint="eastAsia" w:ascii="楷体" w:hAnsi="楷体" w:eastAsia="楷体" w:cs="楷体"/>
                <w:b/>
                <w:bCs/>
                <w:kern w:val="0"/>
                <w:sz w:val="24"/>
                <w:szCs w:val="24"/>
                <w:lang w:eastAsia="zh-CN"/>
              </w:rPr>
              <w:t>“</w:t>
            </w:r>
            <w:r>
              <w:rPr>
                <w:rFonts w:hint="eastAsia" w:ascii="楷体" w:hAnsi="楷体" w:eastAsia="楷体" w:cs="楷体"/>
                <w:b/>
                <w:bCs/>
                <w:kern w:val="0"/>
                <w:sz w:val="24"/>
                <w:szCs w:val="24"/>
                <w:lang w:val="en-US" w:eastAsia="zh-CN"/>
              </w:rPr>
              <w:t>三公”经费</w:t>
            </w:r>
            <w:r>
              <w:rPr>
                <w:rFonts w:hint="eastAsia" w:ascii="楷体" w:hAnsi="楷体" w:eastAsia="楷体" w:cs="楷体"/>
                <w:b/>
                <w:bCs/>
                <w:kern w:val="0"/>
                <w:sz w:val="24"/>
                <w:szCs w:val="24"/>
              </w:rPr>
              <w:t>预算</w:t>
            </w:r>
            <w:r>
              <w:rPr>
                <w:rFonts w:hint="eastAsia" w:ascii="楷体" w:hAnsi="楷体" w:eastAsia="楷体" w:cs="楷体"/>
                <w:b/>
                <w:bCs/>
                <w:kern w:val="0"/>
                <w:sz w:val="24"/>
                <w:szCs w:val="24"/>
                <w:lang w:eastAsia="zh-CN"/>
              </w:rPr>
              <w:t>，</w:t>
            </w:r>
            <w:r>
              <w:rPr>
                <w:rFonts w:hint="eastAsia" w:ascii="楷体" w:hAnsi="楷体" w:eastAsia="楷体" w:cs="楷体"/>
                <w:b/>
                <w:bCs/>
                <w:kern w:val="0"/>
                <w:sz w:val="24"/>
                <w:szCs w:val="24"/>
                <w:lang w:val="en-US" w:eastAsia="zh-CN"/>
              </w:rPr>
              <w:t>也</w:t>
            </w:r>
            <w:r>
              <w:rPr>
                <w:rFonts w:hint="eastAsia" w:ascii="楷体" w:hAnsi="楷体" w:eastAsia="楷体" w:cs="楷体"/>
                <w:b/>
                <w:bCs/>
                <w:kern w:val="0"/>
                <w:sz w:val="24"/>
                <w:szCs w:val="24"/>
              </w:rPr>
              <w:t>没有</w:t>
            </w:r>
            <w:r>
              <w:rPr>
                <w:rFonts w:hint="eastAsia" w:ascii="楷体" w:hAnsi="楷体" w:eastAsia="楷体" w:cs="楷体"/>
                <w:b/>
                <w:bCs/>
                <w:kern w:val="0"/>
                <w:sz w:val="24"/>
                <w:szCs w:val="24"/>
                <w:lang w:val="en-US" w:eastAsia="zh-CN"/>
              </w:rPr>
              <w:t>财政拨款</w:t>
            </w:r>
            <w:r>
              <w:rPr>
                <w:rFonts w:hint="eastAsia" w:ascii="楷体" w:hAnsi="楷体" w:eastAsia="楷体" w:cs="楷体"/>
                <w:b/>
                <w:bCs/>
                <w:kern w:val="0"/>
                <w:sz w:val="24"/>
                <w:szCs w:val="24"/>
                <w:lang w:eastAsia="zh-CN"/>
              </w:rPr>
              <w:t>“</w:t>
            </w:r>
            <w:r>
              <w:rPr>
                <w:rFonts w:hint="eastAsia" w:ascii="楷体" w:hAnsi="楷体" w:eastAsia="楷体" w:cs="楷体"/>
                <w:b/>
                <w:bCs/>
                <w:kern w:val="0"/>
                <w:sz w:val="24"/>
                <w:szCs w:val="24"/>
                <w:lang w:val="en-US" w:eastAsia="zh-CN"/>
              </w:rPr>
              <w:t>三公”经费</w:t>
            </w:r>
            <w:r>
              <w:rPr>
                <w:rFonts w:hint="eastAsia" w:ascii="楷体" w:hAnsi="楷体" w:eastAsia="楷体" w:cs="楷体"/>
                <w:b/>
                <w:bCs/>
                <w:kern w:val="0"/>
                <w:sz w:val="24"/>
                <w:szCs w:val="24"/>
              </w:rPr>
              <w:t>支出，故本表无数据。</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6"/>
        <w:rPr>
          <w:sz w:val="72"/>
          <w:szCs w:val="72"/>
        </w:rPr>
      </w:pPr>
    </w:p>
    <w:p>
      <w:pPr>
        <w:pStyle w:val="16"/>
        <w:rPr>
          <w:sz w:val="72"/>
          <w:szCs w:val="72"/>
        </w:rPr>
      </w:pPr>
    </w:p>
    <w:p>
      <w:pPr>
        <w:pStyle w:val="16"/>
        <w:rPr>
          <w:sz w:val="72"/>
          <w:szCs w:val="72"/>
        </w:rPr>
      </w:pPr>
    </w:p>
    <w:p>
      <w:pPr>
        <w:pStyle w:val="16"/>
        <w:jc w:val="center"/>
        <w:rPr>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6"/>
        <w:jc w:val="center"/>
        <w:rPr>
          <w:rFonts w:ascii="方正小标宋_GBK" w:hAnsi="方正小标宋_GBK" w:eastAsia="方正小标宋_GBK" w:cs="方正小标宋_GBK"/>
          <w:sz w:val="70"/>
          <w:szCs w:val="70"/>
        </w:rPr>
      </w:pPr>
    </w:p>
    <w:p>
      <w:pPr>
        <w:pStyle w:val="16"/>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2022年度部门决算情况说明</w:t>
      </w:r>
    </w:p>
    <w:p>
      <w:pPr>
        <w:widowControl/>
        <w:jc w:val="left"/>
        <w:rPr>
          <w:rFonts w:asciiTheme="minorEastAsia" w:hAnsiTheme="minorEastAsia"/>
          <w:sz w:val="32"/>
          <w:szCs w:val="32"/>
        </w:rPr>
      </w:pPr>
      <w:r>
        <w:br w:type="page"/>
      </w:r>
    </w:p>
    <w:p>
      <w:pPr>
        <w:pStyle w:val="16"/>
        <w:spacing w:line="600" w:lineRule="exact"/>
        <w:ind w:firstLine="640" w:firstLineChars="200"/>
        <w:rPr>
          <w:rFonts w:hAnsi="黑体"/>
          <w:bCs/>
          <w:sz w:val="32"/>
          <w:szCs w:val="32"/>
        </w:rPr>
      </w:pPr>
      <w:r>
        <w:rPr>
          <w:rFonts w:hint="eastAsia" w:hAnsi="黑体"/>
          <w:bCs/>
          <w:sz w:val="32"/>
          <w:szCs w:val="32"/>
        </w:rPr>
        <w:t>一、收入支出决算总体情况说明</w:t>
      </w:r>
    </w:p>
    <w:p>
      <w:pPr>
        <w:pStyle w:val="16"/>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2022年度收、支总计</w:t>
      </w:r>
      <w:r>
        <w:rPr>
          <w:rFonts w:hint="eastAsia" w:ascii="Times New Roman" w:hAnsi="Times New Roman" w:eastAsia="仿宋_GB2312"/>
          <w:sz w:val="32"/>
          <w:szCs w:val="32"/>
          <w:lang w:val="en-US" w:eastAsia="zh-CN"/>
        </w:rPr>
        <w:t>3134.79</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1651.93</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52.70</w:t>
      </w:r>
      <w:r>
        <w:rPr>
          <w:rFonts w:hint="eastAsia" w:ascii="Times New Roman" w:hAnsi="Times New Roman" w:eastAsia="仿宋_GB2312"/>
          <w:sz w:val="32"/>
          <w:szCs w:val="32"/>
        </w:rPr>
        <w:t>%，主要是因为优势特色产业集群区域品牌及总联盟组建费专项</w:t>
      </w:r>
      <w:r>
        <w:rPr>
          <w:rFonts w:hint="eastAsia" w:ascii="Times New Roman" w:hAnsi="Times New Roman" w:eastAsia="仿宋_GB2312"/>
          <w:sz w:val="32"/>
          <w:szCs w:val="32"/>
          <w:lang w:eastAsia="zh-CN"/>
        </w:rPr>
        <w:t>、湖南省2021年农业野生植物（野生茶）原生境保护区建设项目</w:t>
      </w:r>
      <w:r>
        <w:rPr>
          <w:rFonts w:hint="eastAsia" w:ascii="Times New Roman" w:hAnsi="Times New Roman" w:eastAsia="仿宋_GB2312"/>
          <w:sz w:val="32"/>
          <w:szCs w:val="32"/>
          <w:lang w:val="en-US" w:eastAsia="zh-CN"/>
        </w:rPr>
        <w:t>经费减少。</w:t>
      </w:r>
    </w:p>
    <w:p>
      <w:pPr>
        <w:pStyle w:val="16"/>
        <w:spacing w:line="600" w:lineRule="exact"/>
        <w:ind w:firstLine="640" w:firstLineChars="200"/>
        <w:rPr>
          <w:rFonts w:hAnsi="黑体"/>
          <w:bCs/>
          <w:sz w:val="32"/>
          <w:szCs w:val="32"/>
        </w:rPr>
      </w:pPr>
      <w:r>
        <w:rPr>
          <w:rFonts w:hint="eastAsia" w:hAnsi="黑体"/>
          <w:bCs/>
          <w:sz w:val="32"/>
          <w:szCs w:val="32"/>
        </w:rPr>
        <w:t>二、收入决算情况说明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2022年度收入合计</w:t>
      </w:r>
      <w:r>
        <w:rPr>
          <w:rFonts w:hint="eastAsia" w:ascii="Times New Roman" w:hAnsi="Times New Roman" w:eastAsia="仿宋_GB2312"/>
          <w:sz w:val="32"/>
          <w:szCs w:val="32"/>
          <w:lang w:val="en-US" w:eastAsia="zh-CN"/>
        </w:rPr>
        <w:t>1919.30</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1433.69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74.70</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485.61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25.30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6"/>
        <w:spacing w:line="600" w:lineRule="exact"/>
        <w:ind w:firstLine="640" w:firstLineChars="200"/>
        <w:rPr>
          <w:rFonts w:hAnsi="黑体"/>
          <w:bCs/>
          <w:sz w:val="32"/>
          <w:szCs w:val="32"/>
        </w:rPr>
      </w:pPr>
      <w:r>
        <w:rPr>
          <w:rFonts w:hint="eastAsia" w:hAnsi="黑体"/>
          <w:bCs/>
          <w:sz w:val="32"/>
          <w:szCs w:val="32"/>
        </w:rPr>
        <w:t>三、支出决算情况说明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2022年度支出合计</w:t>
      </w:r>
      <w:r>
        <w:rPr>
          <w:rFonts w:hint="eastAsia" w:ascii="Times New Roman" w:hAnsi="Times New Roman" w:eastAsia="仿宋_GB2312"/>
          <w:sz w:val="32"/>
          <w:szCs w:val="32"/>
          <w:lang w:val="en-US" w:eastAsia="zh-CN"/>
        </w:rPr>
        <w:t>2572.55</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325.71</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12.66</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1761.27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68.46</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485.57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18.88</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6"/>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6"/>
        <w:spacing w:line="600" w:lineRule="exact"/>
        <w:rPr>
          <w:rFonts w:ascii="Times New Roman" w:hAnsi="Times New Roman" w:eastAsia="仿宋_GB2312"/>
          <w:sz w:val="32"/>
          <w:szCs w:val="32"/>
        </w:rPr>
      </w:pPr>
      <w:r>
        <w:rPr>
          <w:rFonts w:hint="eastAsia" w:ascii="Times New Roman" w:hAnsi="Times New Roman" w:eastAsia="仿宋_GB2312"/>
          <w:sz w:val="32"/>
          <w:szCs w:val="32"/>
        </w:rPr>
        <w:t xml:space="preserve">    2022年度财政拨款收、支总计</w:t>
      </w:r>
      <w:r>
        <w:rPr>
          <w:rFonts w:hint="eastAsia" w:ascii="Times New Roman" w:hAnsi="Times New Roman" w:eastAsia="仿宋_GB2312"/>
          <w:sz w:val="32"/>
          <w:szCs w:val="32"/>
          <w:lang w:val="en-US" w:eastAsia="zh-CN"/>
        </w:rPr>
        <w:t>2649.17</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1656.34</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38.47</w:t>
      </w:r>
      <w:r>
        <w:rPr>
          <w:rFonts w:hint="eastAsia" w:ascii="Times New Roman" w:hAnsi="Times New Roman" w:eastAsia="仿宋_GB2312"/>
          <w:sz w:val="32"/>
          <w:szCs w:val="32"/>
        </w:rPr>
        <w:t>%，主要是因为优势特色产业集群区域品牌及总联盟组建费专项</w:t>
      </w:r>
      <w:r>
        <w:rPr>
          <w:rFonts w:hint="eastAsia" w:ascii="Times New Roman" w:hAnsi="Times New Roman" w:eastAsia="仿宋_GB2312"/>
          <w:sz w:val="32"/>
          <w:szCs w:val="32"/>
          <w:lang w:eastAsia="zh-CN"/>
        </w:rPr>
        <w:t>、湖南省2021年农业野生植物（野生茶）原生境保护区建设项目</w:t>
      </w:r>
      <w:r>
        <w:rPr>
          <w:rFonts w:hint="eastAsia" w:ascii="Times New Roman" w:hAnsi="Times New Roman" w:eastAsia="仿宋_GB2312"/>
          <w:sz w:val="32"/>
          <w:szCs w:val="32"/>
          <w:lang w:val="en-US" w:eastAsia="zh-CN"/>
        </w:rPr>
        <w:t>经费减少。</w:t>
      </w:r>
    </w:p>
    <w:p>
      <w:pPr>
        <w:pStyle w:val="16"/>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6"/>
        <w:spacing w:line="600" w:lineRule="exact"/>
        <w:ind w:firstLine="640" w:firstLineChars="200"/>
        <w:rPr>
          <w:rFonts w:ascii="楷体" w:hAnsi="楷体" w:eastAsia="楷体" w:cs="楷体"/>
          <w:bCs/>
          <w:sz w:val="32"/>
          <w:szCs w:val="32"/>
        </w:rPr>
      </w:pPr>
      <w:r>
        <w:rPr>
          <w:rFonts w:hint="eastAsia" w:ascii="楷体" w:hAnsi="楷体" w:eastAsia="楷体" w:cs="楷体"/>
          <w:bCs/>
          <w:sz w:val="32"/>
          <w:szCs w:val="32"/>
        </w:rPr>
        <w:t>（一）财政拨款支出决算总体情况</w:t>
      </w:r>
    </w:p>
    <w:p>
      <w:pPr>
        <w:pStyle w:val="16"/>
        <w:spacing w:line="600" w:lineRule="exact"/>
        <w:ind w:firstLine="800" w:firstLineChars="25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2022年度财政拨款支出</w:t>
      </w:r>
      <w:r>
        <w:rPr>
          <w:rFonts w:hint="eastAsia" w:ascii="Times New Roman" w:hAnsi="Times New Roman" w:eastAsia="仿宋_GB2312"/>
          <w:sz w:val="32"/>
          <w:szCs w:val="32"/>
          <w:lang w:val="en-US" w:eastAsia="zh-CN"/>
        </w:rPr>
        <w:t>2086.98</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81.12</w:t>
      </w:r>
      <w:r>
        <w:rPr>
          <w:rFonts w:hint="eastAsia" w:ascii="Times New Roman" w:hAnsi="Times New Roman" w:eastAsia="仿宋_GB2312"/>
          <w:sz w:val="32"/>
          <w:szCs w:val="32"/>
        </w:rPr>
        <w:t>%，与上年相比，财政拨款支出减少</w:t>
      </w:r>
      <w:r>
        <w:rPr>
          <w:rFonts w:hint="eastAsia" w:ascii="Times New Roman" w:hAnsi="Times New Roman" w:eastAsia="仿宋_GB2312"/>
          <w:sz w:val="32"/>
          <w:szCs w:val="32"/>
          <w:lang w:val="en-US" w:eastAsia="zh-CN"/>
        </w:rPr>
        <w:t>60.61</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2.82</w:t>
      </w:r>
      <w:r>
        <w:rPr>
          <w:rFonts w:hint="eastAsia" w:ascii="Times New Roman" w:hAnsi="Times New Roman" w:eastAsia="仿宋_GB2312"/>
          <w:sz w:val="32"/>
          <w:szCs w:val="32"/>
        </w:rPr>
        <w:t>%，主要是因为现代农业发展、柑桔良种繁育</w:t>
      </w:r>
      <w:r>
        <w:rPr>
          <w:rFonts w:hint="eastAsia" w:ascii="Times New Roman" w:hAnsi="Times New Roman" w:eastAsia="仿宋_GB2312"/>
          <w:sz w:val="32"/>
          <w:szCs w:val="32"/>
          <w:lang w:val="en-US" w:eastAsia="zh-CN"/>
        </w:rPr>
        <w:t>项目支出减少。</w:t>
      </w:r>
    </w:p>
    <w:p>
      <w:pPr>
        <w:pStyle w:val="16"/>
        <w:spacing w:line="600" w:lineRule="exact"/>
        <w:ind w:firstLine="480" w:firstLineChars="150"/>
        <w:rPr>
          <w:rFonts w:ascii="楷体" w:hAnsi="楷体" w:eastAsia="楷体" w:cs="楷体"/>
          <w:bCs/>
          <w:sz w:val="32"/>
          <w:szCs w:val="32"/>
        </w:rPr>
      </w:pPr>
      <w:r>
        <w:rPr>
          <w:rFonts w:hint="eastAsia" w:ascii="楷体" w:hAnsi="楷体" w:eastAsia="楷体" w:cs="楷体"/>
          <w:bCs/>
          <w:sz w:val="32"/>
          <w:szCs w:val="32"/>
        </w:rPr>
        <w:t>（二）财政拨款支出决算结构情况</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2022年度财政拨款支出</w:t>
      </w:r>
      <w:r>
        <w:rPr>
          <w:rFonts w:hint="eastAsia" w:ascii="Times New Roman" w:hAnsi="Times New Roman" w:eastAsia="仿宋_GB2312"/>
          <w:sz w:val="32"/>
          <w:szCs w:val="32"/>
          <w:lang w:val="en-US" w:eastAsia="zh-CN"/>
        </w:rPr>
        <w:t>2086.98</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33.49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1.60</w:t>
      </w:r>
      <w:r>
        <w:rPr>
          <w:rFonts w:hint="eastAsia" w:ascii="Times New Roman" w:hAnsi="Times New Roman" w:eastAsia="仿宋_GB2312"/>
          <w:sz w:val="32"/>
          <w:szCs w:val="32"/>
        </w:rPr>
        <w:t>%；卫生健康（类）支出</w:t>
      </w:r>
      <w:r>
        <w:rPr>
          <w:rFonts w:hint="eastAsia" w:ascii="Times New Roman" w:hAnsi="Times New Roman" w:eastAsia="仿宋_GB2312"/>
          <w:sz w:val="32"/>
          <w:szCs w:val="32"/>
          <w:lang w:val="en-US" w:eastAsia="zh-CN"/>
        </w:rPr>
        <w:t>0.80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0.04</w:t>
      </w:r>
      <w:r>
        <w:rPr>
          <w:rFonts w:hint="eastAsia" w:ascii="Times New Roman" w:hAnsi="Times New Roman" w:eastAsia="仿宋_GB2312"/>
          <w:sz w:val="32"/>
          <w:szCs w:val="32"/>
        </w:rPr>
        <w:t>%;农林水</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2052.69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98.36</w:t>
      </w:r>
      <w:r>
        <w:rPr>
          <w:rFonts w:hint="eastAsia" w:ascii="Times New Roman" w:hAnsi="Times New Roman" w:eastAsia="仿宋_GB2312"/>
          <w:sz w:val="32"/>
          <w:szCs w:val="32"/>
        </w:rPr>
        <w:t>%</w:t>
      </w:r>
    </w:p>
    <w:p>
      <w:pPr>
        <w:pStyle w:val="16"/>
        <w:spacing w:line="600" w:lineRule="exact"/>
        <w:ind w:firstLine="800" w:firstLineChars="250"/>
        <w:rPr>
          <w:rFonts w:ascii="楷体" w:hAnsi="楷体" w:eastAsia="楷体" w:cs="楷体"/>
          <w:bCs/>
          <w:sz w:val="32"/>
          <w:szCs w:val="32"/>
        </w:rPr>
      </w:pPr>
      <w:r>
        <w:rPr>
          <w:rFonts w:hint="eastAsia" w:ascii="楷体" w:hAnsi="楷体" w:eastAsia="楷体" w:cs="楷体"/>
          <w:bCs/>
          <w:sz w:val="32"/>
          <w:szCs w:val="32"/>
        </w:rPr>
        <w:t>（三）财政拨款支出决算具体情况</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2022年度财政拨款支出年初预算数为</w:t>
      </w:r>
      <w:r>
        <w:rPr>
          <w:rFonts w:hint="eastAsia" w:ascii="Times New Roman" w:hAnsi="Times New Roman" w:eastAsia="仿宋_GB2312"/>
          <w:sz w:val="32"/>
          <w:szCs w:val="32"/>
          <w:lang w:val="en-US" w:eastAsia="zh-CN"/>
        </w:rPr>
        <w:t>1609.78</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2086.98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129.64</w:t>
      </w:r>
      <w:r>
        <w:rPr>
          <w:rFonts w:hint="eastAsia" w:ascii="Times New Roman" w:hAnsi="Times New Roman" w:eastAsia="仿宋_GB2312"/>
          <w:sz w:val="32"/>
          <w:szCs w:val="32"/>
        </w:rPr>
        <w:t>%，其中：</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6"/>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27.70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27.70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rPr>
        <w:t>2、社会保障和就业（类）抚恤（款）死亡抚恤（项）。</w:t>
      </w:r>
    </w:p>
    <w:p>
      <w:pPr>
        <w:pStyle w:val="16"/>
        <w:spacing w:line="600" w:lineRule="exact"/>
        <w:ind w:firstLine="800" w:firstLineChars="25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5.31</w:t>
      </w:r>
      <w:r>
        <w:rPr>
          <w:rFonts w:hint="eastAsia" w:ascii="Times New Roman" w:hAnsi="Times New Roman" w:eastAsia="仿宋_GB2312"/>
          <w:sz w:val="32"/>
          <w:szCs w:val="32"/>
        </w:rPr>
        <w:t>万元，决算数大于（小于）年初预算数的主要原因是：</w:t>
      </w:r>
      <w:r>
        <w:rPr>
          <w:rFonts w:hint="eastAsia" w:ascii="Times New Roman" w:hAnsi="Times New Roman" w:eastAsia="仿宋_GB2312"/>
          <w:sz w:val="32"/>
          <w:szCs w:val="32"/>
          <w:lang w:val="en-US" w:eastAsia="zh-CN"/>
        </w:rPr>
        <w:t>年中追加抚恤金。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、社会保障和就业（类）其他社会保障和就业支出（款）其他社会保障和就业支出项）。</w:t>
      </w:r>
    </w:p>
    <w:p>
      <w:pPr>
        <w:pStyle w:val="16"/>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0.48</w:t>
      </w:r>
      <w:r>
        <w:rPr>
          <w:rFonts w:hint="eastAsia" w:ascii="Times New Roman" w:hAnsi="Times New Roman" w:eastAsia="仿宋_GB2312"/>
          <w:sz w:val="32"/>
          <w:szCs w:val="32"/>
        </w:rPr>
        <w:t>万元，决算数大于（小于）年初预算数的主要原因是：</w:t>
      </w:r>
      <w:r>
        <w:rPr>
          <w:rFonts w:hint="eastAsia" w:ascii="Times New Roman" w:hAnsi="Times New Roman" w:eastAsia="仿宋_GB2312"/>
          <w:sz w:val="32"/>
          <w:szCs w:val="32"/>
          <w:lang w:val="en-US" w:eastAsia="zh-CN"/>
        </w:rPr>
        <w:t>年中追加</w:t>
      </w:r>
      <w:r>
        <w:rPr>
          <w:rFonts w:hint="eastAsia" w:ascii="Times New Roman" w:hAnsi="Times New Roman" w:eastAsia="仿宋_GB2312"/>
          <w:sz w:val="32"/>
          <w:szCs w:val="32"/>
        </w:rPr>
        <w:t>建国初期参加革命工作的部分退休干部生活补贴和医疗补贴提标资金</w:t>
      </w:r>
      <w:r>
        <w:rPr>
          <w:rFonts w:hint="eastAsia" w:ascii="Times New Roman" w:hAnsi="Times New Roman" w:eastAsia="仿宋_GB2312"/>
          <w:sz w:val="32"/>
          <w:szCs w:val="32"/>
          <w:lang w:eastAsia="zh-CN"/>
        </w:rPr>
        <w:t>。</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、卫生健康（类）其他卫生健康支出（款）其他卫生健康支出（项）。</w:t>
      </w:r>
    </w:p>
    <w:p>
      <w:pPr>
        <w:pStyle w:val="16"/>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0.80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w:t>
      </w:r>
      <w:r>
        <w:rPr>
          <w:rFonts w:hint="eastAsia" w:ascii="Times New Roman" w:hAnsi="Times New Roman" w:eastAsia="仿宋_GB2312"/>
          <w:sz w:val="32"/>
          <w:szCs w:val="32"/>
        </w:rPr>
        <w:t>建国初期参加革命工作的部分退休干部生活补贴和医疗补贴提标资金</w:t>
      </w:r>
      <w:r>
        <w:rPr>
          <w:rFonts w:hint="eastAsia" w:ascii="Times New Roman" w:hAnsi="Times New Roman" w:eastAsia="仿宋_GB2312"/>
          <w:sz w:val="32"/>
          <w:szCs w:val="32"/>
          <w:lang w:eastAsia="zh-CN"/>
        </w:rPr>
        <w:t>。</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、农林水（类）农业农村（款）行政运行（项）。</w:t>
      </w:r>
    </w:p>
    <w:p>
      <w:pPr>
        <w:pStyle w:val="16"/>
        <w:spacing w:line="600" w:lineRule="exact"/>
        <w:ind w:firstLine="800" w:firstLineChars="25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23.10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年中追加绩效奖金。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、农林水（类）农业农村（款）事业运行（项）。</w:t>
      </w:r>
    </w:p>
    <w:p>
      <w:pPr>
        <w:pStyle w:val="16"/>
        <w:spacing w:line="600" w:lineRule="exact"/>
        <w:ind w:firstLine="800" w:firstLineChars="250"/>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269.60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269.60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、农林水（类）农业农村（款）农业生产发展（项）。</w:t>
      </w:r>
    </w:p>
    <w:p>
      <w:pPr>
        <w:pStyle w:val="16"/>
        <w:spacing w:line="600" w:lineRule="exact"/>
        <w:ind w:firstLine="800" w:firstLineChars="25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187.94</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187.94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、农林水（类）农业农村（款）其他农业农村支出（项）。</w:t>
      </w:r>
    </w:p>
    <w:p>
      <w:pPr>
        <w:pStyle w:val="16"/>
        <w:spacing w:line="600" w:lineRule="exact"/>
        <w:ind w:firstLine="800" w:firstLineChars="25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96.51</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626.51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649.17</w:t>
      </w:r>
      <w:r>
        <w:rPr>
          <w:rFonts w:hint="eastAsia" w:ascii="Times New Roman" w:hAnsi="Times New Roman" w:eastAsia="仿宋_GB2312"/>
          <w:sz w:val="32"/>
          <w:szCs w:val="32"/>
        </w:rPr>
        <w:t>%，决算数大于年初预算数的主要原因是：</w:t>
      </w:r>
      <w:r>
        <w:rPr>
          <w:rFonts w:hint="eastAsia" w:ascii="Times New Roman" w:hAnsi="Times New Roman" w:eastAsia="仿宋_GB2312"/>
          <w:sz w:val="32"/>
          <w:szCs w:val="32"/>
          <w:lang w:val="en-US" w:eastAsia="zh-CN"/>
        </w:rPr>
        <w:t>年中追加现代农业支撑体系、优势特色产业集群建设、农业体系能力建设与补短板项目资金。</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、农林水（类）林业和草原（款）其他林业和草原支出（项）。</w:t>
      </w:r>
    </w:p>
    <w:p>
      <w:pPr>
        <w:pStyle w:val="16"/>
        <w:spacing w:line="600" w:lineRule="exact"/>
        <w:ind w:firstLine="800" w:firstLineChars="25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1028.03</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905.54</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88.08</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湖南省2021年农业野生植物（野生茶）原生境保护区建设项目跨年实施。</w:t>
      </w:r>
    </w:p>
    <w:p>
      <w:pPr>
        <w:pStyle w:val="16"/>
        <w:spacing w:line="600" w:lineRule="exact"/>
        <w:ind w:firstLine="800" w:firstLineChars="250"/>
        <w:rPr>
          <w:rFonts w:ascii="Times New Roman" w:hAnsi="Times New Roman" w:eastAsia="仿宋_GB2312"/>
          <w:sz w:val="32"/>
          <w:szCs w:val="32"/>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rPr>
        <w:t>、农林水（类）其他农林水支出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款）其他农林水支出（项）。</w:t>
      </w:r>
    </w:p>
    <w:p>
      <w:pPr>
        <w:pStyle w:val="16"/>
        <w:spacing w:line="600" w:lineRule="exact"/>
        <w:ind w:firstLine="800" w:firstLineChars="250"/>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40.00</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年中追加农业生产保障服务体系能力建设提升、农作物种质资源保护与良种繁育项目经费。</w:t>
      </w:r>
    </w:p>
    <w:p>
      <w:pPr>
        <w:pStyle w:val="16"/>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2022年度财政拨款基本支出</w:t>
      </w:r>
      <w:r>
        <w:rPr>
          <w:rFonts w:hint="eastAsia" w:ascii="Times New Roman" w:hAnsi="Times New Roman" w:eastAsia="仿宋_GB2312"/>
          <w:sz w:val="32"/>
          <w:szCs w:val="32"/>
          <w:lang w:val="en-US" w:eastAsia="zh-CN"/>
        </w:rPr>
        <w:t>325.71</w:t>
      </w:r>
      <w:r>
        <w:rPr>
          <w:rFonts w:hint="eastAsia" w:ascii="Times New Roman" w:hAnsi="Times New Roman" w:eastAsia="仿宋_GB2312"/>
          <w:sz w:val="32"/>
          <w:szCs w:val="32"/>
        </w:rPr>
        <w:t>万元，其中：</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309.71</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95.09</w:t>
      </w:r>
      <w:r>
        <w:rPr>
          <w:rFonts w:hint="eastAsia" w:ascii="Times New Roman" w:hAnsi="Times New Roman" w:eastAsia="仿宋_GB2312"/>
          <w:sz w:val="32"/>
          <w:szCs w:val="32"/>
        </w:rPr>
        <w:t>%,主要包括基本工资、津贴补贴、</w:t>
      </w:r>
      <w:r>
        <w:rPr>
          <w:rFonts w:hint="eastAsia" w:ascii="Times New Roman" w:hAnsi="Times New Roman" w:eastAsia="仿宋_GB2312"/>
          <w:sz w:val="32"/>
          <w:szCs w:val="32"/>
          <w:lang w:val="en-US" w:eastAsia="zh-CN"/>
        </w:rPr>
        <w:t>绩效工资、机关事业单位基本养老保险缴费、职业年金缴费、职工基本医疗保险缴费、公务员医疗补助缴费、其他社会保障缴费、住房公积金、退休费、抚恤金、奖励金等</w:t>
      </w:r>
      <w:r>
        <w:rPr>
          <w:rFonts w:hint="eastAsia" w:ascii="Times New Roman" w:hAnsi="Times New Roman" w:eastAsia="仿宋_GB2312"/>
          <w:sz w:val="32"/>
          <w:szCs w:val="32"/>
        </w:rPr>
        <w:t>。</w:t>
      </w:r>
    </w:p>
    <w:p>
      <w:pPr>
        <w:pStyle w:val="16"/>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16.00</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4.91</w:t>
      </w:r>
      <w:r>
        <w:rPr>
          <w:rFonts w:hint="eastAsia" w:ascii="Times New Roman" w:hAnsi="Times New Roman" w:eastAsia="仿宋_GB2312"/>
          <w:sz w:val="32"/>
          <w:szCs w:val="32"/>
        </w:rPr>
        <w:t>%，主要包括办公费、</w:t>
      </w:r>
      <w:r>
        <w:rPr>
          <w:rFonts w:hint="eastAsia" w:ascii="Times New Roman" w:hAnsi="Times New Roman" w:eastAsia="仿宋_GB2312"/>
          <w:sz w:val="32"/>
          <w:szCs w:val="32"/>
          <w:lang w:val="en-US" w:eastAsia="zh-CN"/>
        </w:rPr>
        <w:t>水费、电费、邮电费、差旅费、维修（护）费、其他交通费、其他商品和服务支出</w:t>
      </w:r>
      <w:r>
        <w:rPr>
          <w:rFonts w:hint="eastAsia" w:ascii="Times New Roman" w:hAnsi="Times New Roman" w:eastAsia="仿宋_GB2312"/>
          <w:sz w:val="32"/>
          <w:szCs w:val="32"/>
        </w:rPr>
        <w:t>。</w:t>
      </w:r>
    </w:p>
    <w:p>
      <w:pPr>
        <w:pStyle w:val="16"/>
        <w:spacing w:line="600" w:lineRule="exact"/>
        <w:ind w:firstLine="640" w:firstLineChars="200"/>
        <w:rPr>
          <w:rFonts w:ascii="Times New Roman" w:hAnsi="Times New Roman" w:eastAsia="仿宋_GB2312"/>
          <w:b/>
          <w:sz w:val="32"/>
          <w:szCs w:val="32"/>
        </w:rPr>
      </w:pPr>
      <w:r>
        <w:rPr>
          <w:rFonts w:hint="eastAsia" w:hAnsi="黑体"/>
          <w:bCs/>
          <w:sz w:val="32"/>
          <w:szCs w:val="32"/>
        </w:rPr>
        <w:t>七、财政拨款三公经费支出决算情况说明</w:t>
      </w:r>
    </w:p>
    <w:p>
      <w:pPr>
        <w:pStyle w:val="16"/>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6"/>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p>
    <w:p>
      <w:pPr>
        <w:pStyle w:val="16"/>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keepNext w:val="0"/>
        <w:keepLines w:val="0"/>
        <w:pageBreakBefore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bookmarkStart w:id="1" w:name="_GoBack"/>
      <w:bookmarkEnd w:id="1"/>
    </w:p>
    <w:p>
      <w:pPr>
        <w:pStyle w:val="16"/>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6"/>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6"/>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6"/>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6"/>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万元，单位本级更新公务用车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6"/>
        <w:spacing w:line="600" w:lineRule="exact"/>
        <w:ind w:firstLine="640" w:firstLineChars="200"/>
        <w:rPr>
          <w:rFonts w:hAnsi="黑体"/>
          <w:bCs/>
          <w:sz w:val="32"/>
          <w:szCs w:val="32"/>
        </w:rPr>
      </w:pPr>
      <w:r>
        <w:rPr>
          <w:rFonts w:hint="eastAsia" w:hAnsi="黑体"/>
          <w:bCs/>
          <w:sz w:val="32"/>
          <w:szCs w:val="32"/>
        </w:rPr>
        <w:t>八、政府性基金预算收入支出决算情况</w:t>
      </w:r>
    </w:p>
    <w:p>
      <w:pPr>
        <w:pStyle w:val="16"/>
        <w:spacing w:line="600" w:lineRule="exact"/>
        <w:ind w:firstLine="640" w:firstLineChars="200"/>
        <w:rPr>
          <w:rFonts w:hint="eastAsia" w:ascii="Times New Roman" w:hAnsi="Times New Roman" w:eastAsia="仿宋_GB2312"/>
          <w:sz w:val="32"/>
          <w:szCs w:val="32"/>
          <w:lang w:eastAsia="zh-CN"/>
        </w:rPr>
      </w:pPr>
      <w:r>
        <w:rPr>
          <w:rFonts w:hint="eastAsia" w:ascii="Times New Roman" w:hAnsi="Times New Roman" w:eastAsia="仿宋_GB2312"/>
          <w:sz w:val="32"/>
          <w:szCs w:val="32"/>
        </w:rPr>
        <w:t>本单位无政府性基金收支</w:t>
      </w:r>
      <w:r>
        <w:rPr>
          <w:rFonts w:hint="eastAsia" w:ascii="Times New Roman" w:hAnsi="Times New Roman" w:eastAsia="仿宋_GB2312"/>
          <w:sz w:val="32"/>
          <w:szCs w:val="32"/>
          <w:lang w:eastAsia="zh-CN"/>
        </w:rPr>
        <w:t>。</w:t>
      </w:r>
    </w:p>
    <w:p>
      <w:pPr>
        <w:pStyle w:val="16"/>
        <w:spacing w:line="600" w:lineRule="exact"/>
        <w:ind w:firstLine="640" w:firstLineChars="200"/>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本部门2022年度机关运行经费支出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上</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6"/>
        <w:spacing w:line="600" w:lineRule="exact"/>
        <w:ind w:firstLine="640" w:firstLineChars="200"/>
        <w:rPr>
          <w:rFonts w:hAnsi="黑体"/>
          <w:bCs/>
          <w:sz w:val="32"/>
          <w:szCs w:val="32"/>
        </w:rPr>
      </w:pPr>
      <w:r>
        <w:rPr>
          <w:rFonts w:hint="eastAsia" w:hAnsi="黑体"/>
          <w:bCs/>
          <w:sz w:val="32"/>
          <w:szCs w:val="32"/>
        </w:rPr>
        <w:t>十、一般性支出情况说明</w:t>
      </w:r>
    </w:p>
    <w:p>
      <w:pPr>
        <w:pStyle w:val="16"/>
        <w:spacing w:line="600" w:lineRule="exact"/>
        <w:ind w:firstLine="640" w:firstLineChars="200"/>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rPr>
        <w:t>2022年本部门开支会议费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万；开支培训费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p>
    <w:p>
      <w:pPr>
        <w:pStyle w:val="16"/>
        <w:spacing w:line="600" w:lineRule="exact"/>
        <w:ind w:firstLine="640" w:firstLineChars="200"/>
        <w:rPr>
          <w:rFonts w:hAnsi="黑体"/>
          <w:bCs/>
          <w:sz w:val="32"/>
          <w:szCs w:val="32"/>
        </w:rPr>
      </w:pPr>
      <w:r>
        <w:rPr>
          <w:rFonts w:hint="eastAsia" w:hAnsi="黑体"/>
          <w:bCs/>
          <w:sz w:val="32"/>
          <w:szCs w:val="32"/>
        </w:rPr>
        <w:t>十一、关于政府采购支出说明</w:t>
      </w:r>
    </w:p>
    <w:p>
      <w:pPr>
        <w:pStyle w:val="16"/>
        <w:spacing w:line="600" w:lineRule="exact"/>
        <w:ind w:firstLine="640" w:firstLineChars="200"/>
        <w:rPr>
          <w:rFonts w:ascii="楷体" w:hAnsi="楷体" w:eastAsia="楷体" w:cs="楷体"/>
          <w:b/>
          <w:bCs/>
          <w:i/>
          <w:color w:val="auto"/>
          <w:sz w:val="32"/>
          <w:szCs w:val="32"/>
        </w:rPr>
      </w:pPr>
      <w:r>
        <w:rPr>
          <w:rFonts w:hint="eastAsia" w:ascii="Times New Roman" w:hAnsi="Times New Roman" w:eastAsia="仿宋_GB2312"/>
          <w:sz w:val="32"/>
          <w:szCs w:val="32"/>
        </w:rPr>
        <w:t>本部门2022年度政府采购支出总额</w:t>
      </w:r>
      <w:r>
        <w:rPr>
          <w:rFonts w:hint="eastAsia" w:ascii="Times New Roman" w:hAnsi="Times New Roman" w:eastAsia="仿宋_GB2312"/>
          <w:sz w:val="32"/>
          <w:szCs w:val="32"/>
          <w:lang w:val="en-US" w:eastAsia="zh-CN"/>
        </w:rPr>
        <w:t>879.56</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61.90</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728.64</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89.02</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879.56</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879.56</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%，工程采购授予中小企业合同金额占工程支出金额的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6"/>
        <w:spacing w:line="600" w:lineRule="exact"/>
        <w:ind w:firstLine="640" w:firstLineChars="200"/>
        <w:rPr>
          <w:rFonts w:hAnsi="黑体"/>
          <w:bCs/>
          <w:sz w:val="32"/>
          <w:szCs w:val="32"/>
        </w:rPr>
      </w:pPr>
      <w:r>
        <w:rPr>
          <w:rFonts w:hint="eastAsia" w:hAnsi="黑体"/>
          <w:bCs/>
          <w:sz w:val="32"/>
          <w:szCs w:val="32"/>
        </w:rPr>
        <w:t>十二、关于国有资产占用情况说明</w:t>
      </w:r>
    </w:p>
    <w:p>
      <w:pPr>
        <w:pStyle w:val="16"/>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截至2022年12月31日，本单位共有车辆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auto"/>
          <w:sz w:val="32"/>
          <w:szCs w:val="32"/>
        </w:rPr>
        <w:t>，</w:t>
      </w:r>
      <w:r>
        <w:rPr>
          <w:rFonts w:hint="eastAsia" w:ascii="Times New Roman" w:hAnsi="Times New Roman" w:eastAsia="仿宋_GB2312"/>
          <w:sz w:val="32"/>
          <w:szCs w:val="32"/>
        </w:rPr>
        <w:t>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6"/>
        <w:spacing w:line="600" w:lineRule="exact"/>
        <w:ind w:firstLine="640" w:firstLineChars="200"/>
        <w:rPr>
          <w:rFonts w:hAnsi="黑体"/>
          <w:bCs/>
          <w:sz w:val="32"/>
          <w:szCs w:val="32"/>
        </w:rPr>
      </w:pPr>
      <w:r>
        <w:rPr>
          <w:rFonts w:hint="eastAsia" w:hAnsi="黑体"/>
          <w:bCs/>
          <w:sz w:val="32"/>
          <w:szCs w:val="32"/>
        </w:rPr>
        <w:t>十三、关于</w:t>
      </w:r>
      <w:r>
        <w:rPr>
          <w:rFonts w:hint="eastAsia" w:ascii="Times New Roman" w:hAnsi="Times New Roman" w:eastAsia="仿宋_GB2312"/>
          <w:sz w:val="32"/>
          <w:szCs w:val="32"/>
        </w:rPr>
        <w:t>2022</w:t>
      </w:r>
      <w:r>
        <w:rPr>
          <w:rFonts w:hint="eastAsia" w:hAnsi="黑体"/>
          <w:bCs/>
          <w:sz w:val="32"/>
          <w:szCs w:val="32"/>
        </w:rPr>
        <w:t>年度预算绩效情况的说明</w:t>
      </w:r>
    </w:p>
    <w:p>
      <w:pPr>
        <w:pStyle w:val="16"/>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（一）部门整体支出绩效情况</w:t>
      </w:r>
    </w:p>
    <w:p>
      <w:pPr>
        <w:numPr>
          <w:ilvl w:val="0"/>
          <w:numId w:val="0"/>
        </w:numPr>
        <w:ind w:firstLine="640" w:firstLineChars="200"/>
        <w:rPr>
          <w:rFonts w:hint="eastAsia" w:ascii="仿宋" w:hAnsi="仿宋" w:eastAsia="仿宋" w:cs="仿宋"/>
          <w:sz w:val="32"/>
          <w:szCs w:val="32"/>
          <w:lang w:val="en-US" w:eastAsia="zh-CN"/>
        </w:rPr>
      </w:pPr>
      <w:r>
        <w:rPr>
          <w:rFonts w:hint="eastAsia" w:ascii="仿宋_GB2312" w:hAnsi="仿宋_GB2312" w:eastAsia="仿宋_GB2312" w:cs="仿宋_GB2312"/>
          <w:kern w:val="0"/>
          <w:sz w:val="32"/>
          <w:szCs w:val="32"/>
          <w:lang w:val="en-US" w:eastAsia="zh-CN"/>
        </w:rPr>
        <w:t>2022年，在厅党组的正确领导、厅领导的精心指导及厅各处室单位的大力支持下，中心班子带领全体干部职工深入学习领会贯彻习近平新时代中国特色社会主义思想，努力进取、扎实工作，取得了较好的成效。</w:t>
      </w:r>
      <w:r>
        <w:rPr>
          <w:rFonts w:hint="eastAsia" w:ascii="仿宋" w:hAnsi="仿宋" w:eastAsia="仿宋" w:cs="仿宋"/>
          <w:sz w:val="32"/>
          <w:szCs w:val="32"/>
          <w:lang w:val="en-US" w:eastAsia="zh-CN"/>
        </w:rPr>
        <w:t>现从运行成本、管理效率、履职效能、社会效应、可持续发展能力和服务对象满意度这六个方面进行自评。</w:t>
      </w:r>
    </w:p>
    <w:p>
      <w:pPr>
        <w:pStyle w:val="16"/>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从运行成本</w:t>
      </w:r>
    </w:p>
    <w:p>
      <w:pPr>
        <w:spacing w:line="360" w:lineRule="auto"/>
        <w:ind w:firstLine="640" w:firstLineChars="200"/>
        <w:rPr>
          <w:rFonts w:hint="eastAsia" w:ascii="楷体_GB2312" w:hAnsi="仿宋" w:eastAsia="仿宋" w:cs="仿宋"/>
          <w:b/>
          <w:color w:val="auto"/>
          <w:kern w:val="0"/>
          <w:sz w:val="32"/>
          <w:szCs w:val="32"/>
          <w:lang w:eastAsia="zh-CN"/>
        </w:rPr>
      </w:pPr>
      <w:r>
        <w:rPr>
          <w:rFonts w:hint="eastAsia" w:ascii="Times New Roman" w:hAnsi="Times New Roman" w:eastAsia="仿宋_GB2312"/>
          <w:sz w:val="32"/>
          <w:szCs w:val="32"/>
          <w:lang w:val="en-US" w:eastAsia="zh-CN"/>
        </w:rPr>
        <w:t>部门整体支出预算3134.79万元，决算2572.55万元，执行率82.06%，控制在预算范围内。单位2022年三公经费、会议费、培训费预算均为0，决算数为0。</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lang w:val="en-US" w:eastAsia="zh-CN"/>
        </w:rPr>
        <w:t>022年我中心各项支出</w:t>
      </w:r>
      <w:r>
        <w:rPr>
          <w:rFonts w:hint="eastAsia" w:ascii="仿宋" w:hAnsi="仿宋" w:eastAsia="仿宋" w:cs="仿宋"/>
          <w:color w:val="auto"/>
          <w:sz w:val="32"/>
          <w:szCs w:val="32"/>
        </w:rPr>
        <w:t>均控制在预算</w:t>
      </w:r>
      <w:r>
        <w:rPr>
          <w:rFonts w:hint="eastAsia" w:ascii="仿宋" w:hAnsi="仿宋" w:eastAsia="仿宋" w:cs="仿宋"/>
          <w:color w:val="auto"/>
          <w:sz w:val="32"/>
          <w:szCs w:val="32"/>
          <w:lang w:val="en-US" w:eastAsia="zh-CN"/>
        </w:rPr>
        <w:t>范围</w:t>
      </w:r>
      <w:r>
        <w:rPr>
          <w:rFonts w:hint="eastAsia" w:ascii="仿宋" w:hAnsi="仿宋" w:eastAsia="仿宋" w:cs="仿宋"/>
          <w:color w:val="auto"/>
          <w:sz w:val="32"/>
          <w:szCs w:val="32"/>
        </w:rPr>
        <w:t>内。</w:t>
      </w:r>
    </w:p>
    <w:p>
      <w:pPr>
        <w:pStyle w:val="16"/>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管理效率</w:t>
      </w:r>
      <w:r>
        <w:rPr>
          <w:rFonts w:hint="eastAsia" w:ascii="Times New Roman" w:hAnsi="Times New Roman" w:eastAsia="仿宋_GB2312"/>
          <w:sz w:val="32"/>
          <w:szCs w:val="32"/>
          <w:lang w:val="en-US" w:eastAsia="zh-CN"/>
        </w:rPr>
        <w:t>方面，</w:t>
      </w:r>
      <w:r>
        <w:rPr>
          <w:rFonts w:hint="eastAsia" w:ascii="仿宋_GB2312" w:hAnsi="仿宋_GB2312" w:eastAsia="仿宋_GB2312" w:cs="仿宋_GB2312"/>
          <w:kern w:val="0"/>
          <w:sz w:val="32"/>
          <w:szCs w:val="32"/>
          <w:lang w:val="en-US" w:eastAsia="zh-CN"/>
        </w:rPr>
        <w:t>进一步深化种质保护利用职能，建设柑橘良种资源引进及温室保存圃3200平方米，引进国内外柑橘良种和收集省内特色柑橘种质资源共100个左右，严格开展病虫害检疫与病害检测，并进行温室隔离种植栽培管理。继续抓好江华县野生苦茶、嘉禾县野生茶、新邵县野生桂丁茶3个野生植物原生境保护区建设项目的实施管理，协助厅资源保护与利用处抓好全省野生植物原生境保护区的运行监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hAnsi="仿宋_GB2312" w:eastAsia="仿宋_GB2312" w:cs="仿宋_GB2312"/>
          <w:kern w:val="0"/>
          <w:sz w:val="32"/>
          <w:szCs w:val="32"/>
          <w:lang w:val="en-US" w:eastAsia="zh-CN"/>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、履职效能</w:t>
      </w:r>
      <w:r>
        <w:rPr>
          <w:rFonts w:hint="eastAsia" w:ascii="仿宋_GB2312" w:hAnsi="仿宋_GB2312" w:eastAsia="仿宋_GB2312" w:cs="仿宋_GB2312"/>
          <w:kern w:val="0"/>
          <w:sz w:val="32"/>
          <w:szCs w:val="32"/>
          <w:lang w:val="en-US" w:eastAsia="zh-CN"/>
        </w:rPr>
        <w:t>方面，通过程序化操作、精细化管理，重点繁育示范推广了水果优良品种80个以上，可繁育出圃优良种苗30万株以上，容器育苗率90%以上。通过在宁乡市回龙铺镇与安宁农业科技有限公司合作新扩的现代设施无病毒柑橘良种种苗繁育基地，新增育苗量20万株以上。牵头组建的湖南省柑橘协会种苗分会，制定了柑橘种苗繁育技术规程，规范了种苗生产经营行为。同时加强了中国柑橘改良中心长沙分中心、省农科院园艺所、安化县无病虫柑桔良种繁殖场等单位的紧密联系和合作，探索筹划柑橘为主的水果育繁推一体化省级示范龙头，逐步打造省级水果良种繁育联盟。</w:t>
      </w:r>
    </w:p>
    <w:p>
      <w:pPr>
        <w:pStyle w:val="16"/>
        <w:spacing w:line="600" w:lineRule="exact"/>
        <w:ind w:firstLine="640" w:firstLineChars="200"/>
        <w:rPr>
          <w:rFonts w:hint="eastAsia" w:ascii="仿宋_GB2312" w:hAnsi="仿宋_GB2312" w:eastAsia="仿宋_GB2312" w:cs="仿宋_GB2312"/>
          <w:kern w:val="0"/>
          <w:sz w:val="32"/>
          <w:szCs w:val="32"/>
          <w:lang w:val="en-US"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、社会效应</w:t>
      </w:r>
      <w:r>
        <w:rPr>
          <w:rFonts w:hint="eastAsia" w:ascii="Times New Roman" w:hAnsi="Times New Roman" w:eastAsia="仿宋_GB2312"/>
          <w:sz w:val="32"/>
          <w:szCs w:val="32"/>
          <w:lang w:val="en-US" w:eastAsia="zh-CN"/>
        </w:rPr>
        <w:t>方面，</w:t>
      </w:r>
      <w:r>
        <w:rPr>
          <w:rFonts w:hint="eastAsia" w:ascii="仿宋_GB2312" w:hAnsi="仿宋_GB2312" w:eastAsia="仿宋_GB2312" w:cs="仿宋_GB2312"/>
          <w:kern w:val="0"/>
          <w:sz w:val="32"/>
          <w:szCs w:val="32"/>
          <w:lang w:val="en-US" w:eastAsia="zh-CN"/>
        </w:rPr>
        <w:t>北京新发地湖南优农展销馆组织湖南优质农产品展示展销、产销对接等，为农业产业发展提供市场推介服务。全年展示湖南名优企业80多家，展示展销湖南优质农产品200多种，在新媒体发布宣传湖南大宗优质农产品信息，为50余家企业的产品进京牵线搭桥。</w:t>
      </w:r>
    </w:p>
    <w:p>
      <w:pPr>
        <w:pStyle w:val="16"/>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、可持续发展能力</w:t>
      </w:r>
    </w:p>
    <w:p>
      <w:pPr>
        <w:pStyle w:val="16"/>
        <w:spacing w:line="600" w:lineRule="exact"/>
        <w:ind w:firstLine="640" w:firstLineChars="200"/>
        <w:rPr>
          <w:rFonts w:hint="eastAsia" w:ascii="Times New Roman" w:hAnsi="Times New Roman" w:eastAsia="仿宋_GB2312"/>
          <w:sz w:val="32"/>
          <w:szCs w:val="32"/>
        </w:rPr>
      </w:pPr>
      <w:r>
        <w:rPr>
          <w:rFonts w:hint="eastAsia" w:ascii="仿宋_GB2312" w:hAnsi="仿宋_GB2312" w:eastAsia="仿宋_GB2312" w:cs="仿宋_GB2312"/>
          <w:kern w:val="0"/>
          <w:sz w:val="32"/>
          <w:szCs w:val="32"/>
          <w:lang w:val="en-US" w:eastAsia="zh-CN"/>
        </w:rPr>
        <w:t>经常性组织科技人员深入到益阳、湘西、株洲、娄底、长沙等地进行实地调研、现场诊断和专业培训、技术指导，为果茶产业基地建设提供专家咨询、规划设计、农机农艺融合操作示范、田间技术指导以及多种形式的技术讲座，推广优良品种、先进栽培技术模式、农机具和田间培管技术。</w:t>
      </w:r>
    </w:p>
    <w:p>
      <w:pPr>
        <w:pStyle w:val="16"/>
        <w:numPr>
          <w:ilvl w:val="0"/>
          <w:numId w:val="3"/>
        </w:numPr>
        <w:spacing w:line="600" w:lineRule="exact"/>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6"/>
        <w:numPr>
          <w:ilvl w:val="0"/>
          <w:numId w:val="0"/>
        </w:numPr>
        <w:spacing w:line="600" w:lineRule="exact"/>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通过调查，服务对象满意度在90%以上。</w:t>
      </w:r>
    </w:p>
    <w:p>
      <w:pPr>
        <w:pStyle w:val="16"/>
        <w:spacing w:line="60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（二）存在的问题及原因分析</w:t>
      </w:r>
    </w:p>
    <w:p>
      <w:pPr>
        <w:pStyle w:val="16"/>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单位整体支出预算执行率有待提高，我单位2022年整体支出预算执行率为82.06%，主要是因为项目支出预算执行率低，基本支出预算执行率为100%，但项目支出预算执行率仅为75.80%，原因一是2020年农业野生植物原生境保护区建设项目严控质量、严把手续关，财评后金额核减形成结余，二是湖南省2021年农业野生植物（野生茶）原生境保护区建设项目跨年实施。</w:t>
      </w:r>
    </w:p>
    <w:p>
      <w:pPr>
        <w:pStyle w:val="16"/>
        <w:spacing w:line="600" w:lineRule="exact"/>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改进措施：一是加快2021年农业野生植物（野生茶）原生境保护区建设项目的实施，二是在预算编制时，细化各项支出，提高预算编制的精确性。</w:t>
      </w: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both"/>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p>
    <w:p>
      <w:pPr>
        <w:pStyle w:val="16"/>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jc w:val="center"/>
        <w:rPr>
          <w:rFonts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6"/>
        <w:ind w:firstLine="600" w:firstLineChars="200"/>
        <w:rPr>
          <w:rFonts w:ascii="Times New Roman" w:hAnsi="仿宋" w:eastAsia="仿宋" w:cs="Times New Roman"/>
          <w:color w:val="000000" w:themeColor="text1"/>
          <w:sz w:val="30"/>
          <w:szCs w:val="30"/>
        </w:rPr>
      </w:pPr>
      <w:r>
        <w:rPr>
          <w:rFonts w:hint="eastAsia" w:ascii="Times New Roman" w:hAnsi="仿宋" w:eastAsia="仿宋" w:cs="Times New Roman"/>
          <w:color w:val="000000" w:themeColor="text1"/>
          <w:sz w:val="30"/>
          <w:szCs w:val="30"/>
          <w:lang w:eastAsia="zh-CN"/>
        </w:rPr>
        <w:t>（</w:t>
      </w:r>
      <w:r>
        <w:rPr>
          <w:rFonts w:hint="eastAsia" w:ascii="Times New Roman" w:hAnsi="仿宋" w:eastAsia="仿宋" w:cs="Times New Roman"/>
          <w:color w:val="000000" w:themeColor="text1"/>
          <w:sz w:val="30"/>
          <w:szCs w:val="30"/>
          <w:lang w:val="en-US" w:eastAsia="zh-CN"/>
        </w:rPr>
        <w:t>一）</w:t>
      </w:r>
      <w:r>
        <w:rPr>
          <w:rFonts w:hint="eastAsia" w:ascii="Times New Roman" w:hAnsi="仿宋" w:eastAsia="仿宋" w:cs="Times New Roman"/>
          <w:color w:val="000000" w:themeColor="text1"/>
          <w:sz w:val="30"/>
          <w:szCs w:val="30"/>
        </w:rPr>
        <w:t>基</w:t>
      </w:r>
      <w:r>
        <w:rPr>
          <w:rFonts w:ascii="Times New Roman" w:hAnsi="仿宋" w:eastAsia="仿宋" w:cs="Times New Roman"/>
          <w:color w:val="000000" w:themeColor="text1"/>
          <w:sz w:val="30"/>
          <w:szCs w:val="30"/>
        </w:rPr>
        <w:t>本支出：指为保障机构正常运转、完成日常工作任务而 发生的各项支出，包括人员支出和公用支出。</w:t>
      </w:r>
    </w:p>
    <w:p>
      <w:pPr>
        <w:pStyle w:val="16"/>
        <w:ind w:firstLine="450" w:firstLineChars="150"/>
        <w:rPr>
          <w:rFonts w:ascii="Times New Roman" w:hAnsi="仿宋" w:eastAsia="仿宋" w:cs="Times New Roman"/>
          <w:color w:val="000000" w:themeColor="text1"/>
          <w:sz w:val="30"/>
          <w:szCs w:val="30"/>
        </w:rPr>
      </w:pPr>
      <w:r>
        <w:rPr>
          <w:rFonts w:hint="eastAsia" w:ascii="Times New Roman" w:hAnsi="仿宋" w:eastAsia="仿宋" w:cs="Times New Roman"/>
          <w:color w:val="000000" w:themeColor="text1"/>
          <w:sz w:val="30"/>
          <w:szCs w:val="30"/>
          <w:lang w:eastAsia="zh-CN"/>
        </w:rPr>
        <w:t>（</w:t>
      </w:r>
      <w:r>
        <w:rPr>
          <w:rFonts w:hint="eastAsia" w:ascii="Times New Roman" w:hAnsi="仿宋" w:eastAsia="仿宋" w:cs="Times New Roman"/>
          <w:color w:val="000000" w:themeColor="text1"/>
          <w:sz w:val="30"/>
          <w:szCs w:val="30"/>
          <w:lang w:val="en-US" w:eastAsia="zh-CN"/>
        </w:rPr>
        <w:t>二）</w:t>
      </w:r>
      <w:r>
        <w:rPr>
          <w:rFonts w:ascii="Times New Roman" w:hAnsi="仿宋" w:eastAsia="仿宋" w:cs="Times New Roman"/>
          <w:color w:val="000000" w:themeColor="text1"/>
          <w:sz w:val="30"/>
          <w:szCs w:val="30"/>
        </w:rPr>
        <w:t xml:space="preserve"> 项目支出：指在基本支出以外为完成相关行政任务和事业 发展目标所发生的各项支出。 </w:t>
      </w:r>
    </w:p>
    <w:p>
      <w:pPr>
        <w:pStyle w:val="16"/>
        <w:ind w:firstLine="600" w:firstLineChars="200"/>
        <w:rPr>
          <w:rFonts w:ascii="仿宋" w:hAnsi="仿宋" w:eastAsia="仿宋"/>
          <w:bCs/>
          <w:sz w:val="32"/>
          <w:szCs w:val="32"/>
        </w:rPr>
      </w:pPr>
      <w:r>
        <w:rPr>
          <w:rFonts w:hint="eastAsia" w:ascii="Times New Roman" w:hAnsi="仿宋" w:eastAsia="仿宋" w:cs="Times New Roman"/>
          <w:color w:val="000000" w:themeColor="text1"/>
          <w:sz w:val="30"/>
          <w:szCs w:val="30"/>
          <w:lang w:eastAsia="zh-CN"/>
        </w:rPr>
        <w:t>（</w:t>
      </w:r>
      <w:r>
        <w:rPr>
          <w:rFonts w:hint="eastAsia" w:ascii="Times New Roman" w:hAnsi="仿宋" w:eastAsia="仿宋" w:cs="Times New Roman"/>
          <w:color w:val="000000" w:themeColor="text1"/>
          <w:sz w:val="30"/>
          <w:szCs w:val="30"/>
          <w:lang w:val="en-US" w:eastAsia="zh-CN"/>
        </w:rPr>
        <w:t>三）</w:t>
      </w:r>
      <w:r>
        <w:rPr>
          <w:rFonts w:ascii="Times New Roman" w:hAnsi="仿宋" w:eastAsia="仿宋" w:cs="Times New Roman"/>
          <w:color w:val="000000" w:themeColor="text1"/>
          <w:sz w:val="30"/>
          <w:szCs w:val="30"/>
        </w:rPr>
        <w:t>“</w:t>
      </w:r>
      <w:r>
        <w:rPr>
          <w:rFonts w:hint="eastAsia" w:ascii="仿宋" w:hAnsi="仿宋" w:eastAsia="仿宋" w:cs="黑体"/>
          <w:bCs/>
          <w:color w:val="000000"/>
          <w:kern w:val="0"/>
          <w:sz w:val="32"/>
          <w:szCs w:val="32"/>
          <w:lang w:val="en-US" w:eastAsia="zh-CN" w:bidi="ar-SA"/>
        </w:rPr>
        <w:t>“三公”经费:纳入省财政预算管理的“三</w:t>
      </w:r>
      <w:r>
        <w:rPr>
          <w:rFonts w:hint="eastAsia" w:ascii="仿宋" w:hAnsi="仿宋" w:eastAsia="仿宋"/>
          <w:bCs/>
          <w:sz w:val="32"/>
          <w:szCs w:val="32"/>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ind w:firstLine="600" w:firstLineChars="200"/>
        <w:jc w:val="left"/>
        <w:rPr>
          <w:rFonts w:ascii="黑体" w:eastAsia="黑体" w:cs="黑体"/>
          <w:color w:val="000000" w:themeColor="text1"/>
          <w:kern w:val="0"/>
          <w:sz w:val="70"/>
          <w:szCs w:val="70"/>
        </w:rPr>
      </w:pPr>
      <w:r>
        <w:rPr>
          <w:rFonts w:hint="eastAsia" w:ascii="Times New Roman" w:hAnsi="仿宋" w:eastAsia="仿宋" w:cs="Times New Roman"/>
          <w:color w:val="000000" w:themeColor="text1"/>
          <w:sz w:val="30"/>
          <w:szCs w:val="30"/>
          <w:lang w:eastAsia="zh-CN"/>
        </w:rPr>
        <w:t>（</w:t>
      </w:r>
      <w:r>
        <w:rPr>
          <w:rFonts w:hint="eastAsia" w:ascii="Times New Roman" w:hAnsi="仿宋" w:eastAsia="仿宋" w:cs="Times New Roman"/>
          <w:color w:val="000000" w:themeColor="text1"/>
          <w:sz w:val="30"/>
          <w:szCs w:val="30"/>
          <w:lang w:val="en-US" w:eastAsia="zh-CN"/>
        </w:rPr>
        <w:t>四）</w:t>
      </w:r>
      <w:r>
        <w:rPr>
          <w:rFonts w:ascii="Times New Roman" w:hAnsi="仿宋" w:eastAsia="仿宋" w:cs="Times New Roman"/>
          <w:color w:val="000000" w:themeColor="text1"/>
          <w:sz w:val="30"/>
          <w:szCs w:val="30"/>
        </w:rPr>
        <w:t>机关运行经费：是指各部门的公用经费，包括办公及印刷 费、邮电费、差旅费、会议费、福利费、日常维修费、专用材 料及一般设备购置费、办公用房水电费、办公用房取暖费、办公用房物业管理费、公务用车运行维护费以及其他费用。</w:t>
      </w: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pStyle w:val="16"/>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70081E"/>
    <w:multiLevelType w:val="singleLevel"/>
    <w:tmpl w:val="BE70081E"/>
    <w:lvl w:ilvl="0" w:tentative="0">
      <w:start w:val="6"/>
      <w:numFmt w:val="decimal"/>
      <w:suff w:val="nothing"/>
      <w:lvlText w:val="%1、"/>
      <w:lvlJc w:val="left"/>
    </w:lvl>
  </w:abstractNum>
  <w:abstractNum w:abstractNumId="1">
    <w:nsid w:val="1C873317"/>
    <w:multiLevelType w:val="singleLevel"/>
    <w:tmpl w:val="1C873317"/>
    <w:lvl w:ilvl="0" w:tentative="0">
      <w:start w:val="1"/>
      <w:numFmt w:val="chineseCounting"/>
      <w:suff w:val="nothing"/>
      <w:lvlText w:val="（%1）"/>
      <w:lvlJc w:val="left"/>
      <w:rPr>
        <w:rFonts w:hint="eastAsia"/>
      </w:rPr>
    </w:lvl>
  </w:abstractNum>
  <w:abstractNum w:abstractNumId="2">
    <w:nsid w:val="2393707A"/>
    <w:multiLevelType w:val="multilevel"/>
    <w:tmpl w:val="2393707A"/>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123D8"/>
    <w:rsid w:val="000123D8"/>
    <w:rsid w:val="00241130"/>
    <w:rsid w:val="0077409C"/>
    <w:rsid w:val="01715D40"/>
    <w:rsid w:val="037F450A"/>
    <w:rsid w:val="04440661"/>
    <w:rsid w:val="1BA71BAC"/>
    <w:rsid w:val="262F5FF8"/>
    <w:rsid w:val="3D5D717A"/>
    <w:rsid w:val="490C5ACF"/>
    <w:rsid w:val="4EE7047F"/>
    <w:rsid w:val="526347B3"/>
    <w:rsid w:val="6EA7684E"/>
    <w:rsid w:val="70484F4B"/>
    <w:rsid w:val="72CC41C8"/>
    <w:rsid w:val="74E43B0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spacing w:line="336" w:lineRule="auto"/>
      <w:ind w:left="200" w:firstLine="40"/>
    </w:pPr>
    <w:rPr>
      <w:rFonts w:ascii="仿宋_GB2312" w:hAnsi="仿宋_GB2312" w:eastAsia="仿宋" w:cs="仿宋_GB2312"/>
      <w:szCs w:val="32"/>
    </w:rPr>
  </w:style>
  <w:style w:type="paragraph" w:styleId="3">
    <w:name w:val="Body Text Indent"/>
    <w:basedOn w:val="1"/>
    <w:qFormat/>
    <w:uiPriority w:val="0"/>
    <w:pPr>
      <w:keepNext w:val="0"/>
      <w:keepLines w:val="0"/>
      <w:widowControl w:val="0"/>
      <w:suppressLineNumbers w:val="0"/>
      <w:spacing w:before="0" w:beforeLines="0" w:beforeAutospacing="0" w:after="0" w:afterLines="0" w:afterAutospacing="0"/>
      <w:ind w:left="0" w:right="0" w:firstLine="666" w:firstLineChars="262"/>
      <w:jc w:val="both"/>
    </w:pPr>
    <w:rPr>
      <w:rFonts w:hint="default" w:ascii="Calibri" w:hAnsi="Calibri" w:eastAsia="宋体" w:cs="黑体"/>
      <w:kern w:val="2"/>
      <w:sz w:val="24"/>
      <w:szCs w:val="24"/>
      <w:lang w:val="en-US" w:eastAsia="zh-CN" w:bidi="ar-SA"/>
    </w:rPr>
  </w:style>
  <w:style w:type="paragraph" w:styleId="4">
    <w:name w:val="index 6"/>
    <w:basedOn w:val="1"/>
    <w:next w:val="1"/>
    <w:qFormat/>
    <w:uiPriority w:val="0"/>
    <w:pPr>
      <w:widowControl w:val="0"/>
      <w:ind w:left="2100"/>
      <w:jc w:val="both"/>
    </w:pPr>
    <w:rPr>
      <w:rFonts w:ascii="Calibri" w:hAnsi="Calibri" w:eastAsia="宋体" w:cs="Times New Roman"/>
      <w:kern w:val="2"/>
      <w:sz w:val="21"/>
      <w:lang w:val="en-US" w:eastAsia="zh-CN" w:bidi="ar-SA"/>
    </w:rPr>
  </w:style>
  <w:style w:type="paragraph" w:styleId="5">
    <w:name w:val="Body Text Indent 2"/>
    <w:basedOn w:val="1"/>
    <w:unhideWhenUsed/>
    <w:qFormat/>
    <w:uiPriority w:val="99"/>
    <w:pPr>
      <w:spacing w:before="100" w:beforeAutospacing="1" w:after="120" w:line="480" w:lineRule="auto"/>
      <w:ind w:left="200" w:leftChars="200"/>
    </w:pPr>
  </w:style>
  <w:style w:type="paragraph" w:styleId="6">
    <w:name w:val="Balloon Text"/>
    <w:basedOn w:val="1"/>
    <w:link w:val="18"/>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style>
  <w:style w:type="paragraph" w:customStyle="1" w:styleId="12">
    <w:name w:val="Footer"/>
    <w:basedOn w:val="1"/>
    <w:link w:val="15"/>
    <w:unhideWhenUsed/>
    <w:qFormat/>
    <w:uiPriority w:val="99"/>
    <w:pPr>
      <w:tabs>
        <w:tab w:val="center" w:pos="4153"/>
        <w:tab w:val="right" w:pos="8306"/>
      </w:tabs>
      <w:snapToGrid w:val="0"/>
      <w:jc w:val="left"/>
    </w:pPr>
    <w:rPr>
      <w:sz w:val="18"/>
      <w:szCs w:val="18"/>
    </w:rPr>
  </w:style>
  <w:style w:type="paragraph" w:customStyle="1" w:styleId="13">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4">
    <w:name w:val="页眉 Char"/>
    <w:basedOn w:val="11"/>
    <w:link w:val="13"/>
    <w:qFormat/>
    <w:uiPriority w:val="99"/>
    <w:rPr>
      <w:sz w:val="18"/>
      <w:szCs w:val="18"/>
    </w:rPr>
  </w:style>
  <w:style w:type="character" w:customStyle="1" w:styleId="15">
    <w:name w:val="页脚 Char"/>
    <w:basedOn w:val="11"/>
    <w:link w:val="12"/>
    <w:qFormat/>
    <w:uiPriority w:val="99"/>
    <w:rPr>
      <w:sz w:val="18"/>
      <w:szCs w:val="18"/>
    </w:rPr>
  </w:style>
  <w:style w:type="paragraph" w:customStyle="1" w:styleId="1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Char"/>
    <w:basedOn w:val="11"/>
    <w:link w:val="6"/>
    <w:semiHidden/>
    <w:qFormat/>
    <w:uiPriority w:val="99"/>
    <w:rPr>
      <w:sz w:val="18"/>
      <w:szCs w:val="18"/>
    </w:rPr>
  </w:style>
  <w:style w:type="character" w:customStyle="1" w:styleId="19">
    <w:name w:val="font01"/>
    <w:basedOn w:val="11"/>
    <w:qFormat/>
    <w:uiPriority w:val="0"/>
    <w:rPr>
      <w:rFonts w:hint="eastAsia" w:ascii="宋体" w:hAnsi="宋体" w:eastAsia="宋体" w:cs="宋体"/>
      <w:color w:val="000000"/>
      <w:sz w:val="22"/>
      <w:szCs w:val="22"/>
      <w:u w:val="none"/>
    </w:rPr>
  </w:style>
  <w:style w:type="character" w:customStyle="1" w:styleId="20">
    <w:name w:val="font21"/>
    <w:basedOn w:val="11"/>
    <w:qFormat/>
    <w:uiPriority w:val="0"/>
    <w:rPr>
      <w:rFonts w:hint="eastAsia" w:ascii="宋体" w:hAnsi="宋体" w:eastAsia="宋体" w:cs="宋体"/>
      <w:color w:val="000000"/>
      <w:sz w:val="24"/>
      <w:szCs w:val="24"/>
      <w:u w:val="none"/>
    </w:rPr>
  </w:style>
  <w:style w:type="character" w:customStyle="1" w:styleId="21">
    <w:name w:val="font11"/>
    <w:basedOn w:val="11"/>
    <w:qFormat/>
    <w:uiPriority w:val="0"/>
    <w:rPr>
      <w:rFonts w:hint="eastAsia" w:ascii="宋体" w:hAnsi="宋体" w:eastAsia="宋体" w:cs="宋体"/>
      <w:color w:val="000000"/>
      <w:sz w:val="24"/>
      <w:szCs w:val="24"/>
      <w:u w:val="none"/>
    </w:rPr>
  </w:style>
  <w:style w:type="character" w:customStyle="1" w:styleId="22">
    <w:name w:val="页眉 Char1"/>
    <w:basedOn w:val="11"/>
    <w:link w:val="8"/>
    <w:qFormat/>
    <w:uiPriority w:val="99"/>
    <w:rPr>
      <w:rFonts w:asciiTheme="minorHAnsi" w:hAnsiTheme="minorHAnsi" w:eastAsiaTheme="minorEastAsia" w:cstheme="minorBidi"/>
      <w:kern w:val="2"/>
      <w:sz w:val="18"/>
      <w:szCs w:val="18"/>
    </w:rPr>
  </w:style>
  <w:style w:type="character" w:customStyle="1" w:styleId="23">
    <w:name w:val="页脚 Char1"/>
    <w:basedOn w:val="11"/>
    <w:link w:val="7"/>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5.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8.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73323B4-1F39-4F8D-8ED8-0B936538E672}">
  <ds:schemaRefs/>
</ds:datastoreItem>
</file>

<file path=customXml/itemProps2.xml><?xml version="1.0" encoding="utf-8"?>
<ds:datastoreItem xmlns:ds="http://schemas.openxmlformats.org/officeDocument/2006/customXml" ds:itemID="{AA07327C-C6AA-4112-8918-6E21C282BB93}">
  <ds:schemaRefs/>
</ds:datastoreItem>
</file>

<file path=customXml/itemProps3.xml><?xml version="1.0" encoding="utf-8"?>
<ds:datastoreItem xmlns:ds="http://schemas.openxmlformats.org/officeDocument/2006/customXml" ds:itemID="{4D3B1984-4342-4AFF-A961-2D445B5E2829}">
  <ds:schemaRefs/>
</ds:datastoreItem>
</file>

<file path=customXml/itemProps4.xml><?xml version="1.0" encoding="utf-8"?>
<ds:datastoreItem xmlns:ds="http://schemas.openxmlformats.org/officeDocument/2006/customXml" ds:itemID="{1B3830C8-D479-446D-9DDE-082B5C111296}">
  <ds:schemaRefs/>
</ds:datastoreItem>
</file>

<file path=customXml/itemProps5.xml><?xml version="1.0" encoding="utf-8"?>
<ds:datastoreItem xmlns:ds="http://schemas.openxmlformats.org/officeDocument/2006/customXml" ds:itemID="{A7327019-3A57-40E8-9404-357D60ADAC4E}">
  <ds:schemaRefs/>
</ds:datastoreItem>
</file>

<file path=customXml/itemProps6.xml><?xml version="1.0" encoding="utf-8"?>
<ds:datastoreItem xmlns:ds="http://schemas.openxmlformats.org/officeDocument/2006/customXml" ds:itemID="{38FA03DF-5D38-4545-8518-74BD0C901857}">
  <ds:schemaRefs/>
</ds:datastoreItem>
</file>

<file path=customXml/itemProps7.xml><?xml version="1.0" encoding="utf-8"?>
<ds:datastoreItem xmlns:ds="http://schemas.openxmlformats.org/officeDocument/2006/customXml" ds:itemID="{1DCC3178-0AA7-47AA-B3CD-E3AAD94C4B0D}">
  <ds:schemaRefs/>
</ds:datastoreItem>
</file>

<file path=customXml/itemProps8.xml><?xml version="1.0" encoding="utf-8"?>
<ds:datastoreItem xmlns:ds="http://schemas.openxmlformats.org/officeDocument/2006/customXml" ds:itemID="{13E4AE1B-26A4-4BF9-A6DC-42F5C7D3FA51}">
  <ds:schemaRefs/>
</ds:datastoreItem>
</file>

<file path=customXml/itemProps9.xml><?xml version="1.0" encoding="utf-8"?>
<ds:datastoreItem xmlns:ds="http://schemas.openxmlformats.org/officeDocument/2006/customXml" ds:itemID="{2765DD11-843A-43F3-A2B0-F80AC5410D8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1264</Words>
  <Characters>7209</Characters>
  <Lines>60</Lines>
  <Paragraphs>16</Paragraphs>
  <TotalTime>0</TotalTime>
  <ScaleCrop>false</ScaleCrop>
  <LinksUpToDate>false</LinksUpToDate>
  <CharactersWithSpaces>8457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2023-08-21T06:56:00Z</cp:lastPrinted>
  <dcterms:modified xsi:type="dcterms:W3CDTF">2023-11-01T12:55:01Z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