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2022年度</w:t>
      </w: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湖南省农机事务中心</w:t>
      </w: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2"/>
        <w:jc w:val="center"/>
        <w:rPr>
          <w:rFonts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spacing w:line="500" w:lineRule="exact"/>
        <w:jc w:val="both"/>
        <w:rPr>
          <w:b/>
          <w:sz w:val="36"/>
          <w:szCs w:val="28"/>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Ansi="黑体"/>
          <w:bCs/>
          <w:sz w:val="28"/>
          <w:szCs w:val="28"/>
        </w:rPr>
      </w:pPr>
      <w:r>
        <w:rPr>
          <w:rFonts w:hint="eastAsia" w:hAnsi="黑体"/>
          <w:bCs/>
          <w:sz w:val="28"/>
          <w:szCs w:val="28"/>
        </w:rPr>
        <w:t>第一部分湖南省农机事务中心概况</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Ansi="黑体"/>
          <w:bCs/>
          <w:sz w:val="28"/>
          <w:szCs w:val="28"/>
        </w:rPr>
      </w:pPr>
      <w:r>
        <w:rPr>
          <w:rFonts w:hint="eastAsia" w:hAnsi="黑体"/>
          <w:bCs/>
          <w:sz w:val="28"/>
          <w:szCs w:val="28"/>
        </w:rPr>
        <w:t>第二部分部门决算表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Ansi="黑体"/>
          <w:bCs/>
          <w:sz w:val="28"/>
          <w:szCs w:val="28"/>
        </w:rPr>
      </w:pPr>
      <w:r>
        <w:rPr>
          <w:rFonts w:hint="eastAsia" w:hAnsi="黑体"/>
          <w:bCs/>
          <w:sz w:val="28"/>
          <w:szCs w:val="28"/>
        </w:rPr>
        <w:t>第三部分部门决算情况说明</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2"/>
        <w:spacing w:line="500" w:lineRule="exact"/>
        <w:rPr>
          <w:rFonts w:hAnsi="黑体"/>
          <w:bCs/>
          <w:sz w:val="28"/>
          <w:szCs w:val="28"/>
        </w:rPr>
      </w:pPr>
      <w:r>
        <w:rPr>
          <w:rFonts w:hint="eastAsia" w:hAnsi="黑体"/>
          <w:bCs/>
          <w:sz w:val="28"/>
          <w:szCs w:val="28"/>
        </w:rPr>
        <w:t>第四部分名词解释</w:t>
      </w:r>
    </w:p>
    <w:p>
      <w:pPr>
        <w:jc w:val="center"/>
        <w:rPr>
          <w:sz w:val="72"/>
          <w:szCs w:val="72"/>
        </w:rPr>
      </w:pPr>
    </w:p>
    <w:p>
      <w:pPr>
        <w:jc w:val="center"/>
        <w:rPr>
          <w:sz w:val="72"/>
          <w:szCs w:val="72"/>
        </w:rPr>
      </w:pPr>
    </w:p>
    <w:p>
      <w:pPr>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72"/>
          <w:szCs w:val="72"/>
        </w:rPr>
        <w:t>第一部分</w:t>
      </w:r>
      <w:r>
        <w:rPr>
          <w:rFonts w:hint="eastAsia" w:ascii="方正小标宋_GBK" w:hAnsi="方正小标宋_GBK" w:eastAsia="方正小标宋_GBK" w:cs="方正小标宋_GBK"/>
          <w:sz w:val="84"/>
          <w:szCs w:val="84"/>
        </w:rPr>
        <w:t xml:space="preserve"> </w:t>
      </w:r>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湖南省农机事务中心概况</w:t>
      </w: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pStyle w:val="13"/>
        <w:numPr>
          <w:ilvl w:val="0"/>
          <w:numId w:val="0"/>
        </w:numPr>
        <w:ind w:leftChars="0"/>
        <w:jc w:val="left"/>
        <w:rPr>
          <w:rFonts w:ascii="黑体" w:hAnsi="黑体" w:eastAsia="黑体"/>
          <w:sz w:val="32"/>
          <w:szCs w:val="32"/>
        </w:rPr>
      </w:pPr>
    </w:p>
    <w:p>
      <w:pPr>
        <w:pStyle w:val="13"/>
        <w:numPr>
          <w:ilvl w:val="0"/>
          <w:numId w:val="0"/>
        </w:numPr>
        <w:ind w:leftChars="0"/>
        <w:jc w:val="left"/>
        <w:rPr>
          <w:rFonts w:ascii="黑体" w:hAnsi="黑体" w:eastAsia="黑体"/>
          <w:sz w:val="32"/>
          <w:szCs w:val="32"/>
        </w:rPr>
      </w:pPr>
    </w:p>
    <w:p>
      <w:pPr>
        <w:pStyle w:val="13"/>
        <w:numPr>
          <w:ilvl w:val="0"/>
          <w:numId w:val="0"/>
        </w:numPr>
        <w:ind w:leftChars="0"/>
        <w:jc w:val="left"/>
        <w:rPr>
          <w:rFonts w:ascii="黑体" w:hAnsi="黑体" w:eastAsia="黑体"/>
          <w:sz w:val="32"/>
          <w:szCs w:val="32"/>
        </w:rPr>
      </w:pPr>
    </w:p>
    <w:p>
      <w:pPr>
        <w:pStyle w:val="13"/>
        <w:numPr>
          <w:ilvl w:val="0"/>
          <w:numId w:val="0"/>
        </w:numPr>
        <w:ind w:leftChars="0"/>
        <w:jc w:val="left"/>
        <w:rPr>
          <w:rFonts w:ascii="黑体" w:hAnsi="黑体" w:eastAsia="黑体"/>
          <w:sz w:val="32"/>
          <w:szCs w:val="32"/>
        </w:rPr>
      </w:pPr>
    </w:p>
    <w:p>
      <w:pPr>
        <w:pStyle w:val="13"/>
        <w:numPr>
          <w:ilvl w:val="0"/>
          <w:numId w:val="0"/>
        </w:numPr>
        <w:ind w:left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（一）为全省农业机械化生产、农机社会化服务、农机维修、农机抗灾救灾、农机安全生产监管等相关工作提供技术支持、服务保障和相关公益服务。承担农业机械从业人员教育培训和职业技能开发工作。</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（二）承担农业机械补贴政策实施相关事务性工作。</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（三）承担农业机械化信息网络建设运行、农业机械化生产信息统计工作。</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（四）承担农业机械新机具、新技术的引进和示范推广等相关技术性、事务性工作。承担省级支持推广的农业机械产品目录制定相关技术性、事务性工作。</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（五）承担农业机械试验鉴定相关技术性工作。</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（六）对市县农机事务中心进行业务和技术指导。联系农机行业相关学会、协会。</w:t>
      </w:r>
    </w:p>
    <w:p>
      <w:pPr>
        <w:widowControl/>
        <w:spacing w:line="600" w:lineRule="exact"/>
        <w:ind w:firstLine="627" w:firstLineChars="196"/>
        <w:rPr>
          <w:rFonts w:asciiTheme="minorEastAsia" w:hAnsiTheme="minorEastAsia"/>
          <w:bCs/>
          <w:kern w:val="0"/>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（一）内设机构设置。省农机事务中心内设机构包括：综合部、党群人事部、生产服务部、产业发展部、科技推广部、安全监理部、试验鉴定部。</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（二）决算单位构成。省农机事务中心</w:t>
      </w:r>
      <w:r>
        <w:rPr>
          <w:rFonts w:asciiTheme="minorEastAsia" w:hAnsiTheme="minorEastAsia"/>
          <w:bCs/>
          <w:kern w:val="0"/>
          <w:sz w:val="32"/>
          <w:szCs w:val="32"/>
        </w:rPr>
        <w:t>20</w:t>
      </w:r>
      <w:r>
        <w:rPr>
          <w:rFonts w:hint="eastAsia" w:asciiTheme="minorEastAsia" w:hAnsiTheme="minorEastAsia"/>
          <w:bCs/>
          <w:kern w:val="0"/>
          <w:sz w:val="32"/>
          <w:szCs w:val="32"/>
        </w:rPr>
        <w:t>22年部门决算汇总公开单位构成包括：省农机事务中心本级。</w:t>
      </w:r>
    </w:p>
    <w:p>
      <w:pPr>
        <w:jc w:val="left"/>
        <w:rPr>
          <w:rFonts w:ascii="仿宋_GB2312" w:eastAsia="仿宋_GB2312" w:hAnsiTheme="minorEastAsia"/>
          <w:sz w:val="28"/>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12"/>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sectPr>
          <w:pgSz w:w="11906" w:h="16838"/>
          <w:pgMar w:top="1134" w:right="1080" w:bottom="1134" w:left="1080" w:header="851" w:footer="992" w:gutter="0"/>
          <w:cols w:space="425" w:num="1"/>
          <w:docGrid w:type="lines" w:linePitch="312" w:charSpace="0"/>
        </w:sectPr>
      </w:pPr>
    </w:p>
    <w:p>
      <w:pPr>
        <w:jc w:val="center"/>
        <w:rPr>
          <w:rFonts w:ascii="华文中宋" w:hAnsi="华文中宋" w:eastAsia="华文中宋"/>
          <w:color w:val="000000"/>
          <w:sz w:val="32"/>
          <w:szCs w:val="32"/>
        </w:rPr>
      </w:pPr>
    </w:p>
    <w:p>
      <w:pPr>
        <w:widowControl/>
        <w:jc w:val="center"/>
        <w:rPr>
          <w:rFonts w:ascii="Times New Roman" w:hAnsi="Times New Roman" w:eastAsia="方正小标宋_GBK" w:cs="Times New Roman"/>
          <w:kern w:val="0"/>
          <w:sz w:val="36"/>
          <w:szCs w:val="36"/>
        </w:rPr>
      </w:pPr>
      <w:r>
        <w:rPr>
          <w:rFonts w:hint="eastAsia" w:ascii="Times New Roman" w:hAnsi="Times New Roman" w:eastAsia="方正小标宋_GBK" w:cs="Times New Roman"/>
          <w:kern w:val="0"/>
          <w:sz w:val="36"/>
          <w:szCs w:val="36"/>
        </w:rPr>
        <w:t>收入支出决算总表</w:t>
      </w:r>
    </w:p>
    <w:p>
      <w:pPr>
        <w:jc w:val="right"/>
        <w:rPr>
          <w:rFonts w:asciiTheme="minorEastAsia" w:hAnsiTheme="minorEastAsia" w:cstheme="minorEastAsia"/>
          <w:szCs w:val="21"/>
        </w:rPr>
      </w:pPr>
      <w:r>
        <w:rPr>
          <w:rFonts w:hint="eastAsia" w:asciiTheme="minorEastAsia" w:hAnsiTheme="minorEastAsia" w:cstheme="minorEastAsia"/>
          <w:szCs w:val="21"/>
        </w:rPr>
        <w:t>公开01表</w:t>
      </w:r>
    </w:p>
    <w:p>
      <w:pPr>
        <w:wordWrap w:val="0"/>
        <w:ind w:right="420"/>
        <w:rPr>
          <w:rFonts w:asciiTheme="minorEastAsia" w:hAnsiTheme="minorEastAsia" w:cstheme="minorEastAsia"/>
          <w:szCs w:val="21"/>
        </w:rPr>
      </w:pPr>
      <w:r>
        <w:rPr>
          <w:rFonts w:hint="eastAsia" w:asciiTheme="minorEastAsia" w:hAnsiTheme="minorEastAsia" w:cstheme="minorEastAsia"/>
          <w:szCs w:val="21"/>
          <w:highlight w:val="none"/>
        </w:rPr>
        <w:t>部门：</w:t>
      </w:r>
      <w:r>
        <w:rPr>
          <w:rFonts w:hint="eastAsia" w:asciiTheme="minorEastAsia" w:hAnsiTheme="minorEastAsia" w:cstheme="minorEastAsia"/>
          <w:szCs w:val="21"/>
          <w:highlight w:val="none"/>
          <w:lang w:val="en-US" w:eastAsia="zh-CN"/>
        </w:rPr>
        <w:t>湖南省农机事务中心</w:t>
      </w:r>
      <w:r>
        <w:rPr>
          <w:rFonts w:hint="eastAsia" w:asciiTheme="minorEastAsia" w:hAnsiTheme="minorEastAsia" w:cstheme="minorEastAsia"/>
          <w:szCs w:val="21"/>
          <w:highlight w:val="none"/>
        </w:rPr>
        <w:t xml:space="preserve">           </w:t>
      </w:r>
      <w:r>
        <w:rPr>
          <w:rFonts w:hint="eastAsia" w:asciiTheme="minorEastAsia" w:hAnsiTheme="minorEastAsia" w:cstheme="minorEastAsia"/>
          <w:szCs w:val="21"/>
        </w:rPr>
        <w:t xml:space="preserve">                                                             单位：万元</w:t>
      </w:r>
    </w:p>
    <w:tbl>
      <w:tblPr>
        <w:tblStyle w:val="5"/>
        <w:tblW w:w="10811" w:type="dxa"/>
        <w:jc w:val="center"/>
        <w:tblInd w:w="0" w:type="dxa"/>
        <w:tblLayout w:type="fixed"/>
        <w:tblCellMar>
          <w:top w:w="0" w:type="dxa"/>
          <w:left w:w="108" w:type="dxa"/>
          <w:bottom w:w="0" w:type="dxa"/>
          <w:right w:w="108" w:type="dxa"/>
        </w:tblCellMar>
      </w:tblPr>
      <w:tblGrid>
        <w:gridCol w:w="3688"/>
        <w:gridCol w:w="680"/>
        <w:gridCol w:w="1134"/>
        <w:gridCol w:w="3495"/>
        <w:gridCol w:w="680"/>
        <w:gridCol w:w="1134"/>
      </w:tblGrid>
      <w:tr>
        <w:tblPrEx>
          <w:tblLayout w:type="fixed"/>
          <w:tblCellMar>
            <w:top w:w="0" w:type="dxa"/>
            <w:left w:w="108" w:type="dxa"/>
            <w:bottom w:w="0" w:type="dxa"/>
            <w:right w:w="108" w:type="dxa"/>
          </w:tblCellMar>
        </w:tblPrEx>
        <w:trPr>
          <w:trHeight w:val="300" w:hRule="atLeast"/>
          <w:jc w:val="center"/>
        </w:trPr>
        <w:tc>
          <w:tcPr>
            <w:tcW w:w="5502"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收入</w:t>
            </w:r>
          </w:p>
        </w:tc>
        <w:tc>
          <w:tcPr>
            <w:tcW w:w="530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支出</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项目</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行次</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金额</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项目</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行次</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金额</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栏次</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栏次</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sz w:val="22"/>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一、一般公共预算财政拨款收入</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5,820.51</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一、一般公共服务支出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二、政府性基金预算财政拨款收入</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二、外交支出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33</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三、国有资本经营预算财政拨款收入</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三、国防支出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四、上级补助收入</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四、公共安全支出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35</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五、事业收入</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五、教育支出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36</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六、经营收入</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六、科学技术支出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37</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七、附属单位上缴收入</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7</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七、文化旅游体育与传媒支出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38</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八、其他收入</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43.33</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八、社会保障和就业支出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39</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696.32</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9</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九、卫生健康支出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40</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10</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十、节能环保支出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十一、城乡社区支出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十二、农林水支出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43</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4,236.66</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13</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十三、交通运输支出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十四、资源勘探工业信息等支出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45</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15</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十五、商业服务业等支出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46</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16</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十六、金融支出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47</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十七、援助其他地区支出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48</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18</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十八、自然资源海洋气象等支出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49</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19</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十九、住房保障支出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50</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二十、粮油物资储备支出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二十一、国有资本经营预算支出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二十二、灾害防治及应急管理支出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53</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23</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二十三、其他支出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b/>
                <w:bCs/>
                <w:color w:val="000000"/>
                <w:sz w:val="20"/>
                <w:szCs w:val="20"/>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0"/>
                <w:szCs w:val="20"/>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二十四、债务还本支出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55</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0"/>
                <w:szCs w:val="20"/>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25</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0"/>
                <w:szCs w:val="20"/>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二十五、债务付息支出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56</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0"/>
                <w:szCs w:val="20"/>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26</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0"/>
                <w:szCs w:val="20"/>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二十六、抗疫特别国债安排的支出</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57</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本年收入合计</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27</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5,863.84</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本年支出合计</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58</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5,110.78</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使用非财政拨款结余</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28</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结余分配</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59</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0.37</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年初结转和结余</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29</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265.51</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年末结转和结余</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60</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1,018.20</w:t>
            </w: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30</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Times New Roman" w:hAnsi="Times New Roman" w:eastAsia="宋体" w:cs="Times New Roman"/>
                <w:color w:val="000000"/>
                <w:sz w:val="22"/>
              </w:rPr>
            </w:pP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Times New Roman" w:hAnsi="Times New Roman" w:eastAsia="宋体" w:cs="Times New Roman"/>
                <w:color w:val="000000"/>
                <w:sz w:val="22"/>
              </w:rPr>
            </w:pPr>
          </w:p>
        </w:tc>
      </w:tr>
      <w:tr>
        <w:tblPrEx>
          <w:tblLayout w:type="fixed"/>
          <w:tblCellMar>
            <w:top w:w="0" w:type="dxa"/>
            <w:left w:w="108" w:type="dxa"/>
            <w:bottom w:w="0" w:type="dxa"/>
            <w:right w:w="108" w:type="dxa"/>
          </w:tblCellMar>
        </w:tblPrEx>
        <w:trPr>
          <w:trHeight w:val="300" w:hRule="atLeast"/>
          <w:jc w:val="center"/>
        </w:trPr>
        <w:tc>
          <w:tcPr>
            <w:tcW w:w="36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总计</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6,129.35</w:t>
            </w:r>
          </w:p>
        </w:tc>
        <w:tc>
          <w:tcPr>
            <w:tcW w:w="34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总计</w:t>
            </w:r>
          </w:p>
        </w:tc>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6,129.35</w:t>
            </w:r>
          </w:p>
        </w:tc>
      </w:tr>
      <w:tr>
        <w:tblPrEx>
          <w:tblLayout w:type="fixed"/>
          <w:tblCellMar>
            <w:top w:w="0" w:type="dxa"/>
            <w:left w:w="108" w:type="dxa"/>
            <w:bottom w:w="0" w:type="dxa"/>
            <w:right w:w="108" w:type="dxa"/>
          </w:tblCellMar>
        </w:tblPrEx>
        <w:trPr>
          <w:trHeight w:val="300" w:hRule="atLeast"/>
          <w:jc w:val="center"/>
        </w:trPr>
        <w:tc>
          <w:tcPr>
            <w:tcW w:w="10811" w:type="dxa"/>
            <w:gridSpan w:val="6"/>
            <w:tcBorders>
              <w:top w:val="single" w:color="auto" w:sz="4" w:space="0"/>
              <w:left w:val="nil"/>
              <w:bottom w:val="nil"/>
              <w:right w:val="nil"/>
            </w:tcBorders>
            <w:shd w:val="clear" w:color="auto" w:fill="FFFFFF"/>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注：1.本表反映部门本年度的总收支和年末结转结余情况。</w:t>
            </w:r>
          </w:p>
        </w:tc>
      </w:tr>
      <w:tr>
        <w:tblPrEx>
          <w:tblLayout w:type="fixed"/>
          <w:tblCellMar>
            <w:top w:w="0" w:type="dxa"/>
            <w:left w:w="108" w:type="dxa"/>
            <w:bottom w:w="0" w:type="dxa"/>
            <w:right w:w="108" w:type="dxa"/>
          </w:tblCellMar>
        </w:tblPrEx>
        <w:trPr>
          <w:trHeight w:val="300" w:hRule="atLeast"/>
          <w:jc w:val="center"/>
        </w:trPr>
        <w:tc>
          <w:tcPr>
            <w:tcW w:w="10811" w:type="dxa"/>
            <w:gridSpan w:val="6"/>
            <w:tcBorders>
              <w:top w:val="nil"/>
              <w:left w:val="nil"/>
              <w:bottom w:val="nil"/>
              <w:right w:val="nil"/>
            </w:tcBorders>
            <w:shd w:val="clear" w:color="auto" w:fill="FFFFFF"/>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 xml:space="preserve">    2.本套报表金额单位转换时可能存在尾数误差。</w:t>
            </w:r>
          </w:p>
        </w:tc>
      </w:tr>
    </w:tbl>
    <w:p>
      <w:pPr>
        <w:wordWrap w:val="0"/>
        <w:rPr>
          <w:rFonts w:asciiTheme="minorEastAsia" w:hAnsiTheme="minorEastAsia" w:cstheme="minorEastAsia"/>
          <w:szCs w:val="21"/>
        </w:rPr>
        <w:sectPr>
          <w:pgSz w:w="11906" w:h="16838"/>
          <w:pgMar w:top="720" w:right="720" w:bottom="720" w:left="720" w:header="851" w:footer="992" w:gutter="0"/>
          <w:cols w:space="425" w:num="1"/>
          <w:docGrid w:type="lines" w:linePitch="312" w:charSpace="0"/>
        </w:sectPr>
      </w:pPr>
    </w:p>
    <w:p>
      <w:pPr>
        <w:widowControl/>
        <w:jc w:val="center"/>
        <w:rPr>
          <w:rFonts w:ascii="Times New Roman" w:hAnsi="Times New Roman" w:eastAsia="方正小标宋_GBK" w:cs="Times New Roman"/>
          <w:kern w:val="0"/>
          <w:sz w:val="32"/>
          <w:szCs w:val="32"/>
        </w:rPr>
      </w:pPr>
      <w:r>
        <w:rPr>
          <w:rFonts w:hint="eastAsia" w:ascii="Times New Roman" w:hAnsi="Times New Roman" w:eastAsia="方正小标宋_GBK" w:cs="Times New Roman"/>
          <w:kern w:val="0"/>
          <w:sz w:val="32"/>
          <w:szCs w:val="32"/>
        </w:rPr>
        <w:t>收入决算表</w:t>
      </w:r>
    </w:p>
    <w:p>
      <w:pPr>
        <w:jc w:val="right"/>
        <w:rPr>
          <w:rFonts w:asciiTheme="minorEastAsia" w:hAnsiTheme="minorEastAsia" w:cstheme="minorEastAsia"/>
          <w:szCs w:val="21"/>
          <w:highlight w:val="none"/>
        </w:rPr>
      </w:pPr>
      <w:r>
        <w:rPr>
          <w:rFonts w:hint="eastAsia" w:asciiTheme="minorEastAsia" w:hAnsiTheme="minorEastAsia" w:cstheme="minorEastAsia"/>
          <w:szCs w:val="21"/>
          <w:highlight w:val="none"/>
        </w:rPr>
        <w:t>公开02表</w:t>
      </w:r>
    </w:p>
    <w:p>
      <w:pPr>
        <w:ind w:left="210" w:leftChars="100" w:firstLine="0" w:firstLineChars="0"/>
        <w:jc w:val="left"/>
        <w:rPr>
          <w:rFonts w:asciiTheme="minorEastAsia" w:hAnsiTheme="minorEastAsia" w:cstheme="minorEastAsia"/>
          <w:szCs w:val="21"/>
        </w:rPr>
      </w:pPr>
      <w:r>
        <w:rPr>
          <w:rFonts w:hint="eastAsia" w:asciiTheme="minorEastAsia" w:hAnsiTheme="minorEastAsia" w:cstheme="minorEastAsia"/>
          <w:szCs w:val="21"/>
          <w:highlight w:val="none"/>
        </w:rPr>
        <w:t>部门：</w:t>
      </w:r>
      <w:r>
        <w:rPr>
          <w:rFonts w:hint="eastAsia" w:asciiTheme="minorEastAsia" w:hAnsiTheme="minorEastAsia" w:cstheme="minorEastAsia"/>
          <w:szCs w:val="21"/>
          <w:highlight w:val="none"/>
          <w:lang w:val="en-US" w:eastAsia="zh-CN"/>
        </w:rPr>
        <w:t>湖南省农机事务中心</w:t>
      </w:r>
      <w:r>
        <w:rPr>
          <w:rFonts w:hint="eastAsia" w:asciiTheme="minorEastAsia" w:hAnsiTheme="minorEastAsia" w:cstheme="minorEastAsia"/>
          <w:szCs w:val="21"/>
          <w:highlight w:val="none"/>
        </w:rPr>
        <w:t xml:space="preserve">     </w:t>
      </w:r>
      <w:r>
        <w:rPr>
          <w:rFonts w:hint="eastAsia" w:asciiTheme="minorEastAsia" w:hAnsiTheme="minorEastAsia" w:cstheme="minorEastAsia"/>
          <w:szCs w:val="21"/>
        </w:rPr>
        <w:t xml:space="preserve">                                                                                                                         单位：万元</w:t>
      </w:r>
    </w:p>
    <w:tbl>
      <w:tblPr>
        <w:tblStyle w:val="5"/>
        <w:tblW w:w="14897" w:type="dxa"/>
        <w:jc w:val="center"/>
        <w:tblInd w:w="0" w:type="dxa"/>
        <w:tblLayout w:type="fixed"/>
        <w:tblCellMar>
          <w:top w:w="0" w:type="dxa"/>
          <w:left w:w="108" w:type="dxa"/>
          <w:bottom w:w="0" w:type="dxa"/>
          <w:right w:w="108" w:type="dxa"/>
        </w:tblCellMar>
      </w:tblPr>
      <w:tblGrid>
        <w:gridCol w:w="1236"/>
        <w:gridCol w:w="3547"/>
        <w:gridCol w:w="1681"/>
        <w:gridCol w:w="1575"/>
        <w:gridCol w:w="1575"/>
        <w:gridCol w:w="1236"/>
        <w:gridCol w:w="1236"/>
        <w:gridCol w:w="1575"/>
        <w:gridCol w:w="1236"/>
      </w:tblGrid>
      <w:tr>
        <w:tblPrEx>
          <w:tblLayout w:type="fixed"/>
          <w:tblCellMar>
            <w:top w:w="0" w:type="dxa"/>
            <w:left w:w="108" w:type="dxa"/>
            <w:bottom w:w="0" w:type="dxa"/>
            <w:right w:w="108" w:type="dxa"/>
          </w:tblCellMar>
        </w:tblPrEx>
        <w:trPr>
          <w:trHeight w:val="305" w:hRule="exact"/>
          <w:jc w:val="center"/>
        </w:trPr>
        <w:tc>
          <w:tcPr>
            <w:tcW w:w="478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rPr>
              <w:t>项目</w:t>
            </w:r>
          </w:p>
        </w:tc>
        <w:tc>
          <w:tcPr>
            <w:tcW w:w="168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rPr>
              <w:t>本年收入合计</w:t>
            </w:r>
          </w:p>
        </w:tc>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rPr>
              <w:t>财政拨款收入</w:t>
            </w:r>
          </w:p>
        </w:tc>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rPr>
              <w:t>上级补助收入</w:t>
            </w:r>
          </w:p>
        </w:tc>
        <w:tc>
          <w:tcPr>
            <w:tcW w:w="12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rPr>
              <w:t>事业收入</w:t>
            </w:r>
          </w:p>
        </w:tc>
        <w:tc>
          <w:tcPr>
            <w:tcW w:w="12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rPr>
              <w:t>经营收入</w:t>
            </w:r>
          </w:p>
        </w:tc>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rPr>
              <w:t>附属单位上缴收入</w:t>
            </w:r>
          </w:p>
        </w:tc>
        <w:tc>
          <w:tcPr>
            <w:tcW w:w="12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Times New Roman" w:hAnsi="Times New Roman" w:eastAsia="宋体" w:cs="Times New Roman"/>
                <w:color w:val="000000"/>
                <w:sz w:val="22"/>
                <w:szCs w:val="22"/>
              </w:rPr>
            </w:pPr>
            <w:r>
              <w:rPr>
                <w:rFonts w:ascii="Times New Roman" w:hAnsi="Times New Roman" w:eastAsia="宋体" w:cs="Times New Roman"/>
                <w:color w:val="000000"/>
                <w:kern w:val="0"/>
                <w:sz w:val="22"/>
                <w:szCs w:val="22"/>
              </w:rPr>
              <w:t>其他收入</w:t>
            </w:r>
          </w:p>
        </w:tc>
      </w:tr>
      <w:tr>
        <w:tblPrEx>
          <w:tblLayout w:type="fixed"/>
          <w:tblCellMar>
            <w:top w:w="0" w:type="dxa"/>
            <w:left w:w="108" w:type="dxa"/>
            <w:bottom w:w="0" w:type="dxa"/>
            <w:right w:w="108" w:type="dxa"/>
          </w:tblCellMar>
        </w:tblPrEx>
        <w:trPr>
          <w:trHeight w:val="396" w:hRule="exact"/>
          <w:jc w:val="center"/>
        </w:trPr>
        <w:tc>
          <w:tcPr>
            <w:tcW w:w="12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科目代码</w:t>
            </w:r>
          </w:p>
        </w:tc>
        <w:tc>
          <w:tcPr>
            <w:tcW w:w="354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科目名称</w:t>
            </w:r>
          </w:p>
        </w:tc>
        <w:tc>
          <w:tcPr>
            <w:tcW w:w="16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r>
      <w:tr>
        <w:tblPrEx>
          <w:tblLayout w:type="fixed"/>
          <w:tblCellMar>
            <w:top w:w="0" w:type="dxa"/>
            <w:left w:w="108" w:type="dxa"/>
            <w:bottom w:w="0" w:type="dxa"/>
            <w:right w:w="108" w:type="dxa"/>
          </w:tblCellMar>
        </w:tblPrEx>
        <w:trPr>
          <w:trHeight w:val="396" w:hRule="exact"/>
          <w:jc w:val="center"/>
        </w:trPr>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35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sz w:val="22"/>
              </w:rPr>
            </w:pPr>
          </w:p>
        </w:tc>
        <w:tc>
          <w:tcPr>
            <w:tcW w:w="16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r>
      <w:tr>
        <w:tblPrEx>
          <w:tblLayout w:type="fixed"/>
          <w:tblCellMar>
            <w:top w:w="0" w:type="dxa"/>
            <w:left w:w="108" w:type="dxa"/>
            <w:bottom w:w="0" w:type="dxa"/>
            <w:right w:w="108" w:type="dxa"/>
          </w:tblCellMar>
        </w:tblPrEx>
        <w:trPr>
          <w:trHeight w:val="396" w:hRule="exact"/>
          <w:jc w:val="center"/>
        </w:trPr>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354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sz w:val="22"/>
              </w:rPr>
            </w:pPr>
          </w:p>
        </w:tc>
        <w:tc>
          <w:tcPr>
            <w:tcW w:w="168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r>
      <w:tr>
        <w:tblPrEx>
          <w:tblLayout w:type="fixed"/>
          <w:tblCellMar>
            <w:top w:w="0" w:type="dxa"/>
            <w:left w:w="108" w:type="dxa"/>
            <w:bottom w:w="0" w:type="dxa"/>
            <w:right w:w="108" w:type="dxa"/>
          </w:tblCellMar>
        </w:tblPrEx>
        <w:trPr>
          <w:trHeight w:val="305" w:hRule="exact"/>
          <w:jc w:val="center"/>
        </w:trPr>
        <w:tc>
          <w:tcPr>
            <w:tcW w:w="478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栏次</w:t>
            </w:r>
          </w:p>
        </w:tc>
        <w:tc>
          <w:tcPr>
            <w:tcW w:w="16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w:t>
            </w:r>
          </w:p>
        </w:tc>
        <w:tc>
          <w:tcPr>
            <w:tcW w:w="12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w:t>
            </w:r>
          </w:p>
        </w:tc>
        <w:tc>
          <w:tcPr>
            <w:tcW w:w="12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w:t>
            </w:r>
          </w:p>
        </w:tc>
        <w:tc>
          <w:tcPr>
            <w:tcW w:w="12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w:t>
            </w:r>
          </w:p>
        </w:tc>
      </w:tr>
      <w:tr>
        <w:tblPrEx>
          <w:tblLayout w:type="fixed"/>
          <w:tblCellMar>
            <w:top w:w="0" w:type="dxa"/>
            <w:left w:w="108" w:type="dxa"/>
            <w:bottom w:w="0" w:type="dxa"/>
            <w:right w:w="108" w:type="dxa"/>
          </w:tblCellMar>
        </w:tblPrEx>
        <w:trPr>
          <w:trHeight w:val="305" w:hRule="exact"/>
          <w:jc w:val="center"/>
        </w:trPr>
        <w:tc>
          <w:tcPr>
            <w:tcW w:w="478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合计</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rPr>
              <w:t>5,863.84</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rPr>
              <w:t>5,820.51</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0"/>
                <w:szCs w:val="20"/>
              </w:rPr>
            </w:pPr>
            <w:r>
              <w:rPr>
                <w:rFonts w:ascii="Times New Roman" w:hAnsi="Times New Roman" w:eastAsia="宋体" w:cs="Times New Roman"/>
                <w:b/>
                <w:bCs/>
                <w:color w:val="000000"/>
                <w:kern w:val="0"/>
                <w:sz w:val="20"/>
                <w:szCs w:val="20"/>
              </w:rPr>
              <w:t>43.33</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208</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社会保障和就业支出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704.60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704.60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20805</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行政事业单位养老支出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641.45</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641.45</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2080502</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事业单位离退休</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252.25</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252.25</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2080505</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机关事业单位基本养老保险缴费支出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389.20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389.20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20808</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抚恤</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62.67</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62.67</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2080801</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死亡抚恤</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62.67</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62.67</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20899</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其他社会保障和就业支出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0.48</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0.48</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2089999</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其他社会保障和就业支出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0.48</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0.48</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210</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卫生健康支出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0.80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0.80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21099</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其他卫生健康支出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0.80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0.80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2109999</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其他卫生健康支出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0.80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0.80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213</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农林水支出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4,981.44</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4,938.11</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43.33</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21301</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农业农村</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4,105.44</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4,062.11</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43.33</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2130101</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行政运行</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2,836.48</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2,836.07</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0.41</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2130106</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科技转化与推广服务</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484.04</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484.04</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2130122</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农业生产发展</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784.92</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742.00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42.92</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21303</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水利</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876.00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876.00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2130301</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行政运行</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876.00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876.00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221</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住房保障支出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177.00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177.00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22102</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住房改革支出</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177.00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177.00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2210201</w:t>
            </w:r>
          </w:p>
        </w:tc>
        <w:tc>
          <w:tcPr>
            <w:tcW w:w="35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住房公积金</w:t>
            </w:r>
          </w:p>
        </w:tc>
        <w:tc>
          <w:tcPr>
            <w:tcW w:w="16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177.00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177.00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57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c>
          <w:tcPr>
            <w:tcW w:w="12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0.00</w:t>
            </w:r>
          </w:p>
        </w:tc>
      </w:tr>
      <w:tr>
        <w:tblPrEx>
          <w:tblLayout w:type="fixed"/>
          <w:tblCellMar>
            <w:top w:w="0" w:type="dxa"/>
            <w:left w:w="108" w:type="dxa"/>
            <w:bottom w:w="0" w:type="dxa"/>
            <w:right w:w="108" w:type="dxa"/>
          </w:tblCellMar>
        </w:tblPrEx>
        <w:trPr>
          <w:trHeight w:val="305" w:hRule="exact"/>
          <w:jc w:val="center"/>
        </w:trPr>
        <w:tc>
          <w:tcPr>
            <w:tcW w:w="14897" w:type="dxa"/>
            <w:gridSpan w:val="9"/>
            <w:tcBorders>
              <w:top w:val="single" w:color="auto" w:sz="4" w:space="0"/>
              <w:left w:val="nil"/>
              <w:bottom w:val="nil"/>
              <w:right w:val="nil"/>
            </w:tcBorders>
            <w:shd w:val="clear" w:color="auto" w:fill="FFFFFF"/>
            <w:noWrap/>
            <w:vAlign w:val="center"/>
          </w:tcPr>
          <w:p>
            <w:pPr>
              <w:widowControl/>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注：本表反映部门本年度取得的各项收入情况。</w:t>
            </w:r>
          </w:p>
        </w:tc>
      </w:tr>
    </w:tbl>
    <w:p>
      <w:pPr>
        <w:wordWrap w:val="0"/>
        <w:rPr>
          <w:rFonts w:asciiTheme="minorEastAsia" w:hAnsiTheme="minorEastAsia" w:cstheme="minorEastAsia"/>
          <w:szCs w:val="21"/>
        </w:rPr>
        <w:sectPr>
          <w:pgSz w:w="16838" w:h="11906" w:orient="landscape"/>
          <w:pgMar w:top="720" w:right="720" w:bottom="720" w:left="720" w:header="851" w:footer="992" w:gutter="0"/>
          <w:cols w:space="425" w:num="1"/>
          <w:docGrid w:type="lines" w:linePitch="312" w:charSpace="0"/>
        </w:sectPr>
      </w:pPr>
    </w:p>
    <w:p>
      <w:pPr>
        <w:widowControl/>
        <w:jc w:val="center"/>
        <w:rPr>
          <w:rFonts w:ascii="Times New Roman" w:hAnsi="Times New Roman" w:eastAsia="方正小标宋_GBK" w:cs="Times New Roman"/>
          <w:kern w:val="0"/>
          <w:sz w:val="36"/>
          <w:szCs w:val="36"/>
        </w:rPr>
      </w:pPr>
      <w:r>
        <w:rPr>
          <w:rFonts w:hint="eastAsia" w:ascii="Times New Roman" w:hAnsi="Times New Roman" w:eastAsia="方正小标宋_GBK" w:cs="Times New Roman"/>
          <w:kern w:val="0"/>
          <w:sz w:val="36"/>
          <w:szCs w:val="36"/>
        </w:rPr>
        <w:t>支出决算表</w:t>
      </w:r>
    </w:p>
    <w:p>
      <w:pPr>
        <w:jc w:val="right"/>
        <w:rPr>
          <w:rFonts w:asciiTheme="minorEastAsia" w:hAnsiTheme="minorEastAsia" w:cstheme="minorEastAsia"/>
          <w:szCs w:val="21"/>
        </w:rPr>
      </w:pPr>
      <w:r>
        <w:rPr>
          <w:rFonts w:hint="eastAsia" w:asciiTheme="minorEastAsia" w:hAnsiTheme="minorEastAsia" w:cstheme="minorEastAsia"/>
          <w:szCs w:val="21"/>
        </w:rPr>
        <w:t>公开03表</w:t>
      </w:r>
    </w:p>
    <w:p>
      <w:pPr>
        <w:wordWrap w:val="0"/>
        <w:ind w:firstLine="210" w:firstLineChars="100"/>
        <w:rPr>
          <w:rFonts w:asciiTheme="minorEastAsia" w:hAnsiTheme="minorEastAsia" w:cstheme="minorEastAsia"/>
          <w:szCs w:val="21"/>
        </w:rPr>
      </w:pPr>
      <w:r>
        <w:rPr>
          <w:rFonts w:hint="eastAsia" w:asciiTheme="minorEastAsia" w:hAnsiTheme="minorEastAsia" w:cstheme="minorEastAsia"/>
          <w:szCs w:val="21"/>
        </w:rPr>
        <w:t>部门：</w:t>
      </w:r>
      <w:r>
        <w:rPr>
          <w:rFonts w:hint="eastAsia" w:asciiTheme="minorEastAsia" w:hAnsiTheme="minorEastAsia" w:cstheme="minorEastAsia"/>
          <w:szCs w:val="21"/>
          <w:lang w:val="en-US" w:eastAsia="zh-CN"/>
        </w:rPr>
        <w:t>湖南省农机事务中心</w:t>
      </w:r>
      <w:r>
        <w:rPr>
          <w:rFonts w:hint="eastAsia" w:asciiTheme="minorEastAsia" w:hAnsiTheme="minorEastAsia" w:cstheme="minorEastAsia"/>
          <w:szCs w:val="21"/>
        </w:rPr>
        <w:t xml:space="preserve">                                                                                                                           单位：万元</w:t>
      </w:r>
    </w:p>
    <w:tbl>
      <w:tblPr>
        <w:tblStyle w:val="5"/>
        <w:tblW w:w="15218" w:type="dxa"/>
        <w:jc w:val="center"/>
        <w:tblInd w:w="0" w:type="dxa"/>
        <w:tblLayout w:type="fixed"/>
        <w:tblCellMar>
          <w:top w:w="0" w:type="dxa"/>
          <w:left w:w="108" w:type="dxa"/>
          <w:bottom w:w="0" w:type="dxa"/>
          <w:right w:w="108" w:type="dxa"/>
        </w:tblCellMar>
      </w:tblPr>
      <w:tblGrid>
        <w:gridCol w:w="995"/>
        <w:gridCol w:w="3953"/>
        <w:gridCol w:w="1810"/>
        <w:gridCol w:w="1597"/>
        <w:gridCol w:w="1599"/>
        <w:gridCol w:w="1659"/>
        <w:gridCol w:w="1312"/>
        <w:gridCol w:w="2293"/>
      </w:tblGrid>
      <w:tr>
        <w:tblPrEx>
          <w:tblLayout w:type="fixed"/>
          <w:tblCellMar>
            <w:top w:w="0" w:type="dxa"/>
            <w:left w:w="108" w:type="dxa"/>
            <w:bottom w:w="0" w:type="dxa"/>
            <w:right w:w="108" w:type="dxa"/>
          </w:tblCellMar>
        </w:tblPrEx>
        <w:trPr>
          <w:trHeight w:val="304" w:hRule="exact"/>
          <w:jc w:val="center"/>
        </w:trPr>
        <w:tc>
          <w:tcPr>
            <w:tcW w:w="494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项目</w:t>
            </w:r>
          </w:p>
        </w:tc>
        <w:tc>
          <w:tcPr>
            <w:tcW w:w="18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本年支出合计</w:t>
            </w:r>
          </w:p>
        </w:tc>
        <w:tc>
          <w:tcPr>
            <w:tcW w:w="159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基本支出</w:t>
            </w:r>
          </w:p>
        </w:tc>
        <w:tc>
          <w:tcPr>
            <w:tcW w:w="159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项目支出</w:t>
            </w:r>
          </w:p>
        </w:tc>
        <w:tc>
          <w:tcPr>
            <w:tcW w:w="16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上缴上级支出</w:t>
            </w:r>
          </w:p>
        </w:tc>
        <w:tc>
          <w:tcPr>
            <w:tcW w:w="13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经营支出</w:t>
            </w:r>
          </w:p>
        </w:tc>
        <w:tc>
          <w:tcPr>
            <w:tcW w:w="22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对附属单位补助支出</w:t>
            </w:r>
          </w:p>
        </w:tc>
      </w:tr>
      <w:tr>
        <w:tblPrEx>
          <w:tblLayout w:type="fixed"/>
          <w:tblCellMar>
            <w:top w:w="0" w:type="dxa"/>
            <w:left w:w="108" w:type="dxa"/>
            <w:bottom w:w="0" w:type="dxa"/>
            <w:right w:w="108" w:type="dxa"/>
          </w:tblCellMar>
        </w:tblPrEx>
        <w:trPr>
          <w:trHeight w:val="395" w:hRule="exact"/>
          <w:jc w:val="center"/>
        </w:trPr>
        <w:tc>
          <w:tcPr>
            <w:tcW w:w="9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科目代码</w:t>
            </w:r>
          </w:p>
        </w:tc>
        <w:tc>
          <w:tcPr>
            <w:tcW w:w="395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科目名称</w:t>
            </w:r>
          </w:p>
        </w:tc>
        <w:tc>
          <w:tcPr>
            <w:tcW w:w="181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9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6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3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229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r>
      <w:tr>
        <w:tblPrEx>
          <w:tblLayout w:type="fixed"/>
          <w:tblCellMar>
            <w:top w:w="0" w:type="dxa"/>
            <w:left w:w="108" w:type="dxa"/>
            <w:bottom w:w="0" w:type="dxa"/>
            <w:right w:w="108" w:type="dxa"/>
          </w:tblCellMar>
        </w:tblPrEx>
        <w:trPr>
          <w:trHeight w:val="395" w:hRule="exact"/>
          <w:jc w:val="center"/>
        </w:trPr>
        <w:tc>
          <w:tcPr>
            <w:tcW w:w="9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395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sz w:val="22"/>
              </w:rPr>
            </w:pPr>
          </w:p>
        </w:tc>
        <w:tc>
          <w:tcPr>
            <w:tcW w:w="181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9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6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3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229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r>
      <w:tr>
        <w:tblPrEx>
          <w:tblLayout w:type="fixed"/>
          <w:tblCellMar>
            <w:top w:w="0" w:type="dxa"/>
            <w:left w:w="108" w:type="dxa"/>
            <w:bottom w:w="0" w:type="dxa"/>
            <w:right w:w="108" w:type="dxa"/>
          </w:tblCellMar>
        </w:tblPrEx>
        <w:trPr>
          <w:trHeight w:val="395" w:hRule="exact"/>
          <w:jc w:val="center"/>
        </w:trPr>
        <w:tc>
          <w:tcPr>
            <w:tcW w:w="9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395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sz w:val="22"/>
              </w:rPr>
            </w:pPr>
          </w:p>
        </w:tc>
        <w:tc>
          <w:tcPr>
            <w:tcW w:w="181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9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59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6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131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c>
          <w:tcPr>
            <w:tcW w:w="229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eastAsia="宋体" w:cs="Times New Roman"/>
                <w:color w:val="000000"/>
                <w:sz w:val="22"/>
              </w:rPr>
            </w:pPr>
          </w:p>
        </w:tc>
      </w:tr>
      <w:tr>
        <w:tblPrEx>
          <w:tblLayout w:type="fixed"/>
          <w:tblCellMar>
            <w:top w:w="0" w:type="dxa"/>
            <w:left w:w="108" w:type="dxa"/>
            <w:bottom w:w="0" w:type="dxa"/>
            <w:right w:w="108" w:type="dxa"/>
          </w:tblCellMar>
        </w:tblPrEx>
        <w:trPr>
          <w:trHeight w:val="304" w:hRule="exact"/>
          <w:jc w:val="center"/>
        </w:trPr>
        <w:tc>
          <w:tcPr>
            <w:tcW w:w="494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栏次</w:t>
            </w:r>
          </w:p>
        </w:tc>
        <w:tc>
          <w:tcPr>
            <w:tcW w:w="18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w:t>
            </w:r>
          </w:p>
        </w:tc>
        <w:tc>
          <w:tcPr>
            <w:tcW w:w="15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w:t>
            </w:r>
          </w:p>
        </w:tc>
        <w:tc>
          <w:tcPr>
            <w:tcW w:w="15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w:t>
            </w:r>
          </w:p>
        </w:tc>
        <w:tc>
          <w:tcPr>
            <w:tcW w:w="16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w:t>
            </w:r>
          </w:p>
        </w:tc>
        <w:tc>
          <w:tcPr>
            <w:tcW w:w="22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w:t>
            </w:r>
          </w:p>
        </w:tc>
      </w:tr>
      <w:tr>
        <w:tblPrEx>
          <w:tblLayout w:type="fixed"/>
          <w:tblCellMar>
            <w:top w:w="0" w:type="dxa"/>
            <w:left w:w="108" w:type="dxa"/>
            <w:bottom w:w="0" w:type="dxa"/>
            <w:right w:w="108" w:type="dxa"/>
          </w:tblCellMar>
        </w:tblPrEx>
        <w:trPr>
          <w:trHeight w:val="304" w:hRule="exact"/>
          <w:jc w:val="center"/>
        </w:trPr>
        <w:tc>
          <w:tcPr>
            <w:tcW w:w="494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合计</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5,110.78</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3,999.48</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1,111.30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社会保障和就业支出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696.32</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695.84</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20805</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行政事业单位养老支出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633.17</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633.17</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2080502</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事业单位离退休</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243.97</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243.97</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2080505</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机关事业单位基本养老保险缴费支出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389.20</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389.20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20808</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抚恤</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62.67</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62.67</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2080801</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死亡抚恤</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62.67</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62.67</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20899</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其他社会保障和就业支出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2089999</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其他社会保障和就业支出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210</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卫生健康支出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21099</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其他卫生健康支出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2109999</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其他卫生健康支出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农林水支出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4,236.66</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3,126.64</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1,110.02</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21301</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农业农村</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3,402.68</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2,292.66</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1,110.02</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2130101</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行政运行</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2,530.81</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2,292.66</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238.15</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2130106</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科技转化与推广服务</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201.03</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201.03</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2130122</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农业生产发展</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670.84</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670.84</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21303</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水利</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833.98</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833.98</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2130301</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行政运行</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833.98</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833.98</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221</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住房保障支出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22102</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住房改革支出</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04" w:hRule="exact"/>
          <w:jc w:val="center"/>
        </w:trPr>
        <w:tc>
          <w:tcPr>
            <w:tcW w:w="9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2210201</w:t>
            </w:r>
          </w:p>
        </w:tc>
        <w:tc>
          <w:tcPr>
            <w:tcW w:w="39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住房公积金</w:t>
            </w:r>
          </w:p>
        </w:tc>
        <w:tc>
          <w:tcPr>
            <w:tcW w:w="18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159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15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65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31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Layout w:type="fixed"/>
          <w:tblCellMar>
            <w:top w:w="0" w:type="dxa"/>
            <w:left w:w="108" w:type="dxa"/>
            <w:bottom w:w="0" w:type="dxa"/>
            <w:right w:w="108" w:type="dxa"/>
          </w:tblCellMar>
        </w:tblPrEx>
        <w:trPr>
          <w:trHeight w:val="317" w:hRule="exact"/>
          <w:jc w:val="center"/>
        </w:trPr>
        <w:tc>
          <w:tcPr>
            <w:tcW w:w="15218"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highlight w:val="none"/>
              </w:rPr>
              <w:t>注：本表反映部门本年度各项支出情况。</w:t>
            </w:r>
          </w:p>
        </w:tc>
      </w:tr>
    </w:tbl>
    <w:p>
      <w:pPr>
        <w:jc w:val="center"/>
        <w:rPr>
          <w:rFonts w:ascii="华文中宋" w:hAnsi="华文中宋" w:eastAsia="华文中宋"/>
          <w:color w:val="000000"/>
          <w:sz w:val="32"/>
          <w:szCs w:val="32"/>
        </w:rPr>
        <w:sectPr>
          <w:pgSz w:w="16838" w:h="11906" w:orient="landscape"/>
          <w:pgMar w:top="720" w:right="720" w:bottom="720" w:left="720" w:header="851" w:footer="992" w:gutter="0"/>
          <w:cols w:space="425" w:num="1"/>
          <w:docGrid w:type="lines" w:linePitch="312" w:charSpace="0"/>
        </w:sectPr>
      </w:pPr>
    </w:p>
    <w:p>
      <w:pPr>
        <w:widowControl/>
        <w:jc w:val="center"/>
        <w:rPr>
          <w:rFonts w:ascii="Times New Roman" w:hAnsi="Times New Roman" w:eastAsia="方正小标宋_GBK" w:cs="Times New Roman"/>
          <w:kern w:val="0"/>
          <w:sz w:val="36"/>
          <w:szCs w:val="36"/>
        </w:rPr>
      </w:pPr>
      <w:r>
        <w:rPr>
          <w:rFonts w:hint="eastAsia" w:ascii="Times New Roman" w:hAnsi="Times New Roman" w:eastAsia="方正小标宋_GBK" w:cs="Times New Roman"/>
          <w:kern w:val="0"/>
          <w:sz w:val="36"/>
          <w:szCs w:val="36"/>
        </w:rPr>
        <w:t>财政拨款收入支出决算总表</w:t>
      </w:r>
    </w:p>
    <w:p>
      <w:pPr>
        <w:spacing w:line="240" w:lineRule="exact"/>
        <w:jc w:val="right"/>
        <w:rPr>
          <w:rFonts w:asciiTheme="minorEastAsia" w:hAnsiTheme="minorEastAsia" w:cstheme="minorEastAsia"/>
          <w:sz w:val="20"/>
          <w:szCs w:val="20"/>
        </w:rPr>
      </w:pPr>
      <w:r>
        <w:rPr>
          <w:rFonts w:hint="eastAsia" w:asciiTheme="minorEastAsia" w:hAnsiTheme="minorEastAsia" w:cstheme="minorEastAsia"/>
          <w:sz w:val="20"/>
          <w:szCs w:val="20"/>
        </w:rPr>
        <w:t>公开04表</w:t>
      </w:r>
    </w:p>
    <w:p>
      <w:pPr>
        <w:wordWrap w:val="0"/>
        <w:spacing w:line="240" w:lineRule="exact"/>
        <w:ind w:firstLine="200" w:firstLineChars="100"/>
        <w:jc w:val="center"/>
        <w:rPr>
          <w:rFonts w:hint="eastAsia" w:asciiTheme="minorEastAsia" w:hAnsiTheme="minorEastAsia" w:cstheme="minorEastAsia"/>
          <w:sz w:val="20"/>
          <w:szCs w:val="20"/>
          <w:lang w:val="en-US" w:eastAsia="zh-CN"/>
        </w:rPr>
      </w:pPr>
      <w:r>
        <w:rPr>
          <w:rFonts w:hint="eastAsia" w:asciiTheme="minorEastAsia" w:hAnsiTheme="minorEastAsia" w:cstheme="minorEastAsia"/>
          <w:sz w:val="20"/>
          <w:szCs w:val="20"/>
          <w:lang w:val="en-US" w:eastAsia="zh-CN"/>
        </w:rPr>
        <w:t xml:space="preserve">  </w:t>
      </w:r>
      <w:r>
        <w:rPr>
          <w:rFonts w:hint="eastAsia" w:asciiTheme="minorEastAsia" w:hAnsiTheme="minorEastAsia" w:cstheme="minorEastAsia"/>
          <w:sz w:val="20"/>
          <w:szCs w:val="20"/>
        </w:rPr>
        <w:t>部门：</w:t>
      </w:r>
      <w:r>
        <w:rPr>
          <w:rFonts w:hint="eastAsia" w:asciiTheme="minorEastAsia" w:hAnsiTheme="minorEastAsia" w:cstheme="minorEastAsia"/>
          <w:sz w:val="20"/>
          <w:szCs w:val="20"/>
          <w:lang w:val="en-US" w:eastAsia="zh-CN"/>
        </w:rPr>
        <w:t>湖南省农机事务中心</w:t>
      </w:r>
      <w:r>
        <w:rPr>
          <w:rFonts w:hint="eastAsia" w:asciiTheme="minorEastAsia" w:hAnsiTheme="minorEastAsia" w:cstheme="minorEastAsia"/>
          <w:sz w:val="20"/>
          <w:szCs w:val="20"/>
        </w:rPr>
        <w:t xml:space="preserve">                                                                                                                           </w:t>
      </w:r>
      <w:r>
        <w:rPr>
          <w:rFonts w:hint="eastAsia" w:asciiTheme="minorEastAsia" w:hAnsiTheme="minorEastAsia" w:cstheme="minorEastAsia"/>
          <w:sz w:val="20"/>
          <w:szCs w:val="20"/>
          <w:lang w:val="en-US" w:eastAsia="zh-CN"/>
        </w:rPr>
        <w:t xml:space="preserve">   </w:t>
      </w:r>
    </w:p>
    <w:p>
      <w:pPr>
        <w:wordWrap w:val="0"/>
        <w:spacing w:line="240" w:lineRule="exact"/>
        <w:ind w:firstLine="400" w:firstLineChars="200"/>
        <w:jc w:val="both"/>
        <w:rPr>
          <w:rFonts w:asciiTheme="minorEastAsia" w:hAnsiTheme="minorEastAsia" w:cstheme="minorEastAsia"/>
          <w:sz w:val="20"/>
          <w:szCs w:val="20"/>
        </w:rPr>
      </w:pPr>
      <w:r>
        <w:rPr>
          <w:rFonts w:hint="eastAsia" w:asciiTheme="minorEastAsia" w:hAnsiTheme="minorEastAsia" w:cstheme="minorEastAsia"/>
          <w:sz w:val="20"/>
          <w:szCs w:val="20"/>
        </w:rPr>
        <w:t>单位：万元</w:t>
      </w:r>
    </w:p>
    <w:tbl>
      <w:tblPr>
        <w:tblStyle w:val="5"/>
        <w:tblW w:w="14823" w:type="dxa"/>
        <w:jc w:val="center"/>
        <w:tblInd w:w="0" w:type="dxa"/>
        <w:tblLayout w:type="fixed"/>
        <w:tblCellMar>
          <w:top w:w="0" w:type="dxa"/>
          <w:left w:w="108" w:type="dxa"/>
          <w:bottom w:w="0" w:type="dxa"/>
          <w:right w:w="108" w:type="dxa"/>
        </w:tblCellMar>
      </w:tblPr>
      <w:tblGrid>
        <w:gridCol w:w="2748"/>
        <w:gridCol w:w="850"/>
        <w:gridCol w:w="1134"/>
        <w:gridCol w:w="3090"/>
        <w:gridCol w:w="777"/>
        <w:gridCol w:w="990"/>
        <w:gridCol w:w="1648"/>
        <w:gridCol w:w="1920"/>
        <w:gridCol w:w="1666"/>
      </w:tblGrid>
      <w:tr>
        <w:tblPrEx>
          <w:tblLayout w:type="fixed"/>
          <w:tblCellMar>
            <w:top w:w="0" w:type="dxa"/>
            <w:left w:w="108" w:type="dxa"/>
            <w:bottom w:w="0" w:type="dxa"/>
            <w:right w:w="108" w:type="dxa"/>
          </w:tblCellMar>
        </w:tblPrEx>
        <w:trPr>
          <w:trHeight w:val="240" w:hRule="exact"/>
          <w:jc w:val="center"/>
        </w:trPr>
        <w:tc>
          <w:tcPr>
            <w:tcW w:w="4732"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收     入</w:t>
            </w:r>
          </w:p>
        </w:tc>
        <w:tc>
          <w:tcPr>
            <w:tcW w:w="10091"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支     出</w:t>
            </w:r>
          </w:p>
        </w:tc>
      </w:tr>
      <w:tr>
        <w:tblPrEx>
          <w:tblLayout w:type="fixed"/>
          <w:tblCellMar>
            <w:top w:w="0" w:type="dxa"/>
            <w:left w:w="108" w:type="dxa"/>
            <w:bottom w:w="0" w:type="dxa"/>
            <w:right w:w="108" w:type="dxa"/>
          </w:tblCellMar>
        </w:tblPrEx>
        <w:trPr>
          <w:trHeight w:val="312" w:hRule="exact"/>
          <w:jc w:val="center"/>
        </w:trPr>
        <w:tc>
          <w:tcPr>
            <w:tcW w:w="27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项目</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行次</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金额</w:t>
            </w:r>
          </w:p>
        </w:tc>
        <w:tc>
          <w:tcPr>
            <w:tcW w:w="30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项目</w:t>
            </w:r>
          </w:p>
        </w:tc>
        <w:tc>
          <w:tcPr>
            <w:tcW w:w="7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行次</w:t>
            </w:r>
          </w:p>
        </w:tc>
        <w:tc>
          <w:tcPr>
            <w:tcW w:w="99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合计</w:t>
            </w:r>
          </w:p>
        </w:tc>
        <w:tc>
          <w:tcPr>
            <w:tcW w:w="16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一般公共预算财政拨款</w:t>
            </w:r>
          </w:p>
        </w:tc>
        <w:tc>
          <w:tcPr>
            <w:tcW w:w="19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政府性基金预算财政拨款</w:t>
            </w:r>
          </w:p>
        </w:tc>
        <w:tc>
          <w:tcPr>
            <w:tcW w:w="16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国有资本经营预算财政拨款</w:t>
            </w:r>
          </w:p>
        </w:tc>
      </w:tr>
      <w:tr>
        <w:tblPrEx>
          <w:tblLayout w:type="fixed"/>
          <w:tblCellMar>
            <w:top w:w="0" w:type="dxa"/>
            <w:left w:w="108" w:type="dxa"/>
            <w:bottom w:w="0" w:type="dxa"/>
            <w:right w:w="108" w:type="dxa"/>
          </w:tblCellMar>
        </w:tblPrEx>
        <w:trPr>
          <w:trHeight w:val="312" w:hRule="exact"/>
          <w:jc w:val="center"/>
        </w:trPr>
        <w:tc>
          <w:tcPr>
            <w:tcW w:w="27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18"/>
                <w:szCs w:val="18"/>
              </w:rPr>
            </w:pPr>
          </w:p>
        </w:tc>
        <w:tc>
          <w:tcPr>
            <w:tcW w:w="30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18"/>
                <w:szCs w:val="18"/>
              </w:rPr>
            </w:pPr>
          </w:p>
        </w:tc>
        <w:tc>
          <w:tcPr>
            <w:tcW w:w="7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18"/>
                <w:szCs w:val="18"/>
              </w:rPr>
            </w:pPr>
          </w:p>
        </w:tc>
        <w:tc>
          <w:tcPr>
            <w:tcW w:w="99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Times New Roman" w:hAnsi="Times New Roman" w:eastAsia="宋体" w:cs="Times New Roman"/>
                <w:color w:val="000000"/>
                <w:sz w:val="18"/>
                <w:szCs w:val="18"/>
              </w:rPr>
            </w:pPr>
          </w:p>
        </w:tc>
        <w:tc>
          <w:tcPr>
            <w:tcW w:w="164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18"/>
                <w:szCs w:val="18"/>
              </w:rPr>
            </w:pPr>
          </w:p>
        </w:tc>
        <w:tc>
          <w:tcPr>
            <w:tcW w:w="19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18"/>
                <w:szCs w:val="18"/>
              </w:rPr>
            </w:pPr>
          </w:p>
        </w:tc>
        <w:tc>
          <w:tcPr>
            <w:tcW w:w="16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栏次</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Times New Roman" w:hAnsi="Times New Roman" w:eastAsia="宋体" w:cs="Times New Roman"/>
                <w:color w:val="000000"/>
                <w:sz w:val="18"/>
                <w:szCs w:val="18"/>
              </w:rPr>
            </w:pP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栏次</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Times New Roman" w:hAnsi="Times New Roman" w:eastAsia="宋体" w:cs="Times New Roman"/>
                <w:color w:val="000000"/>
                <w:sz w:val="18"/>
                <w:szCs w:val="18"/>
              </w:rPr>
            </w:pP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ind w:left="180" w:hanging="180" w:hangingChars="10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一、一般公共预算财政拨款</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5,820.51</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一、一般公共服务支出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33</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ind w:left="180" w:hanging="180" w:hangingChars="10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二、政府性基金预算财政拨款</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二、外交支出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34</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ind w:left="180" w:hanging="180" w:hangingChars="100"/>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三、国有资本经营预算财政拨款</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三、国防支出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35</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四、公共安全支出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36</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五、教育支出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37</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六、科学技术支出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38</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7</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七、文化旅游体育与传媒支出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39</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8</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八、社会保障和就业支出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40</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696.32</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696.32</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9</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九、卫生健康支出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41</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0.80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0.80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10</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十、节能环保支出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42</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十一、城乡社区支出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43</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十二、农林水支出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44</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4,213.64</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4,213.64</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13</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十三、交通运输支出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45</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十四、资源勘探工业信息等支出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46</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15</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十五、商业服务业等支出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47</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16</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十六、金融支出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48</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17</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十七、援助其他地区支出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49</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18</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十八、自然资源海洋气象等支出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50</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19</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十九、住房保障支出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51</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177.00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177.00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20</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二十、粮油物资储备支出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52</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二十一、国有资本经营预算支出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53</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二十二、灾害防治及应急管理支出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54</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23</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二十三、其他支出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55</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rPr>
                <w:rFonts w:ascii="Times New Roman" w:hAnsi="Times New Roman" w:eastAsia="宋体" w:cs="Times New Roman"/>
                <w:b/>
                <w:bCs/>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24</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二十四、债务还本支出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56</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25</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二十五、债务付息支出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57</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26</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二十六、抗疫特别国债安排的支出</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58</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rPr>
              <w:t>本年收入合计</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27</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5,820.51</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rPr>
              <w:t>本年支出合计</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59</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5,087.76</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5,087.76</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年初财政拨款结转和结余</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28</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261.90</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年末财政拨款结转和结余</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60</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994.65</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994.65</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 xml:space="preserve">  一般公共预算财政拨款</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29</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261.90</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61</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 xml:space="preserve">  政府性基金预算财政拨款</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62</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 xml:space="preserve">  国有资本经营预算财政拨款</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63</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240" w:hRule="exact"/>
          <w:jc w:val="center"/>
        </w:trPr>
        <w:tc>
          <w:tcPr>
            <w:tcW w:w="27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rPr>
              <w:t>总计</w:t>
            </w:r>
          </w:p>
        </w:tc>
        <w:tc>
          <w:tcPr>
            <w:tcW w:w="8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32</w:t>
            </w:r>
          </w:p>
        </w:tc>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6,082.41</w:t>
            </w:r>
          </w:p>
        </w:tc>
        <w:tc>
          <w:tcPr>
            <w:tcW w:w="30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b/>
                <w:bCs/>
                <w:color w:val="000000"/>
                <w:sz w:val="18"/>
                <w:szCs w:val="18"/>
              </w:rPr>
            </w:pPr>
            <w:r>
              <w:rPr>
                <w:rFonts w:ascii="Times New Roman" w:hAnsi="Times New Roman" w:eastAsia="宋体" w:cs="Times New Roman"/>
                <w:b/>
                <w:bCs/>
                <w:color w:val="000000"/>
                <w:kern w:val="0"/>
                <w:sz w:val="18"/>
                <w:szCs w:val="18"/>
              </w:rPr>
              <w:t>总计</w:t>
            </w:r>
          </w:p>
        </w:tc>
        <w:tc>
          <w:tcPr>
            <w:tcW w:w="7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64</w:t>
            </w:r>
          </w:p>
        </w:tc>
        <w:tc>
          <w:tcPr>
            <w:tcW w:w="99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6,082.41</w:t>
            </w:r>
          </w:p>
        </w:tc>
        <w:tc>
          <w:tcPr>
            <w:tcW w:w="16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6,082.41</w:t>
            </w:r>
          </w:p>
        </w:tc>
        <w:tc>
          <w:tcPr>
            <w:tcW w:w="19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166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40" w:hRule="exact"/>
          <w:jc w:val="center"/>
        </w:trPr>
        <w:tc>
          <w:tcPr>
            <w:tcW w:w="14823" w:type="dxa"/>
            <w:gridSpan w:val="9"/>
            <w:tcBorders>
              <w:top w:val="single" w:color="auto" w:sz="4" w:space="0"/>
              <w:left w:val="nil"/>
              <w:bottom w:val="nil"/>
              <w:right w:val="nil"/>
            </w:tcBorders>
            <w:shd w:val="clear" w:color="auto" w:fill="FFFFFF"/>
            <w:noWrap/>
            <w:vAlign w:val="center"/>
          </w:tcPr>
          <w:p>
            <w:pPr>
              <w:widowControl/>
              <w:spacing w:line="240" w:lineRule="exact"/>
              <w:ind w:left="360" w:hanging="360" w:hangingChars="200"/>
              <w:jc w:val="left"/>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注：本表反映部门本年度一般公共预算财政拨款、政府性基金预算财政拨款和国有资本经营预算财政拨款的总收支和年末结转结余情况。</w:t>
            </w:r>
          </w:p>
        </w:tc>
      </w:tr>
    </w:tbl>
    <w:p>
      <w:pPr>
        <w:wordWrap w:val="0"/>
        <w:rPr>
          <w:rFonts w:asciiTheme="minorEastAsia" w:hAnsiTheme="minorEastAsia" w:cstheme="minorEastAsia"/>
          <w:szCs w:val="21"/>
        </w:rPr>
        <w:sectPr>
          <w:pgSz w:w="16838" w:h="11906" w:orient="landscape"/>
          <w:pgMar w:top="720" w:right="720" w:bottom="663" w:left="720" w:header="851" w:footer="992" w:gutter="0"/>
          <w:cols w:space="0" w:num="1"/>
          <w:docGrid w:type="lines" w:linePitch="312" w:charSpace="0"/>
        </w:sect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p>
    <w:p>
      <w:pPr>
        <w:ind w:right="420" w:firstLine="13230" w:firstLineChars="6300"/>
        <w:rPr>
          <w:rFonts w:asciiTheme="minorEastAsia" w:hAnsiTheme="minorEastAsia" w:cstheme="minorEastAsia"/>
          <w:szCs w:val="21"/>
        </w:rPr>
      </w:pPr>
      <w:r>
        <w:rPr>
          <w:rFonts w:hint="eastAsia" w:asciiTheme="minorEastAsia" w:hAnsiTheme="minorEastAsia" w:cstheme="minorEastAsia"/>
          <w:szCs w:val="21"/>
        </w:rPr>
        <w:t>公开05表</w:t>
      </w:r>
    </w:p>
    <w:p>
      <w:pPr>
        <w:ind w:firstLine="1050" w:firstLineChars="500"/>
        <w:jc w:val="both"/>
        <w:rPr>
          <w:rFonts w:hint="eastAsia" w:asciiTheme="minorEastAsia" w:hAnsiTheme="minorEastAsia" w:cstheme="minorEastAsia"/>
          <w:szCs w:val="21"/>
          <w:lang w:val="en-US" w:eastAsia="zh-CN"/>
        </w:rPr>
      </w:pPr>
      <w:r>
        <w:rPr>
          <w:rFonts w:hint="eastAsia" w:asciiTheme="minorEastAsia" w:hAnsiTheme="minorEastAsia" w:cstheme="minorEastAsia"/>
          <w:szCs w:val="21"/>
        </w:rPr>
        <w:t>部门：</w:t>
      </w:r>
      <w:r>
        <w:rPr>
          <w:rFonts w:hint="eastAsia" w:asciiTheme="minorEastAsia" w:hAnsiTheme="minorEastAsia" w:cstheme="minorEastAsia"/>
          <w:szCs w:val="21"/>
          <w:lang w:val="en-US" w:eastAsia="zh-CN"/>
        </w:rPr>
        <w:t>湖南省农机事务中心</w:t>
      </w:r>
    </w:p>
    <w:p>
      <w:pPr>
        <w:ind w:firstLine="1050" w:firstLineChars="500"/>
        <w:jc w:val="both"/>
        <w:rPr>
          <w:rFonts w:asciiTheme="minorEastAsia" w:hAnsiTheme="minorEastAsia" w:cstheme="minorEastAsia"/>
          <w:szCs w:val="21"/>
        </w:rPr>
      </w:pPr>
      <w:r>
        <w:rPr>
          <w:rFonts w:hint="eastAsia" w:asciiTheme="minorEastAsia" w:hAnsiTheme="minorEastAsia" w:cstheme="minorEastAsia"/>
          <w:szCs w:val="21"/>
        </w:rPr>
        <w:t>单位：万元</w:t>
      </w:r>
    </w:p>
    <w:tbl>
      <w:tblPr>
        <w:tblStyle w:val="5"/>
        <w:tblW w:w="133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8"/>
        <w:gridCol w:w="4314"/>
        <w:gridCol w:w="2269"/>
        <w:gridCol w:w="2269"/>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6552" w:type="dxa"/>
            <w:gridSpan w:val="2"/>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项目</w:t>
            </w:r>
          </w:p>
        </w:tc>
        <w:tc>
          <w:tcPr>
            <w:tcW w:w="6807" w:type="dxa"/>
            <w:gridSpan w:val="3"/>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本年支出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238" w:type="dxa"/>
            <w:vMerge w:val="restart"/>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科目代码</w:t>
            </w:r>
          </w:p>
        </w:tc>
        <w:tc>
          <w:tcPr>
            <w:tcW w:w="4314" w:type="dxa"/>
            <w:vMerge w:val="restart"/>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科目名称</w:t>
            </w:r>
          </w:p>
        </w:tc>
        <w:tc>
          <w:tcPr>
            <w:tcW w:w="2269" w:type="dxa"/>
            <w:vMerge w:val="restart"/>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小计</w:t>
            </w:r>
          </w:p>
        </w:tc>
        <w:tc>
          <w:tcPr>
            <w:tcW w:w="2269" w:type="dxa"/>
            <w:vMerge w:val="restart"/>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基本支出</w:t>
            </w:r>
          </w:p>
        </w:tc>
        <w:tc>
          <w:tcPr>
            <w:tcW w:w="2269" w:type="dxa"/>
            <w:vMerge w:val="restart"/>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238" w:type="dxa"/>
            <w:vMerge w:val="continue"/>
            <w:shd w:val="clear" w:color="auto" w:fill="auto"/>
            <w:vAlign w:val="center"/>
          </w:tcPr>
          <w:p>
            <w:pPr>
              <w:jc w:val="center"/>
              <w:rPr>
                <w:rFonts w:ascii="Times New Roman" w:hAnsi="Times New Roman" w:eastAsia="宋体" w:cs="Times New Roman"/>
                <w:color w:val="000000"/>
                <w:sz w:val="22"/>
              </w:rPr>
            </w:pPr>
          </w:p>
        </w:tc>
        <w:tc>
          <w:tcPr>
            <w:tcW w:w="4314" w:type="dxa"/>
            <w:vMerge w:val="continue"/>
            <w:shd w:val="clear" w:color="auto" w:fill="auto"/>
            <w:noWrap/>
            <w:vAlign w:val="center"/>
          </w:tcPr>
          <w:p>
            <w:pPr>
              <w:jc w:val="center"/>
              <w:rPr>
                <w:rFonts w:ascii="Times New Roman" w:hAnsi="Times New Roman" w:eastAsia="宋体" w:cs="Times New Roman"/>
                <w:color w:val="000000"/>
                <w:sz w:val="22"/>
              </w:rPr>
            </w:pPr>
          </w:p>
        </w:tc>
        <w:tc>
          <w:tcPr>
            <w:tcW w:w="2269" w:type="dxa"/>
            <w:vMerge w:val="continue"/>
            <w:shd w:val="clear" w:color="auto" w:fill="auto"/>
            <w:vAlign w:val="center"/>
          </w:tcPr>
          <w:p>
            <w:pPr>
              <w:jc w:val="center"/>
              <w:rPr>
                <w:rFonts w:ascii="Times New Roman" w:hAnsi="Times New Roman" w:eastAsia="宋体" w:cs="Times New Roman"/>
                <w:color w:val="000000"/>
                <w:sz w:val="22"/>
              </w:rPr>
            </w:pPr>
          </w:p>
        </w:tc>
        <w:tc>
          <w:tcPr>
            <w:tcW w:w="2269" w:type="dxa"/>
            <w:vMerge w:val="continue"/>
            <w:shd w:val="clear" w:color="auto" w:fill="auto"/>
            <w:vAlign w:val="center"/>
          </w:tcPr>
          <w:p>
            <w:pPr>
              <w:jc w:val="center"/>
              <w:rPr>
                <w:rFonts w:ascii="Times New Roman" w:hAnsi="Times New Roman" w:eastAsia="宋体" w:cs="Times New Roman"/>
                <w:color w:val="000000"/>
                <w:sz w:val="22"/>
              </w:rPr>
            </w:pPr>
          </w:p>
        </w:tc>
        <w:tc>
          <w:tcPr>
            <w:tcW w:w="2269" w:type="dxa"/>
            <w:vMerge w:val="continue"/>
            <w:shd w:val="clear" w:color="auto" w:fill="auto"/>
            <w:vAlign w:val="center"/>
          </w:tcPr>
          <w:p>
            <w:pPr>
              <w:jc w:val="center"/>
              <w:rPr>
                <w:rFonts w:ascii="Times New Roman" w:hAnsi="Times New Roman" w:eastAsia="宋体" w:cs="Times New Roman"/>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exact"/>
          <w:jc w:val="center"/>
        </w:trPr>
        <w:tc>
          <w:tcPr>
            <w:tcW w:w="2238" w:type="dxa"/>
            <w:vMerge w:val="continue"/>
            <w:shd w:val="clear" w:color="auto" w:fill="auto"/>
            <w:vAlign w:val="center"/>
          </w:tcPr>
          <w:p>
            <w:pPr>
              <w:jc w:val="center"/>
              <w:rPr>
                <w:rFonts w:ascii="Times New Roman" w:hAnsi="Times New Roman" w:eastAsia="宋体" w:cs="Times New Roman"/>
                <w:color w:val="000000"/>
                <w:sz w:val="22"/>
              </w:rPr>
            </w:pPr>
          </w:p>
        </w:tc>
        <w:tc>
          <w:tcPr>
            <w:tcW w:w="4314" w:type="dxa"/>
            <w:vMerge w:val="continue"/>
            <w:shd w:val="clear" w:color="auto" w:fill="auto"/>
            <w:noWrap/>
            <w:vAlign w:val="center"/>
          </w:tcPr>
          <w:p>
            <w:pPr>
              <w:jc w:val="center"/>
              <w:rPr>
                <w:rFonts w:ascii="Times New Roman" w:hAnsi="Times New Roman" w:eastAsia="宋体" w:cs="Times New Roman"/>
                <w:color w:val="000000"/>
                <w:sz w:val="22"/>
              </w:rPr>
            </w:pPr>
          </w:p>
        </w:tc>
        <w:tc>
          <w:tcPr>
            <w:tcW w:w="2269" w:type="dxa"/>
            <w:vMerge w:val="continue"/>
            <w:shd w:val="clear" w:color="auto" w:fill="auto"/>
            <w:vAlign w:val="center"/>
          </w:tcPr>
          <w:p>
            <w:pPr>
              <w:jc w:val="center"/>
              <w:rPr>
                <w:rFonts w:ascii="Times New Roman" w:hAnsi="Times New Roman" w:eastAsia="宋体" w:cs="Times New Roman"/>
                <w:color w:val="000000"/>
                <w:sz w:val="22"/>
              </w:rPr>
            </w:pPr>
          </w:p>
        </w:tc>
        <w:tc>
          <w:tcPr>
            <w:tcW w:w="2269" w:type="dxa"/>
            <w:vMerge w:val="continue"/>
            <w:shd w:val="clear" w:color="auto" w:fill="auto"/>
            <w:vAlign w:val="center"/>
          </w:tcPr>
          <w:p>
            <w:pPr>
              <w:jc w:val="center"/>
              <w:rPr>
                <w:rFonts w:ascii="Times New Roman" w:hAnsi="Times New Roman" w:eastAsia="宋体" w:cs="Times New Roman"/>
                <w:color w:val="000000"/>
                <w:sz w:val="22"/>
              </w:rPr>
            </w:pPr>
          </w:p>
        </w:tc>
        <w:tc>
          <w:tcPr>
            <w:tcW w:w="2269" w:type="dxa"/>
            <w:vMerge w:val="continue"/>
            <w:shd w:val="clear" w:color="auto" w:fill="auto"/>
            <w:vAlign w:val="center"/>
          </w:tcPr>
          <w:p>
            <w:pPr>
              <w:jc w:val="center"/>
              <w:rPr>
                <w:rFonts w:ascii="Times New Roman" w:hAnsi="Times New Roman" w:eastAsia="宋体" w:cs="Times New Roman"/>
                <w:color w:val="00000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6552" w:type="dxa"/>
            <w:gridSpan w:val="2"/>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栏次</w:t>
            </w:r>
          </w:p>
        </w:tc>
        <w:tc>
          <w:tcPr>
            <w:tcW w:w="2269" w:type="dxa"/>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w:t>
            </w:r>
          </w:p>
        </w:tc>
        <w:tc>
          <w:tcPr>
            <w:tcW w:w="2269" w:type="dxa"/>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w:t>
            </w:r>
          </w:p>
        </w:tc>
        <w:tc>
          <w:tcPr>
            <w:tcW w:w="2269" w:type="dxa"/>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6552" w:type="dxa"/>
            <w:gridSpan w:val="2"/>
            <w:shd w:val="clear" w:color="auto" w:fill="auto"/>
            <w:noWrap/>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合计</w:t>
            </w:r>
          </w:p>
        </w:tc>
        <w:tc>
          <w:tcPr>
            <w:tcW w:w="2269" w:type="dxa"/>
            <w:shd w:val="clear" w:color="auto" w:fill="auto"/>
            <w:noWrap/>
            <w:vAlign w:val="center"/>
          </w:tcPr>
          <w:p>
            <w:pPr>
              <w:widowControl/>
              <w:jc w:val="right"/>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5,087.76</w:t>
            </w:r>
          </w:p>
        </w:tc>
        <w:tc>
          <w:tcPr>
            <w:tcW w:w="2269" w:type="dxa"/>
            <w:shd w:val="clear" w:color="auto" w:fill="auto"/>
            <w:noWrap/>
            <w:vAlign w:val="center"/>
          </w:tcPr>
          <w:p>
            <w:pPr>
              <w:widowControl/>
              <w:jc w:val="right"/>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3,999.44</w:t>
            </w:r>
          </w:p>
        </w:tc>
        <w:tc>
          <w:tcPr>
            <w:tcW w:w="2269" w:type="dxa"/>
            <w:shd w:val="clear" w:color="auto" w:fill="auto"/>
            <w:noWrap/>
            <w:vAlign w:val="center"/>
          </w:tcPr>
          <w:p>
            <w:pPr>
              <w:widowControl/>
              <w:jc w:val="right"/>
              <w:textAlignment w:val="center"/>
              <w:rPr>
                <w:rFonts w:ascii="Times New Roman" w:hAnsi="Times New Roman" w:eastAsia="宋体" w:cs="Times New Roman"/>
                <w:b/>
                <w:bCs/>
                <w:color w:val="000000"/>
                <w:sz w:val="22"/>
              </w:rPr>
            </w:pPr>
            <w:r>
              <w:rPr>
                <w:rFonts w:ascii="Times New Roman" w:hAnsi="Times New Roman" w:eastAsia="宋体" w:cs="Times New Roman"/>
                <w:b/>
                <w:bCs/>
                <w:color w:val="000000"/>
                <w:kern w:val="0"/>
                <w:sz w:val="22"/>
              </w:rPr>
              <w:t>1,088.32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社会保障和就业支出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696.32</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695.84</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20805</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行政事业单位养老支出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633.17</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633.17</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2080502</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事业单位离退休</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243.97</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243.97</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2080505</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机关事业单位基本养老保险缴费支出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389.20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389.20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20808</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抚恤</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62.67</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62.67</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2080801</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死亡抚恤</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62.67</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62.67</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20899</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其他社会保障和就业支出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2089999</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其他社会保障和就业支出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210</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卫生健康支出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21099</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其他卫生健康支出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2109999</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其他卫生健康支出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农林水支出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4,213.64</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3,126.60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1,087.04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21301</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农业农村</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3,379.66</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2,292.62</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1,087.04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2130101</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行政运行</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2,530.77</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2,292.62</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238.15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2130106</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科技转化与推广服务</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201.03</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2130122</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农业生产发展</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647.86</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647.86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21303</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水利</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833.98</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833.98</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2130301</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行政运行</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833.98</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833.98</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221</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住房保障支出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22102</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住房改革支出</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exact"/>
          <w:jc w:val="center"/>
        </w:trPr>
        <w:tc>
          <w:tcPr>
            <w:tcW w:w="2238"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2210201</w:t>
            </w:r>
          </w:p>
        </w:tc>
        <w:tc>
          <w:tcPr>
            <w:tcW w:w="4314" w:type="dxa"/>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住房公积金</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177.00</w:t>
            </w:r>
          </w:p>
        </w:tc>
        <w:tc>
          <w:tcPr>
            <w:tcW w:w="2269" w:type="dxa"/>
            <w:shd w:val="clear" w:color="auto" w:fill="auto"/>
            <w:noWrap/>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 w:hRule="exact"/>
          <w:jc w:val="center"/>
        </w:trPr>
        <w:tc>
          <w:tcPr>
            <w:tcW w:w="13359" w:type="dxa"/>
            <w:gridSpan w:val="5"/>
            <w:shd w:val="clear" w:color="auto" w:fill="auto"/>
            <w:noWrap/>
            <w:vAlign w:val="center"/>
          </w:tcPr>
          <w:p>
            <w:pPr>
              <w:widowControl/>
              <w:jc w:val="lef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注：本表反映部门本年度一般公共预算财政拨款支出情况。</w:t>
            </w:r>
          </w:p>
        </w:tc>
      </w:tr>
    </w:tbl>
    <w:p>
      <w:pPr>
        <w:widowControl/>
        <w:jc w:val="left"/>
      </w:pPr>
    </w:p>
    <w:p>
      <w:pPr>
        <w:widowControl/>
        <w:jc w:val="center"/>
        <w:rPr>
          <w:rFonts w:ascii="Times New Roman" w:hAnsi="Times New Roman" w:eastAsia="方正小标宋_GBK" w:cs="Times New Roman"/>
          <w:kern w:val="0"/>
          <w:sz w:val="36"/>
          <w:szCs w:val="36"/>
        </w:rPr>
      </w:pPr>
      <w:r>
        <w:rPr>
          <w:rFonts w:hint="eastAsia" w:ascii="Times New Roman" w:hAnsi="Times New Roman" w:eastAsia="方正小标宋_GBK" w:cs="Times New Roman"/>
          <w:kern w:val="0"/>
          <w:sz w:val="36"/>
          <w:szCs w:val="36"/>
        </w:rPr>
        <w:t>一般公共预算财政拨款基本支出决算明细表</w:t>
      </w:r>
    </w:p>
    <w:p>
      <w:pPr>
        <w:ind w:right="420"/>
        <w:jc w:val="center"/>
        <w:rPr>
          <w:rFonts w:asciiTheme="minorEastAsia" w:hAnsiTheme="minorEastAsia" w:cstheme="minorEastAsia"/>
          <w:szCs w:val="21"/>
        </w:rPr>
      </w:pPr>
      <w:r>
        <w:rPr>
          <w:rFonts w:hint="eastAsia" w:asciiTheme="minorEastAsia" w:hAnsiTheme="minorEastAsia" w:cstheme="minorEastAsia"/>
          <w:szCs w:val="21"/>
        </w:rPr>
        <w:t xml:space="preserve">                                                                                                                               公开06表</w:t>
      </w:r>
    </w:p>
    <w:p>
      <w:pPr>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部门：</w:t>
      </w:r>
      <w:r>
        <w:rPr>
          <w:rFonts w:hint="eastAsia" w:asciiTheme="minorEastAsia" w:hAnsiTheme="minorEastAsia" w:cstheme="minorEastAsia"/>
          <w:szCs w:val="21"/>
          <w:lang w:val="en-US" w:eastAsia="zh-CN"/>
        </w:rPr>
        <w:t>湖南省农机事务中心</w:t>
      </w:r>
      <w:r>
        <w:rPr>
          <w:rFonts w:hint="eastAsia" w:asciiTheme="minorEastAsia" w:hAnsiTheme="minorEastAsia" w:cstheme="minorEastAsia"/>
          <w:szCs w:val="21"/>
        </w:rPr>
        <w:t xml:space="preserve">                                                                                                                    </w:t>
      </w:r>
    </w:p>
    <w:p>
      <w:pPr>
        <w:ind w:firstLine="420" w:firstLineChars="200"/>
        <w:jc w:val="left"/>
        <w:rPr>
          <w:rFonts w:asciiTheme="minorEastAsia" w:hAnsiTheme="minorEastAsia" w:cstheme="minorEastAsia"/>
          <w:szCs w:val="21"/>
        </w:rPr>
      </w:pPr>
      <w:r>
        <w:rPr>
          <w:rFonts w:hint="eastAsia" w:asciiTheme="minorEastAsia" w:hAnsiTheme="minorEastAsia" w:cstheme="minorEastAsia"/>
          <w:szCs w:val="21"/>
        </w:rPr>
        <w:t>单位：万元</w:t>
      </w:r>
    </w:p>
    <w:tbl>
      <w:tblPr>
        <w:tblStyle w:val="5"/>
        <w:tblW w:w="14699" w:type="dxa"/>
        <w:jc w:val="center"/>
        <w:tblInd w:w="0" w:type="dxa"/>
        <w:tblLayout w:type="fixed"/>
        <w:tblCellMar>
          <w:top w:w="0" w:type="dxa"/>
          <w:left w:w="108" w:type="dxa"/>
          <w:bottom w:w="0" w:type="dxa"/>
          <w:right w:w="108" w:type="dxa"/>
        </w:tblCellMar>
      </w:tblPr>
      <w:tblGrid>
        <w:gridCol w:w="753"/>
        <w:gridCol w:w="3277"/>
        <w:gridCol w:w="1115"/>
        <w:gridCol w:w="753"/>
        <w:gridCol w:w="2164"/>
        <w:gridCol w:w="891"/>
        <w:gridCol w:w="753"/>
        <w:gridCol w:w="4099"/>
        <w:gridCol w:w="894"/>
      </w:tblGrid>
      <w:tr>
        <w:tblPrEx>
          <w:tblLayout w:type="fixed"/>
          <w:tblCellMar>
            <w:top w:w="0" w:type="dxa"/>
            <w:left w:w="108" w:type="dxa"/>
            <w:bottom w:w="0" w:type="dxa"/>
            <w:right w:w="108" w:type="dxa"/>
          </w:tblCellMar>
        </w:tblPrEx>
        <w:trPr>
          <w:trHeight w:val="252" w:hRule="exact"/>
          <w:jc w:val="center"/>
        </w:trPr>
        <w:tc>
          <w:tcPr>
            <w:tcW w:w="5145"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人员经费</w:t>
            </w:r>
          </w:p>
        </w:tc>
        <w:tc>
          <w:tcPr>
            <w:tcW w:w="9554"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公用经费</w:t>
            </w:r>
          </w:p>
        </w:tc>
      </w:tr>
      <w:tr>
        <w:tblPrEx>
          <w:tblLayout w:type="fixed"/>
          <w:tblCellMar>
            <w:top w:w="0" w:type="dxa"/>
            <w:left w:w="108" w:type="dxa"/>
            <w:bottom w:w="0" w:type="dxa"/>
            <w:right w:w="108" w:type="dxa"/>
          </w:tblCellMar>
        </w:tblPrEx>
        <w:trPr>
          <w:trHeight w:val="327" w:hRule="exact"/>
          <w:jc w:val="center"/>
        </w:trPr>
        <w:tc>
          <w:tcPr>
            <w:tcW w:w="7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科目代码</w:t>
            </w:r>
          </w:p>
        </w:tc>
        <w:tc>
          <w:tcPr>
            <w:tcW w:w="32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科目名称</w:t>
            </w:r>
          </w:p>
        </w:tc>
        <w:tc>
          <w:tcPr>
            <w:tcW w:w="11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决算数</w:t>
            </w:r>
          </w:p>
        </w:tc>
        <w:tc>
          <w:tcPr>
            <w:tcW w:w="7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科目代码</w:t>
            </w:r>
          </w:p>
        </w:tc>
        <w:tc>
          <w:tcPr>
            <w:tcW w:w="216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科目名称</w:t>
            </w:r>
          </w:p>
        </w:tc>
        <w:tc>
          <w:tcPr>
            <w:tcW w:w="8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决算数</w:t>
            </w:r>
          </w:p>
        </w:tc>
        <w:tc>
          <w:tcPr>
            <w:tcW w:w="7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科目代码</w:t>
            </w:r>
          </w:p>
        </w:tc>
        <w:tc>
          <w:tcPr>
            <w:tcW w:w="409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科目名称</w:t>
            </w:r>
          </w:p>
        </w:tc>
        <w:tc>
          <w:tcPr>
            <w:tcW w:w="8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决算数</w:t>
            </w:r>
          </w:p>
        </w:tc>
      </w:tr>
      <w:tr>
        <w:tblPrEx>
          <w:tblLayout w:type="fixed"/>
          <w:tblCellMar>
            <w:top w:w="0" w:type="dxa"/>
            <w:left w:w="108" w:type="dxa"/>
            <w:bottom w:w="0" w:type="dxa"/>
            <w:right w:w="108" w:type="dxa"/>
          </w:tblCellMar>
        </w:tblPrEx>
        <w:trPr>
          <w:trHeight w:val="327" w:hRule="exact"/>
          <w:jc w:val="center"/>
        </w:trPr>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20"/>
                <w:szCs w:val="20"/>
              </w:rPr>
            </w:pPr>
          </w:p>
        </w:tc>
        <w:tc>
          <w:tcPr>
            <w:tcW w:w="32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20"/>
                <w:szCs w:val="20"/>
              </w:rPr>
            </w:pPr>
          </w:p>
        </w:tc>
        <w:tc>
          <w:tcPr>
            <w:tcW w:w="11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20"/>
                <w:szCs w:val="20"/>
              </w:rPr>
            </w:pPr>
          </w:p>
        </w:tc>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20"/>
                <w:szCs w:val="20"/>
              </w:rPr>
            </w:pPr>
          </w:p>
        </w:tc>
        <w:tc>
          <w:tcPr>
            <w:tcW w:w="216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20"/>
                <w:szCs w:val="20"/>
              </w:rPr>
            </w:pPr>
          </w:p>
        </w:tc>
        <w:tc>
          <w:tcPr>
            <w:tcW w:w="89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20"/>
                <w:szCs w:val="20"/>
              </w:rPr>
            </w:pPr>
          </w:p>
        </w:tc>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20"/>
                <w:szCs w:val="20"/>
              </w:rPr>
            </w:pPr>
          </w:p>
        </w:tc>
        <w:tc>
          <w:tcPr>
            <w:tcW w:w="409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20"/>
                <w:szCs w:val="20"/>
              </w:rPr>
            </w:pPr>
          </w:p>
        </w:tc>
        <w:tc>
          <w:tcPr>
            <w:tcW w:w="8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宋体" w:cs="Times New Roman"/>
                <w:color w:val="000000"/>
                <w:sz w:val="20"/>
                <w:szCs w:val="20"/>
              </w:rPr>
            </w:pP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工资福利支出</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2,733.05</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商品和服务支出</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492.98</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307</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债务利息及费用支出</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30101</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基本工资</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1,508.20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30201</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办公费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30701</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国内债务付息</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30102</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津贴补贴</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110.10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30202</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印刷费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8.00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30702</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国外债务付息</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30103</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奖金</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392.35</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30203</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咨询费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资本性支出</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20.37</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30106</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伙食补助费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106.20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30204</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手续费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31001</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房屋建筑物购建</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30107</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绩效工资</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30205</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水费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15.00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31002</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办公设备购置</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30108</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机关事业单位基本养老保险缴费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140.00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30206</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电费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33.00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31003</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专用设备购置</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30109</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职业年金缴费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30207</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邮电费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31005</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基础设施建设</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30110</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职工基本医疗保险缴费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100.00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30208</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取暖费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31006</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大型修缮</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30111</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公务员医疗补助缴费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134.20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30209</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物业管理费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31007</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信息网络及软件购置更新</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30112</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其他社会保障缴费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15.00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30211</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差旅费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31008</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物资储备</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30113</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住房公积金</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177.00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30212</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因公出国（境）费用</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31009</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土地补偿</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30114</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医疗费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30213</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维修（护）费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25.00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31010</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安置补助</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30199</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其他工资福利支出</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30214</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租赁费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31011</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地上附着物和青苗补偿</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对个人和家庭的补助</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753.03</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30215</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会议费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31012</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拆迁补偿</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30301</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离休费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46.11</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30216</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培训费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31013</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公务用车购置</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20.37</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30302</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退休费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435.33</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30217</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公务接待费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0.68</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31019</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其他交通工具购置</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30303</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退职（役）费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30218</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专用材料费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31021</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文物和陈列品购置</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30304</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抚恤金</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66.47</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30224</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被装购置费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31022</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无形资产购置</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30305</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生活补助</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17.60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30225</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专用燃料费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31099</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其他资本性支出</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30306</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救济费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30226</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劳务费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399</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其他支出</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30307</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医疗费补助</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13.41</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30227</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委托业务费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39907</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国家赔偿费用支出</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30308</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助学金</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30228</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工会经费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35.50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39908</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对民间非营利组织和群众性自治组织补贴</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30309</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奖励金</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134.80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30229</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福利费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13.81</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39909</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经常性赠与</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30310</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个人农业生产补贴</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30231</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公务用车运行维护费</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28.83</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39910</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资本性赠与</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30311</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代缴社会保险费</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30239</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其他交通费用</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111.99</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39999</w:t>
            </w: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其他支出</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30399</w:t>
            </w: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其他对个人和家庭的补助</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39.32</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30240</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税金及附加费用</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0.00</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252" w:hRule="exact"/>
          <w:jc w:val="center"/>
        </w:trPr>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327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30299</w:t>
            </w:r>
          </w:p>
        </w:tc>
        <w:tc>
          <w:tcPr>
            <w:tcW w:w="216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其他商品和服务支出</w:t>
            </w:r>
          </w:p>
        </w:tc>
        <w:tc>
          <w:tcPr>
            <w:tcW w:w="89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95.17</w:t>
            </w:r>
          </w:p>
        </w:tc>
        <w:tc>
          <w:tcPr>
            <w:tcW w:w="7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409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ascii="Times New Roman" w:hAnsi="Times New Roman" w:eastAsia="宋体" w:cs="Times New Roman"/>
                <w:color w:val="000000"/>
                <w:sz w:val="18"/>
                <w:szCs w:val="18"/>
              </w:rPr>
            </w:pP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rPr>
                <w:rFonts w:ascii="Times New Roman" w:hAnsi="Times New Roman" w:eastAsia="宋体" w:cs="Times New Roman"/>
                <w:color w:val="000000"/>
                <w:sz w:val="18"/>
                <w:szCs w:val="18"/>
              </w:rPr>
            </w:pPr>
          </w:p>
        </w:tc>
      </w:tr>
      <w:tr>
        <w:tblPrEx>
          <w:tblLayout w:type="fixed"/>
          <w:tblCellMar>
            <w:top w:w="0" w:type="dxa"/>
            <w:left w:w="108" w:type="dxa"/>
            <w:bottom w:w="0" w:type="dxa"/>
            <w:right w:w="108" w:type="dxa"/>
          </w:tblCellMar>
        </w:tblPrEx>
        <w:trPr>
          <w:trHeight w:val="252" w:hRule="exact"/>
          <w:jc w:val="center"/>
        </w:trPr>
        <w:tc>
          <w:tcPr>
            <w:tcW w:w="403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人员经费合计</w:t>
            </w:r>
          </w:p>
        </w:tc>
        <w:tc>
          <w:tcPr>
            <w:tcW w:w="111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righ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3,486.09</w:t>
            </w:r>
          </w:p>
        </w:tc>
        <w:tc>
          <w:tcPr>
            <w:tcW w:w="866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center"/>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公用经费合计</w:t>
            </w:r>
          </w:p>
        </w:tc>
        <w:tc>
          <w:tcPr>
            <w:tcW w:w="8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tabs>
                <w:tab w:val="left" w:pos="980"/>
                <w:tab w:val="right" w:pos="3599"/>
              </w:tabs>
              <w:spacing w:line="240" w:lineRule="exact"/>
              <w:jc w:val="left"/>
              <w:textAlignment w:val="center"/>
              <w:rPr>
                <w:rFonts w:ascii="Times New Roman" w:hAnsi="Times New Roman" w:eastAsia="宋体" w:cs="Times New Roman"/>
                <w:color w:val="000000"/>
                <w:sz w:val="18"/>
                <w:szCs w:val="18"/>
              </w:rPr>
            </w:pPr>
            <w:r>
              <w:rPr>
                <w:rFonts w:ascii="Times New Roman" w:hAnsi="Times New Roman" w:eastAsia="宋体" w:cs="Times New Roman"/>
                <w:color w:val="000000"/>
                <w:kern w:val="0"/>
                <w:sz w:val="18"/>
                <w:szCs w:val="18"/>
              </w:rPr>
              <w:t>513.35</w:t>
            </w:r>
            <w:r>
              <w:rPr>
                <w:rFonts w:ascii="Times New Roman" w:hAnsi="Times New Roman" w:eastAsia="宋体" w:cs="Times New Roman"/>
                <w:color w:val="000000"/>
                <w:kern w:val="0"/>
                <w:sz w:val="18"/>
                <w:szCs w:val="18"/>
              </w:rPr>
              <w:tab/>
            </w:r>
            <w:r>
              <w:rPr>
                <w:rFonts w:ascii="Times New Roman" w:hAnsi="Times New Roman" w:eastAsia="宋体" w:cs="Times New Roman"/>
                <w:color w:val="000000"/>
                <w:kern w:val="0"/>
                <w:sz w:val="18"/>
                <w:szCs w:val="18"/>
              </w:rPr>
              <w:tab/>
            </w:r>
            <w:r>
              <w:rPr>
                <w:rFonts w:ascii="Times New Roman" w:hAnsi="Times New Roman" w:eastAsia="宋体" w:cs="Times New Roman"/>
                <w:color w:val="000000"/>
                <w:kern w:val="0"/>
                <w:sz w:val="18"/>
                <w:szCs w:val="18"/>
              </w:rPr>
              <w:t>513.35</w:t>
            </w:r>
          </w:p>
        </w:tc>
      </w:tr>
      <w:tr>
        <w:tblPrEx>
          <w:tblLayout w:type="fixed"/>
          <w:tblCellMar>
            <w:top w:w="0" w:type="dxa"/>
            <w:left w:w="108" w:type="dxa"/>
            <w:bottom w:w="0" w:type="dxa"/>
            <w:right w:w="108" w:type="dxa"/>
          </w:tblCellMar>
        </w:tblPrEx>
        <w:trPr>
          <w:trHeight w:val="252" w:hRule="exact"/>
          <w:jc w:val="center"/>
        </w:trPr>
        <w:tc>
          <w:tcPr>
            <w:tcW w:w="14699" w:type="dxa"/>
            <w:gridSpan w:val="9"/>
            <w:tcBorders>
              <w:top w:val="single" w:color="auto" w:sz="4" w:space="0"/>
              <w:left w:val="nil"/>
              <w:bottom w:val="nil"/>
              <w:right w:val="nil"/>
            </w:tcBorders>
            <w:shd w:val="clear" w:color="auto" w:fill="FFFFFF"/>
            <w:noWrap/>
            <w:vAlign w:val="center"/>
          </w:tcPr>
          <w:p>
            <w:pPr>
              <w:widowControl/>
              <w:spacing w:line="240" w:lineRule="exact"/>
              <w:jc w:val="left"/>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18"/>
                <w:szCs w:val="18"/>
              </w:rPr>
              <w:t>注：本表反映部门本年度一般公共预算财政拨款基本支出明细情况。</w:t>
            </w:r>
          </w:p>
        </w:tc>
      </w:tr>
    </w:tbl>
    <w:p>
      <w:pPr>
        <w:jc w:val="center"/>
      </w:pPr>
      <w:r>
        <w:rPr>
          <w:rFonts w:hint="eastAsia" w:ascii="Times New Roman" w:hAnsi="Times New Roman" w:eastAsia="方正小标宋_GBK" w:cs="Times New Roman"/>
          <w:kern w:val="0"/>
          <w:sz w:val="36"/>
          <w:szCs w:val="36"/>
        </w:rPr>
        <w:t>政府性基金预算财政拨款收入支出决算表</w:t>
      </w:r>
    </w:p>
    <w:p>
      <w:pPr>
        <w:ind w:firstLine="13800" w:firstLineChars="69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公开07表</w:t>
      </w:r>
    </w:p>
    <w:p>
      <w:pPr>
        <w:ind w:firstLine="420" w:firstLineChars="200"/>
        <w:jc w:val="left"/>
        <w:rPr>
          <w:rFonts w:hint="eastAsia" w:asciiTheme="minorEastAsia" w:hAnsiTheme="minorEastAsia" w:cstheme="minorEastAsia"/>
          <w:szCs w:val="21"/>
        </w:rPr>
      </w:pPr>
      <w:r>
        <w:rPr>
          <w:rFonts w:hint="eastAsia" w:asciiTheme="minorEastAsia" w:hAnsiTheme="minorEastAsia" w:cstheme="minorEastAsia"/>
          <w:szCs w:val="21"/>
        </w:rPr>
        <w:t>部门：</w:t>
      </w:r>
      <w:r>
        <w:rPr>
          <w:rFonts w:hint="eastAsia" w:asciiTheme="minorEastAsia" w:hAnsiTheme="minorEastAsia" w:cstheme="minorEastAsia"/>
          <w:szCs w:val="21"/>
          <w:lang w:val="en-US" w:eastAsia="zh-CN"/>
        </w:rPr>
        <w:t>湖南省农机事务中心</w:t>
      </w:r>
      <w:r>
        <w:rPr>
          <w:rFonts w:hint="eastAsia" w:asciiTheme="minorEastAsia" w:hAnsiTheme="minorEastAsia" w:cstheme="minorEastAsia"/>
          <w:szCs w:val="21"/>
        </w:rPr>
        <w:t xml:space="preserve">                                                                                                                    </w:t>
      </w:r>
    </w:p>
    <w:p>
      <w:pPr>
        <w:ind w:firstLine="420" w:firstLineChars="200"/>
        <w:jc w:val="left"/>
        <w:rPr>
          <w:rFonts w:hint="eastAsia" w:ascii="宋体" w:hAnsi="宋体" w:eastAsia="宋体" w:cs="宋体"/>
          <w:color w:val="000000"/>
          <w:kern w:val="0"/>
          <w:sz w:val="20"/>
          <w:szCs w:val="20"/>
        </w:rPr>
      </w:pPr>
      <w:r>
        <w:rPr>
          <w:rFonts w:hint="eastAsia" w:asciiTheme="minorEastAsia" w:hAnsiTheme="minorEastAsia" w:cstheme="minorEastAsia"/>
          <w:szCs w:val="21"/>
        </w:rPr>
        <w:t>单位：万元</w:t>
      </w:r>
    </w:p>
    <w:tbl>
      <w:tblPr>
        <w:tblStyle w:val="5"/>
        <w:tblW w:w="14997" w:type="dxa"/>
        <w:jc w:val="center"/>
        <w:tblInd w:w="0" w:type="dxa"/>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1221"/>
        <w:gridCol w:w="1369"/>
        <w:gridCol w:w="2066"/>
        <w:gridCol w:w="2072"/>
        <w:gridCol w:w="2069"/>
        <w:gridCol w:w="2067"/>
        <w:gridCol w:w="2066"/>
        <w:gridCol w:w="2067"/>
      </w:tblGrid>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59" w:hRule="atLeast"/>
          <w:jc w:val="center"/>
        </w:trPr>
        <w:tc>
          <w:tcPr>
            <w:tcW w:w="2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16"/>
                <w:rFonts w:hint="default"/>
              </w:rPr>
              <w:t>目</w:t>
            </w:r>
          </w:p>
        </w:tc>
        <w:tc>
          <w:tcPr>
            <w:tcW w:w="2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年初结转和结余</w:t>
            </w:r>
          </w:p>
        </w:tc>
        <w:tc>
          <w:tcPr>
            <w:tcW w:w="20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本年收入</w:t>
            </w:r>
          </w:p>
        </w:tc>
        <w:tc>
          <w:tcPr>
            <w:tcW w:w="62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c>
          <w:tcPr>
            <w:tcW w:w="2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年末结转和结余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609" w:hRule="atLeast"/>
          <w:jc w:val="center"/>
        </w:trPr>
        <w:tc>
          <w:tcPr>
            <w:tcW w:w="12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13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2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小计</w:t>
            </w:r>
          </w:p>
        </w:tc>
        <w:tc>
          <w:tcPr>
            <w:tcW w:w="2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20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c>
          <w:tcPr>
            <w:tcW w:w="2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09" w:hRule="atLeast"/>
          <w:jc w:val="center"/>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12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2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20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4</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5</w:t>
            </w: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2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509" w:hRule="atLeast"/>
          <w:jc w:val="center"/>
        </w:trPr>
        <w:tc>
          <w:tcPr>
            <w:tcW w:w="12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0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725" w:hRule="atLeast"/>
          <w:jc w:val="center"/>
        </w:trPr>
        <w:tc>
          <w:tcPr>
            <w:tcW w:w="14997" w:type="dxa"/>
            <w:gridSpan w:val="8"/>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注：本表反映部门本年度政府性基金预算财政拨款收入、支出及结转和结余情况。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说明：我单位没有政府性基金收入，也没有使用政府性基金安排的支出，故本表无数据。</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kern w:val="0"/>
          <w:sz w:val="36"/>
          <w:szCs w:val="36"/>
        </w:rPr>
      </w:pPr>
      <w:r>
        <w:rPr>
          <w:rFonts w:hint="eastAsia" w:ascii="Times New Roman" w:hAnsi="Times New Roman" w:eastAsia="方正小标宋_GBK" w:cs="Times New Roman"/>
          <w:kern w:val="0"/>
          <w:sz w:val="36"/>
          <w:szCs w:val="36"/>
        </w:rPr>
        <w:t>国有资本经营预算财政拨款支出决算表</w:t>
      </w:r>
    </w:p>
    <w:p>
      <w:pPr>
        <w:ind w:firstLine="13800" w:firstLineChars="69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公开0</w:t>
      </w:r>
      <w:r>
        <w:rPr>
          <w:rFonts w:hint="eastAsia" w:ascii="宋体" w:hAnsi="宋体" w:eastAsia="宋体" w:cs="宋体"/>
          <w:color w:val="000000"/>
          <w:kern w:val="0"/>
          <w:sz w:val="20"/>
          <w:szCs w:val="20"/>
          <w:lang w:val="en-US" w:eastAsia="zh-CN"/>
        </w:rPr>
        <w:t>8</w:t>
      </w:r>
      <w:r>
        <w:rPr>
          <w:rFonts w:hint="eastAsia" w:ascii="宋体" w:hAnsi="宋体" w:eastAsia="宋体" w:cs="宋体"/>
          <w:color w:val="000000"/>
          <w:kern w:val="0"/>
          <w:sz w:val="20"/>
          <w:szCs w:val="20"/>
        </w:rPr>
        <w:t>表</w:t>
      </w:r>
    </w:p>
    <w:p>
      <w:pPr>
        <w:jc w:val="left"/>
        <w:rPr>
          <w:rFonts w:hint="eastAsia" w:asciiTheme="minorEastAsia" w:hAnsiTheme="minorEastAsia" w:cstheme="minorEastAsia"/>
          <w:szCs w:val="21"/>
        </w:rPr>
      </w:pPr>
      <w:r>
        <w:rPr>
          <w:rFonts w:hint="eastAsia" w:asciiTheme="minorEastAsia" w:hAnsiTheme="minorEastAsia" w:cstheme="minorEastAsia"/>
          <w:szCs w:val="21"/>
        </w:rPr>
        <w:t>部门：</w:t>
      </w:r>
      <w:r>
        <w:rPr>
          <w:rFonts w:hint="eastAsia" w:asciiTheme="minorEastAsia" w:hAnsiTheme="minorEastAsia" w:cstheme="minorEastAsia"/>
          <w:szCs w:val="21"/>
          <w:lang w:val="en-US" w:eastAsia="zh-CN"/>
        </w:rPr>
        <w:t>湖南省农机事务中心</w:t>
      </w:r>
      <w:r>
        <w:rPr>
          <w:rFonts w:hint="eastAsia" w:asciiTheme="minorEastAsia" w:hAnsiTheme="minorEastAsia" w:cstheme="minorEastAsia"/>
          <w:szCs w:val="21"/>
        </w:rPr>
        <w:t xml:space="preserve">                                                                                                                    </w:t>
      </w:r>
    </w:p>
    <w:p>
      <w:pPr>
        <w:jc w:val="left"/>
        <w:rPr>
          <w:rFonts w:hint="eastAsia" w:ascii="Times New Roman" w:hAnsi="Times New Roman" w:eastAsia="方正小标宋_GBK" w:cs="Times New Roman"/>
          <w:kern w:val="0"/>
          <w:sz w:val="36"/>
          <w:szCs w:val="36"/>
        </w:rPr>
      </w:pPr>
      <w:r>
        <w:rPr>
          <w:rFonts w:hint="eastAsia" w:asciiTheme="minorEastAsia" w:hAnsiTheme="minorEastAsia" w:cstheme="minorEastAsia"/>
          <w:szCs w:val="21"/>
        </w:rPr>
        <w:t>单位：万元</w:t>
      </w:r>
    </w:p>
    <w:tbl>
      <w:tblPr>
        <w:tblStyle w:val="5"/>
        <w:tblW w:w="15120" w:type="dxa"/>
        <w:tblInd w:w="93" w:type="dxa"/>
        <w:tblLayout w:type="fixed"/>
        <w:tblCellMar>
          <w:top w:w="0" w:type="dxa"/>
          <w:left w:w="108" w:type="dxa"/>
          <w:bottom w:w="0" w:type="dxa"/>
          <w:right w:w="108" w:type="dxa"/>
        </w:tblCellMar>
      </w:tblPr>
      <w:tblGrid>
        <w:gridCol w:w="2027"/>
        <w:gridCol w:w="2292"/>
        <w:gridCol w:w="3315"/>
        <w:gridCol w:w="3315"/>
        <w:gridCol w:w="4171"/>
      </w:tblGrid>
      <w:tr>
        <w:tblPrEx>
          <w:tblLayout w:type="fixed"/>
          <w:tblCellMar>
            <w:top w:w="0" w:type="dxa"/>
            <w:left w:w="108" w:type="dxa"/>
            <w:bottom w:w="0" w:type="dxa"/>
            <w:right w:w="108" w:type="dxa"/>
          </w:tblCellMar>
        </w:tblPrEx>
        <w:trPr>
          <w:trHeight w:val="548" w:hRule="atLeast"/>
        </w:trPr>
        <w:tc>
          <w:tcPr>
            <w:tcW w:w="43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17"/>
                <w:rFonts w:hint="default"/>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r>
      <w:tr>
        <w:tblPrEx>
          <w:tblLayout w:type="fixed"/>
          <w:tblCellMar>
            <w:top w:w="0" w:type="dxa"/>
            <w:left w:w="108" w:type="dxa"/>
            <w:bottom w:w="0" w:type="dxa"/>
            <w:right w:w="108" w:type="dxa"/>
          </w:tblCellMar>
        </w:tblPrEx>
        <w:trPr>
          <w:trHeight w:val="548" w:hRule="atLeast"/>
        </w:trPr>
        <w:tc>
          <w:tcPr>
            <w:tcW w:w="2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r>
      <w:tr>
        <w:tblPrEx>
          <w:tblLayout w:type="fixed"/>
          <w:tblCellMar>
            <w:top w:w="0" w:type="dxa"/>
            <w:left w:w="108" w:type="dxa"/>
            <w:bottom w:w="0" w:type="dxa"/>
            <w:right w:w="108" w:type="dxa"/>
          </w:tblCellMar>
        </w:tblPrEx>
        <w:trPr>
          <w:trHeight w:val="548" w:hRule="atLeast"/>
        </w:trPr>
        <w:tc>
          <w:tcPr>
            <w:tcW w:w="2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43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r>
      <w:tr>
        <w:tblPrEx>
          <w:tblLayout w:type="fixed"/>
          <w:tblCellMar>
            <w:top w:w="0" w:type="dxa"/>
            <w:left w:w="108" w:type="dxa"/>
            <w:bottom w:w="0" w:type="dxa"/>
            <w:right w:w="108" w:type="dxa"/>
          </w:tblCellMar>
        </w:tblPrEx>
        <w:trPr>
          <w:trHeight w:val="548" w:hRule="atLeast"/>
        </w:trPr>
        <w:tc>
          <w:tcPr>
            <w:tcW w:w="43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976" w:hRule="atLeast"/>
        </w:trPr>
        <w:tc>
          <w:tcPr>
            <w:tcW w:w="15120" w:type="dxa"/>
            <w:gridSpan w:val="5"/>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注：本表反映部门本年度国有资本经营预算财政拨款支出情况。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说明：我单位没有使用国有资本经营预算安排的支出，故本表无数据。</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财政拨款“三公”经费支出决算表</w:t>
      </w:r>
    </w:p>
    <w:p>
      <w:pPr>
        <w:ind w:firstLine="13800" w:firstLineChars="6900"/>
        <w:jc w:val="both"/>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公开0</w:t>
      </w:r>
      <w:r>
        <w:rPr>
          <w:rFonts w:hint="eastAsia" w:ascii="宋体" w:hAnsi="宋体" w:eastAsia="宋体" w:cs="宋体"/>
          <w:color w:val="000000"/>
          <w:kern w:val="0"/>
          <w:sz w:val="20"/>
          <w:szCs w:val="20"/>
          <w:lang w:val="en-US" w:eastAsia="zh-CN"/>
        </w:rPr>
        <w:t>9</w:t>
      </w:r>
      <w:r>
        <w:rPr>
          <w:rFonts w:hint="eastAsia" w:ascii="宋体" w:hAnsi="宋体" w:eastAsia="宋体" w:cs="宋体"/>
          <w:color w:val="000000"/>
          <w:kern w:val="0"/>
          <w:sz w:val="20"/>
          <w:szCs w:val="20"/>
        </w:rPr>
        <w:t>表</w:t>
      </w:r>
    </w:p>
    <w:p>
      <w:pPr>
        <w:jc w:val="left"/>
        <w:rPr>
          <w:rFonts w:hint="eastAsia" w:asciiTheme="minorEastAsia" w:hAnsiTheme="minorEastAsia" w:cstheme="minorEastAsia"/>
          <w:szCs w:val="21"/>
        </w:rPr>
      </w:pPr>
      <w:r>
        <w:rPr>
          <w:rFonts w:hint="eastAsia" w:asciiTheme="minorEastAsia" w:hAnsiTheme="minorEastAsia" w:cstheme="minorEastAsia"/>
          <w:szCs w:val="21"/>
        </w:rPr>
        <w:t>部门：</w:t>
      </w:r>
      <w:r>
        <w:rPr>
          <w:rFonts w:hint="eastAsia" w:asciiTheme="minorEastAsia" w:hAnsiTheme="minorEastAsia" w:cstheme="minorEastAsia"/>
          <w:szCs w:val="21"/>
          <w:lang w:val="en-US" w:eastAsia="zh-CN"/>
        </w:rPr>
        <w:t>湖南省农机事务中心</w:t>
      </w:r>
      <w:r>
        <w:rPr>
          <w:rFonts w:hint="eastAsia" w:asciiTheme="minorEastAsia" w:hAnsiTheme="minorEastAsia" w:cstheme="minorEastAsia"/>
          <w:szCs w:val="21"/>
        </w:rPr>
        <w:t xml:space="preserve">                                                                                                                    </w:t>
      </w:r>
    </w:p>
    <w:p>
      <w:pPr>
        <w:jc w:val="left"/>
        <w:rPr>
          <w:rFonts w:ascii="Times New Roman" w:hAnsi="Times New Roman" w:eastAsia="方正小标宋_GBK" w:cs="Times New Roman"/>
          <w:kern w:val="0"/>
          <w:sz w:val="36"/>
          <w:szCs w:val="36"/>
        </w:rPr>
      </w:pPr>
      <w:r>
        <w:rPr>
          <w:rFonts w:hint="eastAsia" w:asciiTheme="minorEastAsia" w:hAnsiTheme="minorEastAsia" w:cstheme="minorEastAsia"/>
          <w:szCs w:val="21"/>
        </w:rPr>
        <w:t>单位：万元</w:t>
      </w:r>
    </w:p>
    <w:tbl>
      <w:tblPr>
        <w:tblStyle w:val="5"/>
        <w:tblW w:w="15140" w:type="dxa"/>
        <w:tblInd w:w="93" w:type="dxa"/>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决算数</w:t>
            </w:r>
          </w:p>
        </w:tc>
      </w:tr>
      <w:tr>
        <w:tblPrEx>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公务接待费</w:t>
            </w:r>
          </w:p>
        </w:tc>
      </w:tr>
      <w:tr>
        <w:tblPrEx>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公务用车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公务用车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公务用车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公务用车</w:t>
            </w:r>
            <w:r>
              <w:rPr>
                <w:rFonts w:ascii="Times New Roman" w:hAnsi="Times New Roman" w:eastAsia="宋体" w:cs="Times New Roman"/>
                <w:color w:val="000000"/>
                <w:kern w:val="0"/>
                <w:sz w:val="22"/>
              </w:rPr>
              <w:br w:type="textWrapping"/>
            </w:r>
            <w:r>
              <w:rPr>
                <w:rFonts w:ascii="Times New Roman" w:hAnsi="Times New Roman" w:eastAsia="宋体" w:cs="Times New Roman"/>
                <w:color w:val="000000"/>
                <w:kern w:val="0"/>
                <w:sz w:val="22"/>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22"/>
              </w:rPr>
            </w:pPr>
          </w:p>
        </w:tc>
      </w:tr>
      <w:tr>
        <w:tblPrEx>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12</w:t>
            </w:r>
          </w:p>
        </w:tc>
      </w:tr>
      <w:tr>
        <w:tblPrEx>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75.00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55.00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25.00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30.00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49.88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49.20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20.37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28.83</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rPr>
              <w:t>0.68</w:t>
            </w:r>
          </w:p>
        </w:tc>
      </w:tr>
      <w:tr>
        <w:tblPrEx>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widowControl/>
              <w:jc w:val="left"/>
              <w:textAlignment w:val="center"/>
              <w:rPr>
                <w:rFonts w:ascii="Times New Roman" w:hAnsi="Times New Roman" w:eastAsia="宋体" w:cs="Times New Roman"/>
                <w:color w:val="000000"/>
                <w:sz w:val="24"/>
                <w:szCs w:val="24"/>
              </w:rPr>
            </w:pPr>
            <w:r>
              <w:rPr>
                <w:rFonts w:ascii="Times New Roman" w:hAnsi="Times New Roman" w:eastAsia="宋体" w:cs="Times New Roman"/>
                <w:color w:val="000000"/>
                <w:kern w:val="0"/>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rPr>
          <w:sz w:val="72"/>
          <w:szCs w:val="72"/>
        </w:rPr>
        <w:sectPr>
          <w:pgSz w:w="16838" w:h="11906" w:orient="landscape"/>
          <w:pgMar w:top="720" w:right="720" w:bottom="720" w:left="720" w:header="851" w:footer="992" w:gutter="0"/>
          <w:cols w:space="0" w:num="1"/>
          <w:docGrid w:type="lines" w:linePitch="317" w:charSpace="0"/>
        </w:sectPr>
      </w:pPr>
      <w:r>
        <w:br w:type="page"/>
      </w: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2022年度部门决算情况说明</w:t>
      </w:r>
    </w:p>
    <w:p>
      <w:pPr>
        <w:widowControl/>
        <w:jc w:val="left"/>
        <w:rPr>
          <w:rFonts w:asciiTheme="minorEastAsia" w:hAnsiTheme="minorEastAsia"/>
          <w:sz w:val="32"/>
          <w:szCs w:val="32"/>
        </w:rPr>
      </w:pPr>
      <w:r>
        <w:br w:type="page"/>
      </w:r>
    </w:p>
    <w:p>
      <w:pPr>
        <w:pStyle w:val="12"/>
        <w:spacing w:line="600" w:lineRule="exact"/>
        <w:ind w:firstLine="640" w:firstLineChars="200"/>
        <w:rPr>
          <w:rFonts w:hAnsi="黑体"/>
          <w:bCs/>
          <w:sz w:val="32"/>
          <w:szCs w:val="32"/>
        </w:rPr>
      </w:pPr>
      <w:r>
        <w:rPr>
          <w:rFonts w:hint="eastAsia" w:hAnsi="黑体"/>
          <w:bCs/>
          <w:sz w:val="32"/>
          <w:szCs w:val="32"/>
        </w:rPr>
        <w:t>一、收入支出决算总体情况说明</w:t>
      </w:r>
    </w:p>
    <w:p>
      <w:pPr>
        <w:pStyle w:val="12"/>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2022年度收、支总计6129.35万元。与上年相比，增加833.66万元，增长</w:t>
      </w:r>
      <w:r>
        <w:rPr>
          <w:rFonts w:hint="eastAsia" w:ascii="Times New Roman" w:hAnsi="Times New Roman" w:eastAsia="仿宋_GB2312"/>
          <w:color w:val="auto"/>
          <w:sz w:val="32"/>
          <w:szCs w:val="32"/>
        </w:rPr>
        <w:t>15.74</w:t>
      </w:r>
      <w:r>
        <w:rPr>
          <w:rFonts w:hint="eastAsia" w:ascii="Times New Roman" w:hAnsi="Times New Roman" w:eastAsia="仿宋_GB2312"/>
          <w:sz w:val="32"/>
          <w:szCs w:val="32"/>
        </w:rPr>
        <w:t>%，主要是因为1</w:t>
      </w:r>
      <w:r>
        <w:rPr>
          <w:rFonts w:hint="eastAsia" w:ascii="宋体" w:hAnsi="宋体" w:eastAsia="宋体" w:cs="宋体"/>
          <w:sz w:val="32"/>
          <w:szCs w:val="32"/>
        </w:rPr>
        <w:t>、</w:t>
      </w:r>
      <w:r>
        <w:rPr>
          <w:rFonts w:hint="eastAsia" w:ascii="Times New Roman" w:hAnsi="Times New Roman" w:eastAsia="仿宋_GB2312"/>
          <w:sz w:val="32"/>
          <w:szCs w:val="32"/>
        </w:rPr>
        <w:t>年中追加2011-2022年省直机关绩效奖金及</w:t>
      </w:r>
      <w:r>
        <w:rPr>
          <w:rFonts w:hint="eastAsia" w:ascii="宋体" w:hAnsi="宋体" w:eastAsia="宋体" w:cs="宋体"/>
          <w:sz w:val="32"/>
          <w:szCs w:val="32"/>
        </w:rPr>
        <w:t>2</w:t>
      </w:r>
      <w:r>
        <w:rPr>
          <w:rFonts w:hint="eastAsia" w:ascii="Times New Roman" w:hAnsi="Times New Roman" w:eastAsia="仿宋_GB2312"/>
          <w:sz w:val="32"/>
          <w:szCs w:val="32"/>
        </w:rPr>
        <w:t>022年一次性抚恤金及丧葬费等共</w:t>
      </w:r>
      <w:r>
        <w:rPr>
          <w:rFonts w:hint="eastAsia" w:ascii="宋体" w:hAnsi="宋体" w:eastAsia="宋体" w:cs="宋体"/>
          <w:sz w:val="32"/>
          <w:szCs w:val="32"/>
        </w:rPr>
        <w:t>1572.01</w:t>
      </w:r>
      <w:r>
        <w:rPr>
          <w:rFonts w:hint="eastAsia" w:ascii="Times New Roman" w:hAnsi="Times New Roman" w:eastAsia="仿宋_GB2312"/>
          <w:sz w:val="32"/>
          <w:szCs w:val="32"/>
        </w:rPr>
        <w:t>万元；2、年初非税收入预算减少63万元；3、上年结余减少 689.31万元</w:t>
      </w:r>
      <w:r>
        <w:rPr>
          <w:rFonts w:hint="eastAsia" w:ascii="宋体" w:hAnsi="宋体" w:eastAsia="宋体" w:cs="宋体"/>
          <w:sz w:val="32"/>
          <w:szCs w:val="32"/>
        </w:rPr>
        <w:t>；4、其他收入增加13.96万元</w:t>
      </w:r>
      <w:r>
        <w:rPr>
          <w:rFonts w:hint="eastAsia" w:ascii="Times New Roman" w:hAnsi="Times New Roman" w:eastAsia="仿宋_GB2312"/>
          <w:sz w:val="32"/>
          <w:szCs w:val="32"/>
        </w:rPr>
        <w:t>。</w:t>
      </w:r>
    </w:p>
    <w:p>
      <w:pPr>
        <w:pStyle w:val="12"/>
        <w:spacing w:line="600" w:lineRule="exact"/>
        <w:ind w:firstLine="640" w:firstLineChars="200"/>
        <w:rPr>
          <w:rFonts w:hAnsi="黑体"/>
          <w:bCs/>
          <w:sz w:val="32"/>
          <w:szCs w:val="32"/>
        </w:rPr>
      </w:pPr>
      <w:r>
        <w:rPr>
          <w:rFonts w:hint="eastAsia" w:hAnsi="黑体"/>
          <w:bCs/>
          <w:sz w:val="32"/>
          <w:szCs w:val="32"/>
        </w:rPr>
        <w:t>二、收入决算情况说明</w:t>
      </w:r>
    </w:p>
    <w:p>
      <w:pPr>
        <w:pStyle w:val="12"/>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2022年度收入合计5863.84万元，其中：财政拨款收入5820.51万元，占99.26%；上级补助收入0万元，占0%；事业收入0万元，占0%；经营收入0万元，占0%；附属单位上缴收入0万元，占0%；其他收入43.33万元，占0.74%。</w:t>
      </w:r>
    </w:p>
    <w:p>
      <w:pPr>
        <w:pStyle w:val="12"/>
        <w:spacing w:line="600" w:lineRule="exact"/>
        <w:ind w:firstLine="640" w:firstLineChars="200"/>
        <w:rPr>
          <w:rFonts w:hAnsi="黑体"/>
          <w:bCs/>
          <w:sz w:val="32"/>
          <w:szCs w:val="32"/>
        </w:rPr>
      </w:pPr>
      <w:r>
        <w:rPr>
          <w:rFonts w:hint="eastAsia" w:hAnsi="黑体"/>
          <w:bCs/>
          <w:sz w:val="32"/>
          <w:szCs w:val="32"/>
        </w:rPr>
        <w:t>三、支出决算情况说明</w:t>
      </w:r>
    </w:p>
    <w:p>
      <w:pPr>
        <w:pStyle w:val="12"/>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2022年度支出合计5110.78万元，其中：基本支出3999.48万元，占78.26%；项目支出1111.3万元，占21.74%；上缴上级支出0万元，占0%；经营支出0万元，占0%；对附属单位补助支出0万元，占0%。</w:t>
      </w:r>
    </w:p>
    <w:p>
      <w:pPr>
        <w:pStyle w:val="12"/>
        <w:spacing w:line="600" w:lineRule="exact"/>
        <w:ind w:firstLine="640" w:firstLineChars="200"/>
        <w:rPr>
          <w:rFonts w:hAnsi="黑体"/>
          <w:bCs/>
          <w:sz w:val="32"/>
          <w:szCs w:val="32"/>
        </w:rPr>
      </w:pPr>
      <w:r>
        <w:rPr>
          <w:rFonts w:hint="eastAsia" w:hAnsi="黑体"/>
          <w:bCs/>
          <w:sz w:val="32"/>
          <w:szCs w:val="32"/>
        </w:rPr>
        <w:t>四、财政拨款收入支出决算总体情况说明</w:t>
      </w:r>
    </w:p>
    <w:p>
      <w:pPr>
        <w:pStyle w:val="12"/>
        <w:spacing w:line="600" w:lineRule="exact"/>
        <w:rPr>
          <w:rFonts w:ascii="Times New Roman" w:hAnsi="Times New Roman" w:eastAsia="仿宋_GB2312"/>
          <w:sz w:val="32"/>
          <w:szCs w:val="32"/>
        </w:rPr>
      </w:pPr>
      <w:r>
        <w:rPr>
          <w:rFonts w:hint="eastAsia" w:ascii="Times New Roman" w:hAnsi="Times New Roman" w:eastAsia="仿宋_GB2312"/>
          <w:sz w:val="32"/>
          <w:szCs w:val="32"/>
        </w:rPr>
        <w:t xml:space="preserve">    2022年度财政拨款收、支总计6082.41万元，与上年相比，增加845.4万元,增长16.14%，主要是因为1</w:t>
      </w:r>
      <w:r>
        <w:rPr>
          <w:rFonts w:hint="eastAsia" w:ascii="宋体" w:hAnsi="宋体" w:eastAsia="宋体" w:cs="宋体"/>
          <w:sz w:val="32"/>
          <w:szCs w:val="32"/>
        </w:rPr>
        <w:t>、</w:t>
      </w:r>
      <w:r>
        <w:rPr>
          <w:rFonts w:hint="eastAsia" w:ascii="Times New Roman" w:hAnsi="Times New Roman" w:eastAsia="仿宋_GB2312"/>
          <w:sz w:val="32"/>
          <w:szCs w:val="32"/>
        </w:rPr>
        <w:t>年中追加2011-2022年省直机关绩效奖金及</w:t>
      </w:r>
      <w:r>
        <w:rPr>
          <w:rFonts w:hint="eastAsia" w:ascii="宋体" w:hAnsi="宋体" w:eastAsia="宋体" w:cs="宋体"/>
          <w:sz w:val="32"/>
          <w:szCs w:val="32"/>
        </w:rPr>
        <w:t>2</w:t>
      </w:r>
      <w:r>
        <w:rPr>
          <w:rFonts w:hint="eastAsia" w:ascii="Times New Roman" w:hAnsi="Times New Roman" w:eastAsia="仿宋_GB2312"/>
          <w:sz w:val="32"/>
          <w:szCs w:val="32"/>
        </w:rPr>
        <w:t>022年一次性抚恤金及丧葬费等共</w:t>
      </w:r>
      <w:r>
        <w:rPr>
          <w:rFonts w:hint="eastAsia" w:ascii="宋体" w:hAnsi="宋体" w:eastAsia="宋体" w:cs="宋体"/>
          <w:sz w:val="32"/>
          <w:szCs w:val="32"/>
        </w:rPr>
        <w:t>1572.01</w:t>
      </w:r>
      <w:r>
        <w:rPr>
          <w:rFonts w:hint="eastAsia" w:ascii="Times New Roman" w:hAnsi="Times New Roman" w:eastAsia="仿宋_GB2312"/>
          <w:sz w:val="32"/>
          <w:szCs w:val="32"/>
        </w:rPr>
        <w:t>万元；2、年</w:t>
      </w:r>
      <w:r>
        <w:rPr>
          <w:rFonts w:hint="eastAsia" w:ascii="宋体" w:hAnsi="宋体" w:eastAsia="宋体" w:cs="宋体"/>
          <w:sz w:val="32"/>
          <w:szCs w:val="32"/>
        </w:rPr>
        <w:t>初</w:t>
      </w:r>
      <w:r>
        <w:rPr>
          <w:rFonts w:hint="eastAsia" w:ascii="Times New Roman" w:hAnsi="Times New Roman" w:eastAsia="仿宋_GB2312"/>
          <w:sz w:val="32"/>
          <w:szCs w:val="32"/>
        </w:rPr>
        <w:t>非税收入预算减少63万元；3、财政拨款上年结余减少 663.61万元</w:t>
      </w:r>
      <w:r>
        <w:rPr>
          <w:rFonts w:hint="eastAsia" w:ascii="宋体" w:hAnsi="宋体" w:eastAsia="宋体" w:cs="宋体"/>
          <w:sz w:val="32"/>
          <w:szCs w:val="32"/>
        </w:rPr>
        <w:t>。</w:t>
      </w:r>
    </w:p>
    <w:p>
      <w:pPr>
        <w:pStyle w:val="12"/>
        <w:spacing w:line="600" w:lineRule="exact"/>
        <w:ind w:firstLine="640" w:firstLineChars="200"/>
        <w:rPr>
          <w:rFonts w:hAnsi="黑体"/>
          <w:bCs/>
          <w:sz w:val="32"/>
          <w:szCs w:val="32"/>
        </w:rPr>
      </w:pPr>
      <w:r>
        <w:rPr>
          <w:rFonts w:hint="eastAsia" w:hAnsi="黑体"/>
          <w:bCs/>
          <w:sz w:val="32"/>
          <w:szCs w:val="32"/>
        </w:rPr>
        <w:t>五、一般公共预算财政拨款支出决算情况说明</w:t>
      </w:r>
    </w:p>
    <w:p>
      <w:pPr>
        <w:pStyle w:val="12"/>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（一）财政拨款支出决算总体情况</w:t>
      </w:r>
    </w:p>
    <w:p>
      <w:pPr>
        <w:pStyle w:val="12"/>
        <w:spacing w:line="600" w:lineRule="exact"/>
        <w:ind w:firstLine="800" w:firstLineChars="250"/>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2022年度财政拨款支出5087.76万元，占本年支出合计的99.55%，与上年相比，财政拨款支出增加503.81万元，增长10.99%，主要是因为1、基本支出（含离退休人员经费、增加的死亡抚恤金、公积金等）较上年增加了1673.48万元；2、项目支出减少了1169.67万元，其中统计信息与检测服务专项支出减少452.89万元，现代产业发展专项增加109.25万元；农机监控指挥平台专项、农机化发展、林果机械化发展等科技推广与服务类专项共减少735.17万元</w:t>
      </w:r>
      <w:r>
        <w:rPr>
          <w:rFonts w:hint="eastAsia" w:ascii="Times New Roman" w:hAnsi="Times New Roman" w:eastAsia="仿宋_GB2312"/>
          <w:sz w:val="32"/>
          <w:szCs w:val="32"/>
          <w:lang w:eastAsia="zh-CN"/>
        </w:rPr>
        <w:t>。</w:t>
      </w:r>
    </w:p>
    <w:p>
      <w:pPr>
        <w:pStyle w:val="12"/>
        <w:spacing w:line="600" w:lineRule="exact"/>
        <w:ind w:firstLine="480" w:firstLineChars="150"/>
        <w:rPr>
          <w:rFonts w:ascii="楷体" w:hAnsi="楷体" w:eastAsia="楷体" w:cs="楷体"/>
          <w:bCs/>
          <w:sz w:val="32"/>
          <w:szCs w:val="32"/>
        </w:rPr>
      </w:pPr>
      <w:r>
        <w:rPr>
          <w:rFonts w:hint="eastAsia" w:ascii="楷体" w:hAnsi="楷体" w:eastAsia="楷体" w:cs="楷体"/>
          <w:bCs/>
          <w:sz w:val="32"/>
          <w:szCs w:val="32"/>
        </w:rPr>
        <w:t>（二）财政拨款支出决算结构情况</w:t>
      </w:r>
    </w:p>
    <w:p>
      <w:pPr>
        <w:pStyle w:val="12"/>
        <w:ind w:firstLine="640" w:firstLineChars="200"/>
        <w:rPr>
          <w:rFonts w:asciiTheme="minorEastAsia" w:hAnsiTheme="minorEastAsia" w:eastAsiaTheme="minorEastAsia"/>
          <w:color w:val="auto"/>
          <w:sz w:val="32"/>
          <w:szCs w:val="32"/>
        </w:rPr>
      </w:pPr>
      <w:r>
        <w:rPr>
          <w:rFonts w:hint="eastAsia" w:ascii="Times New Roman" w:hAnsi="Times New Roman" w:eastAsia="仿宋_GB2312"/>
          <w:sz w:val="32"/>
          <w:szCs w:val="32"/>
        </w:rPr>
        <w:t>2022年度财政拨款支出5087.76万元，主要用于以下方面：社会保障和就业</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类）支出696.32万元，占13.69%；卫生健康(类)支出0.8万元，占0.02%；农林水</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类）支出4213.64万元，占82.82%；住房保障（类）支出17</w:t>
      </w:r>
      <w:r>
        <w:rPr>
          <w:rFonts w:hint="eastAsia" w:asciiTheme="minorEastAsia" w:hAnsiTheme="minorEastAsia" w:eastAsiaTheme="minorEastAsia"/>
          <w:color w:val="auto"/>
          <w:sz w:val="32"/>
          <w:szCs w:val="32"/>
        </w:rPr>
        <w:t>7万元，占3.47%。</w:t>
      </w:r>
    </w:p>
    <w:p>
      <w:pPr>
        <w:pStyle w:val="12"/>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2022年度财政拨款支出年初预</w:t>
      </w:r>
      <w:r>
        <w:rPr>
          <w:rFonts w:hint="eastAsia" w:asciiTheme="minorEastAsia" w:hAnsiTheme="minorEastAsia" w:eastAsiaTheme="minorEastAsia"/>
          <w:sz w:val="32"/>
          <w:szCs w:val="32"/>
          <w:highlight w:val="none"/>
        </w:rPr>
        <w:t>算数为4</w:t>
      </w:r>
      <w:r>
        <w:rPr>
          <w:rFonts w:hint="eastAsia" w:asciiTheme="minorEastAsia" w:hAnsiTheme="minorEastAsia" w:eastAsiaTheme="minorEastAsia"/>
          <w:sz w:val="32"/>
          <w:szCs w:val="32"/>
          <w:highlight w:val="none"/>
          <w:lang w:val="en-US" w:eastAsia="zh-CN"/>
        </w:rPr>
        <w:t>421</w:t>
      </w:r>
      <w:r>
        <w:rPr>
          <w:rFonts w:hint="eastAsia" w:asciiTheme="minorEastAsia" w:hAnsiTheme="minorEastAsia" w:eastAsiaTheme="minorEastAsia"/>
          <w:sz w:val="32"/>
          <w:szCs w:val="32"/>
          <w:highlight w:val="none"/>
        </w:rPr>
        <w:t>.28万</w:t>
      </w:r>
      <w:r>
        <w:rPr>
          <w:rFonts w:hint="eastAsia" w:asciiTheme="minorEastAsia" w:hAnsiTheme="minorEastAsia" w:eastAsiaTheme="minorEastAsia"/>
          <w:sz w:val="32"/>
          <w:szCs w:val="32"/>
        </w:rPr>
        <w:t>元，支出决算数为</w:t>
      </w:r>
      <w:r>
        <w:rPr>
          <w:rFonts w:hint="eastAsia" w:ascii="Times New Roman" w:hAnsi="Times New Roman" w:eastAsia="仿宋_GB2312"/>
          <w:sz w:val="32"/>
          <w:szCs w:val="32"/>
        </w:rPr>
        <w:t>5087.76</w:t>
      </w:r>
      <w:r>
        <w:rPr>
          <w:rFonts w:hint="eastAsia" w:asciiTheme="minorEastAsia" w:hAnsiTheme="minorEastAsia" w:eastAsiaTheme="minorEastAsia"/>
          <w:sz w:val="32"/>
          <w:szCs w:val="32"/>
        </w:rPr>
        <w:t>万元，完成年初预算的1</w:t>
      </w:r>
      <w:r>
        <w:rPr>
          <w:rFonts w:hint="eastAsia" w:asciiTheme="minorEastAsia" w:hAnsiTheme="minorEastAsia" w:eastAsiaTheme="minorEastAsia"/>
          <w:sz w:val="32"/>
          <w:szCs w:val="32"/>
          <w:lang w:val="en-US" w:eastAsia="zh-CN"/>
        </w:rPr>
        <w:t>15.07</w:t>
      </w:r>
      <w:r>
        <w:rPr>
          <w:rFonts w:hint="eastAsia" w:asciiTheme="minorEastAsia" w:hAnsiTheme="minorEastAsia" w:eastAsiaTheme="minorEastAsia"/>
          <w:color w:val="auto"/>
          <w:sz w:val="32"/>
          <w:szCs w:val="32"/>
        </w:rPr>
        <w:t>%</w:t>
      </w:r>
      <w:r>
        <w:rPr>
          <w:rFonts w:hint="eastAsia" w:asciiTheme="minorEastAsia" w:hAnsiTheme="minorEastAsia" w:eastAsiaTheme="minorEastAsia"/>
          <w:sz w:val="32"/>
          <w:szCs w:val="32"/>
        </w:rPr>
        <w:t>，其中：</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1、社会保障和就业支出（类）行政事业单位养老支出（款）事业单位离退休（项）。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年初预算为252.25万元</w:t>
      </w:r>
      <w:r>
        <w:rPr>
          <w:rFonts w:hint="eastAsia" w:asciiTheme="minorEastAsia" w:hAnsiTheme="minorEastAsia" w:eastAsiaTheme="minorEastAsia"/>
          <w:sz w:val="32"/>
          <w:szCs w:val="32"/>
        </w:rPr>
        <w:t>，支出决算为243.97万元，完成年初预算的96.72</w:t>
      </w:r>
      <w:r>
        <w:rPr>
          <w:rFonts w:hint="eastAsia" w:asciiTheme="minorEastAsia" w:hAnsiTheme="minorEastAsia" w:eastAsiaTheme="minorEastAsia"/>
          <w:color w:val="auto"/>
          <w:sz w:val="32"/>
          <w:szCs w:val="32"/>
        </w:rPr>
        <w:t>%，</w:t>
      </w:r>
      <w:r>
        <w:rPr>
          <w:rFonts w:hint="eastAsia" w:asciiTheme="minorEastAsia" w:hAnsiTheme="minorEastAsia" w:eastAsiaTheme="minorEastAsia"/>
          <w:sz w:val="32"/>
          <w:szCs w:val="32"/>
        </w:rPr>
        <w:t>决算数小于年初预算数的主要原因是：本年度退休人员较多，预算有误差。</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2、社会保障和就业支出（类）行政事业单位养老支出（款）机关事业单位基本养老保险缴费支出（项）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年初预算为389.2万</w:t>
      </w:r>
      <w:r>
        <w:rPr>
          <w:rFonts w:hint="eastAsia" w:asciiTheme="minorEastAsia" w:hAnsiTheme="minorEastAsia" w:eastAsiaTheme="minorEastAsia"/>
          <w:sz w:val="32"/>
          <w:szCs w:val="32"/>
        </w:rPr>
        <w:t>元，支出决算为389.2万元，完成年初预算的100%。</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3、社会保障和就业支出（类）抚恤支出（款）死亡抚恤（项）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年初预算为0万</w:t>
      </w:r>
      <w:r>
        <w:rPr>
          <w:rFonts w:hint="eastAsia" w:asciiTheme="minorEastAsia" w:hAnsiTheme="minorEastAsia" w:eastAsiaTheme="minorEastAsia"/>
          <w:sz w:val="32"/>
          <w:szCs w:val="32"/>
        </w:rPr>
        <w:t>元，支出决算为</w:t>
      </w:r>
      <w:r>
        <w:rPr>
          <w:rFonts w:hint="eastAsia" w:asciiTheme="minorEastAsia" w:hAnsiTheme="minorEastAsia" w:eastAsiaTheme="minorEastAsia"/>
          <w:color w:val="auto"/>
          <w:sz w:val="32"/>
          <w:szCs w:val="32"/>
        </w:rPr>
        <w:t>62.67</w:t>
      </w:r>
      <w:r>
        <w:rPr>
          <w:rFonts w:hint="eastAsia" w:asciiTheme="minorEastAsia" w:hAnsiTheme="minorEastAsia" w:eastAsiaTheme="minorEastAsia"/>
          <w:sz w:val="32"/>
          <w:szCs w:val="32"/>
        </w:rPr>
        <w:t>万元，决算数大于年初预算数的主要原因是：财政年中追加了死亡抚恤金指标并完成发放。</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4、社会保障和就业支出（类）抚恤支出（款）其他社会保障和就业支出（项）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年初预算0万</w:t>
      </w:r>
      <w:r>
        <w:rPr>
          <w:rFonts w:hint="eastAsia" w:asciiTheme="minorEastAsia" w:hAnsiTheme="minorEastAsia" w:eastAsiaTheme="minorEastAsia"/>
          <w:sz w:val="32"/>
          <w:szCs w:val="32"/>
        </w:rPr>
        <w:t>元，支出决算为</w:t>
      </w:r>
      <w:r>
        <w:rPr>
          <w:rFonts w:hint="eastAsia" w:asciiTheme="minorEastAsia" w:hAnsiTheme="minorEastAsia" w:eastAsiaTheme="minorEastAsia"/>
          <w:color w:val="auto"/>
          <w:sz w:val="32"/>
          <w:szCs w:val="32"/>
        </w:rPr>
        <w:t>0.48</w:t>
      </w:r>
      <w:r>
        <w:rPr>
          <w:rFonts w:hint="eastAsia" w:asciiTheme="minorEastAsia" w:hAnsiTheme="minorEastAsia" w:eastAsiaTheme="minorEastAsia"/>
          <w:sz w:val="32"/>
          <w:szCs w:val="32"/>
        </w:rPr>
        <w:t>万元，决算数大于年初预算数的主要原因是：财政年中追加了单位享受特殊津贴的其他社会保障和就业指标并完成发放。</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5、卫生健康支出（类）其他卫生健康支出（款）其他卫生健康支出（项）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年初预算0万</w:t>
      </w:r>
      <w:r>
        <w:rPr>
          <w:rFonts w:hint="eastAsia" w:asciiTheme="minorEastAsia" w:hAnsiTheme="minorEastAsia" w:eastAsiaTheme="minorEastAsia"/>
          <w:sz w:val="32"/>
          <w:szCs w:val="32"/>
        </w:rPr>
        <w:t>元，支出决算为</w:t>
      </w:r>
      <w:r>
        <w:rPr>
          <w:rFonts w:hint="eastAsia" w:asciiTheme="minorEastAsia" w:hAnsiTheme="minorEastAsia" w:eastAsiaTheme="minorEastAsia"/>
          <w:color w:val="auto"/>
          <w:sz w:val="32"/>
          <w:szCs w:val="32"/>
        </w:rPr>
        <w:t>0.8</w:t>
      </w:r>
      <w:r>
        <w:rPr>
          <w:rFonts w:hint="eastAsia" w:asciiTheme="minorEastAsia" w:hAnsiTheme="minorEastAsia" w:eastAsiaTheme="minorEastAsia"/>
          <w:sz w:val="32"/>
          <w:szCs w:val="32"/>
        </w:rPr>
        <w:t>万元，决算数大于年初预算数的主要原因是：财政年中追加了离退休人员卫生健康指标并完成发放。</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6、农林水支出（类）农业农村（款）行政运行（项）</w:t>
      </w:r>
    </w:p>
    <w:p>
      <w:pPr>
        <w:pStyle w:val="12"/>
        <w:ind w:firstLine="640" w:firstLineChars="200"/>
        <w:rPr>
          <w:rFonts w:asciiTheme="minorEastAsia" w:hAnsiTheme="minorEastAsia" w:eastAsiaTheme="minorEastAsia"/>
          <w:sz w:val="32"/>
          <w:szCs w:val="32"/>
          <w:highlight w:val="red"/>
        </w:rPr>
      </w:pPr>
      <w:r>
        <w:rPr>
          <w:rFonts w:hint="eastAsia" w:asciiTheme="minorEastAsia" w:hAnsiTheme="minorEastAsia" w:eastAsiaTheme="minorEastAsia"/>
          <w:sz w:val="32"/>
          <w:szCs w:val="32"/>
        </w:rPr>
        <w:t>年初预算</w:t>
      </w:r>
      <w:r>
        <w:rPr>
          <w:rFonts w:hint="eastAsia" w:asciiTheme="minorEastAsia" w:hAnsiTheme="minorEastAsia" w:eastAsiaTheme="minorEastAsia"/>
          <w:sz w:val="32"/>
          <w:szCs w:val="32"/>
          <w:lang w:val="en-US" w:eastAsia="zh-CN"/>
        </w:rPr>
        <w:t>2114.46</w:t>
      </w:r>
      <w:r>
        <w:rPr>
          <w:rFonts w:hint="eastAsia" w:asciiTheme="minorEastAsia" w:hAnsiTheme="minorEastAsia" w:eastAsiaTheme="minorEastAsia"/>
          <w:sz w:val="32"/>
          <w:szCs w:val="32"/>
          <w:highlight w:val="none"/>
        </w:rPr>
        <w:t>万元，支出决算为2530.77万元，完成年初预算的</w:t>
      </w:r>
      <w:r>
        <w:rPr>
          <w:rFonts w:hint="eastAsia" w:asciiTheme="minorEastAsia" w:hAnsiTheme="minorEastAsia" w:eastAsiaTheme="minorEastAsia"/>
          <w:sz w:val="32"/>
          <w:szCs w:val="32"/>
          <w:highlight w:val="none"/>
          <w:lang w:val="en-US" w:eastAsia="zh-CN"/>
        </w:rPr>
        <w:t>11.69</w:t>
      </w:r>
      <w:r>
        <w:rPr>
          <w:rFonts w:hint="eastAsia" w:asciiTheme="minorEastAsia" w:hAnsiTheme="minorEastAsia" w:eastAsiaTheme="minorEastAsia"/>
          <w:color w:val="auto"/>
          <w:sz w:val="32"/>
          <w:szCs w:val="32"/>
          <w:highlight w:val="none"/>
        </w:rPr>
        <w:t>%</w:t>
      </w:r>
      <w:r>
        <w:rPr>
          <w:rFonts w:hint="eastAsia" w:asciiTheme="minorEastAsia" w:hAnsiTheme="minorEastAsia" w:eastAsiaTheme="minorEastAsia"/>
          <w:sz w:val="32"/>
          <w:szCs w:val="32"/>
          <w:highlight w:val="none"/>
        </w:rPr>
        <w:t>，决算</w:t>
      </w:r>
      <w:r>
        <w:rPr>
          <w:rFonts w:hint="eastAsia" w:asciiTheme="minorEastAsia" w:hAnsiTheme="minorEastAsia" w:eastAsiaTheme="minorEastAsia"/>
          <w:sz w:val="32"/>
          <w:szCs w:val="32"/>
          <w:highlight w:val="none"/>
          <w:lang w:val="en-US" w:eastAsia="zh-CN"/>
        </w:rPr>
        <w:t>数大</w:t>
      </w:r>
      <w:r>
        <w:rPr>
          <w:rFonts w:hint="eastAsia" w:asciiTheme="minorEastAsia" w:hAnsiTheme="minorEastAsia" w:eastAsiaTheme="minorEastAsia"/>
          <w:sz w:val="32"/>
          <w:szCs w:val="32"/>
          <w:highlight w:val="none"/>
        </w:rPr>
        <w:t>于年初预算数的主要原因是：</w:t>
      </w:r>
      <w:r>
        <w:rPr>
          <w:rFonts w:hint="eastAsia" w:asciiTheme="minorEastAsia" w:hAnsiTheme="minorEastAsia" w:eastAsiaTheme="minorEastAsia"/>
          <w:sz w:val="32"/>
          <w:szCs w:val="32"/>
        </w:rPr>
        <w:t>财政年中追加了</w:t>
      </w:r>
      <w:r>
        <w:rPr>
          <w:rFonts w:hint="eastAsia" w:asciiTheme="minorEastAsia" w:hAnsiTheme="minorEastAsia" w:eastAsiaTheme="minorEastAsia"/>
          <w:sz w:val="32"/>
          <w:szCs w:val="32"/>
          <w:lang w:val="en-US" w:eastAsia="zh-CN"/>
        </w:rPr>
        <w:t>上年度绩效</w:t>
      </w:r>
      <w:r>
        <w:rPr>
          <w:rFonts w:hint="eastAsia" w:asciiTheme="minorEastAsia" w:hAnsiTheme="minorEastAsia" w:eastAsiaTheme="minorEastAsia"/>
          <w:sz w:val="32"/>
          <w:szCs w:val="32"/>
        </w:rPr>
        <w:t>指标并完成发放。</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7、农林水支出（类）农业农村（款）科技转化与推广服务（项）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color w:val="auto"/>
          <w:sz w:val="32"/>
          <w:szCs w:val="32"/>
        </w:rPr>
        <w:t>514.98</w:t>
      </w:r>
      <w:r>
        <w:rPr>
          <w:rFonts w:hint="eastAsia" w:asciiTheme="minorEastAsia" w:hAnsiTheme="minorEastAsia" w:eastAsiaTheme="minorEastAsia"/>
          <w:sz w:val="32"/>
          <w:szCs w:val="32"/>
        </w:rPr>
        <w:t>万元，支出决算为201.03万元，完成年初预算的39.04%，决算数小于年初预算数的主要原因是：国家水田机械质量监督检验中心试验基地建设项目政府采购未完成，项目结转到2023年。</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6、农林水支出（类）农业农村（款）农业生产发展（项）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color w:val="auto"/>
          <w:sz w:val="32"/>
          <w:szCs w:val="32"/>
        </w:rPr>
        <w:t>973.39</w:t>
      </w:r>
      <w:r>
        <w:rPr>
          <w:rFonts w:hint="eastAsia" w:asciiTheme="minorEastAsia" w:hAnsiTheme="minorEastAsia" w:eastAsiaTheme="minorEastAsia"/>
          <w:sz w:val="32"/>
          <w:szCs w:val="32"/>
        </w:rPr>
        <w:t>万元，支出决算为647.86万元，完成年初预算的66.56%，决算数小于年初预算数的主要</w:t>
      </w:r>
      <w:r>
        <w:rPr>
          <w:rFonts w:hint="eastAsia" w:asciiTheme="minorEastAsia" w:hAnsiTheme="minorEastAsia" w:eastAsiaTheme="minorEastAsia"/>
          <w:color w:val="auto"/>
          <w:sz w:val="32"/>
          <w:szCs w:val="32"/>
        </w:rPr>
        <w:t>原因是</w:t>
      </w:r>
      <w:r>
        <w:rPr>
          <w:rFonts w:hint="eastAsia" w:asciiTheme="minorEastAsia" w:hAnsiTheme="minorEastAsia" w:eastAsiaTheme="minorEastAsia"/>
          <w:sz w:val="32"/>
          <w:szCs w:val="32"/>
        </w:rPr>
        <w:t>：因为疫情原因部分培训未如期举行；试验鉴定信息化建设政府采购流程已完成，因为疫情原因合同未签订，付款延期至2023年。</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7、农林水支出（类）水利（款）行政运行（项）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年初预算为0万元，支出决算为833.98万元，决算数大于年初预算数的主要</w:t>
      </w:r>
      <w:r>
        <w:rPr>
          <w:rFonts w:hint="eastAsia" w:asciiTheme="minorEastAsia" w:hAnsiTheme="minorEastAsia" w:eastAsiaTheme="minorEastAsia"/>
          <w:color w:val="auto"/>
          <w:sz w:val="32"/>
          <w:szCs w:val="32"/>
        </w:rPr>
        <w:t>原因是</w:t>
      </w:r>
      <w:r>
        <w:rPr>
          <w:rFonts w:hint="eastAsia" w:asciiTheme="minorEastAsia" w:hAnsiTheme="minorEastAsia" w:eastAsiaTheme="minorEastAsia"/>
          <w:sz w:val="32"/>
          <w:szCs w:val="32"/>
        </w:rPr>
        <w:t>：财政年中追加了绩效指标并完成发放。</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8、住房保障支出（类）住房改革支出（款）住房公积金（项）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年初预算为177万元，支出决算为177万元，完成年初预算的100%。</w:t>
      </w:r>
    </w:p>
    <w:p>
      <w:pPr>
        <w:pStyle w:val="12"/>
        <w:spacing w:line="600" w:lineRule="exact"/>
        <w:ind w:firstLine="640" w:firstLineChars="200"/>
        <w:rPr>
          <w:rFonts w:hAnsi="黑体"/>
          <w:bCs/>
          <w:sz w:val="32"/>
          <w:szCs w:val="32"/>
        </w:rPr>
      </w:pPr>
      <w:r>
        <w:rPr>
          <w:rFonts w:hint="eastAsia" w:hAnsi="黑体"/>
          <w:bCs/>
          <w:sz w:val="32"/>
          <w:szCs w:val="32"/>
        </w:rPr>
        <w:t>六、一般公共预算财政拨款基本支出决算情况说明</w:t>
      </w:r>
    </w:p>
    <w:p>
      <w:pPr>
        <w:pStyle w:val="12"/>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2022年度财政拨款基本支出3999.44万元，其中：</w:t>
      </w:r>
    </w:p>
    <w:p>
      <w:pPr>
        <w:pStyle w:val="12"/>
        <w:ind w:firstLine="643" w:firstLineChars="200"/>
        <w:rPr>
          <w:rFonts w:asciiTheme="minorEastAsia" w:hAnsiTheme="minorEastAsia" w:eastAsiaTheme="minorEastAsia"/>
          <w:sz w:val="32"/>
          <w:szCs w:val="32"/>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rPr>
        <w:t>3486.09万元，</w:t>
      </w:r>
      <w:r>
        <w:rPr>
          <w:rFonts w:hint="eastAsia" w:asciiTheme="minorEastAsia" w:hAnsiTheme="minorEastAsia" w:eastAsiaTheme="minorEastAsia"/>
          <w:sz w:val="32"/>
          <w:szCs w:val="32"/>
        </w:rPr>
        <w:t>占基本支出的87.16%，主要包括基本工资、津贴补贴、奖金、伙食补助费、机关事业单位基本养老保险缴费、住房公积金、职工基本医疗保险缴费、公务员医疗补助缴费、离休费、医疗费补助、生活补助、奖励金等。</w:t>
      </w:r>
    </w:p>
    <w:p>
      <w:pPr>
        <w:pStyle w:val="12"/>
        <w:ind w:firstLine="643" w:firstLineChars="200"/>
        <w:rPr>
          <w:rFonts w:asciiTheme="minorEastAsia" w:hAnsiTheme="minorEastAsia" w:eastAsiaTheme="minorEastAsia"/>
          <w:sz w:val="32"/>
          <w:szCs w:val="32"/>
        </w:rPr>
      </w:pPr>
      <w:r>
        <w:rPr>
          <w:rFonts w:hint="eastAsia" w:asciiTheme="minorEastAsia" w:hAnsiTheme="minorEastAsia" w:eastAsiaTheme="minorEastAsia"/>
          <w:b/>
          <w:sz w:val="32"/>
          <w:szCs w:val="32"/>
        </w:rPr>
        <w:t>公用经费</w:t>
      </w:r>
      <w:r>
        <w:rPr>
          <w:rFonts w:hint="eastAsia" w:asciiTheme="minorEastAsia" w:hAnsiTheme="minorEastAsia" w:eastAsiaTheme="minorEastAsia"/>
          <w:sz w:val="32"/>
          <w:szCs w:val="32"/>
        </w:rPr>
        <w:t>513.35万元，占基本支出的12.84%，主要包括办公费、印刷费、劳务费、差旅费、维修（护）费、物业管理费、水费、电费、会议费、培训费、公务接待费、公务用车运行维护费、委托业务费、工会经费、福利费、其他交通费用等。</w:t>
      </w:r>
    </w:p>
    <w:p>
      <w:pPr>
        <w:pStyle w:val="12"/>
        <w:spacing w:line="600" w:lineRule="exact"/>
        <w:ind w:firstLine="640" w:firstLineChars="200"/>
        <w:rPr>
          <w:rFonts w:ascii="Times New Roman" w:hAnsi="Times New Roman" w:eastAsia="仿宋_GB2312"/>
          <w:b/>
          <w:sz w:val="32"/>
          <w:szCs w:val="32"/>
        </w:rPr>
      </w:pPr>
      <w:r>
        <w:rPr>
          <w:rFonts w:hint="eastAsia" w:hAnsi="黑体"/>
          <w:bCs/>
          <w:sz w:val="32"/>
          <w:szCs w:val="32"/>
        </w:rPr>
        <w:t>七、财政拨款三公经费支出决算情况说明</w:t>
      </w:r>
    </w:p>
    <w:p>
      <w:pPr>
        <w:pStyle w:val="12"/>
        <w:spacing w:line="600" w:lineRule="exact"/>
        <w:ind w:firstLine="643" w:firstLineChars="200"/>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12"/>
        <w:spacing w:line="600" w:lineRule="exact"/>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“三公”经费财政拨款支出预算为75万元，支出决算为49.88万元，完成预算的66.5%，其中：</w:t>
      </w:r>
    </w:p>
    <w:p>
      <w:pPr>
        <w:pStyle w:val="12"/>
        <w:spacing w:line="600" w:lineRule="exact"/>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因公出国（境）费支出预算为0万元，支出决算为0万元。</w:t>
      </w:r>
    </w:p>
    <w:p>
      <w:pPr>
        <w:pStyle w:val="12"/>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接待费支出预算为20万元，支出决算为0.68万元，完成预算的3.4%，决算数小于预算数的主要原因是严格按公务接待标准和审批流程审批接待活动，厉行节约，且因疫情原因减少接待活动。与上年相比减少2.38万元，减少77.78%,减少的主要原因是疫情原因，接待活动减少。</w:t>
      </w:r>
    </w:p>
    <w:p>
      <w:pPr>
        <w:pStyle w:val="12"/>
        <w:spacing w:line="600" w:lineRule="exact"/>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用车购置费支出预算为25万元，支出决算为20.37万元，完成预算的81.48%，决算数小于预算数的主要原因是按机关事务局的相关规定购买指定节能车型，与上年相比增加20.37万元，增长100%，增长的主要原因是经审批，新购入一辆公务用车。</w:t>
      </w:r>
    </w:p>
    <w:p>
      <w:pPr>
        <w:pStyle w:val="12"/>
        <w:spacing w:line="600" w:lineRule="exact"/>
        <w:ind w:firstLine="640" w:firstLineChars="200"/>
        <w:rPr>
          <w:rFonts w:ascii="Times New Roman" w:hAnsi="Times New Roman" w:eastAsia="仿宋_GB2312"/>
          <w:sz w:val="32"/>
          <w:szCs w:val="32"/>
        </w:rPr>
      </w:pPr>
      <w:r>
        <w:rPr>
          <w:rFonts w:hint="eastAsia" w:asciiTheme="minorEastAsia" w:hAnsiTheme="minorEastAsia" w:eastAsiaTheme="minorEastAsia"/>
          <w:color w:val="000000" w:themeColor="text1"/>
          <w:sz w:val="32"/>
          <w:szCs w:val="32"/>
          <w14:textFill>
            <w14:solidFill>
              <w14:schemeClr w14:val="tx1"/>
            </w14:solidFill>
          </w14:textFill>
        </w:rPr>
        <w:t>公务用车运行维护费支出预算为30万元，支出决算为28.83万元，完成预算的96.1%，决算数小于预算数的主要原因是厉行节约，减少公务用车使用与上年相比减少1.17万元，减少3.9%,减少的主要原因是厉行节约。</w:t>
      </w:r>
    </w:p>
    <w:p>
      <w:pPr>
        <w:pStyle w:val="12"/>
        <w:spacing w:line="600" w:lineRule="exact"/>
        <w:ind w:firstLine="643" w:firstLineChars="200"/>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12"/>
        <w:spacing w:line="600" w:lineRule="exact"/>
        <w:ind w:firstLine="640" w:firstLineChars="200"/>
        <w:rPr>
          <w:rFonts w:asciiTheme="minorEastAsia" w:hAnsiTheme="minorEastAsia" w:eastAsiaTheme="minorEastAsia" w:cstheme="minorBidi"/>
          <w:color w:val="auto"/>
          <w:kern w:val="2"/>
          <w:sz w:val="32"/>
          <w:szCs w:val="32"/>
        </w:rPr>
      </w:pPr>
      <w:r>
        <w:rPr>
          <w:rFonts w:hint="eastAsia" w:asciiTheme="minorEastAsia" w:hAnsiTheme="minorEastAsia" w:eastAsiaTheme="minorEastAsia" w:cstheme="minorBidi"/>
          <w:color w:val="auto"/>
          <w:kern w:val="2"/>
          <w:sz w:val="32"/>
          <w:szCs w:val="32"/>
        </w:rPr>
        <w:t>2022年度“三公”经费财政拨款支出决算中，公务接待费支出决算0.68万元，占1.36%，因公出国（境）费支出决算0万元，占0%，公务用车购置费及运行维护费支出决算49.2万元，占98.64%。其中：</w:t>
      </w:r>
    </w:p>
    <w:p>
      <w:pPr>
        <w:pStyle w:val="12"/>
        <w:spacing w:line="600" w:lineRule="exact"/>
        <w:ind w:firstLine="640" w:firstLineChars="200"/>
        <w:rPr>
          <w:rFonts w:asciiTheme="minorEastAsia" w:hAnsiTheme="minorEastAsia" w:eastAsiaTheme="minorEastAsia" w:cstheme="minorBidi"/>
          <w:color w:val="auto"/>
          <w:kern w:val="2"/>
          <w:sz w:val="32"/>
          <w:szCs w:val="32"/>
        </w:rPr>
      </w:pPr>
      <w:r>
        <w:rPr>
          <w:rFonts w:hint="eastAsia" w:asciiTheme="minorEastAsia" w:hAnsiTheme="minorEastAsia" w:eastAsiaTheme="minorEastAsia" w:cstheme="minorBidi"/>
          <w:color w:val="auto"/>
          <w:kern w:val="2"/>
          <w:sz w:val="32"/>
          <w:szCs w:val="32"/>
        </w:rPr>
        <w:t>1、因公出国（境）费支出决算为0万元，全年安排因公出国（境）团组0个，累计0人次。</w:t>
      </w:r>
    </w:p>
    <w:p>
      <w:pPr>
        <w:pStyle w:val="12"/>
        <w:spacing w:line="600" w:lineRule="exact"/>
        <w:ind w:firstLine="800" w:firstLineChars="250"/>
        <w:rPr>
          <w:rFonts w:asciiTheme="minorEastAsia" w:hAnsiTheme="minorEastAsia" w:eastAsiaTheme="minorEastAsia" w:cstheme="minorBidi"/>
          <w:color w:val="auto"/>
          <w:kern w:val="2"/>
          <w:sz w:val="32"/>
          <w:szCs w:val="32"/>
        </w:rPr>
      </w:pPr>
      <w:r>
        <w:rPr>
          <w:rFonts w:hint="eastAsia" w:asciiTheme="minorEastAsia" w:hAnsiTheme="minorEastAsia" w:eastAsiaTheme="minorEastAsia" w:cstheme="minorBidi"/>
          <w:color w:val="auto"/>
          <w:kern w:val="2"/>
          <w:sz w:val="32"/>
          <w:szCs w:val="32"/>
        </w:rPr>
        <w:t>2、公务接待费支出决算为0.68万元，全年共接待来访团组1</w:t>
      </w:r>
      <w:r>
        <w:rPr>
          <w:rFonts w:hint="eastAsia" w:asciiTheme="minorEastAsia" w:hAnsiTheme="minorEastAsia" w:eastAsiaTheme="minorEastAsia" w:cstheme="minorBidi"/>
          <w:color w:val="auto"/>
          <w:kern w:val="2"/>
          <w:sz w:val="32"/>
          <w:szCs w:val="32"/>
          <w:lang w:val="en-US" w:eastAsia="zh-CN"/>
        </w:rPr>
        <w:t>4</w:t>
      </w:r>
      <w:r>
        <w:rPr>
          <w:rFonts w:hint="eastAsia" w:asciiTheme="minorEastAsia" w:hAnsiTheme="minorEastAsia" w:eastAsiaTheme="minorEastAsia" w:cstheme="minorBidi"/>
          <w:color w:val="auto"/>
          <w:kern w:val="2"/>
          <w:sz w:val="32"/>
          <w:szCs w:val="32"/>
        </w:rPr>
        <w:t>个、来宾</w:t>
      </w:r>
      <w:r>
        <w:rPr>
          <w:rFonts w:hint="eastAsia" w:asciiTheme="minorEastAsia" w:hAnsiTheme="minorEastAsia" w:eastAsiaTheme="minorEastAsia" w:cstheme="minorBidi"/>
          <w:color w:val="auto"/>
          <w:kern w:val="2"/>
          <w:sz w:val="32"/>
          <w:szCs w:val="32"/>
          <w:lang w:val="en-US" w:eastAsia="zh-CN"/>
        </w:rPr>
        <w:t>61</w:t>
      </w:r>
      <w:r>
        <w:rPr>
          <w:rFonts w:hint="eastAsia" w:asciiTheme="minorEastAsia" w:hAnsiTheme="minorEastAsia" w:eastAsiaTheme="minorEastAsia" w:cstheme="minorBidi"/>
          <w:color w:val="auto"/>
          <w:kern w:val="2"/>
          <w:sz w:val="32"/>
          <w:szCs w:val="32"/>
        </w:rPr>
        <w:t>人次，主要是江西农业科学院农业工程研究所来中心考察调研、各县市州农机事务中心来汇报工作、咨询补贴政策事宜等发生的接待支出。</w:t>
      </w:r>
    </w:p>
    <w:p>
      <w:pPr>
        <w:spacing w:line="600" w:lineRule="exact"/>
        <w:ind w:firstLine="800" w:firstLineChars="250"/>
        <w:rPr>
          <w:rFonts w:asciiTheme="minorEastAsia" w:hAnsiTheme="minorEastAsia"/>
          <w:sz w:val="32"/>
          <w:szCs w:val="32"/>
        </w:rPr>
      </w:pPr>
      <w:r>
        <w:rPr>
          <w:rFonts w:hint="eastAsia" w:asciiTheme="minorEastAsia" w:hAnsiTheme="minorEastAsia"/>
          <w:sz w:val="32"/>
          <w:szCs w:val="32"/>
        </w:rPr>
        <w:t>3、公务用车购置费及运行维护费支出决算为49.2万元，其中：公务用车购置费20.37万元，本级更新公务用车1辆。公务用车运行维护费8.83万元，主要是车辆油费、高速公路ETC费、车辆维修费、车辆保险费等支出，截止2022年12月31日，我单位开支财政拨款的公务用车保有量为6辆。</w:t>
      </w:r>
    </w:p>
    <w:p>
      <w:pPr>
        <w:pStyle w:val="12"/>
        <w:spacing w:line="600" w:lineRule="exact"/>
        <w:ind w:firstLine="640" w:firstLineChars="200"/>
        <w:rPr>
          <w:rFonts w:hAnsi="黑体"/>
          <w:bCs/>
          <w:sz w:val="32"/>
          <w:szCs w:val="32"/>
        </w:rPr>
      </w:pPr>
      <w:r>
        <w:rPr>
          <w:rFonts w:hint="eastAsia" w:hAnsi="黑体"/>
          <w:bCs/>
          <w:sz w:val="32"/>
          <w:szCs w:val="32"/>
        </w:rPr>
        <w:t>八、政府性基金预算收入支出决算情况</w:t>
      </w:r>
    </w:p>
    <w:p>
      <w:pPr>
        <w:pStyle w:val="12"/>
        <w:spacing w:line="600" w:lineRule="exact"/>
        <w:ind w:firstLine="640" w:firstLineChars="200"/>
        <w:rPr>
          <w:rFonts w:ascii="楷体" w:hAnsi="楷体" w:eastAsia="楷体" w:cs="楷体"/>
          <w:b/>
          <w:bCs/>
          <w:color w:val="auto"/>
          <w:sz w:val="32"/>
          <w:szCs w:val="32"/>
        </w:rPr>
      </w:pPr>
      <w:r>
        <w:rPr>
          <w:rFonts w:hint="eastAsia" w:asciiTheme="minorEastAsia" w:hAnsiTheme="minorEastAsia" w:eastAsiaTheme="minorEastAsia" w:cstheme="minorBidi"/>
          <w:color w:val="auto"/>
          <w:kern w:val="2"/>
          <w:sz w:val="32"/>
          <w:szCs w:val="32"/>
        </w:rPr>
        <w:t>本单位本年度无政府性基金收支。</w:t>
      </w:r>
    </w:p>
    <w:p>
      <w:pPr>
        <w:pStyle w:val="12"/>
        <w:spacing w:line="600" w:lineRule="exact"/>
        <w:ind w:firstLine="643" w:firstLineChars="200"/>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2"/>
        <w:spacing w:line="600" w:lineRule="exact"/>
        <w:ind w:firstLine="640" w:firstLineChars="20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cstheme="minorBidi"/>
          <w:color w:val="auto"/>
          <w:kern w:val="2"/>
          <w:sz w:val="32"/>
          <w:szCs w:val="32"/>
          <w:lang w:val="en-US" w:eastAsia="zh-CN" w:bidi="ar-SA"/>
        </w:rPr>
        <w:t>本部门2022年度机关运行经费支出513.35万元，比上年决算数增加35.27万元，增长7.38%。主要原因是：一、增加了公务用车购置费20.37万元；二、增加了其他交通费用12.02万元。</w:t>
      </w:r>
    </w:p>
    <w:p>
      <w:pPr>
        <w:pStyle w:val="12"/>
        <w:spacing w:line="600" w:lineRule="exact"/>
        <w:ind w:firstLine="640" w:firstLineChars="200"/>
        <w:rPr>
          <w:rFonts w:hAnsi="黑体"/>
          <w:bCs/>
          <w:sz w:val="32"/>
          <w:szCs w:val="32"/>
        </w:rPr>
      </w:pPr>
      <w:r>
        <w:rPr>
          <w:rFonts w:hint="eastAsia" w:hAnsi="黑体"/>
          <w:bCs/>
          <w:sz w:val="32"/>
          <w:szCs w:val="32"/>
        </w:rPr>
        <w:t>十、一般性支出情况说明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2022年本部门开支会</w:t>
      </w:r>
      <w:r>
        <w:rPr>
          <w:rFonts w:hint="eastAsia" w:asciiTheme="minorEastAsia" w:hAnsiTheme="minorEastAsia" w:eastAsiaTheme="minorEastAsia"/>
          <w:color w:val="auto"/>
          <w:sz w:val="32"/>
          <w:szCs w:val="32"/>
        </w:rPr>
        <w:t>议费42.1万元</w:t>
      </w:r>
      <w:r>
        <w:rPr>
          <w:rFonts w:hint="eastAsia" w:asciiTheme="minorEastAsia" w:hAnsiTheme="minorEastAsia" w:eastAsiaTheme="minorEastAsia"/>
          <w:sz w:val="32"/>
          <w:szCs w:val="32"/>
        </w:rPr>
        <w:t>，主要用于：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召开湖南省农机化技术</w:t>
      </w:r>
      <w:r>
        <w:rPr>
          <w:rFonts w:hint="eastAsia" w:asciiTheme="minorEastAsia" w:hAnsiTheme="minorEastAsia" w:eastAsiaTheme="minorEastAsia"/>
          <w:sz w:val="32"/>
          <w:szCs w:val="32"/>
          <w:highlight w:val="none"/>
        </w:rPr>
        <w:t>培训班</w:t>
      </w:r>
      <w:r>
        <w:rPr>
          <w:rFonts w:hint="eastAsia" w:asciiTheme="minorEastAsia" w:hAnsiTheme="minorEastAsia" w:eastAsiaTheme="minorEastAsia"/>
          <w:sz w:val="32"/>
          <w:szCs w:val="32"/>
        </w:rPr>
        <w:t>（一期），人数62人，内容为介绍高速插秧机理论知识、进行高速插秧机实机部品认知，保养及驾驶操作培训、施肥装置部品认知以及施肥操作培训等，金额4.98万元；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召开2022年农机购置补贴机具现场演示评价会（三批），人数71人，内容为对在省内安装到位的农用连栋钢架大棚和谷物烘干机进行现场演示评价、对插秧机进行现场集中演示等</w:t>
      </w:r>
      <w:r>
        <w:rPr>
          <w:rFonts w:hint="eastAsia" w:asciiTheme="minorEastAsia" w:hAnsiTheme="minorEastAsia" w:eastAsiaTheme="minorEastAsia"/>
          <w:sz w:val="32"/>
          <w:szCs w:val="32"/>
          <w:highlight w:val="none"/>
        </w:rPr>
        <w:t>，金额</w:t>
      </w:r>
      <w:r>
        <w:rPr>
          <w:rFonts w:hint="eastAsia" w:asciiTheme="minorEastAsia" w:hAnsiTheme="minorEastAsia" w:eastAsiaTheme="minorEastAsia"/>
          <w:sz w:val="32"/>
          <w:szCs w:val="32"/>
          <w:highlight w:val="none"/>
          <w:lang w:val="en-US" w:eastAsia="zh-CN"/>
        </w:rPr>
        <w:t>18.18</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rPr>
        <w:t>；</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召开2022年农机315消费者权益日活动会议，人数100人，内容为以“稳粮保供、提质护农”为主题，包括宣读 “农机3·15”活动倡议书，农机生产企业和经销商递交承诺书，现场发放质量投诉服务指南，引导农机消费者维权、引导农民科学合理购机，金额</w:t>
      </w:r>
      <w:r>
        <w:rPr>
          <w:rFonts w:hint="eastAsia" w:asciiTheme="minorEastAsia" w:hAnsiTheme="minorEastAsia" w:eastAsiaTheme="minorEastAsia"/>
          <w:sz w:val="32"/>
          <w:szCs w:val="32"/>
          <w:lang w:val="en-US" w:eastAsia="zh-CN"/>
        </w:rPr>
        <w:t>2.15</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color w:val="auto"/>
          <w:sz w:val="32"/>
          <w:szCs w:val="32"/>
        </w:rPr>
        <w:t>召开全省大豆玉米带状复合种植机械现场</w:t>
      </w:r>
      <w:r>
        <w:rPr>
          <w:rFonts w:hint="eastAsia" w:asciiTheme="minorEastAsia" w:hAnsiTheme="minorEastAsia" w:eastAsiaTheme="minorEastAsia"/>
          <w:color w:val="auto"/>
          <w:sz w:val="32"/>
          <w:szCs w:val="32"/>
          <w:highlight w:val="none"/>
        </w:rPr>
        <w:t>培训会</w:t>
      </w:r>
      <w:r>
        <w:rPr>
          <w:rFonts w:hint="eastAsia" w:asciiTheme="minorEastAsia" w:hAnsiTheme="minorEastAsia" w:eastAsiaTheme="minorEastAsia"/>
          <w:color w:val="auto"/>
          <w:sz w:val="32"/>
          <w:szCs w:val="32"/>
        </w:rPr>
        <w:t>，人数36人，内容为贯彻落实中央关于推广大豆玉米带状复合种植模式有关精神，部署阶段重点工作和种植机械化现场技术培训，金额2.94万元；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召开2022年全省油菜机收减损比武活动，人数75人，内容包括机手大比武、发放明白纸、组织机手培训、宣传贯彻水稻机收减损技术指导意见、机收作业操作规程等，金额4.89万元；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召开全省“四分研讨会”，人数18人，内容为传达“四分”工作相关政策、分解工作任务、确定时间节点，征求如何推进“四分”工作的建议和对策，金额0.56万元；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召开2022设施农业示范基地建设工作推进会，人数110人，内容为部署推进设施农业发展、邀请专家指导修改建设项目实施方案、安排农业机械化下阶段工作等，金额3.</w:t>
      </w:r>
      <w:r>
        <w:rPr>
          <w:rFonts w:hint="eastAsia" w:asciiTheme="minorEastAsia" w:hAnsiTheme="minorEastAsia" w:eastAsiaTheme="minorEastAsia"/>
          <w:sz w:val="32"/>
          <w:szCs w:val="32"/>
          <w:lang w:val="en-US" w:eastAsia="zh-CN"/>
        </w:rPr>
        <w:t>79</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召开湖南省优秀农机品牌专家集中评审会，人数15人，内容为提高湖南农机企业的市场竞争力，刷亮湘产农机品牌</w:t>
      </w:r>
      <w:r>
        <w:rPr>
          <w:rFonts w:asciiTheme="minorEastAsia" w:hAnsiTheme="minorEastAsia" w:eastAsiaTheme="minorEastAsia"/>
          <w:sz w:val="32"/>
          <w:szCs w:val="32"/>
        </w:rPr>
        <w:t>，在全省组织开展“2022年湖南省优秀农机品牌”评选活动</w:t>
      </w:r>
      <w:r>
        <w:rPr>
          <w:rFonts w:hint="eastAsia" w:asciiTheme="minorEastAsia" w:hAnsiTheme="minorEastAsia" w:eastAsiaTheme="minorEastAsia"/>
          <w:sz w:val="32"/>
          <w:szCs w:val="32"/>
        </w:rPr>
        <w:t>，向评选企业颁发《2022年湖南省优秀农机品牌》证书，允许企业进行展示、宣传等，金额</w:t>
      </w:r>
      <w:r>
        <w:rPr>
          <w:rFonts w:hint="eastAsia" w:asciiTheme="minorEastAsia" w:hAnsiTheme="minorEastAsia" w:eastAsiaTheme="minorEastAsia"/>
          <w:sz w:val="32"/>
          <w:szCs w:val="32"/>
          <w:lang w:val="en-US" w:eastAsia="zh-CN"/>
        </w:rPr>
        <w:t>0.1</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召开农业机械专项鉴定大纲专家审定会，人数19人，内容为审定《油茶果采收机》等8项湖南省专项鉴定大纲，形成审定结论及意见，金额</w:t>
      </w:r>
      <w:r>
        <w:rPr>
          <w:rFonts w:hint="eastAsia" w:asciiTheme="minorEastAsia" w:hAnsiTheme="minorEastAsia" w:eastAsiaTheme="minorEastAsia"/>
          <w:sz w:val="32"/>
          <w:szCs w:val="32"/>
          <w:lang w:val="en-US" w:eastAsia="zh-CN"/>
        </w:rPr>
        <w:t>0.22</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召开第三届标准化委员会成立大会及农业机械化标准复审会，人数40人，内容为加强我省地方标准的管理，对现行有效且实施五年以上的湖南省地方标准复审，金额</w:t>
      </w:r>
      <w:r>
        <w:rPr>
          <w:rFonts w:hint="eastAsia" w:asciiTheme="minorEastAsia" w:hAnsiTheme="minorEastAsia" w:eastAsiaTheme="minorEastAsia"/>
          <w:sz w:val="32"/>
          <w:szCs w:val="32"/>
          <w:lang w:val="en-US" w:eastAsia="zh-CN"/>
        </w:rPr>
        <w:t>0.42</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开支培训</w:t>
      </w:r>
      <w:r>
        <w:rPr>
          <w:rFonts w:hint="eastAsia" w:asciiTheme="minorEastAsia" w:hAnsiTheme="minorEastAsia" w:eastAsiaTheme="minorEastAsia"/>
          <w:color w:val="auto"/>
          <w:sz w:val="32"/>
          <w:szCs w:val="32"/>
        </w:rPr>
        <w:t>费99.58万</w:t>
      </w:r>
      <w:r>
        <w:rPr>
          <w:rFonts w:hint="eastAsia" w:asciiTheme="minorEastAsia" w:hAnsiTheme="minorEastAsia" w:eastAsiaTheme="minorEastAsia"/>
          <w:sz w:val="32"/>
          <w:szCs w:val="32"/>
        </w:rPr>
        <w:t>元，主要用于：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开展2022年全省育秧技术培训班第一、二期培训，人数108人，内容为</w:t>
      </w:r>
      <w:r>
        <w:rPr>
          <w:rFonts w:hint="eastAsia" w:asciiTheme="minorEastAsia" w:hAnsiTheme="minorEastAsia" w:eastAsiaTheme="minorEastAsia"/>
          <w:color w:val="auto"/>
          <w:sz w:val="32"/>
          <w:szCs w:val="32"/>
        </w:rPr>
        <w:t>对水稻机插硬盘旱育秧技术、无盘精量育秧技术、大钵体毯状苗育秧技术、机抛育秧技术等进行培训，</w:t>
      </w:r>
      <w:r>
        <w:rPr>
          <w:rFonts w:hint="eastAsia" w:asciiTheme="minorEastAsia" w:hAnsiTheme="minorEastAsia" w:eastAsiaTheme="minorEastAsia"/>
          <w:sz w:val="32"/>
          <w:szCs w:val="32"/>
        </w:rPr>
        <w:t>金额14.2</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开展2022年全省植保无人机操作培训班，人数140人，内容为采用理论知识和实践操作相结合的方式，培训内容包括病虫害防治药理知识、植保无人机操作与使用、航测规划、安全飞行等，金额</w:t>
      </w:r>
      <w:r>
        <w:rPr>
          <w:rFonts w:hint="eastAsia" w:asciiTheme="minorEastAsia" w:hAnsiTheme="minorEastAsia" w:eastAsiaTheme="minorEastAsia"/>
          <w:sz w:val="32"/>
          <w:szCs w:val="32"/>
          <w:lang w:val="en-US" w:eastAsia="zh-CN"/>
        </w:rPr>
        <w:t>8.04</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全省监理岗位人员业务培训（二三期），人数193人，内容为根据农业农村部关于农机安全监理人员持证上岗的要求，为进一步提高全省农机安全监理人员业务素质，全面推进农机安全监理队伍建设，对全省农机安全监理员、检验员、考试员和事故处理员进行培训，金额1</w:t>
      </w:r>
      <w:r>
        <w:rPr>
          <w:rFonts w:hint="eastAsia" w:asciiTheme="minorEastAsia" w:hAnsiTheme="minorEastAsia" w:eastAsiaTheme="minorEastAsia"/>
          <w:sz w:val="32"/>
          <w:szCs w:val="32"/>
          <w:lang w:val="en-US" w:eastAsia="zh-CN"/>
        </w:rPr>
        <w:t>4.99</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开展全省农机事务系统综合部门负责人培训班，人数152人，内容为对全省农机事务系统综合部门负责人进行管理培训，金额</w:t>
      </w:r>
      <w:r>
        <w:rPr>
          <w:rFonts w:hint="eastAsia" w:asciiTheme="minorEastAsia" w:hAnsiTheme="minorEastAsia" w:eastAsiaTheme="minorEastAsia"/>
          <w:sz w:val="32"/>
          <w:szCs w:val="32"/>
          <w:lang w:val="en-US" w:eastAsia="zh-CN"/>
        </w:rPr>
        <w:t>7.39</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开展农机职业技能培训班</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洛阳</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，人数40人，内容为设施农业理论教学和基地现场观摩，金额</w:t>
      </w:r>
      <w:r>
        <w:rPr>
          <w:rFonts w:hint="eastAsia" w:asciiTheme="minorEastAsia" w:hAnsiTheme="minorEastAsia" w:eastAsiaTheme="minorEastAsia"/>
          <w:sz w:val="32"/>
          <w:szCs w:val="32"/>
          <w:lang w:val="en-US" w:eastAsia="zh-CN"/>
        </w:rPr>
        <w:t>8.87</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开展现代农机合作社农机专业能手培训（一二期），人数190人，内容为对现代农机合作社种田能手进行农机、农艺融合专业培训，金额1</w:t>
      </w:r>
      <w:r>
        <w:rPr>
          <w:rFonts w:hint="eastAsia" w:asciiTheme="minorEastAsia" w:hAnsiTheme="minorEastAsia" w:eastAsiaTheme="minorEastAsia"/>
          <w:sz w:val="32"/>
          <w:szCs w:val="32"/>
          <w:lang w:val="en-US" w:eastAsia="zh-CN"/>
        </w:rPr>
        <w:t>6.93</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开展2022年“送训下基层”培训班，人数95人，内容为结合大湘西地区主要农作物机械化生产的技术短板设计，内容包括果园机械化生产现状与发展、水肥一体化、无人植保机、单轨运输演示教学等，金额</w:t>
      </w:r>
      <w:r>
        <w:rPr>
          <w:rFonts w:hint="eastAsia" w:asciiTheme="minorEastAsia" w:hAnsiTheme="minorEastAsia" w:eastAsiaTheme="minorEastAsia"/>
          <w:sz w:val="32"/>
          <w:szCs w:val="32"/>
          <w:lang w:val="en-US" w:eastAsia="zh-CN"/>
        </w:rPr>
        <w:t>4.83</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开展全国农业行业职业技能竞赛农机修理工技能竞赛，人数44人，内容为</w:t>
      </w:r>
      <w:r>
        <w:rPr>
          <w:rFonts w:hint="eastAsia" w:asciiTheme="minorEastAsia" w:hAnsiTheme="minorEastAsia" w:eastAsiaTheme="minorEastAsia"/>
          <w:color w:val="auto"/>
          <w:sz w:val="32"/>
          <w:szCs w:val="32"/>
        </w:rPr>
        <w:t>组织我省农机修理工技能选拔赛、组织参加修理工国赛的3名选手进行集中培训，力争在全国大赛上取得较好成绩</w:t>
      </w:r>
      <w:r>
        <w:rPr>
          <w:rFonts w:hint="eastAsia" w:asciiTheme="minorEastAsia" w:hAnsiTheme="minorEastAsia" w:eastAsiaTheme="minorEastAsia"/>
          <w:sz w:val="32"/>
          <w:szCs w:val="32"/>
        </w:rPr>
        <w:t>，金额</w:t>
      </w:r>
      <w:r>
        <w:rPr>
          <w:rFonts w:hint="eastAsia" w:asciiTheme="minorEastAsia" w:hAnsiTheme="minorEastAsia" w:eastAsiaTheme="minorEastAsia"/>
          <w:sz w:val="32"/>
          <w:szCs w:val="32"/>
          <w:lang w:val="en-US" w:eastAsia="zh-CN"/>
        </w:rPr>
        <w:t>3.37</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开展保障油菜扩种与油</w:t>
      </w:r>
      <w:r>
        <w:rPr>
          <w:rFonts w:hint="eastAsia" w:asciiTheme="minorEastAsia" w:hAnsiTheme="minorEastAsia" w:eastAsiaTheme="minorEastAsia"/>
          <w:color w:val="auto"/>
          <w:sz w:val="32"/>
          <w:szCs w:val="32"/>
        </w:rPr>
        <w:t>菜机械栽植技术培训，人数89人，内容为油菜机械直播技术理论、油菜机械移栽技术理论、油菜机械直播和移栽作业现场指导</w:t>
      </w:r>
      <w:r>
        <w:rPr>
          <w:rFonts w:hint="eastAsia" w:asciiTheme="minorEastAsia" w:hAnsiTheme="minorEastAsia" w:eastAsiaTheme="minorEastAsia"/>
          <w:sz w:val="32"/>
          <w:szCs w:val="32"/>
        </w:rPr>
        <w:t>，金额</w:t>
      </w:r>
      <w:r>
        <w:rPr>
          <w:rFonts w:hint="eastAsia" w:asciiTheme="minorEastAsia" w:hAnsiTheme="minorEastAsia" w:eastAsiaTheme="minorEastAsia"/>
          <w:sz w:val="32"/>
          <w:szCs w:val="32"/>
          <w:lang w:val="en-US" w:eastAsia="zh-CN"/>
        </w:rPr>
        <w:t>4.51</w:t>
      </w:r>
      <w:r>
        <w:rPr>
          <w:rFonts w:hint="eastAsia" w:asciiTheme="minorEastAsia" w:hAnsiTheme="minorEastAsia" w:eastAsiaTheme="minorEastAsia"/>
          <w:sz w:val="32"/>
          <w:szCs w:val="32"/>
        </w:rPr>
        <w:t xml:space="preserve">万元； </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全省农机推广田间日活动培训班，人数90人，内容为落实农业农村部农业机械化管理司和农业农村部农业机械化总站2022年重点工作安排，加速推广新技术新机具在农业生产中的应用，推广参与式、体验式、互动式模式经验，金额3.8</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开展拖拉机、联合收割机驾驶技能培训，人数36人，内容为</w:t>
      </w:r>
      <w:r>
        <w:rPr>
          <w:rFonts w:hint="eastAsia" w:asciiTheme="minorEastAsia" w:hAnsiTheme="minorEastAsia" w:eastAsiaTheme="minorEastAsia"/>
          <w:color w:val="auto"/>
          <w:sz w:val="32"/>
          <w:szCs w:val="32"/>
        </w:rPr>
        <w:t>拖拉机和联合收割机驾驶理论培训与上机考试实操、拖拉机和联合收割机驾驶操作培训与驾驶考试实操，</w:t>
      </w:r>
      <w:r>
        <w:rPr>
          <w:rFonts w:hint="eastAsia" w:asciiTheme="minorEastAsia" w:hAnsiTheme="minorEastAsia" w:eastAsiaTheme="minorEastAsia"/>
          <w:sz w:val="32"/>
          <w:szCs w:val="32"/>
        </w:rPr>
        <w:t>金额</w:t>
      </w:r>
      <w:r>
        <w:rPr>
          <w:rFonts w:hint="eastAsia" w:asciiTheme="minorEastAsia" w:hAnsiTheme="minorEastAsia" w:eastAsiaTheme="minorEastAsia"/>
          <w:sz w:val="32"/>
          <w:szCs w:val="32"/>
          <w:lang w:val="en-US" w:eastAsia="zh-CN"/>
        </w:rPr>
        <w:t>0.77</w:t>
      </w:r>
      <w:r>
        <w:rPr>
          <w:rFonts w:hint="eastAsia" w:asciiTheme="minorEastAsia" w:hAnsiTheme="minorEastAsia" w:eastAsiaTheme="minorEastAsia"/>
          <w:sz w:val="32"/>
          <w:szCs w:val="32"/>
        </w:rPr>
        <w:t>万元。</w:t>
      </w:r>
    </w:p>
    <w:p>
      <w:pPr>
        <w:pStyle w:val="12"/>
        <w:spacing w:line="600" w:lineRule="exact"/>
        <w:ind w:firstLine="640" w:firstLineChars="200"/>
        <w:rPr>
          <w:rFonts w:hAnsi="黑体"/>
          <w:bCs/>
          <w:sz w:val="32"/>
          <w:szCs w:val="32"/>
        </w:rPr>
      </w:pPr>
      <w:r>
        <w:rPr>
          <w:rFonts w:hint="eastAsia" w:hAnsi="黑体"/>
          <w:bCs/>
          <w:sz w:val="32"/>
          <w:szCs w:val="32"/>
        </w:rPr>
        <w:t>十一、关于政府采购支出说明</w:t>
      </w:r>
    </w:p>
    <w:p>
      <w:pPr>
        <w:pStyle w:val="12"/>
        <w:spacing w:line="600" w:lineRule="exact"/>
        <w:ind w:firstLine="640" w:firstLineChars="200"/>
        <w:rPr>
          <w:rFonts w:asciiTheme="minorEastAsia" w:hAnsiTheme="minorEastAsia" w:eastAsiaTheme="minorEastAsia" w:cstheme="minorBidi"/>
          <w:color w:val="auto"/>
          <w:kern w:val="2"/>
          <w:sz w:val="32"/>
          <w:szCs w:val="32"/>
        </w:rPr>
      </w:pPr>
      <w:r>
        <w:rPr>
          <w:rFonts w:hint="eastAsia" w:asciiTheme="minorEastAsia" w:hAnsiTheme="minorEastAsia" w:eastAsiaTheme="minorEastAsia" w:cstheme="minorBidi"/>
          <w:color w:val="auto"/>
          <w:kern w:val="2"/>
          <w:sz w:val="32"/>
          <w:szCs w:val="32"/>
        </w:rPr>
        <w:t>本部门2022年度政府采购支出总额369.67万元，其中：政府采购货物支出109.75万元、政府采购工程支出0万元、政府采购服务支出259.92万元。授予中小企业合同金额369.67万元，占政府采购支出总额的100%，其中：授予小微企业合同金额369.67万元，占政府采购支出总额的100%。货物采购授予中小企业合同金额占货物支出金额的100%，</w:t>
      </w:r>
      <w:bookmarkStart w:id="0" w:name="_GoBack"/>
      <w:bookmarkEnd w:id="0"/>
      <w:r>
        <w:rPr>
          <w:rFonts w:hint="eastAsia" w:asciiTheme="minorEastAsia" w:hAnsiTheme="minorEastAsia" w:eastAsiaTheme="minorEastAsia" w:cstheme="minorBidi"/>
          <w:color w:val="auto"/>
          <w:kern w:val="2"/>
          <w:sz w:val="32"/>
          <w:szCs w:val="32"/>
        </w:rPr>
        <w:t>服务采购授予中小企业合同金额占服务支出金额的100%。</w:t>
      </w:r>
    </w:p>
    <w:p>
      <w:pPr>
        <w:pStyle w:val="12"/>
        <w:spacing w:line="600" w:lineRule="exact"/>
        <w:ind w:firstLine="640" w:firstLineChars="200"/>
        <w:rPr>
          <w:rFonts w:hAnsi="黑体"/>
          <w:bCs/>
          <w:sz w:val="32"/>
          <w:szCs w:val="32"/>
        </w:rPr>
      </w:pPr>
      <w:r>
        <w:rPr>
          <w:rFonts w:hint="eastAsia" w:hAnsi="黑体"/>
          <w:bCs/>
          <w:sz w:val="32"/>
          <w:szCs w:val="32"/>
        </w:rPr>
        <w:t>十二、关于国有资产占用情况说明</w:t>
      </w:r>
    </w:p>
    <w:p>
      <w:pPr>
        <w:pStyle w:val="12"/>
        <w:spacing w:line="600" w:lineRule="exact"/>
        <w:ind w:firstLine="640" w:firstLineChars="200"/>
        <w:rPr>
          <w:rFonts w:ascii="Times New Roman" w:hAnsi="Times New Roman" w:eastAsia="仿宋_GB2312"/>
          <w:sz w:val="32"/>
          <w:szCs w:val="32"/>
        </w:rPr>
      </w:pPr>
      <w:r>
        <w:rPr>
          <w:rFonts w:hint="eastAsia" w:asciiTheme="minorEastAsia" w:hAnsiTheme="minorEastAsia" w:eastAsiaTheme="minorEastAsia"/>
          <w:sz w:val="32"/>
          <w:szCs w:val="32"/>
        </w:rPr>
        <w:t>截至2022年12月31日，本单位共有车辆6辆，其中，机要通信用车1辆、应急保障用车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辆、特种专业技术用车2辆、其他用车</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辆，其他用车主要是离退休干部管理用车；单位价值50万元以上通用设备1台（套）；单位价值100万元以上专用设备0台（套）。</w:t>
      </w:r>
    </w:p>
    <w:p>
      <w:pPr>
        <w:pStyle w:val="12"/>
        <w:spacing w:line="600" w:lineRule="exact"/>
        <w:ind w:firstLine="640" w:firstLineChars="200"/>
        <w:rPr>
          <w:rFonts w:hAnsi="黑体"/>
          <w:bCs/>
          <w:sz w:val="32"/>
          <w:szCs w:val="32"/>
        </w:rPr>
      </w:pPr>
      <w:r>
        <w:rPr>
          <w:rFonts w:hint="eastAsia" w:hAnsi="黑体"/>
          <w:bCs/>
          <w:sz w:val="32"/>
          <w:szCs w:val="32"/>
        </w:rPr>
        <w:t>十三、关于</w:t>
      </w:r>
      <w:r>
        <w:rPr>
          <w:rFonts w:hint="eastAsia" w:ascii="Times New Roman" w:hAnsi="Times New Roman" w:eastAsia="仿宋_GB2312"/>
          <w:sz w:val="32"/>
          <w:szCs w:val="32"/>
        </w:rPr>
        <w:t>2022</w:t>
      </w:r>
      <w:r>
        <w:rPr>
          <w:rFonts w:hint="eastAsia" w:hAnsi="黑体"/>
          <w:bCs/>
          <w:sz w:val="32"/>
          <w:szCs w:val="32"/>
        </w:rPr>
        <w:t>年度预算绩效情况的说明</w:t>
      </w:r>
    </w:p>
    <w:p>
      <w:pPr>
        <w:pStyle w:val="12"/>
        <w:spacing w:line="600" w:lineRule="exact"/>
        <w:ind w:firstLine="643" w:firstLineChars="200"/>
      </w:pPr>
      <w:r>
        <w:rPr>
          <w:rFonts w:hint="eastAsia" w:ascii="楷体" w:hAnsi="楷体" w:eastAsia="楷体" w:cs="楷体"/>
          <w:b/>
          <w:bCs/>
          <w:sz w:val="32"/>
          <w:szCs w:val="32"/>
        </w:rPr>
        <w:t>（一）部门整体支出绩效情况</w:t>
      </w:r>
    </w:p>
    <w:p>
      <w:pPr>
        <w:numPr>
          <w:ilvl w:val="0"/>
          <w:numId w:val="2"/>
        </w:numPr>
        <w:ind w:left="840" w:leftChars="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严控运行成本</w:t>
      </w:r>
    </w:p>
    <w:p>
      <w:pPr>
        <w:numPr>
          <w:ilvl w:val="0"/>
          <w:numId w:val="0"/>
        </w:numPr>
        <w:ind w:firstLine="320" w:firstLineChars="100"/>
        <w:rPr>
          <w:rFonts w:hint="eastAsia" w:asciiTheme="minorEastAsia" w:hAnsiTheme="minorEastAsia"/>
          <w:color w:val="000000" w:themeColor="text1"/>
          <w:sz w:val="32"/>
          <w:szCs w:val="32"/>
          <w:lang w:val="en-US" w:eastAsia="zh-CN"/>
          <w14:textFill>
            <w14:solidFill>
              <w14:schemeClr w14:val="tx1"/>
            </w14:solidFill>
          </w14:textFill>
        </w:rPr>
      </w:pPr>
      <w:r>
        <w:rPr>
          <w:rFonts w:hint="eastAsia" w:asciiTheme="minorEastAsia" w:hAnsiTheme="minorEastAsia"/>
          <w:color w:val="000000" w:themeColor="text1"/>
          <w:sz w:val="32"/>
          <w:szCs w:val="32"/>
          <w:lang w:val="en-US" w:eastAsia="zh-CN"/>
          <w14:textFill>
            <w14:solidFill>
              <w14:schemeClr w14:val="tx1"/>
            </w14:solidFill>
          </w14:textFill>
        </w:rPr>
        <w:t>2022年</w:t>
      </w:r>
      <w:r>
        <w:rPr>
          <w:rFonts w:hint="eastAsia" w:asciiTheme="minorEastAsia" w:hAnsiTheme="minorEastAsia" w:eastAsiaTheme="minorEastAsia"/>
          <w:color w:val="000000" w:themeColor="text1"/>
          <w:sz w:val="32"/>
          <w:szCs w:val="32"/>
          <w14:textFill>
            <w14:solidFill>
              <w14:schemeClr w14:val="tx1"/>
            </w14:solidFill>
          </w14:textFill>
        </w:rPr>
        <w:t>“三公”经费支出49.88万元</w:t>
      </w: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其中公务接待费</w:t>
      </w:r>
      <w:r>
        <w:rPr>
          <w:rFonts w:hint="eastAsia" w:asciiTheme="minorEastAsia" w:hAnsiTheme="minorEastAsia" w:eastAsiaTheme="minorEastAsia"/>
          <w:color w:val="000000" w:themeColor="text1"/>
          <w:sz w:val="32"/>
          <w:szCs w:val="32"/>
          <w14:textFill>
            <w14:solidFill>
              <w14:schemeClr w14:val="tx1"/>
            </w14:solidFill>
          </w14:textFill>
        </w:rPr>
        <w:t>支出0.68万元</w:t>
      </w: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14:textFill>
            <w14:solidFill>
              <w14:schemeClr w14:val="tx1"/>
            </w14:solidFill>
          </w14:textFill>
        </w:rPr>
        <w:t>公务用车运行维护费28.83万元</w:t>
      </w: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车辆</w:t>
      </w:r>
      <w:r>
        <w:rPr>
          <w:rFonts w:hint="eastAsia" w:asciiTheme="minorEastAsia" w:hAnsiTheme="minorEastAsia" w:eastAsiaTheme="minorEastAsia"/>
          <w:color w:val="000000" w:themeColor="text1"/>
          <w:sz w:val="32"/>
          <w:szCs w:val="32"/>
          <w14:textFill>
            <w14:solidFill>
              <w14:schemeClr w14:val="tx1"/>
            </w14:solidFill>
          </w14:textFill>
        </w:rPr>
        <w:t>购置费支出20.37万元</w:t>
      </w: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较年初</w:t>
      </w:r>
      <w:r>
        <w:rPr>
          <w:rFonts w:hint="eastAsia" w:asciiTheme="minorEastAsia" w:hAnsiTheme="minorEastAsia" w:eastAsiaTheme="minorEastAsia"/>
          <w:color w:val="000000" w:themeColor="text1"/>
          <w:sz w:val="32"/>
          <w:szCs w:val="32"/>
          <w14:textFill>
            <w14:solidFill>
              <w14:schemeClr w14:val="tx1"/>
            </w14:solidFill>
          </w14:textFill>
        </w:rPr>
        <w:t>预算75万元</w:t>
      </w:r>
      <w:r>
        <w:rPr>
          <w:rFonts w:hint="eastAsia" w:asciiTheme="minorEastAsia" w:hAnsiTheme="minorEastAsia"/>
          <w:color w:val="000000" w:themeColor="text1"/>
          <w:sz w:val="32"/>
          <w:szCs w:val="32"/>
          <w:lang w:val="en-US" w:eastAsia="zh-CN"/>
          <w14:textFill>
            <w14:solidFill>
              <w14:schemeClr w14:val="tx1"/>
            </w14:solidFill>
          </w14:textFill>
        </w:rPr>
        <w:t>节约25.12万元，节约比为33.49%。2022年基本支出中的水费、电费、差旅费等均合理控制在预算以内。</w:t>
      </w:r>
    </w:p>
    <w:p>
      <w:pPr>
        <w:numPr>
          <w:ilvl w:val="0"/>
          <w:numId w:val="2"/>
        </w:numPr>
        <w:ind w:left="840" w:leftChars="0" w:firstLine="0" w:firstLineChars="0"/>
        <w:rPr>
          <w:rFonts w:hint="eastAsia" w:asciiTheme="minorEastAsia" w:hAnsiTheme="minorEastAsia"/>
          <w:color w:val="000000" w:themeColor="text1"/>
          <w:sz w:val="32"/>
          <w:szCs w:val="32"/>
          <w:lang w:val="en-US" w:eastAsia="zh-CN"/>
          <w14:textFill>
            <w14:solidFill>
              <w14:schemeClr w14:val="tx1"/>
            </w14:solidFill>
          </w14:textFill>
        </w:rPr>
      </w:pPr>
      <w:r>
        <w:rPr>
          <w:rFonts w:hint="eastAsia" w:asciiTheme="minorEastAsia" w:hAnsiTheme="minorEastAsia"/>
          <w:color w:val="000000" w:themeColor="text1"/>
          <w:sz w:val="32"/>
          <w:szCs w:val="32"/>
          <w:lang w:val="en-US" w:eastAsia="zh-CN"/>
          <w14:textFill>
            <w14:solidFill>
              <w14:schemeClr w14:val="tx1"/>
            </w14:solidFill>
          </w14:textFill>
        </w:rPr>
        <w:t>提高管理效率</w:t>
      </w:r>
    </w:p>
    <w:p>
      <w:pPr>
        <w:numPr>
          <w:ilvl w:val="0"/>
          <w:numId w:val="0"/>
        </w:numPr>
        <w:ind w:leftChars="0" w:firstLine="640" w:firstLineChars="200"/>
        <w:rPr>
          <w:rFonts w:hint="eastAsia" w:asciiTheme="minorEastAsia" w:hAnsiTheme="minorEastAsia" w:eastAsiaTheme="minorEastAsia"/>
          <w:sz w:val="32"/>
          <w:szCs w:val="32"/>
        </w:rPr>
      </w:pPr>
      <w:r>
        <w:rPr>
          <w:rFonts w:hint="eastAsia" w:asciiTheme="minorEastAsia" w:hAnsiTheme="minorEastAsia"/>
          <w:sz w:val="32"/>
          <w:szCs w:val="32"/>
          <w:lang w:val="en-US" w:eastAsia="zh-CN"/>
        </w:rPr>
        <w:t>一是</w:t>
      </w:r>
      <w:r>
        <w:rPr>
          <w:rFonts w:hint="eastAsia" w:asciiTheme="minorEastAsia" w:hAnsiTheme="minorEastAsia" w:eastAsiaTheme="minorEastAsia"/>
          <w:sz w:val="32"/>
          <w:szCs w:val="32"/>
        </w:rPr>
        <w:t>抓好机收减损。举办全省油菜机收大比武活动，指导各地开展相应活动。完成早中晚稻监测重点县数据收集汇总，提交早中晚稻和全年监测调查报告，全省水稻平均机收损失率为2.46%。</w:t>
      </w:r>
    </w:p>
    <w:p>
      <w:pPr>
        <w:numPr>
          <w:ilvl w:val="0"/>
          <w:numId w:val="0"/>
        </w:numPr>
        <w:ind w:leftChars="0" w:firstLine="640" w:firstLineChars="200"/>
        <w:rPr>
          <w:rFonts w:hint="eastAsia" w:asciiTheme="minorEastAsia" w:hAnsiTheme="minorEastAsia" w:eastAsiaTheme="minorEastAsia"/>
          <w:sz w:val="32"/>
          <w:szCs w:val="32"/>
        </w:rPr>
      </w:pPr>
      <w:r>
        <w:rPr>
          <w:rFonts w:hint="eastAsia" w:asciiTheme="minorEastAsia" w:hAnsiTheme="minorEastAsia"/>
          <w:sz w:val="32"/>
          <w:szCs w:val="32"/>
          <w:lang w:val="en-US" w:eastAsia="zh-CN"/>
        </w:rPr>
        <w:t>二是</w:t>
      </w:r>
      <w:r>
        <w:rPr>
          <w:rFonts w:hint="eastAsia" w:asciiTheme="minorEastAsia" w:hAnsiTheme="minorEastAsia" w:eastAsiaTheme="minorEastAsia"/>
          <w:sz w:val="32"/>
          <w:szCs w:val="32"/>
        </w:rPr>
        <w:t>开展试验示范。湖南无人农场（望城）建设技术服务项目顺利通过验收。在汨罗市开展双季稻机械化生产高产高效技术集成模式试验示范，经专家现场测产，折合标准干谷平均每亩539.3公斤，比当地往年传统机械化生产模式平均亩增产89公斤。</w:t>
      </w:r>
    </w:p>
    <w:p>
      <w:pPr>
        <w:numPr>
          <w:ilvl w:val="0"/>
          <w:numId w:val="0"/>
        </w:numPr>
        <w:ind w:leftChars="0" w:firstLine="640" w:firstLineChars="200"/>
        <w:rPr>
          <w:rFonts w:hint="eastAsia" w:asciiTheme="minorEastAsia" w:hAnsiTheme="minorEastAsia" w:eastAsiaTheme="minorEastAsia"/>
          <w:sz w:val="32"/>
          <w:szCs w:val="32"/>
        </w:rPr>
      </w:pPr>
      <w:r>
        <w:rPr>
          <w:rFonts w:hint="eastAsia" w:asciiTheme="minorEastAsia" w:hAnsiTheme="minorEastAsia"/>
          <w:sz w:val="32"/>
          <w:szCs w:val="32"/>
          <w:lang w:val="en-US" w:eastAsia="zh-CN"/>
        </w:rPr>
        <w:t>三是</w:t>
      </w:r>
      <w:r>
        <w:rPr>
          <w:rFonts w:hint="eastAsia" w:asciiTheme="minorEastAsia" w:hAnsiTheme="minorEastAsia" w:eastAsiaTheme="minorEastAsia"/>
          <w:sz w:val="32"/>
          <w:szCs w:val="32"/>
        </w:rPr>
        <w:t>加强作业数据统计。完成春耕、三夏、双抢、三秋等重要农时的农机化作业数据统计和汇总。目前已有95个农业主产县建成县级监测系统并接入全省农机作业监测系统，共接入北斗终端16824台，全年监测各类作业面积537万亩，涵盖稻油生产机械化耕种管收全过程。</w:t>
      </w:r>
    </w:p>
    <w:p>
      <w:pPr>
        <w:numPr>
          <w:ilvl w:val="0"/>
          <w:numId w:val="0"/>
        </w:numPr>
        <w:ind w:leftChars="0" w:firstLine="640" w:firstLineChars="200"/>
        <w:rPr>
          <w:rFonts w:hint="eastAsia" w:asciiTheme="minorEastAsia" w:hAnsiTheme="minorEastAsia" w:eastAsiaTheme="minorEastAsia"/>
          <w:sz w:val="32"/>
          <w:szCs w:val="32"/>
        </w:rPr>
      </w:pPr>
      <w:r>
        <w:rPr>
          <w:rFonts w:hint="eastAsia" w:asciiTheme="minorEastAsia" w:hAnsiTheme="minorEastAsia"/>
          <w:sz w:val="32"/>
          <w:szCs w:val="32"/>
          <w:lang w:val="en-US" w:eastAsia="zh-CN"/>
        </w:rPr>
        <w:t>四是</w:t>
      </w:r>
      <w:r>
        <w:rPr>
          <w:rFonts w:hint="eastAsia" w:asciiTheme="minorEastAsia" w:hAnsiTheme="minorEastAsia" w:eastAsiaTheme="minorEastAsia"/>
          <w:sz w:val="32"/>
          <w:szCs w:val="32"/>
        </w:rPr>
        <w:t>协助实施农机购置与应用补贴政策。参与</w:t>
      </w:r>
      <w:r>
        <w:rPr>
          <w:rFonts w:asciiTheme="minorEastAsia" w:hAnsiTheme="minorEastAsia" w:eastAsiaTheme="minorEastAsia"/>
          <w:sz w:val="32"/>
          <w:szCs w:val="32"/>
        </w:rPr>
        <w:t>农机购置与应用补贴试点、研发制造推广应用一体化试点方案编制有关工作</w:t>
      </w:r>
      <w:r>
        <w:rPr>
          <w:rFonts w:hint="eastAsia" w:asciiTheme="minorEastAsia" w:hAnsiTheme="minorEastAsia" w:eastAsiaTheme="minorEastAsia"/>
          <w:sz w:val="32"/>
          <w:szCs w:val="32"/>
        </w:rPr>
        <w:t>。开展机具品目分档和补贴额测算调研，牵头制定《果蔬茶微灌系统建设规范》等5项成套设备建设规范及补贴实施方案，委托会计师事务所对果蔬茶微灌系统等2个产品进行成本审计，为科学制定新增分档配置参数及补贴额度提供依据。先后4次组织专家对444个新进补贴机具进行集中演示展示评价，将291个不合格机具挡在补贴门外。协助做好三批农机购置补贴机具归档以及部分品目分档评审工作。组织专家成功研制首台适宜南方黏性土壤特性的专用复合种植播种机</w:t>
      </w:r>
      <w:r>
        <w:rPr>
          <w:rFonts w:asciiTheme="minorEastAsia" w:hAnsiTheme="minorEastAsia" w:eastAsiaTheme="minorEastAsia"/>
          <w:sz w:val="32"/>
          <w:szCs w:val="32"/>
        </w:rPr>
        <w:t>、基于高地隙履带拖拉机的中耕植保一体机和大豆专用收获机</w:t>
      </w:r>
      <w:r>
        <w:rPr>
          <w:rFonts w:hint="eastAsia" w:asciiTheme="minorEastAsia" w:hAnsiTheme="minorEastAsia" w:eastAsiaTheme="minorEastAsia"/>
          <w:sz w:val="32"/>
          <w:szCs w:val="32"/>
        </w:rPr>
        <w:t>。配合做好大豆玉米带状复合种植专用播种机分类分档及补贴额测算工作，协助完善该机具补贴试点相关材料，及时调度机具使用情况。</w:t>
      </w:r>
    </w:p>
    <w:p>
      <w:pPr>
        <w:pStyle w:val="12"/>
        <w:spacing w:line="600" w:lineRule="exact"/>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五是</w:t>
      </w:r>
      <w:r>
        <w:rPr>
          <w:rFonts w:hint="eastAsia" w:asciiTheme="minorEastAsia" w:hAnsiTheme="minorEastAsia" w:eastAsiaTheme="minorEastAsia"/>
          <w:sz w:val="32"/>
          <w:szCs w:val="32"/>
        </w:rPr>
        <w:t>加强牌证源头监管。抓好农机牌证、驾驶证、年检、年审等源头管理工作，严格执行年底前统一终止手扶变型运输机注册登记，组织21家手扶变型运输机企业召开座谈会，引导企业尽早转型升级。开展拖拉机安全顽瘴痼疾整治行动，全省牌证注销变型拖拉机113216台，撤销手扶变型运输机组违规注册登记122台。</w:t>
      </w:r>
    </w:p>
    <w:p>
      <w:pPr>
        <w:pStyle w:val="12"/>
        <w:spacing w:line="600" w:lineRule="exact"/>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3、提升履职效能</w:t>
      </w:r>
    </w:p>
    <w:p>
      <w:pPr>
        <w:pStyle w:val="12"/>
        <w:spacing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一是</w:t>
      </w:r>
      <w:r>
        <w:rPr>
          <w:rFonts w:hint="eastAsia" w:asciiTheme="minorEastAsia" w:hAnsiTheme="minorEastAsia" w:eastAsiaTheme="minorEastAsia"/>
          <w:sz w:val="32"/>
          <w:szCs w:val="32"/>
        </w:rPr>
        <w:t>强化能力建设。投入300余万元加强实验室建设，主要用于购置仪器设备和试验鉴定数据采集信息化建设等。向省市场监管局申请扩项，增加石灰精量撒施机等4个产品的检验检测资质能力。完成检验检测机构资质认定能力表中900余个标准、大纲的查新。参加中国农机化协会组织的免耕播种机检测实验室间比对活动。</w:t>
      </w:r>
    </w:p>
    <w:p>
      <w:pPr>
        <w:spacing w:line="580" w:lineRule="exact"/>
        <w:ind w:firstLine="800" w:firstLineChars="25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二是</w:t>
      </w:r>
      <w:r>
        <w:rPr>
          <w:rFonts w:hint="eastAsia" w:cs="黑体" w:asciiTheme="minorEastAsia" w:hAnsiTheme="minorEastAsia"/>
          <w:color w:val="000000"/>
          <w:kern w:val="0"/>
          <w:sz w:val="32"/>
          <w:szCs w:val="32"/>
        </w:rPr>
        <w:t>推进农机安责险和事故预防工作。给农机安责险用户免费分发反光贴6万米。在常德举办全省农机安全及事故预防培训班，进一步完善推广和预防机制。</w:t>
      </w:r>
    </w:p>
    <w:p>
      <w:pPr>
        <w:spacing w:line="580" w:lineRule="exact"/>
        <w:ind w:firstLine="800" w:firstLineChars="250"/>
        <w:rPr>
          <w:rFonts w:hint="default" w:asciiTheme="minorEastAsia" w:hAnsiTheme="minorEastAsia" w:eastAsiaTheme="minorEastAsia"/>
          <w:sz w:val="32"/>
          <w:szCs w:val="32"/>
          <w:lang w:val="en-US" w:eastAsia="zh-CN"/>
        </w:rPr>
      </w:pPr>
      <w:r>
        <w:rPr>
          <w:rFonts w:hint="eastAsia" w:cs="黑体" w:asciiTheme="minorEastAsia" w:hAnsiTheme="minorEastAsia"/>
          <w:color w:val="000000"/>
          <w:kern w:val="0"/>
          <w:sz w:val="32"/>
          <w:szCs w:val="32"/>
          <w:lang w:val="en-US" w:eastAsia="zh-CN"/>
        </w:rPr>
        <w:t>三是</w:t>
      </w:r>
      <w:r>
        <w:rPr>
          <w:rFonts w:hint="eastAsia" w:cs="黑体" w:asciiTheme="minorEastAsia" w:hAnsiTheme="minorEastAsia"/>
          <w:color w:val="000000"/>
          <w:kern w:val="0"/>
          <w:sz w:val="32"/>
          <w:szCs w:val="32"/>
        </w:rPr>
        <w:t>提升农机监理设施标准化水平。印发县级农机安全监理能力建设标准，开发并在省政务云布置运行“全省农机安全监管系统”，招标采购300台车载北斗终端在10个县免费安装试运行。</w:t>
      </w:r>
    </w:p>
    <w:p>
      <w:pPr>
        <w:spacing w:line="580" w:lineRule="exact"/>
        <w:ind w:firstLine="800" w:firstLineChars="250"/>
        <w:rPr>
          <w:rFonts w:hint="default"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4、促进良好社会效应</w:t>
      </w:r>
    </w:p>
    <w:p>
      <w:pPr>
        <w:spacing w:line="580" w:lineRule="exact"/>
        <w:ind w:firstLine="800" w:firstLineChars="250"/>
        <w:rPr>
          <w:rFonts w:hint="eastAsia" w:asciiTheme="minorEastAsia" w:hAnsiTheme="minorEastAsia" w:eastAsiaTheme="minorEastAsia"/>
          <w:sz w:val="32"/>
          <w:szCs w:val="32"/>
        </w:rPr>
      </w:pPr>
      <w:r>
        <w:rPr>
          <w:rFonts w:hint="eastAsia" w:cs="黑体" w:asciiTheme="minorEastAsia" w:hAnsiTheme="minorEastAsia"/>
          <w:color w:val="000000"/>
          <w:kern w:val="0"/>
          <w:sz w:val="32"/>
          <w:szCs w:val="32"/>
          <w:lang w:val="en-US" w:eastAsia="zh-CN"/>
        </w:rPr>
        <w:t>一是</w:t>
      </w:r>
      <w:r>
        <w:rPr>
          <w:rFonts w:hint="eastAsia" w:cs="黑体" w:asciiTheme="minorEastAsia" w:hAnsiTheme="minorEastAsia"/>
          <w:color w:val="000000"/>
          <w:kern w:val="0"/>
          <w:sz w:val="32"/>
          <w:szCs w:val="32"/>
        </w:rPr>
        <w:t>成功举办现代农机装备展。在第二十三届中国中部（湖南）农业博览会期间，精心筹备以“补齐农机装备短板，打造智慧智能农机产业链发展高地”主题的农机装备展，</w:t>
      </w:r>
      <w:r>
        <w:rPr>
          <w:rFonts w:hint="eastAsia" w:asciiTheme="minorEastAsia" w:hAnsiTheme="minorEastAsia" w:eastAsiaTheme="minorEastAsia"/>
          <w:sz w:val="32"/>
          <w:szCs w:val="32"/>
        </w:rPr>
        <w:t>同时积极组织农机企业和科研院所参展，现场发布9家企业和科研院所的最新款产品或技术以及望城无人农场新模式，多家企业签订农机设备采购合同。</w:t>
      </w:r>
    </w:p>
    <w:p>
      <w:pPr>
        <w:pStyle w:val="12"/>
        <w:spacing w:line="60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二是</w:t>
      </w:r>
      <w:r>
        <w:rPr>
          <w:rFonts w:hint="eastAsia" w:asciiTheme="minorEastAsia" w:hAnsiTheme="minorEastAsia" w:eastAsiaTheme="minorEastAsia"/>
          <w:sz w:val="32"/>
          <w:szCs w:val="32"/>
        </w:rPr>
        <w:t>创新评选</w:t>
      </w:r>
      <w:r>
        <w:rPr>
          <w:rFonts w:asciiTheme="minorEastAsia" w:hAnsiTheme="minorEastAsia" w:eastAsiaTheme="minorEastAsia"/>
          <w:sz w:val="32"/>
          <w:szCs w:val="32"/>
        </w:rPr>
        <w:t>优秀农机品牌</w:t>
      </w:r>
      <w:r>
        <w:rPr>
          <w:rFonts w:hint="eastAsia" w:asciiTheme="minorEastAsia" w:hAnsiTheme="minorEastAsia" w:eastAsiaTheme="minorEastAsia"/>
          <w:sz w:val="32"/>
          <w:szCs w:val="32"/>
        </w:rPr>
        <w:t>。印发专门通知，</w:t>
      </w:r>
      <w:r>
        <w:rPr>
          <w:rFonts w:asciiTheme="minorEastAsia" w:hAnsiTheme="minorEastAsia" w:eastAsiaTheme="minorEastAsia"/>
          <w:sz w:val="32"/>
          <w:szCs w:val="32"/>
        </w:rPr>
        <w:t>经企业</w:t>
      </w:r>
      <w:r>
        <w:rPr>
          <w:rFonts w:hint="eastAsia" w:asciiTheme="minorEastAsia" w:hAnsiTheme="minorEastAsia" w:eastAsiaTheme="minorEastAsia"/>
          <w:sz w:val="32"/>
          <w:szCs w:val="32"/>
        </w:rPr>
        <w:t>申报、资料审核</w:t>
      </w:r>
      <w:r>
        <w:rPr>
          <w:rFonts w:asciiTheme="minorEastAsia" w:hAnsiTheme="minorEastAsia" w:eastAsiaTheme="minorEastAsia"/>
          <w:sz w:val="32"/>
          <w:szCs w:val="32"/>
        </w:rPr>
        <w:t>、网络投票</w:t>
      </w:r>
      <w:r>
        <w:rPr>
          <w:rFonts w:hint="eastAsia" w:asciiTheme="minorEastAsia" w:hAnsiTheme="minorEastAsia" w:eastAsiaTheme="minorEastAsia"/>
          <w:sz w:val="32"/>
          <w:szCs w:val="32"/>
        </w:rPr>
        <w:t>、专家评审、网络公示等方式，创新评选并及时发布</w:t>
      </w:r>
      <w:r>
        <w:rPr>
          <w:rFonts w:asciiTheme="minorEastAsia" w:hAnsiTheme="minorEastAsia" w:eastAsiaTheme="minorEastAsia"/>
          <w:sz w:val="32"/>
          <w:szCs w:val="32"/>
        </w:rPr>
        <w:t>2022年湖南省优秀农机品牌</w:t>
      </w:r>
      <w:r>
        <w:rPr>
          <w:rFonts w:hint="eastAsia" w:asciiTheme="minorEastAsia" w:hAnsiTheme="minorEastAsia" w:eastAsiaTheme="minorEastAsia"/>
          <w:sz w:val="32"/>
          <w:szCs w:val="32"/>
        </w:rPr>
        <w:t>，湖南农夫履带拖拉机等11个农机品牌入选。</w:t>
      </w:r>
    </w:p>
    <w:p>
      <w:pPr>
        <w:pStyle w:val="12"/>
        <w:spacing w:line="600" w:lineRule="exact"/>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三是开展农机安全生产宣传。在抓好农机操作手安全知识培训的基础上，举办全国农机“安全宣传咨询日”活动湖南分会场启动仪式，开展农机安全知识“五进”活动。积极组织全省各级监理机构参加全国农机普法作品征集活动，我省荣获组织奖二等奖。</w:t>
      </w:r>
    </w:p>
    <w:p>
      <w:pPr>
        <w:pStyle w:val="12"/>
        <w:spacing w:line="600" w:lineRule="exact"/>
        <w:ind w:firstLine="640" w:firstLineChars="200"/>
        <w:rPr>
          <w:rFonts w:hint="default"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四是举办科技推广技术培训。先后举办2期水稻机插机抛育秧、2期现代农机合作社农机专业能手暨水稻机收减损、1期农机保障油菜扩种与油菜机械栽植技术培训班，同时在湘潭举办农机化技术推广培训，在怀化、郴州举办2期植保无人机操控培训，在河南洛阳举办农机职业技能培训，在永顺县举办“送训下基层”活动。</w:t>
      </w:r>
    </w:p>
    <w:p>
      <w:pPr>
        <w:numPr>
          <w:ilvl w:val="0"/>
          <w:numId w:val="0"/>
        </w:numPr>
        <w:ind w:left="840" w:leftChars="0"/>
        <w:rPr>
          <w:rFonts w:hint="default" w:asciiTheme="minorEastAsia" w:hAnsiTheme="minorEastAsia"/>
          <w:color w:val="000000" w:themeColor="text1"/>
          <w:sz w:val="32"/>
          <w:szCs w:val="32"/>
          <w:lang w:val="en-US" w:eastAsia="zh-CN"/>
          <w14:textFill>
            <w14:solidFill>
              <w14:schemeClr w14:val="tx1"/>
            </w14:solidFill>
          </w14:textFill>
        </w:rPr>
      </w:pPr>
      <w:r>
        <w:rPr>
          <w:rFonts w:hint="eastAsia" w:asciiTheme="minorEastAsia" w:hAnsiTheme="minorEastAsia"/>
          <w:color w:val="000000" w:themeColor="text1"/>
          <w:sz w:val="32"/>
          <w:szCs w:val="32"/>
          <w:lang w:val="en-US" w:eastAsia="zh-CN"/>
          <w14:textFill>
            <w14:solidFill>
              <w14:schemeClr w14:val="tx1"/>
            </w14:solidFill>
          </w14:textFill>
        </w:rPr>
        <w:t>5、增强可持续发展能力</w:t>
      </w:r>
    </w:p>
    <w:p>
      <w:pPr>
        <w:spacing w:line="580" w:lineRule="exact"/>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一是</w:t>
      </w:r>
      <w:r>
        <w:rPr>
          <w:rFonts w:cs="黑体" w:asciiTheme="minorEastAsia" w:hAnsiTheme="minorEastAsia"/>
          <w:color w:val="000000"/>
          <w:kern w:val="0"/>
          <w:sz w:val="32"/>
          <w:szCs w:val="32"/>
        </w:rPr>
        <w:t>探索创新农技推广体系建设。举办全省大豆玉米带状复合种植机械化生产技术现场活动</w:t>
      </w:r>
      <w:r>
        <w:rPr>
          <w:rFonts w:hint="eastAsia" w:cs="黑体" w:asciiTheme="minorEastAsia" w:hAnsiTheme="minorEastAsia"/>
          <w:color w:val="000000"/>
          <w:kern w:val="0"/>
          <w:sz w:val="32"/>
          <w:szCs w:val="32"/>
        </w:rPr>
        <w:t>并</w:t>
      </w:r>
      <w:r>
        <w:rPr>
          <w:rFonts w:cs="黑体" w:asciiTheme="minorEastAsia" w:hAnsiTheme="minorEastAsia"/>
          <w:color w:val="000000"/>
          <w:kern w:val="0"/>
          <w:sz w:val="32"/>
          <w:szCs w:val="32"/>
        </w:rPr>
        <w:t>召开视频会</w:t>
      </w:r>
      <w:r>
        <w:rPr>
          <w:rFonts w:hint="eastAsia" w:cs="黑体" w:asciiTheme="minorEastAsia" w:hAnsiTheme="minorEastAsia"/>
          <w:color w:val="000000"/>
          <w:kern w:val="0"/>
          <w:sz w:val="32"/>
          <w:szCs w:val="32"/>
        </w:rPr>
        <w:t>，完成</w:t>
      </w:r>
      <w:r>
        <w:rPr>
          <w:rFonts w:cs="黑体" w:asciiTheme="minorEastAsia" w:hAnsiTheme="minorEastAsia"/>
          <w:color w:val="000000"/>
          <w:kern w:val="0"/>
          <w:sz w:val="32"/>
          <w:szCs w:val="32"/>
        </w:rPr>
        <w:t>配套机具保障工作总结。在澧县举办农机推广“田间日”活动。</w:t>
      </w:r>
      <w:r>
        <w:rPr>
          <w:rFonts w:hint="eastAsia" w:cs="黑体" w:asciiTheme="minorEastAsia" w:hAnsiTheme="minorEastAsia"/>
          <w:color w:val="000000"/>
          <w:kern w:val="0"/>
          <w:sz w:val="32"/>
          <w:szCs w:val="32"/>
        </w:rPr>
        <w:t>召开全省养殖业机械化发展研讨会，完成5个技术规范的编制。调研形成《湖南省设施农业高质量发展战略研究》，推进我省设施农业高质量发展。</w:t>
      </w:r>
    </w:p>
    <w:p>
      <w:pPr>
        <w:spacing w:line="580" w:lineRule="exact"/>
        <w:ind w:firstLine="640" w:firstLineChars="200"/>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val="en-US" w:eastAsia="zh-CN"/>
        </w:rPr>
        <w:t>二是</w:t>
      </w:r>
      <w:r>
        <w:rPr>
          <w:rFonts w:hint="eastAsia" w:cs="黑体" w:asciiTheme="minorEastAsia" w:hAnsiTheme="minorEastAsia"/>
          <w:color w:val="000000"/>
          <w:kern w:val="0"/>
          <w:sz w:val="32"/>
          <w:szCs w:val="32"/>
        </w:rPr>
        <w:t>开展项目实施及农机化技术课题研究工作。指导20个项目县实施基层农技推广体系建设项目。推进2021年农机装备与技术创新研发项目验收。开展油茶林地喷滴灌成套设备应用模式研究。形成《湖南省农机企业人才培养与科技创新能力发展现状调研报告》。</w:t>
      </w:r>
    </w:p>
    <w:p>
      <w:pPr>
        <w:spacing w:line="580" w:lineRule="exact"/>
        <w:ind w:firstLine="640" w:firstLineChars="200"/>
        <w:rPr>
          <w:rFonts w:hint="default" w:asciiTheme="minorEastAsia" w:hAnsiTheme="minorEastAsia"/>
          <w:color w:val="000000" w:themeColor="text1"/>
          <w:sz w:val="32"/>
          <w:szCs w:val="32"/>
          <w:lang w:val="en-US" w:eastAsia="zh-CN"/>
          <w14:textFill>
            <w14:solidFill>
              <w14:schemeClr w14:val="tx1"/>
            </w14:solidFill>
          </w14:textFill>
        </w:rPr>
      </w:pPr>
      <w:r>
        <w:rPr>
          <w:rFonts w:hint="eastAsia" w:cs="黑体" w:asciiTheme="minorEastAsia" w:hAnsiTheme="minorEastAsia"/>
          <w:color w:val="000000"/>
          <w:kern w:val="0"/>
          <w:sz w:val="32"/>
          <w:szCs w:val="32"/>
          <w:lang w:val="en-US" w:eastAsia="zh-CN"/>
        </w:rPr>
        <w:t>三是</w:t>
      </w:r>
      <w:r>
        <w:rPr>
          <w:rFonts w:cs="黑体" w:asciiTheme="minorEastAsia" w:hAnsiTheme="minorEastAsia"/>
          <w:color w:val="000000"/>
          <w:kern w:val="0"/>
          <w:sz w:val="32"/>
          <w:szCs w:val="32"/>
        </w:rPr>
        <w:t>推动农机标委会和学会建设。</w:t>
      </w:r>
      <w:r>
        <w:rPr>
          <w:rFonts w:hint="eastAsia" w:cs="黑体" w:asciiTheme="minorEastAsia" w:hAnsiTheme="minorEastAsia"/>
          <w:color w:val="000000"/>
          <w:kern w:val="0"/>
          <w:sz w:val="32"/>
          <w:szCs w:val="32"/>
        </w:rPr>
        <w:t>省农机标委会荣获“2022年湖南省专业标准化技术委员会考核评估优秀单位”。</w:t>
      </w:r>
      <w:r>
        <w:rPr>
          <w:rFonts w:cs="黑体" w:asciiTheme="minorEastAsia" w:hAnsiTheme="minorEastAsia"/>
          <w:color w:val="000000"/>
          <w:kern w:val="0"/>
          <w:sz w:val="32"/>
          <w:szCs w:val="32"/>
        </w:rPr>
        <w:t>发布实施《油茶果机械化剥壳技术规程》等7项地方或团体标准</w:t>
      </w:r>
      <w:r>
        <w:rPr>
          <w:rFonts w:hint="eastAsia" w:cs="黑体" w:asciiTheme="minorEastAsia" w:hAnsiTheme="minorEastAsia"/>
          <w:color w:val="000000"/>
          <w:kern w:val="0"/>
          <w:sz w:val="32"/>
          <w:szCs w:val="32"/>
        </w:rPr>
        <w:t>，完成44个地方标准复审。</w:t>
      </w:r>
      <w:r>
        <w:rPr>
          <w:rFonts w:cs="黑体" w:asciiTheme="minorEastAsia" w:hAnsiTheme="minorEastAsia"/>
          <w:color w:val="000000"/>
          <w:kern w:val="0"/>
          <w:sz w:val="32"/>
          <w:szCs w:val="32"/>
        </w:rPr>
        <w:t>完成第三届省农机标委会换届。</w:t>
      </w:r>
      <w:r>
        <w:rPr>
          <w:rFonts w:hint="eastAsia" w:cs="黑体" w:asciiTheme="minorEastAsia" w:hAnsiTheme="minorEastAsia"/>
          <w:color w:val="000000"/>
          <w:kern w:val="0"/>
          <w:sz w:val="32"/>
          <w:szCs w:val="32"/>
        </w:rPr>
        <w:t>中国科协第二十四届年会十大重点调研课题之一“科技创新推动湖南乡村产业振兴对策研究”完成结项。成功</w:t>
      </w:r>
      <w:r>
        <w:rPr>
          <w:rFonts w:cs="黑体" w:asciiTheme="minorEastAsia" w:hAnsiTheme="minorEastAsia"/>
          <w:color w:val="000000"/>
          <w:kern w:val="0"/>
          <w:sz w:val="32"/>
          <w:szCs w:val="32"/>
        </w:rPr>
        <w:t>申报省科协“党建带会建、促进农机产业发展”项目。举办湖南省农机系统创新方法培训和湖南农业装备高质量发展论坛。承担中国农机化协会组织的种植业劳动力结构调查研究。</w:t>
      </w:r>
    </w:p>
    <w:p>
      <w:pPr>
        <w:numPr>
          <w:ilvl w:val="0"/>
          <w:numId w:val="0"/>
        </w:numPr>
        <w:ind w:left="840" w:leftChars="0"/>
        <w:rPr>
          <w:rFonts w:hint="default" w:asciiTheme="minorEastAsia" w:hAnsiTheme="minorEastAsia"/>
          <w:color w:val="000000" w:themeColor="text1"/>
          <w:sz w:val="32"/>
          <w:szCs w:val="32"/>
          <w:lang w:val="en-US" w:eastAsia="zh-CN"/>
          <w14:textFill>
            <w14:solidFill>
              <w14:schemeClr w14:val="tx1"/>
            </w14:solidFill>
          </w14:textFill>
        </w:rPr>
      </w:pPr>
      <w:r>
        <w:rPr>
          <w:rFonts w:hint="eastAsia" w:asciiTheme="minorEastAsia" w:hAnsiTheme="minorEastAsia"/>
          <w:color w:val="000000" w:themeColor="text1"/>
          <w:sz w:val="32"/>
          <w:szCs w:val="32"/>
          <w:lang w:val="en-US" w:eastAsia="zh-CN"/>
          <w14:textFill>
            <w14:solidFill>
              <w14:schemeClr w14:val="tx1"/>
            </w14:solidFill>
          </w14:textFill>
        </w:rPr>
        <w:t>6、提高服务对象满意度</w:t>
      </w:r>
    </w:p>
    <w:p>
      <w:pPr>
        <w:pStyle w:val="12"/>
        <w:spacing w:line="60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一是</w:t>
      </w:r>
      <w:r>
        <w:rPr>
          <w:rFonts w:hint="eastAsia" w:asciiTheme="minorEastAsia" w:hAnsiTheme="minorEastAsia" w:eastAsiaTheme="minorEastAsia"/>
          <w:sz w:val="32"/>
          <w:szCs w:val="32"/>
        </w:rPr>
        <w:t>指导农机合作社建设。农机合作社及用户服务系统已录入合作社2889家，为各级农机管理部门掌握辖区内农机合作社情况，以及农机合作社学习技术、了解政策、发布和获取产品与服务供需提供平台。同时，委托第三方公司开发合作社系统微信小程序，预计明年春耕生产前可上线运行。</w:t>
      </w:r>
    </w:p>
    <w:p>
      <w:pPr>
        <w:pStyle w:val="12"/>
        <w:spacing w:line="60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二是</w:t>
      </w:r>
      <w:r>
        <w:rPr>
          <w:rFonts w:hint="eastAsia" w:asciiTheme="minorEastAsia" w:hAnsiTheme="minorEastAsia" w:eastAsiaTheme="minorEastAsia"/>
          <w:sz w:val="32"/>
          <w:szCs w:val="32"/>
        </w:rPr>
        <w:t>提升农机安全监理员队伍素质。举办3期农机安全监理岗位人员业务轮训。探索对乡镇农机专干进行监理业务培训，让农机安全监理队伍建设和服务下沉到基层。</w:t>
      </w:r>
    </w:p>
    <w:p>
      <w:pPr>
        <w:pStyle w:val="12"/>
        <w:spacing w:line="600" w:lineRule="exact"/>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三是</w:t>
      </w:r>
      <w:r>
        <w:rPr>
          <w:rFonts w:hint="eastAsia" w:asciiTheme="minorEastAsia" w:hAnsiTheme="minorEastAsia" w:eastAsiaTheme="minorEastAsia"/>
          <w:sz w:val="32"/>
          <w:szCs w:val="32"/>
        </w:rPr>
        <w:t>强化质量管理。在双峰县开展以“稳粮保供、提质护农”为主题的“农机3·15”消费者权益日活动。开展全省水稻高速插秧机质量调查，涉及10家企业10个型号产品，并编制质量调查报告。对10家企业12种产品进行证后监督，并将结果材料报送农机化总站。对16家企业37种产品进行日常证后监督，结果已上传至“双随机一公开”工作平台。对长沙兴牧机械有限公司等3家企业10种产品进行专项证后监督。</w:t>
      </w:r>
    </w:p>
    <w:p>
      <w:pPr>
        <w:pStyle w:val="12"/>
        <w:spacing w:line="600" w:lineRule="exact"/>
        <w:ind w:firstLine="420" w:firstLineChars="0"/>
        <w:rPr>
          <w:rFonts w:ascii="楷体" w:hAnsi="楷体" w:eastAsia="楷体" w:cs="楷体"/>
          <w:b/>
          <w:bCs/>
          <w:sz w:val="32"/>
          <w:szCs w:val="32"/>
        </w:rPr>
      </w:pPr>
      <w:r>
        <w:rPr>
          <w:rFonts w:hint="eastAsia" w:ascii="楷体" w:hAnsi="楷体" w:eastAsia="楷体" w:cs="楷体"/>
          <w:b/>
          <w:bCs/>
          <w:sz w:val="32"/>
          <w:szCs w:val="32"/>
        </w:rPr>
        <w:t>（二）存在的问题及原因分析</w:t>
      </w:r>
    </w:p>
    <w:p>
      <w:pPr>
        <w:numPr>
          <w:ilvl w:val="0"/>
          <w:numId w:val="0"/>
        </w:numPr>
        <w:ind w:firstLine="640" w:firstLineChars="200"/>
        <w:rPr>
          <w:rFonts w:hint="default" w:ascii="宋体" w:hAnsi="宋体" w:eastAsia="宋体" w:cs="宋体"/>
          <w:color w:val="auto"/>
          <w:sz w:val="32"/>
          <w:szCs w:val="32"/>
          <w:highlight w:val="none"/>
          <w:lang w:val="en-US" w:eastAsia="zh-CN"/>
        </w:rPr>
      </w:pPr>
      <w:r>
        <w:rPr>
          <w:rFonts w:hint="eastAsia" w:cs="黑体" w:asciiTheme="minorEastAsia" w:hAnsiTheme="minorEastAsia"/>
          <w:color w:val="000000"/>
          <w:kern w:val="0"/>
          <w:sz w:val="32"/>
          <w:szCs w:val="32"/>
          <w:lang w:val="en-US" w:eastAsia="zh-CN" w:bidi="ar-SA"/>
        </w:rPr>
        <w:t>部分项目</w:t>
      </w:r>
      <w:r>
        <w:rPr>
          <w:rFonts w:hint="eastAsia" w:ascii="宋体" w:hAnsi="宋体" w:eastAsia="宋体" w:cs="宋体"/>
          <w:color w:val="auto"/>
          <w:sz w:val="32"/>
          <w:szCs w:val="32"/>
          <w:highlight w:val="none"/>
        </w:rPr>
        <w:t>预算执行</w:t>
      </w:r>
      <w:r>
        <w:rPr>
          <w:rFonts w:hint="eastAsia" w:ascii="宋体" w:hAnsi="宋体" w:eastAsia="宋体" w:cs="宋体"/>
          <w:color w:val="auto"/>
          <w:sz w:val="32"/>
          <w:szCs w:val="32"/>
          <w:highlight w:val="none"/>
          <w:lang w:val="en-US" w:eastAsia="zh-CN"/>
        </w:rPr>
        <w:t>率有待提高。2022年现代农业农村发展专项预算</w:t>
      </w:r>
      <w:r>
        <w:rPr>
          <w:rFonts w:hint="eastAsia" w:asciiTheme="minorEastAsia" w:hAnsiTheme="minorEastAsia" w:eastAsiaTheme="minorEastAsia"/>
          <w:color w:val="auto"/>
          <w:sz w:val="32"/>
          <w:szCs w:val="32"/>
        </w:rPr>
        <w:t>973.39</w:t>
      </w:r>
      <w:r>
        <w:rPr>
          <w:rFonts w:hint="eastAsia" w:ascii="宋体" w:hAnsi="宋体" w:eastAsia="宋体" w:cs="宋体"/>
          <w:color w:val="auto"/>
          <w:sz w:val="32"/>
          <w:szCs w:val="32"/>
          <w:highlight w:val="none"/>
          <w:lang w:val="en-US" w:eastAsia="zh-CN"/>
        </w:rPr>
        <w:t>万元，预算执行647.86万元，预算执行率66.56%；农机示范推广专项预算214.98万元，预算执行125.16万元，预算执行率58.22</w:t>
      </w:r>
    </w:p>
    <w:p>
      <w:pPr>
        <w:pStyle w:val="12"/>
        <w:spacing w:line="600" w:lineRule="exact"/>
        <w:ind w:firstLine="640" w:firstLineChars="200"/>
        <w:rPr>
          <w:rFonts w:hint="default"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原因分析：因时间原因，</w:t>
      </w:r>
      <w:r>
        <w:rPr>
          <w:rFonts w:hint="eastAsia" w:asciiTheme="minorEastAsia" w:hAnsiTheme="minorEastAsia" w:eastAsiaTheme="minorEastAsia"/>
          <w:sz w:val="32"/>
          <w:szCs w:val="32"/>
        </w:rPr>
        <w:t>部分培训未如期举行</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部分政府采购项目在12月底进行，</w:t>
      </w:r>
      <w:r>
        <w:rPr>
          <w:rFonts w:hint="eastAsia" w:ascii="宋体" w:hAnsi="宋体" w:eastAsia="宋体" w:cs="宋体"/>
          <w:color w:val="auto"/>
          <w:sz w:val="32"/>
          <w:szCs w:val="32"/>
          <w:highlight w:val="none"/>
          <w:lang w:val="en-US" w:eastAsia="zh-CN"/>
        </w:rPr>
        <w:t>无法在预算年度内完全落实到位。</w:t>
      </w:r>
    </w:p>
    <w:p>
      <w:pPr>
        <w:pStyle w:val="12"/>
        <w:spacing w:line="600" w:lineRule="exact"/>
        <w:ind w:firstLine="420" w:firstLineChars="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（三）下一步改进措施：</w:t>
      </w:r>
    </w:p>
    <w:p>
      <w:pPr>
        <w:pStyle w:val="12"/>
        <w:spacing w:line="600" w:lineRule="exact"/>
        <w:ind w:firstLine="640" w:firstLineChars="200"/>
        <w:rPr>
          <w:rFonts w:hint="eastAsia" w:ascii="宋体" w:hAnsi="宋体" w:eastAsia="宋体" w:cs="宋体"/>
          <w:color w:val="auto"/>
          <w:kern w:val="2"/>
          <w:sz w:val="32"/>
          <w:szCs w:val="32"/>
          <w:highlight w:val="none"/>
          <w:lang w:val="en-US" w:eastAsia="zh-CN" w:bidi="ar-SA"/>
        </w:rPr>
      </w:pPr>
      <w:r>
        <w:rPr>
          <w:rFonts w:hint="eastAsia" w:ascii="宋体" w:hAnsi="宋体" w:eastAsia="宋体" w:cs="宋体"/>
          <w:color w:val="auto"/>
          <w:kern w:val="2"/>
          <w:sz w:val="32"/>
          <w:szCs w:val="32"/>
          <w:highlight w:val="none"/>
          <w:lang w:val="en-US" w:eastAsia="zh-CN" w:bidi="ar-SA"/>
        </w:rPr>
        <w:t>进一步提高预算执行率。以后年度一是要严格预算的执行和调整，每季度跟踪执行率情况并分析原因，确保充分发挥财政资金的使用效益；二是要加强与各业务部门的沟通，在进行预算编制时要求各部门提供充足的预算编制依据，保证预算编制的准确性。</w:t>
      </w:r>
    </w:p>
    <w:p>
      <w:pPr>
        <w:pStyle w:val="12"/>
        <w:jc w:val="both"/>
        <w:rPr>
          <w:sz w:val="72"/>
          <w:szCs w:val="72"/>
        </w:rPr>
      </w:pPr>
    </w:p>
    <w:p>
      <w:pPr>
        <w:pStyle w:val="12"/>
        <w:jc w:val="center"/>
        <w:rPr>
          <w:sz w:val="72"/>
          <w:szCs w:val="72"/>
        </w:r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s="方正小标宋_GBK"/>
          <w:color w:val="000000"/>
          <w:kern w:val="0"/>
          <w:sz w:val="70"/>
          <w:szCs w:val="70"/>
        </w:rPr>
      </w:pPr>
    </w:p>
    <w:p>
      <w:pPr>
        <w:jc w:val="center"/>
        <w:rPr>
          <w:rFonts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pStyle w:val="12"/>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pPr>
        <w:pStyle w:val="12"/>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宋体" w:hAnsi="宋体" w:eastAsia="宋体" w:cs="宋体"/>
          <w:sz w:val="32"/>
          <w:szCs w:val="32"/>
        </w:rPr>
        <w:t>“</w:t>
      </w:r>
      <w:r>
        <w:rPr>
          <w:rFonts w:hint="eastAsia" w:ascii="仿宋_GB2312" w:hAnsi="仿宋_GB2312" w:eastAsia="仿宋_GB2312" w:cs="仿宋_GB2312"/>
          <w:sz w:val="32"/>
          <w:szCs w:val="32"/>
        </w:rPr>
        <w:t>三公</w:t>
      </w:r>
      <w:r>
        <w:rPr>
          <w:rFonts w:hint="eastAsia" w:ascii="宋体" w:hAnsi="宋体" w:eastAsia="宋体" w:cs="宋体"/>
          <w:sz w:val="32"/>
          <w:szCs w:val="32"/>
        </w:rPr>
        <w:t>”</w:t>
      </w:r>
      <w:r>
        <w:rPr>
          <w:rFonts w:hint="eastAsia" w:ascii="仿宋_GB2312" w:hAnsi="仿宋_GB2312" w:eastAsia="仿宋_GB2312" w:cs="仿宋_GB2312"/>
          <w:sz w:val="32"/>
          <w:szCs w:val="32"/>
        </w:rPr>
        <w:t>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jc w:val="left"/>
        <w:rPr>
          <w:rFonts w:cs="黑体" w:asciiTheme="minorEastAsia" w:hAnsiTheme="minorEastAsia"/>
          <w:color w:val="000000"/>
          <w:kern w:val="0"/>
          <w:sz w:val="32"/>
          <w:szCs w:val="32"/>
        </w:rPr>
      </w:pPr>
    </w:p>
    <w:sectPr>
      <w:pgSz w:w="11906" w:h="16838"/>
      <w:pgMar w:top="1440" w:right="1080" w:bottom="1440" w:left="1080"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D20C71-A053-4751-B12F-39E79B97C9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auto"/>
    <w:pitch w:val="default"/>
    <w:sig w:usb0="00000000" w:usb1="00000000" w:usb2="00082016" w:usb3="00000000" w:csb0="00040001" w:csb1="00000000"/>
    <w:embedRegular r:id="rId2" w:fontKey="{D1D8C963-B436-4745-A1A0-056F40985367}"/>
  </w:font>
  <w:font w:name="仿宋_GB2312">
    <w:panose1 w:val="02010609030101010101"/>
    <w:charset w:val="86"/>
    <w:family w:val="auto"/>
    <w:pitch w:val="default"/>
    <w:sig w:usb0="00000000" w:usb1="00000000" w:usb2="00000000" w:usb3="00000000" w:csb0="00000000" w:csb1="00000000"/>
    <w:embedRegular r:id="rId3" w:fontKey="{F0169198-604F-4D23-B555-9BF3B38496BA}"/>
  </w:font>
  <w:font w:name="华文中宋">
    <w:panose1 w:val="02010600040101010101"/>
    <w:charset w:val="86"/>
    <w:family w:val="auto"/>
    <w:pitch w:val="default"/>
    <w:sig w:usb0="00000287" w:usb1="080F0000" w:usb2="00000000" w:usb3="00000000" w:csb0="0004009F" w:csb1="DFD70000"/>
    <w:embedRegular r:id="rId4" w:fontKey="{FFCC0562-DC91-4F37-A91E-7E839A9666C5}"/>
  </w:font>
  <w:font w:name="楷体">
    <w:panose1 w:val="02010609060101010101"/>
    <w:charset w:val="86"/>
    <w:family w:val="modern"/>
    <w:pitch w:val="default"/>
    <w:sig w:usb0="800002BF" w:usb1="38CF7CFA" w:usb2="00000016" w:usb3="00000000" w:csb0="00040001" w:csb1="00000000"/>
    <w:embedRegular r:id="rId5" w:fontKey="{29FA4910-DC24-4D50-94CB-806873085F6F}"/>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94D5A8"/>
    <w:multiLevelType w:val="singleLevel"/>
    <w:tmpl w:val="FB94D5A8"/>
    <w:lvl w:ilvl="0" w:tentative="0">
      <w:start w:val="1"/>
      <w:numFmt w:val="decimal"/>
      <w:suff w:val="nothing"/>
      <w:lvlText w:val="%1、"/>
      <w:lvlJc w:val="left"/>
      <w:pPr>
        <w:ind w:left="840"/>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TrueTypeFonts/>
  <w:saveSubsetFonts/>
  <w:bordersDoNotSurroundHeader w:val="1"/>
  <w:bordersDoNotSurroundFooter w:val="1"/>
  <w:doNotTrackMoves/>
  <w:documentProtection w:enforcement="0"/>
  <w:defaultTabStop w:val="420"/>
  <w:drawingGridHorizontalSpacing w:val="210"/>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kMmJhN2M4ZTcxNDNiNTdhMjI1YjNkNjU5M2ExY2UifQ=="/>
  </w:docVars>
  <w:rsids>
    <w:rsidRoot w:val="007E34E6"/>
    <w:rsid w:val="00002EFB"/>
    <w:rsid w:val="000145C0"/>
    <w:rsid w:val="00016703"/>
    <w:rsid w:val="000411C0"/>
    <w:rsid w:val="0007437C"/>
    <w:rsid w:val="00090056"/>
    <w:rsid w:val="00096DC3"/>
    <w:rsid w:val="000A079C"/>
    <w:rsid w:val="000A6920"/>
    <w:rsid w:val="000C101E"/>
    <w:rsid w:val="000C704C"/>
    <w:rsid w:val="001102A7"/>
    <w:rsid w:val="00120A3F"/>
    <w:rsid w:val="00151700"/>
    <w:rsid w:val="001523AD"/>
    <w:rsid w:val="00160C26"/>
    <w:rsid w:val="0016353E"/>
    <w:rsid w:val="001870F6"/>
    <w:rsid w:val="001A2B62"/>
    <w:rsid w:val="001B7DF4"/>
    <w:rsid w:val="001C14C4"/>
    <w:rsid w:val="001E3BF9"/>
    <w:rsid w:val="001E5DEA"/>
    <w:rsid w:val="001E7925"/>
    <w:rsid w:val="0020133E"/>
    <w:rsid w:val="002B26FB"/>
    <w:rsid w:val="002C1506"/>
    <w:rsid w:val="002E30CD"/>
    <w:rsid w:val="00305760"/>
    <w:rsid w:val="00307DC7"/>
    <w:rsid w:val="003659B3"/>
    <w:rsid w:val="003808F4"/>
    <w:rsid w:val="003D4F3C"/>
    <w:rsid w:val="003D60BA"/>
    <w:rsid w:val="003E329A"/>
    <w:rsid w:val="00405B16"/>
    <w:rsid w:val="00405CD7"/>
    <w:rsid w:val="00423D31"/>
    <w:rsid w:val="00462260"/>
    <w:rsid w:val="00463555"/>
    <w:rsid w:val="0047433D"/>
    <w:rsid w:val="004B256E"/>
    <w:rsid w:val="004F6B62"/>
    <w:rsid w:val="004F725F"/>
    <w:rsid w:val="00506869"/>
    <w:rsid w:val="00512C39"/>
    <w:rsid w:val="005349A7"/>
    <w:rsid w:val="005560D4"/>
    <w:rsid w:val="00566311"/>
    <w:rsid w:val="00582A49"/>
    <w:rsid w:val="005851F6"/>
    <w:rsid w:val="00597F61"/>
    <w:rsid w:val="005A0A83"/>
    <w:rsid w:val="005A3341"/>
    <w:rsid w:val="005B2A55"/>
    <w:rsid w:val="005D13E7"/>
    <w:rsid w:val="0061213A"/>
    <w:rsid w:val="00667491"/>
    <w:rsid w:val="00672BE4"/>
    <w:rsid w:val="00681B6D"/>
    <w:rsid w:val="00695CC1"/>
    <w:rsid w:val="006A74FF"/>
    <w:rsid w:val="006B6C9C"/>
    <w:rsid w:val="006C52B3"/>
    <w:rsid w:val="006D0342"/>
    <w:rsid w:val="006D4762"/>
    <w:rsid w:val="006D5633"/>
    <w:rsid w:val="006E10BF"/>
    <w:rsid w:val="0070193D"/>
    <w:rsid w:val="00717D7B"/>
    <w:rsid w:val="007516A7"/>
    <w:rsid w:val="00776AAA"/>
    <w:rsid w:val="00796A24"/>
    <w:rsid w:val="007A02A6"/>
    <w:rsid w:val="007E34E6"/>
    <w:rsid w:val="007E7FAC"/>
    <w:rsid w:val="00806741"/>
    <w:rsid w:val="008309D1"/>
    <w:rsid w:val="00836C4B"/>
    <w:rsid w:val="008660EF"/>
    <w:rsid w:val="008D0026"/>
    <w:rsid w:val="008D0C79"/>
    <w:rsid w:val="00902D7A"/>
    <w:rsid w:val="0090686F"/>
    <w:rsid w:val="00910059"/>
    <w:rsid w:val="00917228"/>
    <w:rsid w:val="00920332"/>
    <w:rsid w:val="00962D3F"/>
    <w:rsid w:val="00977C06"/>
    <w:rsid w:val="009B620D"/>
    <w:rsid w:val="009B6AFC"/>
    <w:rsid w:val="009E7EB6"/>
    <w:rsid w:val="00A01BBA"/>
    <w:rsid w:val="00A116C4"/>
    <w:rsid w:val="00A23D25"/>
    <w:rsid w:val="00A35146"/>
    <w:rsid w:val="00A63F01"/>
    <w:rsid w:val="00A7759D"/>
    <w:rsid w:val="00A83B74"/>
    <w:rsid w:val="00A9101E"/>
    <w:rsid w:val="00A94C41"/>
    <w:rsid w:val="00AB554A"/>
    <w:rsid w:val="00AD45FC"/>
    <w:rsid w:val="00AD7597"/>
    <w:rsid w:val="00AF09A6"/>
    <w:rsid w:val="00B117B2"/>
    <w:rsid w:val="00B13202"/>
    <w:rsid w:val="00B32A11"/>
    <w:rsid w:val="00B32B13"/>
    <w:rsid w:val="00B34BB9"/>
    <w:rsid w:val="00B42960"/>
    <w:rsid w:val="00B901B8"/>
    <w:rsid w:val="00BA2205"/>
    <w:rsid w:val="00BB4496"/>
    <w:rsid w:val="00BD32C3"/>
    <w:rsid w:val="00BD616F"/>
    <w:rsid w:val="00BD7ECD"/>
    <w:rsid w:val="00BE38AA"/>
    <w:rsid w:val="00BE69C6"/>
    <w:rsid w:val="00BF778F"/>
    <w:rsid w:val="00C14877"/>
    <w:rsid w:val="00C17300"/>
    <w:rsid w:val="00C66A5C"/>
    <w:rsid w:val="00C97553"/>
    <w:rsid w:val="00CA5344"/>
    <w:rsid w:val="00CA68B2"/>
    <w:rsid w:val="00CB5AB4"/>
    <w:rsid w:val="00CD1D93"/>
    <w:rsid w:val="00CD725A"/>
    <w:rsid w:val="00CE5B8F"/>
    <w:rsid w:val="00D04215"/>
    <w:rsid w:val="00D101FC"/>
    <w:rsid w:val="00D31BFF"/>
    <w:rsid w:val="00D34FF3"/>
    <w:rsid w:val="00D63C7A"/>
    <w:rsid w:val="00D67E33"/>
    <w:rsid w:val="00D729A2"/>
    <w:rsid w:val="00D963EB"/>
    <w:rsid w:val="00DC45E6"/>
    <w:rsid w:val="00DE233E"/>
    <w:rsid w:val="00E02843"/>
    <w:rsid w:val="00E173D3"/>
    <w:rsid w:val="00E30F9B"/>
    <w:rsid w:val="00E353BE"/>
    <w:rsid w:val="00E3756C"/>
    <w:rsid w:val="00E4199E"/>
    <w:rsid w:val="00E70521"/>
    <w:rsid w:val="00EA3F95"/>
    <w:rsid w:val="00EB7828"/>
    <w:rsid w:val="00EC21A4"/>
    <w:rsid w:val="00EE3414"/>
    <w:rsid w:val="00EF2201"/>
    <w:rsid w:val="00F4411A"/>
    <w:rsid w:val="00F5119C"/>
    <w:rsid w:val="00F70B10"/>
    <w:rsid w:val="00F84ABB"/>
    <w:rsid w:val="00F87228"/>
    <w:rsid w:val="00FA43BD"/>
    <w:rsid w:val="00FC2828"/>
    <w:rsid w:val="00FD4585"/>
    <w:rsid w:val="054C6FC3"/>
    <w:rsid w:val="075E679C"/>
    <w:rsid w:val="10C92695"/>
    <w:rsid w:val="13C71510"/>
    <w:rsid w:val="1DF87FCB"/>
    <w:rsid w:val="208C408B"/>
    <w:rsid w:val="20B10213"/>
    <w:rsid w:val="319A128E"/>
    <w:rsid w:val="341536E1"/>
    <w:rsid w:val="357C299C"/>
    <w:rsid w:val="3D7B6747"/>
    <w:rsid w:val="3E126451"/>
    <w:rsid w:val="45B93261"/>
    <w:rsid w:val="488522C0"/>
    <w:rsid w:val="48B43A0B"/>
    <w:rsid w:val="48B87BF5"/>
    <w:rsid w:val="4E916F1E"/>
    <w:rsid w:val="54004EBB"/>
    <w:rsid w:val="560B1CAC"/>
    <w:rsid w:val="56DC39CB"/>
    <w:rsid w:val="5F5C576F"/>
    <w:rsid w:val="5FCB425A"/>
    <w:rsid w:val="610417D1"/>
    <w:rsid w:val="65DB648C"/>
    <w:rsid w:val="680719A2"/>
    <w:rsid w:val="726564D4"/>
    <w:rsid w:val="740D54F4"/>
    <w:rsid w:val="78477D32"/>
    <w:rsid w:val="79E24222"/>
    <w:rsid w:val="7CC83597"/>
    <w:rsid w:val="7E2D0D78"/>
    <w:rsid w:val="7E695ECB"/>
    <w:rsid w:val="7ECD6A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9"/>
    <w:unhideWhenUsed/>
    <w:qFormat/>
    <w:uiPriority w:val="99"/>
    <w:pPr>
      <w:tabs>
        <w:tab w:val="center" w:pos="4153"/>
        <w:tab w:val="right" w:pos="8306"/>
      </w:tabs>
      <w:snapToGrid w:val="0"/>
      <w:jc w:val="left"/>
    </w:pPr>
    <w:rPr>
      <w:sz w:val="18"/>
      <w:szCs w:val="18"/>
    </w:rPr>
  </w:style>
  <w:style w:type="paragraph" w:styleId="4">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style>
  <w:style w:type="paragraph" w:customStyle="1" w:styleId="8">
    <w:name w:val="Footer"/>
    <w:basedOn w:val="1"/>
    <w:link w:val="11"/>
    <w:unhideWhenUsed/>
    <w:qFormat/>
    <w:uiPriority w:val="99"/>
    <w:pPr>
      <w:tabs>
        <w:tab w:val="center" w:pos="4153"/>
        <w:tab w:val="right" w:pos="8306"/>
      </w:tabs>
      <w:snapToGrid w:val="0"/>
      <w:jc w:val="left"/>
    </w:pPr>
    <w:rPr>
      <w:sz w:val="18"/>
      <w:szCs w:val="18"/>
    </w:rPr>
  </w:style>
  <w:style w:type="paragraph" w:customStyle="1" w:styleId="9">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7"/>
    <w:link w:val="9"/>
    <w:qFormat/>
    <w:uiPriority w:val="99"/>
    <w:rPr>
      <w:sz w:val="18"/>
      <w:szCs w:val="18"/>
    </w:rPr>
  </w:style>
  <w:style w:type="character" w:customStyle="1" w:styleId="11">
    <w:name w:val="页脚 Char"/>
    <w:basedOn w:val="7"/>
    <w:link w:val="8"/>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7"/>
    <w:link w:val="2"/>
    <w:semiHidden/>
    <w:qFormat/>
    <w:uiPriority w:val="99"/>
    <w:rPr>
      <w:sz w:val="18"/>
      <w:szCs w:val="18"/>
    </w:rPr>
  </w:style>
  <w:style w:type="character" w:customStyle="1" w:styleId="15">
    <w:name w:val="font01"/>
    <w:basedOn w:val="7"/>
    <w:qFormat/>
    <w:uiPriority w:val="0"/>
    <w:rPr>
      <w:rFonts w:hint="eastAsia" w:ascii="宋体" w:hAnsi="宋体" w:eastAsia="宋体" w:cs="宋体"/>
      <w:color w:val="000000"/>
      <w:sz w:val="22"/>
      <w:szCs w:val="22"/>
      <w:u w:val="none"/>
    </w:rPr>
  </w:style>
  <w:style w:type="character" w:customStyle="1" w:styleId="16">
    <w:name w:val="font21"/>
    <w:basedOn w:val="7"/>
    <w:qFormat/>
    <w:uiPriority w:val="0"/>
    <w:rPr>
      <w:rFonts w:hint="eastAsia" w:ascii="宋体" w:hAnsi="宋体" w:eastAsia="宋体" w:cs="宋体"/>
      <w:color w:val="000000"/>
      <w:sz w:val="24"/>
      <w:szCs w:val="24"/>
      <w:u w:val="none"/>
    </w:rPr>
  </w:style>
  <w:style w:type="character" w:customStyle="1" w:styleId="17">
    <w:name w:val="font11"/>
    <w:basedOn w:val="7"/>
    <w:qFormat/>
    <w:uiPriority w:val="0"/>
    <w:rPr>
      <w:rFonts w:hint="eastAsia" w:ascii="宋体" w:hAnsi="宋体" w:eastAsia="宋体" w:cs="宋体"/>
      <w:color w:val="000000"/>
      <w:sz w:val="24"/>
      <w:szCs w:val="24"/>
      <w:u w:val="none"/>
    </w:rPr>
  </w:style>
  <w:style w:type="character" w:customStyle="1" w:styleId="18">
    <w:name w:val="页眉 Char1"/>
    <w:basedOn w:val="7"/>
    <w:link w:val="4"/>
    <w:qFormat/>
    <w:uiPriority w:val="99"/>
    <w:rPr>
      <w:rFonts w:asciiTheme="minorHAnsi" w:hAnsiTheme="minorHAnsi" w:eastAsiaTheme="minorEastAsia" w:cstheme="minorBidi"/>
      <w:kern w:val="2"/>
      <w:sz w:val="18"/>
      <w:szCs w:val="18"/>
    </w:rPr>
  </w:style>
  <w:style w:type="character" w:customStyle="1" w:styleId="19">
    <w:name w:val="页脚 Char1"/>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3.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6.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7.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9.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E0BFA8A5-F5E7-4C68-993E-A5AC5283968B}">
  <ds:schemaRefs/>
</ds:datastoreItem>
</file>

<file path=customXml/itemProps2.xml><?xml version="1.0" encoding="utf-8"?>
<ds:datastoreItem xmlns:ds="http://schemas.openxmlformats.org/officeDocument/2006/customXml" ds:itemID="{81F1322F-73D1-4687-8368-8DF48131CE4C}">
  <ds:schemaRefs/>
</ds:datastoreItem>
</file>

<file path=customXml/itemProps3.xml><?xml version="1.0" encoding="utf-8"?>
<ds:datastoreItem xmlns:ds="http://schemas.openxmlformats.org/officeDocument/2006/customXml" ds:itemID="{D7FB5DB0-F9CB-417A-A856-EE07DFC4E526}">
  <ds:schemaRefs/>
</ds:datastoreItem>
</file>

<file path=customXml/itemProps4.xml><?xml version="1.0" encoding="utf-8"?>
<ds:datastoreItem xmlns:ds="http://schemas.openxmlformats.org/officeDocument/2006/customXml" ds:itemID="{54DBABA7-4F7D-4E2C-AB84-5AC3C3840376}">
  <ds:schemaRefs/>
</ds:datastoreItem>
</file>

<file path=customXml/itemProps5.xml><?xml version="1.0" encoding="utf-8"?>
<ds:datastoreItem xmlns:ds="http://schemas.openxmlformats.org/officeDocument/2006/customXml" ds:itemID="{86B798B7-3C73-4F6D-83DE-E5259E8D7D4C}">
  <ds:schemaRefs/>
</ds:datastoreItem>
</file>

<file path=customXml/itemProps6.xml><?xml version="1.0" encoding="utf-8"?>
<ds:datastoreItem xmlns:ds="http://schemas.openxmlformats.org/officeDocument/2006/customXml" ds:itemID="{F109CA1A-DD27-4670-8F8E-00FB388803BF}">
  <ds:schemaRefs/>
</ds:datastoreItem>
</file>

<file path=customXml/itemProps7.xml><?xml version="1.0" encoding="utf-8"?>
<ds:datastoreItem xmlns:ds="http://schemas.openxmlformats.org/officeDocument/2006/customXml" ds:itemID="{185EC429-3184-4DEC-A277-C7F5E6B58BB5}">
  <ds:schemaRefs/>
</ds:datastoreItem>
</file>

<file path=customXml/itemProps8.xml><?xml version="1.0" encoding="utf-8"?>
<ds:datastoreItem xmlns:ds="http://schemas.openxmlformats.org/officeDocument/2006/customXml" ds:itemID="{23DF73A2-DF07-445C-BC27-ED7C38A23B66}">
  <ds:schemaRefs/>
</ds:datastoreItem>
</file>

<file path=customXml/itemProps9.xml><?xml version="1.0" encoding="utf-8"?>
<ds:datastoreItem xmlns:ds="http://schemas.openxmlformats.org/officeDocument/2006/customXml" ds:itemID="{5F26B8AE-1FCC-4775-ACC7-3A02231A33F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3035</Words>
  <Characters>17305</Characters>
  <Lines>144</Lines>
  <Paragraphs>40</Paragraphs>
  <TotalTime>5</TotalTime>
  <ScaleCrop>false</ScaleCrop>
  <LinksUpToDate>false</LinksUpToDate>
  <CharactersWithSpaces>20300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2023-09-04T06:55:00Z</dcterms:created>
  <dc:creator>李航 null</dc:creator>
  <cp:lastModifiedBy>ok</cp:lastModifiedBy>
  <cp:lastPrinted>2023-08-15T09:28:00Z</cp:lastPrinted>
  <dcterms:modified xsi:type="dcterms:W3CDTF">2023-11-01T09:48:29Z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E0FC42A3517645199808D3AEE1326B3F_13</vt:lpwstr>
  </property>
</Properties>
</file>