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highlight w:val="none"/>
        </w:rPr>
      </w:pPr>
    </w:p>
    <w:p>
      <w:pPr>
        <w:pStyle w:val="13"/>
        <w:jc w:val="center"/>
        <w:rPr>
          <w:sz w:val="56"/>
          <w:szCs w:val="56"/>
          <w:highlight w:val="none"/>
        </w:rPr>
      </w:pPr>
    </w:p>
    <w:p>
      <w:pPr>
        <w:pStyle w:val="13"/>
        <w:jc w:val="center"/>
        <w:rPr>
          <w:sz w:val="84"/>
          <w:szCs w:val="84"/>
          <w:highlight w:val="none"/>
        </w:rPr>
      </w:pPr>
    </w:p>
    <w:p>
      <w:pPr>
        <w:pStyle w:val="13"/>
        <w:jc w:val="center"/>
        <w:rPr>
          <w:sz w:val="84"/>
          <w:szCs w:val="84"/>
          <w:highlight w:val="none"/>
        </w:rPr>
      </w:pPr>
    </w:p>
    <w:p>
      <w:pPr>
        <w:pStyle w:val="13"/>
        <w:jc w:val="center"/>
        <w:rPr>
          <w:rFonts w:hint="eastAsia" w:ascii="方正小标宋_GBK" w:hAnsi="方正小标宋_GBK" w:eastAsia="方正小标宋_GBK" w:cs="方正小标宋_GBK"/>
          <w:sz w:val="84"/>
          <w:szCs w:val="84"/>
          <w:highlight w:val="none"/>
        </w:rPr>
      </w:pPr>
      <w:r>
        <w:rPr>
          <w:rFonts w:hint="eastAsia" w:ascii="方正小标宋_GBK" w:hAnsi="方正小标宋_GBK" w:eastAsia="方正小标宋_GBK" w:cs="方正小标宋_GBK"/>
          <w:sz w:val="84"/>
          <w:szCs w:val="84"/>
          <w:highlight w:val="none"/>
        </w:rPr>
        <w:t>202</w:t>
      </w:r>
      <w:r>
        <w:rPr>
          <w:rFonts w:hint="eastAsia" w:ascii="方正小标宋_GBK" w:hAnsi="方正小标宋_GBK" w:eastAsia="方正小标宋_GBK" w:cs="方正小标宋_GBK"/>
          <w:sz w:val="84"/>
          <w:szCs w:val="84"/>
          <w:highlight w:val="none"/>
          <w:lang w:val="en-US" w:eastAsia="zh-CN"/>
        </w:rPr>
        <w:t>2</w:t>
      </w:r>
      <w:r>
        <w:rPr>
          <w:rFonts w:hint="eastAsia" w:ascii="方正小标宋_GBK" w:hAnsi="方正小标宋_GBK" w:eastAsia="方正小标宋_GBK" w:cs="方正小标宋_GBK"/>
          <w:sz w:val="84"/>
          <w:szCs w:val="84"/>
          <w:highlight w:val="none"/>
        </w:rPr>
        <w:t>年度</w:t>
      </w:r>
    </w:p>
    <w:p>
      <w:pPr>
        <w:pStyle w:val="13"/>
        <w:jc w:val="center"/>
        <w:rPr>
          <w:rFonts w:hint="eastAsia" w:ascii="方正小标宋_GBK" w:hAnsi="方正小标宋_GBK" w:eastAsia="方正小标宋_GBK" w:cs="方正小标宋_GBK"/>
          <w:sz w:val="84"/>
          <w:szCs w:val="84"/>
          <w:highlight w:val="none"/>
          <w:lang w:val="en-US" w:eastAsia="zh-CN"/>
        </w:rPr>
      </w:pPr>
      <w:r>
        <w:rPr>
          <w:rFonts w:hint="eastAsia" w:ascii="方正小标宋_GBK" w:hAnsi="方正小标宋_GBK" w:eastAsia="方正小标宋_GBK" w:cs="方正小标宋_GBK"/>
          <w:sz w:val="84"/>
          <w:szCs w:val="84"/>
          <w:highlight w:val="none"/>
          <w:lang w:val="en-US" w:eastAsia="zh-CN"/>
        </w:rPr>
        <w:t>湖南省农垦管理服务站</w:t>
      </w:r>
    </w:p>
    <w:p>
      <w:pPr>
        <w:pStyle w:val="13"/>
        <w:jc w:val="center"/>
        <w:rPr>
          <w:rFonts w:hint="eastAsia" w:ascii="方正小标宋_GBK" w:hAnsi="方正小标宋_GBK" w:eastAsia="方正小标宋_GBK" w:cs="方正小标宋_GBK"/>
          <w:sz w:val="84"/>
          <w:szCs w:val="84"/>
          <w:highlight w:val="none"/>
        </w:rPr>
      </w:pPr>
      <w:r>
        <w:rPr>
          <w:rFonts w:hint="eastAsia" w:ascii="方正小标宋_GBK" w:hAnsi="方正小标宋_GBK" w:eastAsia="方正小标宋_GBK" w:cs="方正小标宋_GBK"/>
          <w:sz w:val="84"/>
          <w:szCs w:val="84"/>
          <w:highlight w:val="none"/>
        </w:rPr>
        <w:t>单位决算</w:t>
      </w:r>
    </w:p>
    <w:p>
      <w:pPr>
        <w:pStyle w:val="13"/>
        <w:jc w:val="center"/>
        <w:rPr>
          <w:rFonts w:hint="eastAsia" w:ascii="方正小标宋_GBK" w:hAnsi="方正小标宋_GBK" w:eastAsia="方正小标宋_GBK" w:cs="方正小标宋_GBK"/>
          <w:sz w:val="56"/>
          <w:szCs w:val="56"/>
          <w:highlight w:val="none"/>
        </w:rPr>
      </w:pPr>
    </w:p>
    <w:p>
      <w:pPr>
        <w:pStyle w:val="13"/>
        <w:jc w:val="center"/>
        <w:rPr>
          <w:sz w:val="56"/>
          <w:szCs w:val="56"/>
          <w:highlight w:val="none"/>
        </w:rPr>
      </w:pPr>
    </w:p>
    <w:p>
      <w:pPr>
        <w:pStyle w:val="13"/>
        <w:jc w:val="center"/>
        <w:rPr>
          <w:sz w:val="56"/>
          <w:szCs w:val="56"/>
          <w:highlight w:val="none"/>
        </w:rPr>
      </w:pPr>
    </w:p>
    <w:p>
      <w:pPr>
        <w:pStyle w:val="13"/>
        <w:jc w:val="center"/>
        <w:rPr>
          <w:sz w:val="56"/>
          <w:szCs w:val="56"/>
          <w:highlight w:val="none"/>
        </w:rPr>
      </w:pPr>
    </w:p>
    <w:p>
      <w:pPr>
        <w:pStyle w:val="13"/>
        <w:jc w:val="center"/>
        <w:rPr>
          <w:sz w:val="32"/>
          <w:szCs w:val="32"/>
          <w:highlight w:val="none"/>
        </w:rPr>
      </w:pPr>
    </w:p>
    <w:p>
      <w:pPr>
        <w:pStyle w:val="13"/>
        <w:jc w:val="center"/>
        <w:rPr>
          <w:sz w:val="32"/>
          <w:szCs w:val="32"/>
          <w:highlight w:val="none"/>
        </w:rPr>
      </w:pPr>
    </w:p>
    <w:p>
      <w:pPr>
        <w:pStyle w:val="13"/>
        <w:jc w:val="center"/>
        <w:rPr>
          <w:sz w:val="32"/>
          <w:szCs w:val="32"/>
          <w:highlight w:val="none"/>
        </w:rPr>
      </w:pPr>
    </w:p>
    <w:p>
      <w:pPr>
        <w:pStyle w:val="13"/>
        <w:spacing w:line="500" w:lineRule="exact"/>
        <w:jc w:val="center"/>
        <w:rPr>
          <w:b/>
          <w:sz w:val="36"/>
          <w:szCs w:val="28"/>
          <w:highlight w:val="none"/>
        </w:rPr>
      </w:pPr>
      <w:r>
        <w:rPr>
          <w:rFonts w:hint="eastAsia"/>
          <w:b/>
          <w:sz w:val="36"/>
          <w:szCs w:val="28"/>
          <w:highlight w:val="none"/>
        </w:rPr>
        <w:t>目录</w:t>
      </w:r>
    </w:p>
    <w:p>
      <w:pPr>
        <w:pStyle w:val="13"/>
        <w:spacing w:line="500" w:lineRule="exact"/>
        <w:rPr>
          <w:rFonts w:hint="eastAsia" w:ascii="黑体" w:hAnsi="黑体" w:eastAsia="黑体" w:cs="黑体"/>
          <w:b w:val="0"/>
          <w:bCs/>
          <w:sz w:val="28"/>
          <w:szCs w:val="28"/>
          <w:highlight w:val="none"/>
        </w:rPr>
      </w:pPr>
      <w:r>
        <w:rPr>
          <w:rFonts w:hint="eastAsia" w:ascii="黑体" w:hAnsi="黑体" w:eastAsia="黑体" w:cs="黑体"/>
          <w:b w:val="0"/>
          <w:bCs/>
          <w:sz w:val="28"/>
          <w:szCs w:val="28"/>
          <w:highlight w:val="none"/>
        </w:rPr>
        <w:t>第一部分</w:t>
      </w:r>
      <w:r>
        <w:rPr>
          <w:rFonts w:hint="eastAsia" w:hAnsi="黑体" w:cs="黑体"/>
          <w:b w:val="0"/>
          <w:bCs/>
          <w:sz w:val="28"/>
          <w:szCs w:val="28"/>
          <w:highlight w:val="none"/>
          <w:lang w:val="en-US" w:eastAsia="zh-CN"/>
        </w:rPr>
        <w:t>湖南省农垦管理服务站</w:t>
      </w:r>
      <w:r>
        <w:rPr>
          <w:rFonts w:hint="eastAsia" w:ascii="黑体" w:hAnsi="黑体" w:eastAsia="黑体" w:cs="黑体"/>
          <w:b w:val="0"/>
          <w:bCs/>
          <w:sz w:val="28"/>
          <w:szCs w:val="28"/>
          <w:highlight w:val="none"/>
        </w:rPr>
        <w:t>单位概况</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一、部门职责</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二、机构设置</w:t>
      </w:r>
    </w:p>
    <w:p>
      <w:pPr>
        <w:pStyle w:val="13"/>
        <w:spacing w:line="500" w:lineRule="exact"/>
        <w:rPr>
          <w:rFonts w:hint="eastAsia" w:ascii="黑体" w:hAnsi="黑体" w:eastAsia="黑体" w:cs="黑体"/>
          <w:b w:val="0"/>
          <w:bCs/>
          <w:sz w:val="28"/>
          <w:szCs w:val="28"/>
          <w:highlight w:val="none"/>
        </w:rPr>
      </w:pPr>
      <w:r>
        <w:rPr>
          <w:rFonts w:hint="eastAsia" w:ascii="黑体" w:hAnsi="黑体" w:eastAsia="黑体" w:cs="黑体"/>
          <w:b w:val="0"/>
          <w:bCs/>
          <w:sz w:val="28"/>
          <w:szCs w:val="28"/>
          <w:highlight w:val="none"/>
        </w:rPr>
        <w:t>第二部分</w:t>
      </w:r>
      <w:r>
        <w:rPr>
          <w:rFonts w:hint="eastAsia" w:ascii="黑体" w:hAnsi="黑体" w:eastAsia="黑体" w:cs="黑体"/>
          <w:b w:val="0"/>
          <w:bCs/>
          <w:sz w:val="28"/>
          <w:szCs w:val="28"/>
          <w:highlight w:val="none"/>
          <w:lang w:val="en-US" w:eastAsia="zh-CN"/>
        </w:rPr>
        <w:t xml:space="preserve"> </w:t>
      </w:r>
      <w:r>
        <w:rPr>
          <w:rFonts w:hint="eastAsia" w:ascii="黑体" w:hAnsi="黑体" w:eastAsia="黑体" w:cs="黑体"/>
          <w:b w:val="0"/>
          <w:bCs/>
          <w:sz w:val="28"/>
          <w:szCs w:val="28"/>
          <w:highlight w:val="none"/>
        </w:rPr>
        <w:t>部门决算表</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一、收入支出决算总表</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二、收入决算表</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三、支出决算表</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四、财政拨款收入支出决算总表</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五、一般公共预算财政拨款支出决算表</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六、一般公共预算财政拨款基本支出决算明细表</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七、政府性基金预算财政拨款收入支出决算表</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八、国有资本经营预算财政拨款支出决算表</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九、财政拨款“三公”经费支出决算表</w:t>
      </w:r>
    </w:p>
    <w:p>
      <w:pPr>
        <w:pStyle w:val="13"/>
        <w:spacing w:line="500" w:lineRule="exact"/>
        <w:rPr>
          <w:rFonts w:hint="eastAsia" w:ascii="黑体" w:hAnsi="黑体" w:eastAsia="黑体" w:cs="黑体"/>
          <w:b w:val="0"/>
          <w:bCs/>
          <w:sz w:val="28"/>
          <w:szCs w:val="28"/>
          <w:highlight w:val="none"/>
        </w:rPr>
      </w:pPr>
      <w:r>
        <w:rPr>
          <w:rFonts w:hint="eastAsia" w:ascii="黑体" w:hAnsi="黑体" w:eastAsia="黑体" w:cs="黑体"/>
          <w:b w:val="0"/>
          <w:bCs/>
          <w:sz w:val="28"/>
          <w:szCs w:val="28"/>
          <w:highlight w:val="none"/>
        </w:rPr>
        <w:t>第三部分</w:t>
      </w:r>
      <w:r>
        <w:rPr>
          <w:rFonts w:hint="eastAsia" w:ascii="黑体" w:hAnsi="黑体" w:eastAsia="黑体" w:cs="黑体"/>
          <w:b w:val="0"/>
          <w:bCs/>
          <w:sz w:val="28"/>
          <w:szCs w:val="28"/>
          <w:highlight w:val="none"/>
          <w:lang w:val="en-US" w:eastAsia="zh-CN"/>
        </w:rPr>
        <w:t xml:space="preserve"> </w:t>
      </w:r>
      <w:r>
        <w:rPr>
          <w:rFonts w:hint="eastAsia" w:ascii="黑体" w:hAnsi="黑体" w:eastAsia="黑体" w:cs="黑体"/>
          <w:b w:val="0"/>
          <w:bCs/>
          <w:sz w:val="28"/>
          <w:szCs w:val="28"/>
          <w:highlight w:val="none"/>
        </w:rPr>
        <w:t>部门决算情况说明</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十一、关于政府采购支出说明</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十二、关于国有资产占用情况说明</w:t>
      </w:r>
    </w:p>
    <w:p>
      <w:pPr>
        <w:pStyle w:val="13"/>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十三、关于预算绩效情况的说明</w:t>
      </w:r>
    </w:p>
    <w:p>
      <w:pPr>
        <w:pStyle w:val="13"/>
        <w:spacing w:line="500" w:lineRule="exact"/>
        <w:rPr>
          <w:rFonts w:hint="eastAsia" w:ascii="黑体" w:hAnsi="黑体" w:eastAsia="黑体" w:cs="黑体"/>
          <w:b w:val="0"/>
          <w:bCs/>
          <w:sz w:val="28"/>
          <w:szCs w:val="28"/>
          <w:highlight w:val="none"/>
        </w:rPr>
      </w:pPr>
      <w:r>
        <w:rPr>
          <w:rFonts w:hint="eastAsia" w:ascii="黑体" w:hAnsi="黑体" w:eastAsia="黑体" w:cs="黑体"/>
          <w:b w:val="0"/>
          <w:bCs/>
          <w:sz w:val="28"/>
          <w:szCs w:val="28"/>
          <w:highlight w:val="none"/>
        </w:rPr>
        <w:t>第四部分</w:t>
      </w:r>
      <w:r>
        <w:rPr>
          <w:rFonts w:hint="eastAsia" w:ascii="黑体" w:hAnsi="黑体" w:eastAsia="黑体" w:cs="黑体"/>
          <w:b w:val="0"/>
          <w:bCs/>
          <w:sz w:val="28"/>
          <w:szCs w:val="28"/>
          <w:highlight w:val="none"/>
          <w:lang w:val="en-US" w:eastAsia="zh-CN"/>
        </w:rPr>
        <w:t xml:space="preserve"> </w:t>
      </w:r>
      <w:r>
        <w:rPr>
          <w:rFonts w:hint="eastAsia" w:ascii="黑体" w:hAnsi="黑体" w:eastAsia="黑体" w:cs="黑体"/>
          <w:b w:val="0"/>
          <w:bCs/>
          <w:sz w:val="28"/>
          <w:szCs w:val="28"/>
          <w:highlight w:val="none"/>
        </w:rPr>
        <w:t>名词解释</w:t>
      </w: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rPr>
          <w:rFonts w:hint="eastAsia" w:ascii="方正小标宋_GBK" w:hAnsi="方正小标宋_GBK" w:eastAsia="方正小标宋_GBK" w:cs="方正小标宋_GBK"/>
          <w:sz w:val="72"/>
          <w:szCs w:val="72"/>
          <w:highlight w:val="none"/>
        </w:rPr>
      </w:pPr>
    </w:p>
    <w:p>
      <w:pPr>
        <w:pStyle w:val="13"/>
        <w:jc w:val="center"/>
        <w:rPr>
          <w:rFonts w:hint="eastAsia" w:ascii="方正小标宋_GBK" w:hAnsi="方正小标宋_GBK" w:eastAsia="方正小标宋_GBK" w:cs="方正小标宋_GBK"/>
          <w:sz w:val="84"/>
          <w:szCs w:val="84"/>
          <w:highlight w:val="none"/>
        </w:rPr>
      </w:pPr>
      <w:r>
        <w:rPr>
          <w:rFonts w:hint="eastAsia" w:ascii="方正小标宋_GBK" w:hAnsi="方正小标宋_GBK" w:eastAsia="方正小标宋_GBK" w:cs="方正小标宋_GBK"/>
          <w:sz w:val="84"/>
          <w:szCs w:val="84"/>
          <w:highlight w:val="none"/>
        </w:rPr>
        <w:t xml:space="preserve">第一部分 </w:t>
      </w:r>
    </w:p>
    <w:p>
      <w:pPr>
        <w:pStyle w:val="13"/>
        <w:jc w:val="center"/>
        <w:rPr>
          <w:rFonts w:hint="eastAsia" w:ascii="方正小标宋_GBK" w:hAnsi="方正小标宋_GBK" w:eastAsia="方正小标宋_GBK" w:cs="方正小标宋_GBK"/>
          <w:sz w:val="84"/>
          <w:szCs w:val="84"/>
          <w:highlight w:val="none"/>
        </w:rPr>
      </w:pPr>
    </w:p>
    <w:p>
      <w:pPr>
        <w:pStyle w:val="13"/>
        <w:jc w:val="center"/>
        <w:rPr>
          <w:rFonts w:hint="eastAsia" w:ascii="方正小标宋_GBK" w:hAnsi="方正小标宋_GBK" w:eastAsia="方正小标宋_GBK" w:cs="方正小标宋_GBK"/>
          <w:sz w:val="84"/>
          <w:szCs w:val="84"/>
          <w:highlight w:val="none"/>
        </w:rPr>
      </w:pPr>
      <w:r>
        <w:rPr>
          <w:rFonts w:hint="eastAsia" w:ascii="方正小标宋_GBK" w:hAnsi="方正小标宋_GBK" w:eastAsia="方正小标宋_GBK" w:cs="方正小标宋_GBK"/>
          <w:sz w:val="84"/>
          <w:szCs w:val="84"/>
          <w:highlight w:val="none"/>
          <w:lang w:val="en-US" w:eastAsia="zh-CN"/>
        </w:rPr>
        <w:t>湖南省农垦管理服务站</w:t>
      </w:r>
      <w:r>
        <w:rPr>
          <w:rFonts w:hint="eastAsia" w:ascii="方正小标宋_GBK" w:hAnsi="方正小标宋_GBK" w:eastAsia="方正小标宋_GBK" w:cs="方正小标宋_GBK"/>
          <w:sz w:val="84"/>
          <w:szCs w:val="84"/>
          <w:highlight w:val="none"/>
        </w:rPr>
        <w:t>单位概况</w:t>
      </w:r>
    </w:p>
    <w:p>
      <w:pPr>
        <w:jc w:val="center"/>
        <w:rPr>
          <w:rFonts w:hint="eastAsia" w:ascii="方正小标宋_GBK" w:hAnsi="方正小标宋_GBK" w:eastAsia="方正小标宋_GBK" w:cs="方正小标宋_GBK"/>
          <w:sz w:val="72"/>
          <w:szCs w:val="72"/>
          <w:highlight w:val="none"/>
        </w:rPr>
      </w:pPr>
    </w:p>
    <w:p>
      <w:pPr>
        <w:jc w:val="center"/>
        <w:rPr>
          <w:rFonts w:hint="eastAsia" w:ascii="方正小标宋_GBK" w:hAnsi="方正小标宋_GBK" w:eastAsia="方正小标宋_GBK" w:cs="方正小标宋_GBK"/>
          <w:sz w:val="72"/>
          <w:szCs w:val="72"/>
          <w:highlight w:val="none"/>
        </w:rPr>
      </w:pPr>
    </w:p>
    <w:p>
      <w:pPr>
        <w:pStyle w:val="14"/>
        <w:numPr>
          <w:ilvl w:val="0"/>
          <w:numId w:val="0"/>
        </w:numPr>
        <w:ind w:leftChars="0"/>
        <w:jc w:val="left"/>
        <w:rPr>
          <w:rFonts w:hint="eastAsia" w:ascii="黑体" w:hAnsi="黑体" w:eastAsia="黑体" w:cs="黑体"/>
          <w:b w:val="0"/>
          <w:bCs w:val="0"/>
          <w:sz w:val="32"/>
          <w:szCs w:val="32"/>
          <w:highlight w:val="none"/>
        </w:rPr>
      </w:pPr>
    </w:p>
    <w:p>
      <w:pPr>
        <w:pStyle w:val="14"/>
        <w:numPr>
          <w:ilvl w:val="0"/>
          <w:numId w:val="0"/>
        </w:numPr>
        <w:ind w:leftChars="0"/>
        <w:jc w:val="left"/>
        <w:rPr>
          <w:rFonts w:hint="eastAsia" w:ascii="黑体" w:hAnsi="黑体" w:eastAsia="黑体" w:cs="黑体"/>
          <w:b w:val="0"/>
          <w:bCs w:val="0"/>
          <w:sz w:val="32"/>
          <w:szCs w:val="32"/>
          <w:highlight w:val="none"/>
        </w:rPr>
      </w:pPr>
    </w:p>
    <w:p>
      <w:pPr>
        <w:pStyle w:val="14"/>
        <w:numPr>
          <w:ilvl w:val="0"/>
          <w:numId w:val="1"/>
        </w:numPr>
        <w:ind w:firstLineChars="0"/>
        <w:jc w:val="left"/>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部门职责</w:t>
      </w:r>
    </w:p>
    <w:p>
      <w:pPr>
        <w:pStyle w:val="14"/>
        <w:rPr>
          <w:rFonts w:ascii="仿宋" w:hAnsi="仿宋" w:eastAsia="仿宋"/>
          <w:sz w:val="32"/>
          <w:szCs w:val="32"/>
          <w:highlight w:val="none"/>
        </w:rPr>
      </w:pPr>
      <w:r>
        <w:rPr>
          <w:rFonts w:hint="eastAsia" w:ascii="仿宋" w:hAnsi="仿宋" w:eastAsia="仿宋"/>
          <w:sz w:val="32"/>
          <w:szCs w:val="32"/>
          <w:highlight w:val="none"/>
        </w:rPr>
        <w:t>湖南省农垦管理服务站为湖南省农业农村厅管理的公益一类事业单位，宗旨和业务范围是为农田建设与农垦处拟制全省农垦经济和社会发展中长期规划及年度计划并组织监督实施以及指导、协调全省垦区的财务、统计、科研、文化、教育、卫生事业、社会公益事业，为工农业生产及第三产业的发展做好基础性、服务性工作。</w:t>
      </w:r>
    </w:p>
    <w:p>
      <w:pPr>
        <w:widowControl/>
        <w:spacing w:line="600" w:lineRule="exact"/>
        <w:rPr>
          <w:rFonts w:hint="eastAsia" w:ascii="黑体" w:hAnsi="黑体" w:eastAsia="黑体" w:cs="黑体"/>
          <w:b w:val="0"/>
          <w:bCs/>
          <w:kern w:val="0"/>
          <w:sz w:val="32"/>
          <w:szCs w:val="32"/>
          <w:highlight w:val="none"/>
        </w:rPr>
      </w:pPr>
      <w:r>
        <w:rPr>
          <w:rFonts w:hint="eastAsia" w:ascii="黑体" w:hAnsi="黑体" w:eastAsia="黑体" w:cs="黑体"/>
          <w:b w:val="0"/>
          <w:bCs/>
          <w:kern w:val="0"/>
          <w:sz w:val="32"/>
          <w:szCs w:val="32"/>
          <w:highlight w:val="none"/>
        </w:rPr>
        <w:t>二、机构设置及决算单位构成</w:t>
      </w:r>
    </w:p>
    <w:p>
      <w:pPr>
        <w:widowControl/>
        <w:spacing w:line="600" w:lineRule="exact"/>
        <w:rPr>
          <w:rFonts w:hint="eastAsia" w:ascii="仿宋" w:hAnsi="仿宋" w:eastAsia="仿宋"/>
          <w:sz w:val="32"/>
          <w:szCs w:val="32"/>
          <w:highlight w:val="none"/>
        </w:rPr>
      </w:pPr>
      <w:r>
        <w:rPr>
          <w:rFonts w:hint="eastAsia" w:ascii="Times New Roman" w:hAnsi="Times New Roman" w:eastAsia="仿宋_GB2312" w:cs="仿宋_GB2312"/>
          <w:bCs/>
          <w:kern w:val="0"/>
          <w:sz w:val="32"/>
          <w:szCs w:val="32"/>
          <w:highlight w:val="none"/>
        </w:rPr>
        <w:t>（一）内设机构设置。</w:t>
      </w:r>
      <w:r>
        <w:rPr>
          <w:rFonts w:hint="eastAsia" w:ascii="仿宋" w:hAnsi="仿宋" w:eastAsia="仿宋"/>
          <w:sz w:val="32"/>
          <w:szCs w:val="32"/>
          <w:highlight w:val="none"/>
        </w:rPr>
        <w:t>湖南省农垦管理服务站</w:t>
      </w:r>
      <w:r>
        <w:rPr>
          <w:rFonts w:hint="eastAsia" w:ascii="Times New Roman" w:hAnsi="Times New Roman" w:eastAsia="仿宋_GB2312" w:cs="仿宋_GB2312"/>
          <w:bCs/>
          <w:kern w:val="0"/>
          <w:sz w:val="32"/>
          <w:szCs w:val="32"/>
          <w:highlight w:val="none"/>
        </w:rPr>
        <w:t>内设机构包括：</w:t>
      </w:r>
      <w:r>
        <w:rPr>
          <w:rFonts w:hint="eastAsia" w:ascii="仿宋" w:hAnsi="仿宋" w:eastAsia="仿宋"/>
          <w:sz w:val="32"/>
          <w:szCs w:val="32"/>
          <w:highlight w:val="none"/>
        </w:rPr>
        <w:t>办公室、计划财务办公室、农垦经济办公室、垦区社会事务办公室四个副处级办室。</w:t>
      </w:r>
    </w:p>
    <w:p>
      <w:pPr>
        <w:widowControl/>
        <w:spacing w:line="600" w:lineRule="exact"/>
        <w:rPr>
          <w:rFonts w:hint="eastAsia" w:ascii="仿宋_GB2312" w:eastAsia="仿宋_GB2312" w:hAnsiTheme="minorEastAsia"/>
          <w:sz w:val="28"/>
          <w:szCs w:val="32"/>
          <w:highlight w:val="none"/>
          <w:lang w:eastAsia="zh-CN"/>
        </w:rPr>
      </w:pPr>
      <w:r>
        <w:rPr>
          <w:rFonts w:hint="eastAsia" w:ascii="Times New Roman" w:hAnsi="Times New Roman" w:eastAsia="仿宋_GB2312" w:cs="仿宋_GB2312"/>
          <w:bCs/>
          <w:kern w:val="0"/>
          <w:sz w:val="32"/>
          <w:szCs w:val="32"/>
          <w:highlight w:val="none"/>
        </w:rPr>
        <w:t>（二）决算单位构成。</w:t>
      </w:r>
      <w:r>
        <w:rPr>
          <w:rFonts w:hint="eastAsia" w:ascii="仿宋" w:hAnsi="仿宋" w:eastAsia="仿宋"/>
          <w:sz w:val="32"/>
          <w:szCs w:val="32"/>
          <w:highlight w:val="none"/>
        </w:rPr>
        <w:t>湖南省农垦管理服务站</w:t>
      </w:r>
      <w:r>
        <w:rPr>
          <w:rFonts w:hint="eastAsia" w:ascii="Times New Roman" w:hAnsi="Times New Roman" w:eastAsia="仿宋_GB2312" w:cs="仿宋_GB2312"/>
          <w:bCs/>
          <w:kern w:val="0"/>
          <w:sz w:val="32"/>
          <w:szCs w:val="32"/>
          <w:highlight w:val="none"/>
        </w:rPr>
        <w:t>202</w:t>
      </w:r>
      <w:r>
        <w:rPr>
          <w:rFonts w:hint="eastAsia" w:ascii="Times New Roman" w:hAnsi="Times New Roman" w:eastAsia="仿宋_GB2312" w:cs="仿宋_GB2312"/>
          <w:bCs/>
          <w:kern w:val="0"/>
          <w:sz w:val="32"/>
          <w:szCs w:val="32"/>
          <w:highlight w:val="none"/>
          <w:lang w:val="en-US" w:eastAsia="zh-CN"/>
        </w:rPr>
        <w:t>2</w:t>
      </w:r>
      <w:r>
        <w:rPr>
          <w:rFonts w:hint="eastAsia" w:ascii="Times New Roman" w:hAnsi="Times New Roman" w:eastAsia="仿宋_GB2312" w:cs="仿宋_GB2312"/>
          <w:bCs/>
          <w:kern w:val="0"/>
          <w:sz w:val="32"/>
          <w:szCs w:val="32"/>
          <w:highlight w:val="none"/>
        </w:rPr>
        <w:t>年部门决算汇总公开单位构成包括：</w:t>
      </w:r>
      <w:r>
        <w:rPr>
          <w:rFonts w:hint="eastAsia" w:ascii="仿宋" w:hAnsi="仿宋" w:eastAsia="仿宋"/>
          <w:sz w:val="32"/>
          <w:szCs w:val="32"/>
          <w:highlight w:val="none"/>
        </w:rPr>
        <w:t>湖南省农垦管理服务站</w:t>
      </w:r>
      <w:r>
        <w:rPr>
          <w:rFonts w:hint="eastAsia" w:ascii="Times New Roman" w:hAnsi="Times New Roman" w:eastAsia="仿宋_GB2312" w:cs="仿宋_GB2312"/>
          <w:bCs/>
          <w:kern w:val="0"/>
          <w:sz w:val="32"/>
          <w:szCs w:val="32"/>
          <w:highlight w:val="none"/>
        </w:rPr>
        <w:t>单位本级</w:t>
      </w:r>
      <w:r>
        <w:rPr>
          <w:rFonts w:hint="eastAsia" w:ascii="Times New Roman" w:hAnsi="Times New Roman" w:eastAsia="仿宋_GB2312" w:cs="仿宋_GB2312"/>
          <w:bCs/>
          <w:kern w:val="0"/>
          <w:sz w:val="32"/>
          <w:szCs w:val="32"/>
          <w:highlight w:val="none"/>
          <w:lang w:eastAsia="zh-CN"/>
        </w:rPr>
        <w:t>。</w:t>
      </w: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rFonts w:ascii="黑体" w:hAnsi="黑体" w:eastAsia="黑体"/>
          <w:sz w:val="28"/>
          <w:szCs w:val="28"/>
          <w:highlight w:val="none"/>
        </w:rPr>
      </w:pPr>
    </w:p>
    <w:p>
      <w:pPr>
        <w:jc w:val="center"/>
        <w:rPr>
          <w:sz w:val="72"/>
          <w:szCs w:val="72"/>
          <w:highlight w:val="none"/>
        </w:rPr>
      </w:pPr>
    </w:p>
    <w:p>
      <w:pPr>
        <w:jc w:val="center"/>
        <w:rPr>
          <w:sz w:val="72"/>
          <w:szCs w:val="72"/>
          <w:highlight w:val="none"/>
        </w:rPr>
      </w:pPr>
    </w:p>
    <w:p>
      <w:pPr>
        <w:pStyle w:val="13"/>
        <w:jc w:val="center"/>
        <w:rPr>
          <w:rFonts w:hint="eastAsia" w:ascii="方正小标宋_GBK" w:hAnsi="方正小标宋_GBK" w:eastAsia="方正小标宋_GBK" w:cs="方正小标宋_GBK"/>
          <w:sz w:val="84"/>
          <w:szCs w:val="84"/>
          <w:highlight w:val="none"/>
        </w:rPr>
      </w:pPr>
    </w:p>
    <w:p>
      <w:pPr>
        <w:pStyle w:val="13"/>
        <w:jc w:val="center"/>
        <w:rPr>
          <w:rFonts w:hint="eastAsia" w:ascii="方正小标宋_GBK" w:hAnsi="方正小标宋_GBK" w:eastAsia="方正小标宋_GBK" w:cs="方正小标宋_GBK"/>
          <w:sz w:val="84"/>
          <w:szCs w:val="84"/>
          <w:highlight w:val="none"/>
        </w:rPr>
      </w:pPr>
      <w:r>
        <w:rPr>
          <w:rFonts w:hint="eastAsia" w:ascii="方正小标宋_GBK" w:hAnsi="方正小标宋_GBK" w:eastAsia="方正小标宋_GBK" w:cs="方正小标宋_GBK"/>
          <w:sz w:val="84"/>
          <w:szCs w:val="84"/>
          <w:highlight w:val="none"/>
        </w:rPr>
        <w:t>第二部分</w:t>
      </w:r>
    </w:p>
    <w:p>
      <w:pPr>
        <w:pStyle w:val="13"/>
        <w:jc w:val="center"/>
        <w:rPr>
          <w:rFonts w:hint="eastAsia" w:ascii="方正小标宋_GBK" w:hAnsi="方正小标宋_GBK" w:eastAsia="方正小标宋_GBK" w:cs="方正小标宋_GBK"/>
          <w:sz w:val="84"/>
          <w:szCs w:val="84"/>
          <w:highlight w:val="none"/>
        </w:rPr>
      </w:pPr>
    </w:p>
    <w:p>
      <w:pPr>
        <w:pStyle w:val="13"/>
        <w:jc w:val="center"/>
        <w:rPr>
          <w:rFonts w:hint="eastAsia" w:ascii="方正小标宋_GBK" w:hAnsi="方正小标宋_GBK" w:eastAsia="方正小标宋_GBK" w:cs="方正小标宋_GBK"/>
          <w:sz w:val="84"/>
          <w:szCs w:val="84"/>
          <w:highlight w:val="none"/>
        </w:rPr>
      </w:pPr>
      <w:r>
        <w:rPr>
          <w:rFonts w:hint="eastAsia" w:ascii="方正小标宋_GBK" w:hAnsi="方正小标宋_GBK" w:eastAsia="方正小标宋_GBK" w:cs="方正小标宋_GBK"/>
          <w:sz w:val="84"/>
          <w:szCs w:val="84"/>
          <w:highlight w:val="none"/>
        </w:rPr>
        <w:t>部门决算表</w:t>
      </w: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jc w:val="left"/>
        <w:rPr>
          <w:sz w:val="32"/>
          <w:szCs w:val="32"/>
          <w:highlight w:val="none"/>
        </w:rPr>
      </w:pPr>
    </w:p>
    <w:p>
      <w:pPr>
        <w:jc w:val="left"/>
        <w:rPr>
          <w:rFonts w:asciiTheme="minorEastAsia" w:hAnsiTheme="minorEastAsia"/>
          <w:sz w:val="32"/>
          <w:szCs w:val="32"/>
          <w:highlight w:val="none"/>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highlight w:val="none"/>
        </w:rPr>
      </w:pPr>
      <w:r>
        <w:rPr>
          <w:rFonts w:ascii="Times New Roman" w:hAnsi="Times New Roman" w:eastAsia="黑体" w:cs="Times New Roman"/>
          <w:bCs/>
          <w:kern w:val="0"/>
          <w:sz w:val="32"/>
          <w:szCs w:val="32"/>
          <w:highlight w:val="none"/>
        </w:rPr>
        <w:t xml:space="preserve"> </w:t>
      </w:r>
      <w:r>
        <w:rPr>
          <w:highlight w:val="none"/>
        </w:rPr>
        <w:drawing>
          <wp:inline distT="0" distB="0" distL="114300" distR="114300">
            <wp:extent cx="8190865" cy="6645910"/>
            <wp:effectExtent l="0" t="0" r="63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8190865" cy="6645910"/>
                    </a:xfrm>
                    <a:prstGeom prst="rect">
                      <a:avLst/>
                    </a:prstGeom>
                    <a:noFill/>
                    <a:ln>
                      <a:noFill/>
                    </a:ln>
                  </pic:spPr>
                </pic:pic>
              </a:graphicData>
            </a:graphic>
          </wp:inline>
        </w:drawing>
      </w:r>
    </w:p>
    <w:p>
      <w:pPr>
        <w:widowControl/>
        <w:rPr>
          <w:rFonts w:ascii="Times New Roman" w:hAnsi="Times New Roman" w:eastAsia="方正小标宋_GBK" w:cs="Times New Roman"/>
          <w:color w:val="000000"/>
          <w:kern w:val="0"/>
          <w:sz w:val="36"/>
          <w:szCs w:val="36"/>
          <w:highlight w:val="none"/>
        </w:rPr>
      </w:pPr>
    </w:p>
    <w:p>
      <w:pPr>
        <w:widowControl/>
        <w:jc w:val="both"/>
        <w:rPr>
          <w:rFonts w:ascii="Times New Roman" w:hAnsi="Times New Roman" w:eastAsia="方正小标宋_GBK" w:cs="Times New Roman"/>
          <w:color w:val="000000"/>
          <w:kern w:val="0"/>
          <w:sz w:val="36"/>
          <w:szCs w:val="21"/>
          <w:highlight w:val="none"/>
        </w:rPr>
      </w:pPr>
      <w:r>
        <w:rPr>
          <w:highlight w:val="none"/>
        </w:rPr>
        <w:drawing>
          <wp:inline distT="0" distB="0" distL="114300" distR="114300">
            <wp:extent cx="9769475" cy="6034405"/>
            <wp:effectExtent l="0" t="0" r="9525"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69475" cy="6034405"/>
                    </a:xfrm>
                    <a:prstGeom prst="rect">
                      <a:avLst/>
                    </a:prstGeom>
                    <a:noFill/>
                    <a:ln>
                      <a:noFill/>
                    </a:ln>
                  </pic:spPr>
                </pic:pic>
              </a:graphicData>
            </a:graphic>
          </wp:inline>
        </w:drawing>
      </w:r>
    </w:p>
    <w:p>
      <w:pPr>
        <w:widowControl/>
        <w:jc w:val="center"/>
        <w:rPr>
          <w:rFonts w:ascii="Times New Roman" w:hAnsi="Times New Roman" w:eastAsia="方正小标宋_GBK" w:cs="Times New Roman"/>
          <w:kern w:val="0"/>
          <w:sz w:val="36"/>
          <w:szCs w:val="36"/>
          <w:highlight w:val="none"/>
        </w:rPr>
      </w:pPr>
      <w:bookmarkStart w:id="0" w:name="RANGE!A1:I22"/>
      <w:bookmarkEnd w:id="0"/>
      <w:bookmarkStart w:id="1" w:name="RANGE!A1:F16"/>
      <w:r>
        <w:rPr>
          <w:highlight w:val="none"/>
        </w:rPr>
        <w:drawing>
          <wp:inline distT="0" distB="0" distL="114300" distR="114300">
            <wp:extent cx="9150350" cy="591820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150350" cy="5918200"/>
                    </a:xfrm>
                    <a:prstGeom prst="rect">
                      <a:avLst/>
                    </a:prstGeom>
                    <a:noFill/>
                    <a:ln>
                      <a:noFill/>
                    </a:ln>
                  </pic:spPr>
                </pic:pic>
              </a:graphicData>
            </a:graphic>
          </wp:inline>
        </w:drawing>
      </w:r>
    </w:p>
    <w:p>
      <w:pPr>
        <w:widowControl/>
        <w:jc w:val="center"/>
        <w:rPr>
          <w:highlight w:val="none"/>
        </w:rPr>
      </w:pPr>
      <w:r>
        <w:rPr>
          <w:highlight w:val="none"/>
        </w:rPr>
        <w:drawing>
          <wp:inline distT="0" distB="0" distL="114300" distR="114300">
            <wp:extent cx="8912860" cy="6194425"/>
            <wp:effectExtent l="0" t="0" r="2540" b="317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7"/>
                    <a:stretch>
                      <a:fillRect/>
                    </a:stretch>
                  </pic:blipFill>
                  <pic:spPr>
                    <a:xfrm>
                      <a:off x="0" y="0"/>
                      <a:ext cx="8912860" cy="6194425"/>
                    </a:xfrm>
                    <a:prstGeom prst="rect">
                      <a:avLst/>
                    </a:prstGeom>
                    <a:noFill/>
                    <a:ln>
                      <a:noFill/>
                    </a:ln>
                  </pic:spPr>
                </pic:pic>
              </a:graphicData>
            </a:graphic>
          </wp:inline>
        </w:drawing>
      </w:r>
    </w:p>
    <w:p>
      <w:pPr>
        <w:widowControl/>
        <w:jc w:val="center"/>
        <w:rPr>
          <w:highlight w:val="none"/>
        </w:rPr>
      </w:pPr>
      <w:r>
        <w:rPr>
          <w:highlight w:val="none"/>
        </w:rPr>
        <w:drawing>
          <wp:inline distT="0" distB="0" distL="114300" distR="114300">
            <wp:extent cx="6788150" cy="608965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6788150" cy="6089650"/>
                    </a:xfrm>
                    <a:prstGeom prst="rect">
                      <a:avLst/>
                    </a:prstGeom>
                    <a:noFill/>
                    <a:ln>
                      <a:noFill/>
                    </a:ln>
                  </pic:spPr>
                </pic:pic>
              </a:graphicData>
            </a:graphic>
          </wp:inline>
        </w:drawing>
      </w:r>
    </w:p>
    <w:p>
      <w:pPr>
        <w:pStyle w:val="2"/>
        <w:rPr>
          <w:highlight w:val="none"/>
        </w:rPr>
      </w:pPr>
    </w:p>
    <w:bookmarkEnd w:id="1"/>
    <w:tbl>
      <w:tblPr>
        <w:tblStyle w:val="8"/>
        <w:tblW w:w="15578" w:type="dxa"/>
        <w:tblInd w:w="0" w:type="dxa"/>
        <w:tblLayout w:type="fixed"/>
        <w:tblCellMar>
          <w:top w:w="0" w:type="dxa"/>
          <w:left w:w="108" w:type="dxa"/>
          <w:bottom w:w="0" w:type="dxa"/>
          <w:right w:w="108" w:type="dxa"/>
        </w:tblCellMar>
      </w:tblPr>
      <w:tblGrid>
        <w:gridCol w:w="895"/>
        <w:gridCol w:w="99"/>
        <w:gridCol w:w="9"/>
        <w:gridCol w:w="236"/>
        <w:gridCol w:w="963"/>
        <w:gridCol w:w="245"/>
        <w:gridCol w:w="1814"/>
        <w:gridCol w:w="60"/>
        <w:gridCol w:w="245"/>
        <w:gridCol w:w="717"/>
        <w:gridCol w:w="887"/>
        <w:gridCol w:w="310"/>
        <w:gridCol w:w="245"/>
        <w:gridCol w:w="1761"/>
        <w:gridCol w:w="113"/>
        <w:gridCol w:w="245"/>
        <w:gridCol w:w="663"/>
        <w:gridCol w:w="913"/>
        <w:gridCol w:w="172"/>
        <w:gridCol w:w="245"/>
        <w:gridCol w:w="1874"/>
        <w:gridCol w:w="245"/>
        <w:gridCol w:w="1670"/>
        <w:gridCol w:w="543"/>
        <w:gridCol w:w="409"/>
      </w:tblGrid>
      <w:tr>
        <w:tblPrEx>
          <w:tblLayout w:type="fixed"/>
        </w:tblPrEx>
        <w:trPr>
          <w:trHeight w:val="113" w:hRule="atLeast"/>
        </w:trPr>
        <w:tc>
          <w:tcPr>
            <w:tcW w:w="15578" w:type="dxa"/>
            <w:gridSpan w:val="25"/>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highlight w:val="none"/>
              </w:rPr>
            </w:pPr>
            <w:bookmarkStart w:id="2" w:name="RANGE!A1:I34"/>
            <w:r>
              <w:rPr>
                <w:rFonts w:hint="eastAsia" w:ascii="华文中宋" w:hAnsi="华文中宋" w:eastAsia="华文中宋" w:cs="宋体"/>
                <w:color w:val="000000"/>
                <w:kern w:val="0"/>
                <w:szCs w:val="32"/>
                <w:highlight w:val="none"/>
              </w:rPr>
              <w:t>一般公共预算财政拨款基本支出决算明细表</w:t>
            </w:r>
            <w:bookmarkEnd w:id="2"/>
          </w:p>
          <w:p>
            <w:pPr>
              <w:widowControl/>
              <w:wordWrap/>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 xml:space="preserve">部门： </w:t>
            </w:r>
            <w:r>
              <w:rPr>
                <w:rFonts w:hint="eastAsia" w:ascii="宋体" w:hAnsi="宋体" w:eastAsia="宋体" w:cs="宋体"/>
                <w:i w:val="0"/>
                <w:color w:val="000000"/>
                <w:kern w:val="0"/>
                <w:sz w:val="20"/>
                <w:szCs w:val="20"/>
                <w:highlight w:val="none"/>
                <w:u w:val="none"/>
                <w:lang w:val="en-US" w:eastAsia="zh-CN"/>
              </w:rPr>
              <w:t>湖南省农垦管理服务站</w:t>
            </w:r>
            <w:r>
              <w:rPr>
                <w:rFonts w:hint="eastAsia" w:ascii="Times New Roman" w:hAnsi="Times New Roman" w:eastAsia="仿宋_GB2312" w:cs="Times New Roman"/>
                <w:color w:val="000000"/>
                <w:kern w:val="0"/>
                <w:szCs w:val="21"/>
                <w:highlight w:val="none"/>
              </w:rPr>
              <w:t xml:space="preserve">       </w:t>
            </w:r>
            <w:r>
              <w:rPr>
                <w:rFonts w:hint="eastAsia" w:ascii="Times New Roman" w:hAnsi="Times New Roman" w:eastAsia="仿宋_GB2312" w:cs="Times New Roman"/>
                <w:color w:val="000000"/>
                <w:kern w:val="0"/>
                <w:szCs w:val="21"/>
                <w:highlight w:val="none"/>
                <w:lang w:val="en-US" w:eastAsia="zh-CN"/>
              </w:rPr>
              <w:t xml:space="preserve"> </w:t>
            </w:r>
            <w:r>
              <w:rPr>
                <w:rFonts w:hint="eastAsia" w:ascii="Times New Roman" w:hAnsi="Times New Roman" w:eastAsia="仿宋_GB2312" w:cs="Times New Roman"/>
                <w:color w:val="000000"/>
                <w:kern w:val="0"/>
                <w:szCs w:val="21"/>
                <w:highlight w:val="none"/>
              </w:rPr>
              <w:t xml:space="preserve">                                                                                                     </w:t>
            </w:r>
            <w:r>
              <w:rPr>
                <w:rFonts w:ascii="Times New Roman" w:hAnsi="Times New Roman" w:eastAsia="仿宋_GB2312" w:cs="Times New Roman"/>
                <w:color w:val="000000"/>
                <w:kern w:val="0"/>
                <w:szCs w:val="21"/>
                <w:highlight w:val="none"/>
              </w:rPr>
              <w:t xml:space="preserve">  </w:t>
            </w:r>
            <w:r>
              <w:rPr>
                <w:rFonts w:hint="eastAsia" w:ascii="Times New Roman" w:hAnsi="Times New Roman" w:eastAsia="仿宋_GB2312" w:cs="Times New Roman"/>
                <w:color w:val="000000"/>
                <w:kern w:val="0"/>
                <w:szCs w:val="21"/>
                <w:highlight w:val="none"/>
              </w:rPr>
              <w:t>公开06表</w:t>
            </w:r>
          </w:p>
          <w:p>
            <w:pPr>
              <w:widowControl/>
              <w:jc w:val="right"/>
              <w:rPr>
                <w:rFonts w:ascii="华文中宋" w:hAnsi="华文中宋" w:eastAsia="华文中宋" w:cs="宋体"/>
                <w:color w:val="000000"/>
                <w:kern w:val="0"/>
                <w:szCs w:val="32"/>
                <w:highlight w:val="none"/>
              </w:rPr>
            </w:pPr>
            <w:r>
              <w:rPr>
                <w:rFonts w:hint="eastAsia" w:ascii="Times New Roman" w:hAnsi="Times New Roman" w:eastAsia="仿宋_GB2312" w:cs="Times New Roman"/>
                <w:color w:val="000000"/>
                <w:kern w:val="0"/>
                <w:szCs w:val="21"/>
                <w:highlight w:val="none"/>
              </w:rPr>
              <w:t>单位：万元</w:t>
            </w:r>
          </w:p>
        </w:tc>
      </w:tr>
      <w:tr>
        <w:tblPrEx>
          <w:tblLayout w:type="fixed"/>
          <w:tblCellMar>
            <w:top w:w="0" w:type="dxa"/>
            <w:left w:w="108" w:type="dxa"/>
            <w:bottom w:w="0" w:type="dxa"/>
            <w:right w:w="108" w:type="dxa"/>
          </w:tblCellMar>
        </w:tblPrEx>
        <w:trPr>
          <w:trHeight w:val="627" w:hRule="atLeast"/>
        </w:trPr>
        <w:tc>
          <w:tcPr>
            <w:tcW w:w="8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 w:val="20"/>
                <w:szCs w:val="20"/>
                <w:highlight w:val="none"/>
              </w:rPr>
              <w:t>经济分类科目编码</w:t>
            </w:r>
          </w:p>
        </w:tc>
        <w:tc>
          <w:tcPr>
            <w:tcW w:w="336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科目名称</w:t>
            </w:r>
          </w:p>
        </w:tc>
        <w:tc>
          <w:tcPr>
            <w:tcW w:w="102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决算数</w:t>
            </w:r>
          </w:p>
        </w:tc>
        <w:tc>
          <w:tcPr>
            <w:tcW w:w="88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经济分类科目编码</w:t>
            </w:r>
          </w:p>
        </w:tc>
        <w:tc>
          <w:tcPr>
            <w:tcW w:w="231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科目名称</w:t>
            </w:r>
          </w:p>
        </w:tc>
        <w:tc>
          <w:tcPr>
            <w:tcW w:w="102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决算数</w:t>
            </w:r>
          </w:p>
        </w:tc>
        <w:tc>
          <w:tcPr>
            <w:tcW w:w="9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经济分类科目编码</w:t>
            </w:r>
          </w:p>
        </w:tc>
        <w:tc>
          <w:tcPr>
            <w:tcW w:w="420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科目名称</w:t>
            </w:r>
          </w:p>
        </w:tc>
        <w:tc>
          <w:tcPr>
            <w:tcW w:w="95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决算数</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工资福利支出</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636.42</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商品和服务支出</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112.43</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307</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债务利息及费用支出</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30101</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基本工资</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265.88</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30201</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办公费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4.10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30701</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国内债务付息</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30102</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津贴补贴</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108.47</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30202</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印刷费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1.50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30702</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国外债务付息</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30103</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奖金</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75.24</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30203</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咨询费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2.50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资本性支出</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30106</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伙食补助费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13.20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30204</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手续费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31001</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房屋建筑物购建</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30107</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绩效工资</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40.96</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30205</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水费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31002</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办公设备购置</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30108</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机关事业单位基本养老保险缴费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33.14</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30206</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电费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31003</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专用设备购置</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30109</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职业年金缴费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30207</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邮电费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1.20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31005</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基础设施建设</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30110</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职工基本医疗保险缴费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26.43</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30208</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取暖费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1.00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31006</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大型修缮</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30111</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公务员医疗补助缴费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24.15</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30209</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物业管理费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6.00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31007</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信息网络及软件购置更新</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30112</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其他社会保障缴费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3.03</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30211</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差旅费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3.00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31008</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物资储备</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30113</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住房公积金</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45.92</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30212</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因公出国（境）费用</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31009</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土地补偿</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30114</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医疗费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30213</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维修（护）费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3.00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31010</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安置补助</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30199</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其他工资福利支出</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30214</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租赁费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31011</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地上附着物和青苗补偿</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对个人和家庭的补助</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169.26</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30215</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会议费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31012</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拆迁补偿</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30301</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离休费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30216</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培训费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0.03</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31013</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公务用车购置</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30302</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退休费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94.82</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30217</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公务接待费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0.04</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31019</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其他交通工具购置</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30303</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退职（役）费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30218</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专用材料费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31021</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文物和陈列品购置</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30304</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抚恤金</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34.14</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30224</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被装购置费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31022</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无形资产购置</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30305</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生活补助</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30225</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专用燃料费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31099</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其他资本性支出</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30306</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救济费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30226</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劳务费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16.93</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其他支出</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30307</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医疗费补助</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30227</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委托业务费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39906</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赠与</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30308</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助学金</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30228</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工会经费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14.59</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39907</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国家赔偿费用支出</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30309</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奖励金</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31.72</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30229</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福利费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9.82</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39908</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对民间非营利组织和群众性自治组织补贴</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30310</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个人农业生产补贴</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30231</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公务用车运行维护费</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39999</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其他支出</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30311</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代缴社会保险费</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0.00</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30239</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其他交通费用</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26.09</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30399</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其他对个人和家庭的补助</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8.58</w:t>
            </w: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30240</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税金及附加费用</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0.00</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952"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kern w:val="0"/>
                <w:szCs w:val="20"/>
                <w:highlight w:val="none"/>
              </w:rPr>
            </w:pPr>
          </w:p>
        </w:tc>
      </w:tr>
      <w:tr>
        <w:tblPrEx>
          <w:tblLayout w:type="fixed"/>
          <w:tblCellMar>
            <w:top w:w="0" w:type="dxa"/>
            <w:left w:w="108" w:type="dxa"/>
            <w:bottom w:w="0" w:type="dxa"/>
            <w:right w:w="108" w:type="dxa"/>
          </w:tblCellMar>
        </w:tblPrEx>
        <w:trPr>
          <w:trHeight w:val="284" w:hRule="exact"/>
        </w:trPr>
        <w:tc>
          <w:tcPr>
            <w:tcW w:w="8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w:t>
            </w:r>
          </w:p>
        </w:tc>
        <w:tc>
          <w:tcPr>
            <w:tcW w:w="3366" w:type="dxa"/>
            <w:gridSpan w:val="6"/>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p>
        </w:tc>
        <w:tc>
          <w:tcPr>
            <w:tcW w:w="88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30299</w:t>
            </w:r>
          </w:p>
        </w:tc>
        <w:tc>
          <w:tcPr>
            <w:tcW w:w="2316"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 xml:space="preserve">  其他商品和服务支出</w:t>
            </w:r>
          </w:p>
        </w:tc>
        <w:tc>
          <w:tcPr>
            <w:tcW w:w="1021"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highlight w:val="none"/>
              </w:rPr>
            </w:pPr>
            <w:r>
              <w:rPr>
                <w:rFonts w:hint="eastAsia" w:ascii="宋体" w:hAnsi="宋体" w:eastAsia="宋体" w:cs="宋体"/>
                <w:i w:val="0"/>
                <w:color w:val="000000"/>
                <w:kern w:val="0"/>
                <w:sz w:val="22"/>
                <w:szCs w:val="22"/>
                <w:highlight w:val="none"/>
                <w:u w:val="none"/>
                <w:lang w:val="en-US" w:eastAsia="zh-CN" w:bidi="ar"/>
              </w:rPr>
              <w:t>22.63</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4206"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highlight w:val="none"/>
              </w:rPr>
            </w:pPr>
            <w:r>
              <w:rPr>
                <w:rFonts w:hint="eastAsia" w:ascii="宋体" w:hAnsi="宋体" w:eastAsia="宋体" w:cs="宋体"/>
                <w:color w:val="000000"/>
                <w:kern w:val="0"/>
                <w:szCs w:val="18"/>
                <w:highlight w:val="none"/>
              </w:rPr>
              <w:t>　</w:t>
            </w:r>
          </w:p>
        </w:tc>
        <w:tc>
          <w:tcPr>
            <w:tcW w:w="952" w:type="dxa"/>
            <w:gridSpan w:val="2"/>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kern w:val="0"/>
                <w:szCs w:val="20"/>
                <w:highlight w:val="none"/>
              </w:rPr>
            </w:pPr>
          </w:p>
        </w:tc>
      </w:tr>
      <w:tr>
        <w:tblPrEx>
          <w:tblLayout w:type="fixed"/>
          <w:tblCellMar>
            <w:top w:w="0" w:type="dxa"/>
            <w:left w:w="108" w:type="dxa"/>
            <w:bottom w:w="0" w:type="dxa"/>
            <w:right w:w="108" w:type="dxa"/>
          </w:tblCellMar>
        </w:tblPrEx>
        <w:trPr>
          <w:trHeight w:val="284" w:hRule="exact"/>
        </w:trPr>
        <w:tc>
          <w:tcPr>
            <w:tcW w:w="4261"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人员经费合计</w:t>
            </w:r>
          </w:p>
        </w:tc>
        <w:tc>
          <w:tcPr>
            <w:tcW w:w="1022"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805.68</w:t>
            </w:r>
          </w:p>
        </w:tc>
        <w:tc>
          <w:tcPr>
            <w:tcW w:w="9343" w:type="dxa"/>
            <w:gridSpan w:val="1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highlight w:val="none"/>
              </w:rPr>
            </w:pPr>
            <w:r>
              <w:rPr>
                <w:rFonts w:hint="eastAsia" w:ascii="宋体" w:hAnsi="宋体" w:eastAsia="宋体" w:cs="宋体"/>
                <w:color w:val="000000"/>
                <w:kern w:val="0"/>
                <w:szCs w:val="20"/>
                <w:highlight w:val="none"/>
              </w:rPr>
              <w:t>公用经费合计</w:t>
            </w:r>
          </w:p>
        </w:tc>
        <w:tc>
          <w:tcPr>
            <w:tcW w:w="952"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18"/>
                <w:highlight w:val="none"/>
              </w:rPr>
            </w:pPr>
            <w:r>
              <w:rPr>
                <w:rFonts w:hint="eastAsia" w:ascii="宋体" w:hAnsi="宋体" w:eastAsia="宋体" w:cs="宋体"/>
                <w:i w:val="0"/>
                <w:color w:val="000000"/>
                <w:kern w:val="0"/>
                <w:sz w:val="22"/>
                <w:szCs w:val="22"/>
                <w:highlight w:val="none"/>
                <w:u w:val="none"/>
                <w:lang w:val="en-US" w:eastAsia="zh-CN" w:bidi="ar"/>
              </w:rPr>
              <w:t>112.43</w:t>
            </w:r>
          </w:p>
        </w:tc>
      </w:tr>
      <w:tr>
        <w:tblPrEx>
          <w:tblLayout w:type="fixed"/>
          <w:tblCellMar>
            <w:top w:w="0" w:type="dxa"/>
            <w:left w:w="108" w:type="dxa"/>
            <w:bottom w:w="0" w:type="dxa"/>
            <w:right w:w="108" w:type="dxa"/>
          </w:tblCellMar>
        </w:tblPrEx>
        <w:trPr>
          <w:trHeight w:val="284" w:hRule="exact"/>
        </w:trPr>
        <w:tc>
          <w:tcPr>
            <w:tcW w:w="15578" w:type="dxa"/>
            <w:gridSpan w:val="25"/>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highlight w:val="none"/>
              </w:rPr>
            </w:pPr>
            <w:r>
              <w:rPr>
                <w:rFonts w:hint="eastAsia" w:ascii="宋体" w:hAnsi="宋体" w:eastAsia="宋体" w:cs="宋体"/>
                <w:color w:val="000000"/>
                <w:kern w:val="0"/>
                <w:szCs w:val="24"/>
                <w:highlight w:val="none"/>
              </w:rPr>
              <w:t>注：本表反映部门本年度一般公共预算财政拨款基本支出明细情况。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690" w:hRule="atLeast"/>
        </w:trPr>
        <w:tc>
          <w:tcPr>
            <w:tcW w:w="15169" w:type="dxa"/>
            <w:gridSpan w:val="24"/>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highlight w:val="none"/>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highlight w:val="none"/>
                <w:u w:val="none"/>
              </w:rPr>
            </w:pPr>
            <w:r>
              <w:rPr>
                <w:rFonts w:hint="eastAsia" w:ascii="华文中宋" w:hAnsi="华文中宋" w:eastAsia="华文中宋" w:cs="华文中宋"/>
                <w:i w:val="0"/>
                <w:color w:val="000000"/>
                <w:kern w:val="0"/>
                <w:sz w:val="32"/>
                <w:szCs w:val="32"/>
                <w:highlight w:val="none"/>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345" w:hRule="atLeast"/>
        </w:trPr>
        <w:tc>
          <w:tcPr>
            <w:tcW w:w="1003" w:type="dxa"/>
            <w:gridSpan w:val="3"/>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highlight w:val="none"/>
                <w:u w:val="none"/>
              </w:rPr>
            </w:pPr>
          </w:p>
        </w:tc>
        <w:tc>
          <w:tcPr>
            <w:tcW w:w="23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highlight w:val="none"/>
                <w:u w:val="none"/>
              </w:rPr>
            </w:pPr>
          </w:p>
        </w:tc>
        <w:tc>
          <w:tcPr>
            <w:tcW w:w="1208"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highlight w:val="none"/>
                <w:u w:val="none"/>
              </w:rPr>
            </w:pPr>
          </w:p>
        </w:tc>
        <w:tc>
          <w:tcPr>
            <w:tcW w:w="2119"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2159" w:type="dxa"/>
            <w:gridSpan w:val="4"/>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2119"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993" w:type="dxa"/>
            <w:gridSpan w:val="4"/>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2213"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690" w:hRule="atLeast"/>
        </w:trPr>
        <w:tc>
          <w:tcPr>
            <w:tcW w:w="4566" w:type="dxa"/>
            <w:gridSpan w:val="9"/>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rPr>
              <w:t>部门：湖南省农垦管理服务站</w:t>
            </w:r>
          </w:p>
        </w:tc>
        <w:tc>
          <w:tcPr>
            <w:tcW w:w="2159" w:type="dxa"/>
            <w:gridSpan w:val="4"/>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2119"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993" w:type="dxa"/>
            <w:gridSpan w:val="4"/>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2213"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459" w:hRule="atLeast"/>
        </w:trPr>
        <w:tc>
          <w:tcPr>
            <w:tcW w:w="22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 xml:space="preserve">项 </w:t>
            </w:r>
            <w:r>
              <w:rPr>
                <w:rStyle w:val="16"/>
                <w:highlight w:val="none"/>
                <w:lang w:val="en-US" w:eastAsia="zh-CN"/>
              </w:rPr>
              <w:t xml:space="preserve">   </w:t>
            </w:r>
            <w:r>
              <w:rPr>
                <w:rStyle w:val="17"/>
                <w:highlight w:val="none"/>
                <w:lang w:val="en-US" w:eastAsia="zh-CN"/>
              </w:rPr>
              <w:t>目</w:t>
            </w:r>
          </w:p>
        </w:tc>
        <w:tc>
          <w:tcPr>
            <w:tcW w:w="211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年初结转和结余</w:t>
            </w:r>
          </w:p>
        </w:tc>
        <w:tc>
          <w:tcPr>
            <w:tcW w:w="215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本年收入</w:t>
            </w:r>
          </w:p>
        </w:tc>
        <w:tc>
          <w:tcPr>
            <w:tcW w:w="623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本年支出</w:t>
            </w:r>
          </w:p>
        </w:tc>
        <w:tc>
          <w:tcPr>
            <w:tcW w:w="245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609" w:hRule="atLeast"/>
        </w:trPr>
        <w:tc>
          <w:tcPr>
            <w:tcW w:w="9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科目代码</w:t>
            </w:r>
          </w:p>
        </w:tc>
        <w:tc>
          <w:tcPr>
            <w:tcW w:w="120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科目名称</w:t>
            </w: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5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1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小计</w:t>
            </w:r>
          </w:p>
        </w:tc>
        <w:tc>
          <w:tcPr>
            <w:tcW w:w="199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 xml:space="preserve">基本支出  </w:t>
            </w: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项目支出</w:t>
            </w:r>
          </w:p>
        </w:tc>
        <w:tc>
          <w:tcPr>
            <w:tcW w:w="245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409" w:hRule="atLeast"/>
        </w:trPr>
        <w:tc>
          <w:tcPr>
            <w:tcW w:w="9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20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5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99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45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509" w:hRule="atLeast"/>
        </w:trPr>
        <w:tc>
          <w:tcPr>
            <w:tcW w:w="9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20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5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1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99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45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509" w:hRule="atLeast"/>
        </w:trPr>
        <w:tc>
          <w:tcPr>
            <w:tcW w:w="22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栏次</w:t>
            </w: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1</w:t>
            </w: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2</w:t>
            </w: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3</w:t>
            </w:r>
          </w:p>
        </w:tc>
        <w:tc>
          <w:tcPr>
            <w:tcW w:w="1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4</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5</w:t>
            </w:r>
          </w:p>
        </w:tc>
        <w:tc>
          <w:tcPr>
            <w:tcW w:w="2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509" w:hRule="atLeast"/>
        </w:trPr>
        <w:tc>
          <w:tcPr>
            <w:tcW w:w="22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合计</w:t>
            </w: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509" w:hRule="atLeast"/>
        </w:trPr>
        <w:tc>
          <w:tcPr>
            <w:tcW w:w="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1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509" w:hRule="atLeast"/>
        </w:trPr>
        <w:tc>
          <w:tcPr>
            <w:tcW w:w="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1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509" w:hRule="atLeast"/>
        </w:trPr>
        <w:tc>
          <w:tcPr>
            <w:tcW w:w="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1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509" w:hRule="atLeast"/>
        </w:trPr>
        <w:tc>
          <w:tcPr>
            <w:tcW w:w="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1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509" w:hRule="atLeast"/>
        </w:trPr>
        <w:tc>
          <w:tcPr>
            <w:tcW w:w="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1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509" w:hRule="atLeast"/>
        </w:trPr>
        <w:tc>
          <w:tcPr>
            <w:tcW w:w="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12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1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2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409" w:type="dxa"/>
          <w:trHeight w:val="725" w:hRule="atLeast"/>
        </w:trPr>
        <w:tc>
          <w:tcPr>
            <w:tcW w:w="15169" w:type="dxa"/>
            <w:gridSpan w:val="2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highlight w:val="none"/>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highlight w:val="none"/>
                <w:u w:val="none"/>
                <w:lang w:val="en-US" w:eastAsia="zh-CN"/>
              </w:rPr>
            </w:pPr>
            <w:r>
              <w:rPr>
                <w:rFonts w:hint="eastAsia" w:ascii="楷体" w:hAnsi="楷体" w:eastAsia="楷体" w:cs="楷体"/>
                <w:b/>
                <w:bCs/>
                <w:i w:val="0"/>
                <w:color w:val="auto"/>
                <w:kern w:val="0"/>
                <w:sz w:val="24"/>
                <w:szCs w:val="24"/>
                <w:highlight w:val="none"/>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highlight w:val="none"/>
        </w:rPr>
      </w:pPr>
    </w:p>
    <w:p>
      <w:pPr>
        <w:widowControl/>
        <w:jc w:val="center"/>
        <w:rPr>
          <w:rFonts w:hint="eastAsia" w:ascii="Times New Roman" w:hAnsi="Times New Roman" w:eastAsia="方正小标宋_GBK" w:cs="Times New Roman"/>
          <w:color w:val="000000"/>
          <w:kern w:val="0"/>
          <w:sz w:val="36"/>
          <w:szCs w:val="36"/>
          <w:highlight w:val="none"/>
        </w:rPr>
      </w:pPr>
    </w:p>
    <w:tbl>
      <w:tblPr>
        <w:tblStyle w:val="8"/>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highlight w:val="none"/>
                <w:u w:val="none"/>
              </w:rPr>
            </w:pPr>
            <w:r>
              <w:rPr>
                <w:rFonts w:hint="eastAsia" w:ascii="华文中宋" w:hAnsi="华文中宋" w:eastAsia="华文中宋" w:cs="华文中宋"/>
                <w:i w:val="0"/>
                <w:color w:val="000000"/>
                <w:kern w:val="0"/>
                <w:sz w:val="32"/>
                <w:szCs w:val="32"/>
                <w:highlight w:val="none"/>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highlight w:val="none"/>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highlight w:val="none"/>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highlight w:val="none"/>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both"/>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rPr>
              <w:t>部门：湖南省农垦管理服务站</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 xml:space="preserve">项 </w:t>
            </w:r>
            <w:r>
              <w:rPr>
                <w:rFonts w:hint="eastAsia" w:ascii="宋体" w:hAnsi="宋体" w:eastAsia="宋体" w:cs="宋体"/>
                <w:i w:val="0"/>
                <w:color w:val="000000"/>
                <w:kern w:val="0"/>
                <w:sz w:val="22"/>
                <w:szCs w:val="22"/>
                <w:highlight w:val="none"/>
                <w:u w:val="none"/>
                <w:lang w:val="en-US" w:eastAsia="zh-CN"/>
              </w:rPr>
              <w:t xml:space="preserve">   </w:t>
            </w:r>
            <w:r>
              <w:rPr>
                <w:rStyle w:val="18"/>
                <w:highlight w:val="none"/>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highlight w:val="none"/>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highlight w:val="none"/>
                <w:u w:val="none"/>
                <w:lang w:val="en-US" w:eastAsia="zh-CN"/>
              </w:rPr>
            </w:pPr>
            <w:r>
              <w:rPr>
                <w:rFonts w:hint="eastAsia" w:ascii="宋体" w:hAnsi="宋体" w:eastAsia="宋体" w:cs="宋体"/>
                <w:i w:val="0"/>
                <w:color w:val="000000"/>
                <w:kern w:val="0"/>
                <w:sz w:val="24"/>
                <w:szCs w:val="24"/>
                <w:highlight w:val="none"/>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highlight w:val="none"/>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highlight w:val="none"/>
                <w:u w:val="none"/>
                <w:lang w:val="en-US" w:eastAsia="zh-CN"/>
              </w:rPr>
            </w:pPr>
            <w:r>
              <w:rPr>
                <w:rFonts w:hint="eastAsia" w:ascii="楷体" w:hAnsi="楷体" w:eastAsia="楷体" w:cs="楷体"/>
                <w:b/>
                <w:bCs/>
                <w:i w:val="0"/>
                <w:color w:val="auto"/>
                <w:kern w:val="0"/>
                <w:sz w:val="24"/>
                <w:szCs w:val="24"/>
                <w:highlight w:val="none"/>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highlight w:val="none"/>
        </w:rPr>
      </w:pPr>
    </w:p>
    <w:tbl>
      <w:tblPr>
        <w:tblStyle w:val="8"/>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highlight w:val="none"/>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highlight w:val="none"/>
                <w:u w:val="none"/>
              </w:rPr>
            </w:pPr>
            <w:r>
              <w:rPr>
                <w:rFonts w:hint="eastAsia" w:ascii="华文中宋" w:hAnsi="华文中宋" w:eastAsia="华文中宋" w:cs="华文中宋"/>
                <w:i w:val="0"/>
                <w:color w:val="000000"/>
                <w:kern w:val="0"/>
                <w:sz w:val="32"/>
                <w:szCs w:val="32"/>
                <w:highlight w:val="none"/>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rPr>
              <w:t>部门：湖南省农垦管理服务站</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highlight w:val="none"/>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highlight w:val="none"/>
                <w:u w:val="none"/>
              </w:rPr>
            </w:pPr>
            <w:r>
              <w:rPr>
                <w:rFonts w:hint="eastAsia" w:ascii="宋体" w:hAnsi="宋体" w:eastAsia="宋体" w:cs="宋体"/>
                <w:i w:val="0"/>
                <w:color w:val="000000"/>
                <w:kern w:val="0"/>
                <w:sz w:val="20"/>
                <w:szCs w:val="20"/>
                <w:highlight w:val="none"/>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highlight w:val="none"/>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highlight w:val="none"/>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公务用车</w:t>
            </w:r>
            <w:r>
              <w:rPr>
                <w:rFonts w:hint="eastAsia" w:ascii="宋体" w:hAnsi="宋体" w:eastAsia="宋体" w:cs="宋体"/>
                <w:i w:val="0"/>
                <w:color w:val="000000"/>
                <w:kern w:val="0"/>
                <w:sz w:val="22"/>
                <w:szCs w:val="22"/>
                <w:highlight w:val="none"/>
                <w:u w:val="none"/>
                <w:lang w:val="en-US" w:eastAsia="zh-CN"/>
              </w:rPr>
              <w:br w:type="textWrapping"/>
            </w:r>
            <w:r>
              <w:rPr>
                <w:rFonts w:hint="eastAsia" w:ascii="宋体" w:hAnsi="宋体" w:eastAsia="宋体" w:cs="宋体"/>
                <w:i w:val="0"/>
                <w:color w:val="000000"/>
                <w:kern w:val="0"/>
                <w:sz w:val="22"/>
                <w:szCs w:val="22"/>
                <w:highlight w:val="none"/>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公务用车</w:t>
            </w:r>
            <w:r>
              <w:rPr>
                <w:rFonts w:hint="eastAsia" w:ascii="宋体" w:hAnsi="宋体" w:eastAsia="宋体" w:cs="宋体"/>
                <w:i w:val="0"/>
                <w:color w:val="000000"/>
                <w:kern w:val="0"/>
                <w:sz w:val="22"/>
                <w:szCs w:val="22"/>
                <w:highlight w:val="none"/>
                <w:u w:val="none"/>
                <w:lang w:val="en-US" w:eastAsia="zh-CN"/>
              </w:rPr>
              <w:br w:type="textWrapping"/>
            </w:r>
            <w:r>
              <w:rPr>
                <w:rFonts w:hint="eastAsia" w:ascii="宋体" w:hAnsi="宋体" w:eastAsia="宋体" w:cs="宋体"/>
                <w:i w:val="0"/>
                <w:color w:val="000000"/>
                <w:kern w:val="0"/>
                <w:sz w:val="22"/>
                <w:szCs w:val="22"/>
                <w:highlight w:val="none"/>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highlight w:val="none"/>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highlight w:val="none"/>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highlight w:val="none"/>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公务用车</w:t>
            </w:r>
            <w:r>
              <w:rPr>
                <w:rFonts w:hint="eastAsia" w:ascii="宋体" w:hAnsi="宋体" w:eastAsia="宋体" w:cs="宋体"/>
                <w:i w:val="0"/>
                <w:color w:val="000000"/>
                <w:kern w:val="0"/>
                <w:sz w:val="22"/>
                <w:szCs w:val="22"/>
                <w:highlight w:val="none"/>
                <w:u w:val="none"/>
                <w:lang w:val="en-US" w:eastAsia="zh-CN"/>
              </w:rPr>
              <w:br w:type="textWrapping"/>
            </w:r>
            <w:r>
              <w:rPr>
                <w:rFonts w:hint="eastAsia" w:ascii="宋体" w:hAnsi="宋体" w:eastAsia="宋体" w:cs="宋体"/>
                <w:i w:val="0"/>
                <w:color w:val="000000"/>
                <w:kern w:val="0"/>
                <w:sz w:val="22"/>
                <w:szCs w:val="22"/>
                <w:highlight w:val="none"/>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公务用车</w:t>
            </w:r>
            <w:r>
              <w:rPr>
                <w:rFonts w:hint="eastAsia" w:ascii="宋体" w:hAnsi="宋体" w:eastAsia="宋体" w:cs="宋体"/>
                <w:i w:val="0"/>
                <w:color w:val="000000"/>
                <w:kern w:val="0"/>
                <w:sz w:val="22"/>
                <w:szCs w:val="22"/>
                <w:highlight w:val="none"/>
                <w:u w:val="none"/>
                <w:lang w:val="en-US" w:eastAsia="zh-CN"/>
              </w:rPr>
              <w:br w:type="textWrapping"/>
            </w:r>
            <w:r>
              <w:rPr>
                <w:rFonts w:hint="eastAsia" w:ascii="宋体" w:hAnsi="宋体" w:eastAsia="宋体" w:cs="宋体"/>
                <w:i w:val="0"/>
                <w:color w:val="000000"/>
                <w:kern w:val="0"/>
                <w:sz w:val="22"/>
                <w:szCs w:val="22"/>
                <w:highlight w:val="none"/>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1.00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color w:val="000000"/>
                <w:kern w:val="0"/>
                <w:sz w:val="22"/>
                <w:szCs w:val="22"/>
                <w:highlight w:val="none"/>
                <w:u w:val="none"/>
                <w:lang w:val="en-US" w:eastAsia="zh-CN" w:bidi="ar"/>
              </w:rPr>
              <w:t>0.04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highlight w:val="none"/>
                <w:u w:val="none"/>
              </w:rPr>
            </w:pPr>
            <w:r>
              <w:rPr>
                <w:rFonts w:hint="eastAsia" w:ascii="宋体" w:hAnsi="宋体" w:eastAsia="宋体" w:cs="宋体"/>
                <w:i w:val="0"/>
                <w:color w:val="000000"/>
                <w:kern w:val="0"/>
                <w:sz w:val="24"/>
                <w:szCs w:val="24"/>
                <w:highlight w:val="none"/>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highlight w:val="none"/>
        </w:rPr>
      </w:pPr>
    </w:p>
    <w:p>
      <w:pPr>
        <w:autoSpaceDE w:val="0"/>
        <w:autoSpaceDN w:val="0"/>
        <w:adjustRightInd w:val="0"/>
        <w:ind w:left="315" w:leftChars="150"/>
        <w:jc w:val="left"/>
        <w:rPr>
          <w:rFonts w:ascii="宋体" w:eastAsia="宋体" w:cs="宋体"/>
          <w:kern w:val="0"/>
          <w:sz w:val="24"/>
          <w:szCs w:val="24"/>
          <w:highlight w:val="none"/>
        </w:rPr>
      </w:pPr>
    </w:p>
    <w:p>
      <w:pPr>
        <w:autoSpaceDE w:val="0"/>
        <w:autoSpaceDN w:val="0"/>
        <w:adjustRightInd w:val="0"/>
        <w:ind w:left="315" w:leftChars="150"/>
        <w:jc w:val="left"/>
        <w:rPr>
          <w:rFonts w:ascii="宋体" w:eastAsia="宋体" w:cs="宋体"/>
          <w:kern w:val="0"/>
          <w:sz w:val="24"/>
          <w:szCs w:val="24"/>
          <w:highlight w:val="none"/>
        </w:rPr>
      </w:pPr>
    </w:p>
    <w:p>
      <w:pPr>
        <w:autoSpaceDE w:val="0"/>
        <w:autoSpaceDN w:val="0"/>
        <w:adjustRightInd w:val="0"/>
        <w:ind w:left="315" w:leftChars="150"/>
        <w:jc w:val="left"/>
        <w:rPr>
          <w:rFonts w:ascii="宋体" w:eastAsia="宋体" w:cs="宋体"/>
          <w:kern w:val="0"/>
          <w:sz w:val="24"/>
          <w:szCs w:val="24"/>
          <w:highlight w:val="none"/>
        </w:rPr>
      </w:pPr>
    </w:p>
    <w:p>
      <w:pPr>
        <w:autoSpaceDE w:val="0"/>
        <w:autoSpaceDN w:val="0"/>
        <w:adjustRightInd w:val="0"/>
        <w:ind w:left="315" w:leftChars="150"/>
        <w:jc w:val="left"/>
        <w:rPr>
          <w:rFonts w:ascii="宋体" w:eastAsia="宋体" w:cs="宋体"/>
          <w:kern w:val="0"/>
          <w:sz w:val="24"/>
          <w:szCs w:val="24"/>
          <w:highlight w:val="none"/>
        </w:rPr>
      </w:pPr>
    </w:p>
    <w:p>
      <w:pPr>
        <w:widowControl/>
        <w:jc w:val="both"/>
        <w:rPr>
          <w:sz w:val="72"/>
          <w:szCs w:val="72"/>
          <w:highlight w:val="none"/>
        </w:rPr>
        <w:sectPr>
          <w:pgSz w:w="16838" w:h="11906" w:orient="landscape"/>
          <w:pgMar w:top="720" w:right="720" w:bottom="720" w:left="720" w:header="851" w:footer="992" w:gutter="0"/>
          <w:cols w:space="425" w:num="1"/>
          <w:docGrid w:type="lines" w:linePitch="312" w:charSpace="0"/>
        </w:sectPr>
      </w:pPr>
      <w:r>
        <w:rPr>
          <w:highlight w:val="none"/>
        </w:rPr>
        <w:br w:type="page"/>
      </w:r>
    </w:p>
    <w:p>
      <w:pPr>
        <w:pStyle w:val="13"/>
        <w:rPr>
          <w:sz w:val="72"/>
          <w:szCs w:val="72"/>
          <w:highlight w:val="none"/>
        </w:rPr>
      </w:pPr>
    </w:p>
    <w:p>
      <w:pPr>
        <w:pStyle w:val="13"/>
        <w:rPr>
          <w:sz w:val="72"/>
          <w:szCs w:val="72"/>
          <w:highlight w:val="none"/>
        </w:rPr>
      </w:pPr>
    </w:p>
    <w:p>
      <w:pPr>
        <w:pStyle w:val="13"/>
        <w:rPr>
          <w:sz w:val="72"/>
          <w:szCs w:val="72"/>
          <w:highlight w:val="none"/>
        </w:rPr>
      </w:pPr>
    </w:p>
    <w:p>
      <w:pPr>
        <w:pStyle w:val="13"/>
        <w:rPr>
          <w:sz w:val="72"/>
          <w:szCs w:val="72"/>
          <w:highlight w:val="none"/>
        </w:rPr>
      </w:pPr>
    </w:p>
    <w:p>
      <w:pPr>
        <w:pStyle w:val="13"/>
        <w:jc w:val="center"/>
        <w:rPr>
          <w:sz w:val="72"/>
          <w:szCs w:val="72"/>
          <w:highlight w:val="none"/>
        </w:rPr>
      </w:pPr>
    </w:p>
    <w:p>
      <w:pPr>
        <w:pStyle w:val="13"/>
        <w:jc w:val="center"/>
        <w:rPr>
          <w:rFonts w:hint="eastAsia" w:ascii="方正小标宋_GBK" w:hAnsi="方正小标宋_GBK" w:eastAsia="方正小标宋_GBK" w:cs="方正小标宋_GBK"/>
          <w:sz w:val="72"/>
          <w:szCs w:val="72"/>
          <w:highlight w:val="none"/>
        </w:rPr>
      </w:pPr>
    </w:p>
    <w:p>
      <w:pPr>
        <w:pStyle w:val="13"/>
        <w:jc w:val="center"/>
        <w:rPr>
          <w:rFonts w:hint="eastAsia" w:ascii="方正小标宋_GBK" w:hAnsi="方正小标宋_GBK" w:eastAsia="方正小标宋_GBK" w:cs="方正小标宋_GBK"/>
          <w:sz w:val="72"/>
          <w:szCs w:val="72"/>
          <w:highlight w:val="none"/>
        </w:rPr>
      </w:pPr>
      <w:r>
        <w:rPr>
          <w:rFonts w:hint="eastAsia" w:ascii="方正小标宋_GBK" w:hAnsi="方正小标宋_GBK" w:eastAsia="方正小标宋_GBK" w:cs="方正小标宋_GBK"/>
          <w:sz w:val="72"/>
          <w:szCs w:val="72"/>
          <w:highlight w:val="none"/>
        </w:rPr>
        <w:t>第三部分</w:t>
      </w:r>
    </w:p>
    <w:p>
      <w:pPr>
        <w:pStyle w:val="13"/>
        <w:jc w:val="center"/>
        <w:rPr>
          <w:rFonts w:hint="eastAsia" w:ascii="方正小标宋_GBK" w:hAnsi="方正小标宋_GBK" w:eastAsia="方正小标宋_GBK" w:cs="方正小标宋_GBK"/>
          <w:sz w:val="70"/>
          <w:szCs w:val="70"/>
          <w:highlight w:val="none"/>
        </w:rPr>
      </w:pPr>
    </w:p>
    <w:p>
      <w:pPr>
        <w:pStyle w:val="13"/>
        <w:jc w:val="center"/>
        <w:rPr>
          <w:rFonts w:hint="eastAsia" w:ascii="方正小标宋_GBK" w:hAnsi="方正小标宋_GBK" w:eastAsia="方正小标宋_GBK" w:cs="方正小标宋_GBK"/>
          <w:sz w:val="70"/>
          <w:szCs w:val="70"/>
          <w:highlight w:val="none"/>
        </w:rPr>
      </w:pPr>
      <w:r>
        <w:rPr>
          <w:rFonts w:hint="eastAsia" w:ascii="方正小标宋_GBK" w:hAnsi="方正小标宋_GBK" w:eastAsia="方正小标宋_GBK" w:cs="方正小标宋_GBK"/>
          <w:sz w:val="70"/>
          <w:szCs w:val="70"/>
          <w:highlight w:val="none"/>
        </w:rPr>
        <w:t>202</w:t>
      </w:r>
      <w:r>
        <w:rPr>
          <w:rFonts w:hint="eastAsia" w:ascii="方正小标宋_GBK" w:hAnsi="方正小标宋_GBK" w:eastAsia="方正小标宋_GBK" w:cs="方正小标宋_GBK"/>
          <w:sz w:val="70"/>
          <w:szCs w:val="70"/>
          <w:highlight w:val="none"/>
          <w:lang w:val="en-US" w:eastAsia="zh-CN"/>
        </w:rPr>
        <w:t>2</w:t>
      </w:r>
      <w:r>
        <w:rPr>
          <w:rFonts w:hint="eastAsia" w:ascii="方正小标宋_GBK" w:hAnsi="方正小标宋_GBK" w:eastAsia="方正小标宋_GBK" w:cs="方正小标宋_GBK"/>
          <w:sz w:val="70"/>
          <w:szCs w:val="70"/>
          <w:highlight w:val="none"/>
        </w:rPr>
        <w:t>年度部门决算情况说明</w:t>
      </w:r>
    </w:p>
    <w:p>
      <w:pPr>
        <w:widowControl/>
        <w:jc w:val="left"/>
        <w:rPr>
          <w:rFonts w:asciiTheme="minorEastAsia" w:hAnsiTheme="minorEastAsia" w:eastAsiaTheme="minorEastAsia"/>
          <w:sz w:val="32"/>
          <w:szCs w:val="32"/>
          <w:highlight w:val="none"/>
        </w:rPr>
      </w:pPr>
      <w:r>
        <w:rPr>
          <w:highlight w:val="none"/>
        </w:rPr>
        <w:br w:type="page"/>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一、收入支出决算总体情况说明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年度收、支总计</w:t>
      </w:r>
      <w:r>
        <w:rPr>
          <w:rFonts w:hint="eastAsia" w:ascii="Times New Roman" w:hAnsi="Times New Roman" w:eastAsia="仿宋_GB2312"/>
          <w:sz w:val="32"/>
          <w:szCs w:val="32"/>
          <w:highlight w:val="none"/>
          <w:lang w:val="en-US" w:eastAsia="zh-CN"/>
        </w:rPr>
        <w:t>1052.36</w:t>
      </w:r>
      <w:r>
        <w:rPr>
          <w:rFonts w:hint="eastAsia" w:ascii="Times New Roman" w:hAnsi="Times New Roman" w:eastAsia="仿宋_GB2312"/>
          <w:sz w:val="32"/>
          <w:szCs w:val="32"/>
          <w:highlight w:val="none"/>
        </w:rPr>
        <w:t>万元。与上年相比，增加</w:t>
      </w:r>
      <w:r>
        <w:rPr>
          <w:rFonts w:hint="eastAsia" w:ascii="Times New Roman" w:hAnsi="Times New Roman" w:eastAsia="仿宋_GB2312"/>
          <w:sz w:val="32"/>
          <w:szCs w:val="32"/>
          <w:highlight w:val="none"/>
          <w:lang w:val="en-US" w:eastAsia="zh-CN"/>
        </w:rPr>
        <w:t>272.86</w:t>
      </w:r>
      <w:r>
        <w:rPr>
          <w:rFonts w:hint="eastAsia" w:ascii="Times New Roman" w:hAnsi="Times New Roman" w:eastAsia="仿宋_GB2312"/>
          <w:sz w:val="32"/>
          <w:szCs w:val="32"/>
          <w:highlight w:val="none"/>
        </w:rPr>
        <w:t>万元，增长</w:t>
      </w:r>
      <w:r>
        <w:rPr>
          <w:rFonts w:hint="eastAsia" w:ascii="Times New Roman" w:hAnsi="Times New Roman" w:eastAsia="仿宋_GB2312"/>
          <w:sz w:val="32"/>
          <w:szCs w:val="32"/>
          <w:highlight w:val="none"/>
          <w:lang w:val="en-US" w:eastAsia="zh-CN"/>
        </w:rPr>
        <w:t>35</w:t>
      </w:r>
      <w:r>
        <w:rPr>
          <w:rFonts w:hint="eastAsia" w:ascii="Times New Roman" w:hAnsi="Times New Roman" w:eastAsia="仿宋_GB2312"/>
          <w:sz w:val="32"/>
          <w:szCs w:val="32"/>
          <w:highlight w:val="none"/>
        </w:rPr>
        <w:t>%，主要是因为</w:t>
      </w:r>
      <w:r>
        <w:rPr>
          <w:rFonts w:hint="eastAsia" w:ascii="Times New Roman" w:hAnsi="Times New Roman" w:eastAsia="仿宋_GB2312"/>
          <w:sz w:val="32"/>
          <w:szCs w:val="32"/>
          <w:highlight w:val="none"/>
          <w:lang w:val="en-US" w:eastAsia="zh-CN"/>
        </w:rPr>
        <w:t>年中追加2021、2022年绩效工资</w:t>
      </w:r>
      <w:r>
        <w:rPr>
          <w:rFonts w:hint="eastAsia" w:ascii="Times New Roman" w:hAnsi="Times New Roman" w:eastAsia="仿宋_GB2312"/>
          <w:sz w:val="32"/>
          <w:szCs w:val="32"/>
          <w:highlight w:val="none"/>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二、收入决算情况说明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年度收入合计</w:t>
      </w:r>
      <w:r>
        <w:rPr>
          <w:rFonts w:hint="eastAsia" w:ascii="Times New Roman" w:hAnsi="Times New Roman" w:eastAsia="仿宋_GB2312"/>
          <w:sz w:val="32"/>
          <w:szCs w:val="32"/>
          <w:highlight w:val="none"/>
          <w:lang w:val="en-US" w:eastAsia="zh-CN"/>
        </w:rPr>
        <w:t>1022.06</w:t>
      </w:r>
      <w:r>
        <w:rPr>
          <w:rFonts w:hint="eastAsia" w:ascii="Times New Roman" w:hAnsi="Times New Roman" w:eastAsia="仿宋_GB2312"/>
          <w:sz w:val="32"/>
          <w:szCs w:val="32"/>
          <w:highlight w:val="none"/>
        </w:rPr>
        <w:t>万元，其中：财政拨款收入</w:t>
      </w:r>
      <w:r>
        <w:rPr>
          <w:rFonts w:hint="eastAsia" w:ascii="Times New Roman" w:hAnsi="Times New Roman" w:eastAsia="仿宋_GB2312"/>
          <w:sz w:val="32"/>
          <w:szCs w:val="32"/>
          <w:highlight w:val="none"/>
          <w:lang w:val="en-US" w:eastAsia="zh-CN"/>
        </w:rPr>
        <w:t>1021.79</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99.97</w:t>
      </w:r>
      <w:r>
        <w:rPr>
          <w:rFonts w:hint="eastAsia" w:ascii="Times New Roman" w:hAnsi="Times New Roman" w:eastAsia="仿宋_GB2312"/>
          <w:sz w:val="32"/>
          <w:szCs w:val="32"/>
          <w:highlight w:val="none"/>
        </w:rPr>
        <w:t>%；上级补助收入</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%；事业收入</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%；经营收入</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%；附属单位上缴收入</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%；其他收入</w:t>
      </w:r>
      <w:r>
        <w:rPr>
          <w:rFonts w:hint="eastAsia" w:ascii="Times New Roman" w:hAnsi="Times New Roman" w:eastAsia="仿宋_GB2312"/>
          <w:sz w:val="32"/>
          <w:szCs w:val="32"/>
          <w:highlight w:val="none"/>
          <w:lang w:val="en-US" w:eastAsia="zh-CN"/>
        </w:rPr>
        <w:t>0.27</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0.03</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三、支出决算情况说明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年度支出合计</w:t>
      </w:r>
      <w:r>
        <w:rPr>
          <w:rFonts w:hint="eastAsia" w:ascii="Times New Roman" w:hAnsi="Times New Roman" w:eastAsia="仿宋_GB2312"/>
          <w:sz w:val="32"/>
          <w:szCs w:val="32"/>
          <w:highlight w:val="none"/>
          <w:lang w:val="en-US" w:eastAsia="zh-CN"/>
        </w:rPr>
        <w:t>979.12</w:t>
      </w:r>
      <w:r>
        <w:rPr>
          <w:rFonts w:hint="eastAsia" w:ascii="Times New Roman" w:hAnsi="Times New Roman" w:eastAsia="仿宋_GB2312"/>
          <w:sz w:val="32"/>
          <w:szCs w:val="32"/>
          <w:highlight w:val="none"/>
        </w:rPr>
        <w:t>万元，其中：基本支出</w:t>
      </w:r>
      <w:r>
        <w:rPr>
          <w:rFonts w:hint="eastAsia" w:ascii="Times New Roman" w:hAnsi="Times New Roman" w:eastAsia="仿宋_GB2312"/>
          <w:sz w:val="32"/>
          <w:szCs w:val="32"/>
          <w:highlight w:val="none"/>
          <w:lang w:val="en-US" w:eastAsia="zh-CN"/>
        </w:rPr>
        <w:t>918.12</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93.80</w:t>
      </w:r>
      <w:r>
        <w:rPr>
          <w:rFonts w:hint="eastAsia" w:ascii="Times New Roman" w:hAnsi="Times New Roman" w:eastAsia="仿宋_GB2312"/>
          <w:sz w:val="32"/>
          <w:szCs w:val="32"/>
          <w:highlight w:val="none"/>
        </w:rPr>
        <w:t>%；项目支出</w:t>
      </w:r>
      <w:r>
        <w:rPr>
          <w:rFonts w:hint="eastAsia" w:ascii="Times New Roman" w:hAnsi="Times New Roman" w:eastAsia="仿宋_GB2312"/>
          <w:sz w:val="32"/>
          <w:szCs w:val="32"/>
          <w:highlight w:val="none"/>
          <w:lang w:val="en-US" w:eastAsia="zh-CN"/>
        </w:rPr>
        <w:t>60.66</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6.20</w:t>
      </w:r>
      <w:r>
        <w:rPr>
          <w:rFonts w:hint="eastAsia" w:ascii="Times New Roman" w:hAnsi="Times New Roman" w:eastAsia="仿宋_GB2312"/>
          <w:sz w:val="32"/>
          <w:szCs w:val="32"/>
          <w:highlight w:val="none"/>
        </w:rPr>
        <w:t>%；上缴上级支出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%；经营支出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%；对附属单位补助支出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四、财政拨款收入支出决算总体情况说明</w:t>
      </w:r>
    </w:p>
    <w:p>
      <w:pPr>
        <w:pStyle w:val="13"/>
        <w:keepNext w:val="0"/>
        <w:keepLines w:val="0"/>
        <w:pageBreakBefore w:val="0"/>
        <w:widowControl w:val="0"/>
        <w:kinsoku/>
        <w:wordWrap/>
        <w:overflowPunct/>
        <w:topLinePunct w:val="0"/>
        <w:bidi w:val="0"/>
        <w:snapToGrid/>
        <w:spacing w:line="600" w:lineRule="exact"/>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 xml:space="preserve">    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年度财政拨款收、支总计</w:t>
      </w:r>
      <w:r>
        <w:rPr>
          <w:rFonts w:hint="eastAsia" w:ascii="Times New Roman" w:hAnsi="Times New Roman" w:eastAsia="仿宋_GB2312"/>
          <w:sz w:val="32"/>
          <w:szCs w:val="32"/>
          <w:highlight w:val="none"/>
          <w:lang w:val="en-US" w:eastAsia="zh-CN"/>
        </w:rPr>
        <w:t>1050.93</w:t>
      </w:r>
      <w:r>
        <w:rPr>
          <w:rFonts w:hint="eastAsia" w:ascii="Times New Roman" w:hAnsi="Times New Roman" w:eastAsia="仿宋_GB2312"/>
          <w:sz w:val="32"/>
          <w:szCs w:val="32"/>
          <w:highlight w:val="none"/>
        </w:rPr>
        <w:t>万元，与上年相比，增加</w:t>
      </w:r>
      <w:r>
        <w:rPr>
          <w:rFonts w:hint="eastAsia" w:ascii="Times New Roman" w:hAnsi="Times New Roman" w:eastAsia="仿宋_GB2312"/>
          <w:sz w:val="32"/>
          <w:szCs w:val="32"/>
          <w:highlight w:val="none"/>
          <w:lang w:val="en-US" w:eastAsia="zh-CN"/>
        </w:rPr>
        <w:t>296.14</w:t>
      </w:r>
      <w:r>
        <w:rPr>
          <w:rFonts w:hint="eastAsia" w:ascii="Times New Roman" w:hAnsi="Times New Roman" w:eastAsia="仿宋_GB2312"/>
          <w:sz w:val="32"/>
          <w:szCs w:val="32"/>
          <w:highlight w:val="none"/>
        </w:rPr>
        <w:t>万元,增长</w:t>
      </w:r>
      <w:r>
        <w:rPr>
          <w:rFonts w:hint="eastAsia" w:ascii="Times New Roman" w:hAnsi="Times New Roman" w:eastAsia="仿宋_GB2312"/>
          <w:sz w:val="32"/>
          <w:szCs w:val="32"/>
          <w:highlight w:val="none"/>
          <w:lang w:val="en-US" w:eastAsia="zh-CN"/>
        </w:rPr>
        <w:t>39.23</w:t>
      </w:r>
      <w:r>
        <w:rPr>
          <w:rFonts w:hint="eastAsia" w:ascii="Times New Roman" w:hAnsi="Times New Roman" w:eastAsia="仿宋_GB2312"/>
          <w:sz w:val="32"/>
          <w:szCs w:val="32"/>
          <w:highlight w:val="none"/>
        </w:rPr>
        <w:t>%，主要是因为主要是因为</w:t>
      </w:r>
      <w:r>
        <w:rPr>
          <w:rFonts w:hint="eastAsia" w:ascii="Times New Roman" w:hAnsi="Times New Roman" w:eastAsia="仿宋_GB2312"/>
          <w:sz w:val="32"/>
          <w:szCs w:val="32"/>
          <w:highlight w:val="none"/>
          <w:lang w:val="en-US" w:eastAsia="zh-CN"/>
        </w:rPr>
        <w:t>年中追加2021、2022年绩效工资</w:t>
      </w:r>
      <w:r>
        <w:rPr>
          <w:rFonts w:hint="eastAsia" w:ascii="Times New Roman" w:hAnsi="Times New Roman" w:eastAsia="仿宋_GB2312"/>
          <w:sz w:val="32"/>
          <w:szCs w:val="32"/>
          <w:highlight w:val="none"/>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五、一般公共预算财政拨款支出决算情况说明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highlight w:val="none"/>
        </w:rPr>
      </w:pPr>
      <w:r>
        <w:rPr>
          <w:rFonts w:hint="eastAsia" w:ascii="楷体" w:hAnsi="楷体" w:eastAsia="楷体" w:cs="楷体"/>
          <w:b w:val="0"/>
          <w:bCs/>
          <w:sz w:val="32"/>
          <w:szCs w:val="32"/>
          <w:highlight w:val="none"/>
        </w:rPr>
        <w:t>（一）财政拨款支出决算总体情况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年度财政拨款支出</w:t>
      </w:r>
      <w:r>
        <w:rPr>
          <w:rFonts w:hint="eastAsia" w:ascii="Times New Roman" w:hAnsi="Times New Roman" w:eastAsia="仿宋_GB2312"/>
          <w:sz w:val="32"/>
          <w:szCs w:val="32"/>
          <w:highlight w:val="none"/>
          <w:lang w:val="en-US" w:eastAsia="zh-CN"/>
        </w:rPr>
        <w:t>977.69</w:t>
      </w:r>
      <w:r>
        <w:rPr>
          <w:rFonts w:hint="eastAsia" w:ascii="Times New Roman" w:hAnsi="Times New Roman" w:eastAsia="仿宋_GB2312"/>
          <w:sz w:val="32"/>
          <w:szCs w:val="32"/>
          <w:highlight w:val="none"/>
        </w:rPr>
        <w:t>万元，占本年支出合计的</w:t>
      </w:r>
      <w:r>
        <w:rPr>
          <w:rFonts w:hint="eastAsia" w:ascii="Times New Roman" w:hAnsi="Times New Roman" w:eastAsia="仿宋_GB2312"/>
          <w:sz w:val="32"/>
          <w:szCs w:val="32"/>
          <w:highlight w:val="none"/>
          <w:lang w:val="en-US" w:eastAsia="zh-CN"/>
        </w:rPr>
        <w:t>99.85</w:t>
      </w:r>
      <w:r>
        <w:rPr>
          <w:rFonts w:hint="eastAsia" w:ascii="Times New Roman" w:hAnsi="Times New Roman" w:eastAsia="仿宋_GB2312"/>
          <w:sz w:val="32"/>
          <w:szCs w:val="32"/>
          <w:highlight w:val="none"/>
        </w:rPr>
        <w:t>%，与上年相比，财政拨款支出增加</w:t>
      </w:r>
      <w:r>
        <w:rPr>
          <w:rFonts w:hint="eastAsia" w:ascii="Times New Roman" w:hAnsi="Times New Roman" w:eastAsia="仿宋_GB2312"/>
          <w:sz w:val="32"/>
          <w:szCs w:val="32"/>
          <w:highlight w:val="none"/>
          <w:lang w:val="en-US" w:eastAsia="zh-CN"/>
        </w:rPr>
        <w:t>427.90</w:t>
      </w:r>
      <w:r>
        <w:rPr>
          <w:rFonts w:hint="eastAsia" w:ascii="Times New Roman" w:hAnsi="Times New Roman" w:eastAsia="仿宋_GB2312"/>
          <w:sz w:val="32"/>
          <w:szCs w:val="32"/>
          <w:highlight w:val="none"/>
        </w:rPr>
        <w:t>万元，增长</w:t>
      </w:r>
      <w:r>
        <w:rPr>
          <w:rFonts w:hint="eastAsia" w:ascii="Times New Roman" w:hAnsi="Times New Roman" w:eastAsia="仿宋_GB2312"/>
          <w:sz w:val="32"/>
          <w:szCs w:val="32"/>
          <w:highlight w:val="none"/>
          <w:lang w:val="en-US" w:eastAsia="zh-CN"/>
        </w:rPr>
        <w:t>77.83</w:t>
      </w:r>
      <w:r>
        <w:rPr>
          <w:rFonts w:hint="eastAsia" w:ascii="Times New Roman" w:hAnsi="Times New Roman" w:eastAsia="仿宋_GB2312"/>
          <w:sz w:val="32"/>
          <w:szCs w:val="32"/>
          <w:highlight w:val="none"/>
        </w:rPr>
        <w:t>%，主要是因为主要是因为本年发放上年应发未发人员经费</w:t>
      </w:r>
      <w:r>
        <w:rPr>
          <w:rFonts w:hint="eastAsia" w:ascii="Times New Roman" w:hAnsi="Times New Roman" w:eastAsia="仿宋_GB2312"/>
          <w:sz w:val="32"/>
          <w:szCs w:val="32"/>
          <w:highlight w:val="none"/>
          <w:lang w:eastAsia="zh-CN"/>
        </w:rPr>
        <w:t>。</w:t>
      </w:r>
    </w:p>
    <w:p>
      <w:pPr>
        <w:pStyle w:val="13"/>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highlight w:val="none"/>
        </w:rPr>
      </w:pPr>
      <w:r>
        <w:rPr>
          <w:rFonts w:hint="eastAsia" w:ascii="楷体" w:hAnsi="楷体" w:eastAsia="楷体" w:cs="楷体"/>
          <w:b w:val="0"/>
          <w:bCs/>
          <w:sz w:val="32"/>
          <w:szCs w:val="32"/>
          <w:highlight w:val="none"/>
        </w:rPr>
        <w:t>（二）财政拨款支出决算结构情况</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年度财政拨款支出</w:t>
      </w:r>
      <w:r>
        <w:rPr>
          <w:rFonts w:hint="eastAsia" w:ascii="Times New Roman" w:hAnsi="Times New Roman" w:eastAsia="仿宋_GB2312"/>
          <w:sz w:val="32"/>
          <w:szCs w:val="32"/>
          <w:highlight w:val="none"/>
          <w:lang w:val="en-US" w:eastAsia="zh-CN"/>
        </w:rPr>
        <w:t>977.69</w:t>
      </w:r>
      <w:r>
        <w:rPr>
          <w:rFonts w:hint="eastAsia" w:ascii="Times New Roman" w:hAnsi="Times New Roman" w:eastAsia="仿宋_GB2312"/>
          <w:sz w:val="32"/>
          <w:szCs w:val="32"/>
          <w:highlight w:val="none"/>
        </w:rPr>
        <w:t>万元，主要用于以下方面：一般公共服务（类）支出</w:t>
      </w:r>
      <w:r>
        <w:rPr>
          <w:rFonts w:hint="eastAsia" w:ascii="Times New Roman" w:hAnsi="Times New Roman" w:eastAsia="仿宋_GB2312"/>
          <w:sz w:val="32"/>
          <w:szCs w:val="32"/>
          <w:highlight w:val="none"/>
          <w:lang w:val="en-US" w:eastAsia="zh-CN"/>
        </w:rPr>
        <w:t>41.62</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4.26</w:t>
      </w:r>
      <w:r>
        <w:rPr>
          <w:rFonts w:hint="eastAsia" w:ascii="Times New Roman" w:hAnsi="Times New Roman" w:eastAsia="仿宋_GB2312"/>
          <w:sz w:val="32"/>
          <w:szCs w:val="32"/>
          <w:highlight w:val="none"/>
        </w:rPr>
        <w:t>%；社会保障和就业（类）支出</w:t>
      </w:r>
      <w:r>
        <w:rPr>
          <w:rFonts w:hint="eastAsia" w:ascii="Times New Roman" w:hAnsi="Times New Roman" w:eastAsia="仿宋_GB2312"/>
          <w:sz w:val="32"/>
          <w:szCs w:val="32"/>
          <w:highlight w:val="none"/>
          <w:lang w:val="en-US" w:eastAsia="zh-CN"/>
        </w:rPr>
        <w:t>87.27</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8.93</w:t>
      </w:r>
      <w:r>
        <w:rPr>
          <w:rFonts w:hint="eastAsia" w:ascii="Times New Roman" w:hAnsi="Times New Roman" w:eastAsia="仿宋_GB2312"/>
          <w:sz w:val="32"/>
          <w:szCs w:val="32"/>
          <w:highlight w:val="none"/>
        </w:rPr>
        <w:t>%;农林水</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类）支出</w:t>
      </w:r>
      <w:r>
        <w:rPr>
          <w:rFonts w:hint="eastAsia" w:ascii="Times New Roman" w:hAnsi="Times New Roman" w:eastAsia="仿宋_GB2312"/>
          <w:sz w:val="32"/>
          <w:szCs w:val="32"/>
          <w:highlight w:val="none"/>
          <w:lang w:val="en-US" w:eastAsia="zh-CN"/>
        </w:rPr>
        <w:t>848.80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86.82</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highlight w:val="none"/>
        </w:rPr>
      </w:pPr>
      <w:r>
        <w:rPr>
          <w:rFonts w:hint="eastAsia" w:ascii="楷体" w:hAnsi="楷体" w:eastAsia="楷体" w:cs="楷体"/>
          <w:b w:val="0"/>
          <w:bCs/>
          <w:sz w:val="32"/>
          <w:szCs w:val="32"/>
          <w:highlight w:val="none"/>
        </w:rPr>
        <w:t>（三）财政拨款支出决算具体情况</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年度财政拨款支出年初预算数为</w:t>
      </w:r>
      <w:r>
        <w:rPr>
          <w:rFonts w:hint="eastAsia" w:ascii="Times New Roman" w:hAnsi="Times New Roman" w:eastAsia="仿宋_GB2312"/>
          <w:sz w:val="32"/>
          <w:szCs w:val="32"/>
          <w:highlight w:val="none"/>
          <w:lang w:val="en-US" w:eastAsia="zh-CN"/>
        </w:rPr>
        <w:t>636.73</w:t>
      </w:r>
      <w:r>
        <w:rPr>
          <w:rFonts w:hint="eastAsia" w:ascii="Times New Roman" w:hAnsi="Times New Roman" w:eastAsia="仿宋_GB2312"/>
          <w:sz w:val="32"/>
          <w:szCs w:val="32"/>
          <w:highlight w:val="none"/>
        </w:rPr>
        <w:t>万元，支出决算数为</w:t>
      </w:r>
      <w:r>
        <w:rPr>
          <w:rFonts w:hint="eastAsia" w:ascii="Times New Roman" w:hAnsi="Times New Roman" w:eastAsia="仿宋_GB2312"/>
          <w:sz w:val="32"/>
          <w:szCs w:val="32"/>
          <w:highlight w:val="none"/>
          <w:lang w:val="en-US" w:eastAsia="zh-CN"/>
        </w:rPr>
        <w:t>977.69</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153.55</w:t>
      </w:r>
      <w:r>
        <w:rPr>
          <w:rFonts w:hint="eastAsia" w:ascii="Times New Roman" w:hAnsi="Times New Roman" w:eastAsia="仿宋_GB2312"/>
          <w:sz w:val="32"/>
          <w:szCs w:val="32"/>
          <w:highlight w:val="none"/>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1、一般公共服务（类）人大事务（款）行政运行（项）。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19.10</w:t>
      </w:r>
      <w:r>
        <w:rPr>
          <w:rFonts w:hint="eastAsia" w:ascii="Times New Roman" w:hAnsi="Times New Roman" w:eastAsia="仿宋_GB2312"/>
          <w:sz w:val="32"/>
          <w:szCs w:val="32"/>
          <w:highlight w:val="none"/>
        </w:rPr>
        <w:t>万元，决算数大于年初预算数的主要原因是：</w:t>
      </w:r>
      <w:r>
        <w:rPr>
          <w:rFonts w:hint="eastAsia" w:ascii="Times New Roman" w:hAnsi="Times New Roman" w:eastAsia="仿宋_GB2312"/>
          <w:sz w:val="32"/>
          <w:szCs w:val="32"/>
          <w:highlight w:val="none"/>
          <w:lang w:val="en-US" w:eastAsia="zh-CN"/>
        </w:rPr>
        <w:t>资金来源于指标调剂。</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2、一般公共服务（类）财政事务（款）其他财政事务支出（项）。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23.80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22.52</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94.62</w:t>
      </w:r>
      <w:r>
        <w:rPr>
          <w:rFonts w:hint="eastAsia" w:ascii="Times New Roman" w:hAnsi="Times New Roman" w:eastAsia="仿宋_GB2312"/>
          <w:sz w:val="32"/>
          <w:szCs w:val="32"/>
          <w:highlight w:val="none"/>
        </w:rPr>
        <w:t>%，决算数小于年初预算数的主要原因是：</w:t>
      </w:r>
      <w:r>
        <w:rPr>
          <w:rFonts w:hint="eastAsia" w:ascii="Times New Roman" w:hAnsi="Times New Roman" w:eastAsia="仿宋_GB2312"/>
          <w:sz w:val="32"/>
          <w:szCs w:val="32"/>
          <w:highlight w:val="none"/>
          <w:lang w:val="en-US" w:eastAsia="zh-CN"/>
        </w:rPr>
        <w:t>国外贷款项目配套资金有结余。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3、社会保障和就业</w:t>
      </w:r>
      <w:r>
        <w:rPr>
          <w:rFonts w:hint="eastAsia" w:ascii="Times New Roman" w:hAnsi="Times New Roman" w:eastAsia="仿宋_GB2312"/>
          <w:sz w:val="32"/>
          <w:szCs w:val="32"/>
          <w:highlight w:val="none"/>
        </w:rPr>
        <w:t>（类）行政事业单位养老支出（款）机关事业单位基本养老保险缴费支出（项）。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85.75</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66.65</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77.72</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小</w:t>
      </w:r>
      <w:r>
        <w:rPr>
          <w:rFonts w:hint="eastAsia" w:ascii="Times New Roman" w:hAnsi="Times New Roman" w:eastAsia="仿宋_GB2312"/>
          <w:sz w:val="32"/>
          <w:szCs w:val="32"/>
          <w:highlight w:val="none"/>
        </w:rPr>
        <w:t>于年初预算数的主要原因是：</w:t>
      </w:r>
      <w:r>
        <w:rPr>
          <w:rFonts w:hint="eastAsia" w:ascii="Times New Roman" w:hAnsi="Times New Roman" w:eastAsia="仿宋_GB2312"/>
          <w:sz w:val="32"/>
          <w:szCs w:val="32"/>
          <w:highlight w:val="none"/>
          <w:lang w:val="en-US" w:eastAsia="zh-CN"/>
        </w:rPr>
        <w:t>人员经费调剂。</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4、社会保障和就业</w:t>
      </w:r>
      <w:r>
        <w:rPr>
          <w:rFonts w:hint="eastAsia" w:ascii="Times New Roman" w:hAnsi="Times New Roman" w:eastAsia="仿宋_GB2312"/>
          <w:sz w:val="32"/>
          <w:szCs w:val="32"/>
          <w:highlight w:val="none"/>
        </w:rPr>
        <w:t>（类）抚恤（款）死亡抚恤（项）。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20.42</w:t>
      </w:r>
      <w:r>
        <w:rPr>
          <w:rFonts w:hint="eastAsia" w:ascii="Times New Roman" w:hAnsi="Times New Roman" w:eastAsia="仿宋_GB2312"/>
          <w:sz w:val="32"/>
          <w:szCs w:val="32"/>
          <w:highlight w:val="none"/>
        </w:rPr>
        <w:t>万元，决算数大于年初预算数的主要原因是：</w:t>
      </w:r>
      <w:r>
        <w:rPr>
          <w:rFonts w:hint="eastAsia" w:ascii="Times New Roman" w:hAnsi="Times New Roman" w:eastAsia="仿宋_GB2312"/>
          <w:sz w:val="32"/>
          <w:szCs w:val="32"/>
          <w:highlight w:val="none"/>
          <w:lang w:val="en-US" w:eastAsia="zh-CN"/>
        </w:rPr>
        <w:t>资金来源于年中追加。</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5、社会保障和就业</w:t>
      </w:r>
      <w:r>
        <w:rPr>
          <w:rFonts w:hint="eastAsia" w:ascii="Times New Roman" w:hAnsi="Times New Roman" w:eastAsia="仿宋_GB2312"/>
          <w:sz w:val="32"/>
          <w:szCs w:val="32"/>
          <w:highlight w:val="none"/>
        </w:rPr>
        <w:t>（类）其他社会保障和就业支出（款）其他社会保障和就业支出（项）。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0.20</w:t>
      </w:r>
      <w:r>
        <w:rPr>
          <w:rFonts w:hint="eastAsia" w:ascii="Times New Roman" w:hAnsi="Times New Roman" w:eastAsia="仿宋_GB2312"/>
          <w:sz w:val="32"/>
          <w:szCs w:val="32"/>
          <w:highlight w:val="none"/>
        </w:rPr>
        <w:t>万元，决算数大于年初预算数的主要原因是：</w:t>
      </w:r>
      <w:r>
        <w:rPr>
          <w:rFonts w:hint="eastAsia" w:ascii="Times New Roman" w:hAnsi="Times New Roman" w:eastAsia="仿宋_GB2312"/>
          <w:sz w:val="32"/>
          <w:szCs w:val="32"/>
          <w:highlight w:val="none"/>
          <w:lang w:val="en-US" w:eastAsia="zh-CN"/>
        </w:rPr>
        <w:t>资金来源于年中追加。</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6、农林水</w:t>
      </w:r>
      <w:r>
        <w:rPr>
          <w:rFonts w:hint="eastAsia" w:ascii="Times New Roman" w:hAnsi="Times New Roman" w:eastAsia="仿宋_GB2312"/>
          <w:sz w:val="32"/>
          <w:szCs w:val="32"/>
          <w:highlight w:val="none"/>
        </w:rPr>
        <w:t>（类）农业农村（款）行政运行（项）。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473.86</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614.94</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129.77</w:t>
      </w:r>
      <w:r>
        <w:rPr>
          <w:rFonts w:hint="eastAsia" w:ascii="Times New Roman" w:hAnsi="Times New Roman" w:eastAsia="仿宋_GB2312"/>
          <w:sz w:val="32"/>
          <w:szCs w:val="32"/>
          <w:highlight w:val="none"/>
        </w:rPr>
        <w:t>%，决算数大于年初预算数的主要原因是：</w:t>
      </w:r>
      <w:r>
        <w:rPr>
          <w:rFonts w:hint="eastAsia" w:ascii="Times New Roman" w:hAnsi="Times New Roman" w:eastAsia="仿宋_GB2312"/>
          <w:sz w:val="32"/>
          <w:szCs w:val="32"/>
          <w:highlight w:val="none"/>
          <w:lang w:val="en-US" w:eastAsia="zh-CN"/>
        </w:rPr>
        <w:t>年中追加绩效奖金。</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8、农林水</w:t>
      </w:r>
      <w:r>
        <w:rPr>
          <w:rFonts w:hint="eastAsia" w:ascii="Times New Roman" w:hAnsi="Times New Roman" w:eastAsia="仿宋_GB2312"/>
          <w:sz w:val="32"/>
          <w:szCs w:val="32"/>
          <w:highlight w:val="none"/>
        </w:rPr>
        <w:t>（类）农业农村（款）农垦运行（项）。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46.32</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29.96</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64.68</w:t>
      </w:r>
      <w:r>
        <w:rPr>
          <w:rFonts w:hint="eastAsia" w:ascii="Times New Roman" w:hAnsi="Times New Roman" w:eastAsia="仿宋_GB2312"/>
          <w:sz w:val="32"/>
          <w:szCs w:val="32"/>
          <w:highlight w:val="none"/>
        </w:rPr>
        <w:t>%，决算数小于年初预算数的主要原因是：</w:t>
      </w:r>
      <w:r>
        <w:rPr>
          <w:rFonts w:hint="eastAsia" w:ascii="Times New Roman" w:hAnsi="Times New Roman" w:eastAsia="仿宋_GB2312"/>
          <w:sz w:val="32"/>
          <w:szCs w:val="32"/>
          <w:highlight w:val="none"/>
          <w:lang w:val="en-US" w:eastAsia="zh-CN"/>
        </w:rPr>
        <w:t>因疫情原因会议和培训未能按计划进行。</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3、农林水</w:t>
      </w:r>
      <w:r>
        <w:rPr>
          <w:rFonts w:hint="eastAsia" w:ascii="Times New Roman" w:hAnsi="Times New Roman" w:eastAsia="仿宋_GB2312"/>
          <w:sz w:val="32"/>
          <w:szCs w:val="32"/>
          <w:highlight w:val="none"/>
        </w:rPr>
        <w:t>（类）农业农村（款）农业生产发展（项）。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7.00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6.90</w:t>
      </w:r>
      <w:r>
        <w:rPr>
          <w:rFonts w:hint="eastAsia" w:ascii="Times New Roman" w:hAnsi="Times New Roman" w:eastAsia="仿宋_GB2312"/>
          <w:sz w:val="32"/>
          <w:szCs w:val="32"/>
          <w:highlight w:val="none"/>
        </w:rPr>
        <w:t>万元，完成年初预算的</w:t>
      </w:r>
      <w:r>
        <w:rPr>
          <w:rFonts w:hint="eastAsia" w:ascii="Times New Roman" w:hAnsi="Times New Roman" w:eastAsia="仿宋_GB2312"/>
          <w:sz w:val="32"/>
          <w:szCs w:val="32"/>
          <w:highlight w:val="none"/>
          <w:lang w:val="en-US" w:eastAsia="zh-CN"/>
        </w:rPr>
        <w:t>98.57</w:t>
      </w:r>
      <w:r>
        <w:rPr>
          <w:rFonts w:hint="eastAsia" w:ascii="Times New Roman" w:hAnsi="Times New Roman" w:eastAsia="仿宋_GB2312"/>
          <w:sz w:val="32"/>
          <w:szCs w:val="32"/>
          <w:highlight w:val="none"/>
        </w:rPr>
        <w:t>%，决算数小于年初预算数的主要原因是：</w:t>
      </w:r>
      <w:r>
        <w:rPr>
          <w:rFonts w:hint="eastAsia" w:ascii="Times New Roman" w:hAnsi="Times New Roman" w:eastAsia="仿宋_GB2312"/>
          <w:sz w:val="32"/>
          <w:szCs w:val="32"/>
          <w:highlight w:val="none"/>
          <w:lang w:val="en-US" w:eastAsia="zh-CN"/>
        </w:rPr>
        <w:t>集中育秧项目资金有结余。</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3、农林水</w:t>
      </w:r>
      <w:r>
        <w:rPr>
          <w:rFonts w:hint="eastAsia" w:ascii="Times New Roman" w:hAnsi="Times New Roman" w:eastAsia="仿宋_GB2312"/>
          <w:sz w:val="32"/>
          <w:szCs w:val="32"/>
          <w:highlight w:val="none"/>
        </w:rPr>
        <w:t>（类）水利（款）行政运行（项）。</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197.00</w:t>
      </w:r>
      <w:r>
        <w:rPr>
          <w:rFonts w:hint="eastAsia" w:ascii="Times New Roman" w:hAnsi="Times New Roman" w:eastAsia="仿宋_GB2312"/>
          <w:sz w:val="32"/>
          <w:szCs w:val="32"/>
          <w:highlight w:val="none"/>
        </w:rPr>
        <w:t>万元，决算数大于年初预算数的主要原因是：</w:t>
      </w:r>
      <w:r>
        <w:rPr>
          <w:rFonts w:hint="eastAsia" w:ascii="Times New Roman" w:hAnsi="Times New Roman" w:eastAsia="仿宋_GB2312"/>
          <w:sz w:val="32"/>
          <w:szCs w:val="32"/>
          <w:highlight w:val="none"/>
          <w:lang w:val="en-US" w:eastAsia="zh-CN"/>
        </w:rPr>
        <w:t>年中追加绩效奖金。</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六、一般公共预算财政拨款基本支出决算情况说明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年度财政拨款基本支出</w:t>
      </w:r>
      <w:r>
        <w:rPr>
          <w:rFonts w:hint="eastAsia" w:ascii="Times New Roman" w:hAnsi="Times New Roman" w:eastAsia="仿宋_GB2312"/>
          <w:sz w:val="32"/>
          <w:szCs w:val="32"/>
          <w:highlight w:val="none"/>
          <w:lang w:val="en-US" w:eastAsia="zh-CN"/>
        </w:rPr>
        <w:t>918.11</w:t>
      </w:r>
      <w:r>
        <w:rPr>
          <w:rFonts w:hint="eastAsia" w:ascii="Times New Roman" w:hAnsi="Times New Roman" w:eastAsia="仿宋_GB2312"/>
          <w:sz w:val="32"/>
          <w:szCs w:val="32"/>
          <w:highlight w:val="none"/>
        </w:rPr>
        <w:t>万元，其中：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b/>
          <w:bCs/>
          <w:sz w:val="32"/>
          <w:szCs w:val="32"/>
          <w:highlight w:val="none"/>
        </w:rPr>
        <w:t>人员经费</w:t>
      </w:r>
      <w:r>
        <w:rPr>
          <w:rFonts w:hint="eastAsia" w:ascii="Times New Roman" w:hAnsi="Times New Roman" w:eastAsia="仿宋_GB2312"/>
          <w:sz w:val="32"/>
          <w:szCs w:val="32"/>
          <w:highlight w:val="none"/>
          <w:lang w:val="en-US" w:eastAsia="zh-CN"/>
        </w:rPr>
        <w:t>805.68</w:t>
      </w:r>
      <w:r>
        <w:rPr>
          <w:rFonts w:hint="eastAsia" w:ascii="Times New Roman" w:hAnsi="Times New Roman" w:eastAsia="仿宋_GB2312"/>
          <w:sz w:val="32"/>
          <w:szCs w:val="32"/>
          <w:highlight w:val="none"/>
        </w:rPr>
        <w:t>万元，占基本支出的</w:t>
      </w:r>
      <w:r>
        <w:rPr>
          <w:rFonts w:hint="eastAsia" w:ascii="Times New Roman" w:hAnsi="Times New Roman" w:eastAsia="仿宋_GB2312"/>
          <w:sz w:val="32"/>
          <w:szCs w:val="32"/>
          <w:highlight w:val="none"/>
          <w:lang w:val="en-US" w:eastAsia="zh-CN"/>
        </w:rPr>
        <w:t>97.75</w:t>
      </w:r>
      <w:r>
        <w:rPr>
          <w:rFonts w:hint="eastAsia" w:ascii="Times New Roman" w:hAnsi="Times New Roman" w:eastAsia="仿宋_GB2312"/>
          <w:sz w:val="32"/>
          <w:szCs w:val="32"/>
          <w:highlight w:val="none"/>
        </w:rPr>
        <w:t>%,主要包括基本工资、津贴补贴、奖金、伙食补助费</w:t>
      </w:r>
      <w:r>
        <w:rPr>
          <w:rFonts w:hint="eastAsia" w:ascii="Times New Roman" w:hAnsi="Times New Roman" w:eastAsia="仿宋_GB2312"/>
          <w:sz w:val="32"/>
          <w:szCs w:val="32"/>
          <w:highlight w:val="none"/>
          <w:lang w:eastAsia="zh-CN"/>
        </w:rPr>
        <w:t>、绩效工资、机关事业单位基本养老保险缴费、职工基本医疗保险缴费、公务员医疗补助缴费、住房公积金、退休费、抚恤金、奖励金</w:t>
      </w:r>
      <w:r>
        <w:rPr>
          <w:rFonts w:hint="eastAsia" w:ascii="Times New Roman" w:hAnsi="Times New Roman" w:eastAsia="仿宋_GB2312"/>
          <w:sz w:val="32"/>
          <w:szCs w:val="32"/>
          <w:highlight w:val="none"/>
          <w:lang w:val="en-US" w:eastAsia="zh-CN"/>
        </w:rPr>
        <w:t>等</w:t>
      </w:r>
      <w:r>
        <w:rPr>
          <w:rFonts w:hint="eastAsia" w:ascii="Times New Roman" w:hAnsi="Times New Roman" w:eastAsia="仿宋_GB2312"/>
          <w:sz w:val="32"/>
          <w:szCs w:val="32"/>
          <w:highlight w:val="none"/>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b/>
          <w:sz w:val="32"/>
          <w:szCs w:val="32"/>
          <w:highlight w:val="none"/>
          <w:lang w:val="en-US" w:eastAsia="zh-CN"/>
        </w:rPr>
      </w:pPr>
      <w:r>
        <w:rPr>
          <w:rFonts w:hint="eastAsia" w:ascii="Times New Roman" w:hAnsi="Times New Roman" w:eastAsia="仿宋_GB2312"/>
          <w:b/>
          <w:bCs/>
          <w:sz w:val="32"/>
          <w:szCs w:val="32"/>
          <w:highlight w:val="none"/>
        </w:rPr>
        <w:t>公用经费</w:t>
      </w:r>
      <w:r>
        <w:rPr>
          <w:rFonts w:hint="eastAsia" w:ascii="Times New Roman" w:hAnsi="Times New Roman" w:eastAsia="仿宋_GB2312"/>
          <w:sz w:val="32"/>
          <w:szCs w:val="32"/>
          <w:highlight w:val="none"/>
          <w:lang w:val="en-US" w:eastAsia="zh-CN"/>
        </w:rPr>
        <w:t>112.43</w:t>
      </w:r>
      <w:r>
        <w:rPr>
          <w:rFonts w:hint="eastAsia" w:ascii="Times New Roman" w:hAnsi="Times New Roman" w:eastAsia="仿宋_GB2312"/>
          <w:sz w:val="32"/>
          <w:szCs w:val="32"/>
          <w:highlight w:val="none"/>
        </w:rPr>
        <w:t>万元，占基本支出的</w:t>
      </w:r>
      <w:r>
        <w:rPr>
          <w:rFonts w:hint="eastAsia" w:ascii="Times New Roman" w:hAnsi="Times New Roman" w:eastAsia="仿宋_GB2312"/>
          <w:sz w:val="32"/>
          <w:szCs w:val="32"/>
          <w:highlight w:val="none"/>
          <w:lang w:val="en-US" w:eastAsia="zh-CN"/>
        </w:rPr>
        <w:t>12.25</w:t>
      </w:r>
      <w:r>
        <w:rPr>
          <w:rFonts w:hint="eastAsia" w:ascii="Times New Roman" w:hAnsi="Times New Roman" w:eastAsia="仿宋_GB2312"/>
          <w:sz w:val="32"/>
          <w:szCs w:val="32"/>
          <w:highlight w:val="none"/>
        </w:rPr>
        <w:t>%，主要包括办公费、印刷费、咨询费、</w:t>
      </w:r>
      <w:r>
        <w:rPr>
          <w:rFonts w:hint="eastAsia" w:ascii="Times New Roman" w:hAnsi="Times New Roman" w:eastAsia="仿宋_GB2312"/>
          <w:sz w:val="32"/>
          <w:szCs w:val="32"/>
          <w:highlight w:val="none"/>
          <w:lang w:val="en-US" w:eastAsia="zh-CN"/>
        </w:rPr>
        <w:t>邮电费、物业管理费、差旅费、维修（护）费、劳务费、工会经费、福利费、其他交通费、其他商品和服务支出。</w:t>
      </w:r>
    </w:p>
    <w:p>
      <w:pPr>
        <w:pStyle w:val="13"/>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财政拨款三公经费支出决算情况说明</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highlight w:val="none"/>
        </w:rPr>
      </w:pPr>
      <w:r>
        <w:rPr>
          <w:rFonts w:hint="eastAsia" w:ascii="楷体" w:hAnsi="楷体" w:eastAsia="楷体" w:cs="楷体"/>
          <w:b/>
          <w:bCs w:val="0"/>
          <w:sz w:val="32"/>
          <w:szCs w:val="32"/>
          <w:highlight w:val="none"/>
        </w:rPr>
        <w:t>（一）“三公”经费财政拨款支出决算总体情况说明</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“三公”经费财政拨款支出预算为</w:t>
      </w:r>
      <w:r>
        <w:rPr>
          <w:rFonts w:hint="eastAsia" w:ascii="Times New Roman" w:hAnsi="Times New Roman" w:eastAsia="仿宋_GB2312"/>
          <w:sz w:val="32"/>
          <w:szCs w:val="32"/>
          <w:highlight w:val="none"/>
          <w:lang w:val="en-US" w:eastAsia="zh-CN"/>
        </w:rPr>
        <w:t>1.00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0.04</w:t>
      </w:r>
      <w:r>
        <w:rPr>
          <w:rFonts w:hint="eastAsia" w:ascii="Times New Roman" w:hAnsi="Times New Roman" w:eastAsia="仿宋_GB2312"/>
          <w:sz w:val="32"/>
          <w:szCs w:val="32"/>
          <w:highlight w:val="none"/>
        </w:rPr>
        <w:t>万元，完成预算的</w:t>
      </w:r>
      <w:r>
        <w:rPr>
          <w:rFonts w:hint="eastAsia" w:ascii="Times New Roman" w:hAnsi="Times New Roman" w:eastAsia="仿宋_GB2312"/>
          <w:sz w:val="32"/>
          <w:szCs w:val="32"/>
          <w:highlight w:val="none"/>
          <w:lang w:val="en-US" w:eastAsia="zh-CN"/>
        </w:rPr>
        <w:t>4.00</w:t>
      </w:r>
      <w:r>
        <w:rPr>
          <w:rFonts w:hint="eastAsia" w:ascii="Times New Roman" w:hAnsi="Times New Roman" w:eastAsia="仿宋_GB2312"/>
          <w:sz w:val="32"/>
          <w:szCs w:val="32"/>
          <w:highlight w:val="none"/>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因公出国（境）费支出预算为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，上年预算和和决算数为0万元。</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公务接待费支出预算为</w:t>
      </w:r>
      <w:r>
        <w:rPr>
          <w:rFonts w:hint="eastAsia" w:ascii="Times New Roman" w:hAnsi="Times New Roman" w:eastAsia="仿宋_GB2312"/>
          <w:sz w:val="32"/>
          <w:szCs w:val="32"/>
          <w:highlight w:val="none"/>
          <w:lang w:val="en-US" w:eastAsia="zh-CN"/>
        </w:rPr>
        <w:t>1.00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0.04</w:t>
      </w:r>
      <w:r>
        <w:rPr>
          <w:rFonts w:hint="eastAsia" w:ascii="Times New Roman" w:hAnsi="Times New Roman" w:eastAsia="仿宋_GB2312"/>
          <w:sz w:val="32"/>
          <w:szCs w:val="32"/>
          <w:highlight w:val="none"/>
        </w:rPr>
        <w:t>万元，完成预算的</w:t>
      </w:r>
      <w:r>
        <w:rPr>
          <w:rFonts w:hint="eastAsia" w:ascii="Times New Roman" w:hAnsi="Times New Roman" w:eastAsia="仿宋_GB2312"/>
          <w:sz w:val="32"/>
          <w:szCs w:val="32"/>
          <w:highlight w:val="none"/>
          <w:lang w:val="en-US" w:eastAsia="zh-CN"/>
        </w:rPr>
        <w:t>4.00</w:t>
      </w:r>
      <w:r>
        <w:rPr>
          <w:rFonts w:hint="eastAsia" w:ascii="Times New Roman" w:hAnsi="Times New Roman" w:eastAsia="仿宋_GB2312"/>
          <w:sz w:val="32"/>
          <w:szCs w:val="32"/>
          <w:highlight w:val="none"/>
        </w:rPr>
        <w:t>%，决算数小于预算数的主要原因</w:t>
      </w:r>
      <w:r>
        <w:rPr>
          <w:rFonts w:hint="eastAsia" w:ascii="Times New Roman" w:hAnsi="Times New Roman" w:eastAsia="仿宋_GB2312"/>
          <w:sz w:val="32"/>
          <w:szCs w:val="32"/>
          <w:highlight w:val="none"/>
          <w:lang w:val="en-US" w:eastAsia="zh-CN"/>
        </w:rPr>
        <w:t>一是厉行节约，压减三公经费开支</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二是疫情原因，公务接待量减少，</w:t>
      </w:r>
      <w:r>
        <w:rPr>
          <w:rFonts w:hint="eastAsia" w:ascii="Times New Roman" w:hAnsi="Times New Roman" w:eastAsia="仿宋_GB2312"/>
          <w:sz w:val="32"/>
          <w:szCs w:val="32"/>
          <w:highlight w:val="none"/>
        </w:rPr>
        <w:t>与上年相比减少</w:t>
      </w:r>
      <w:r>
        <w:rPr>
          <w:rFonts w:hint="eastAsia" w:ascii="Times New Roman" w:hAnsi="Times New Roman" w:eastAsia="仿宋_GB2312"/>
          <w:sz w:val="32"/>
          <w:szCs w:val="32"/>
          <w:highlight w:val="none"/>
          <w:lang w:val="en-US" w:eastAsia="zh-CN"/>
        </w:rPr>
        <w:t>0.17</w:t>
      </w:r>
      <w:r>
        <w:rPr>
          <w:rFonts w:hint="eastAsia" w:ascii="Times New Roman" w:hAnsi="Times New Roman" w:eastAsia="仿宋_GB2312"/>
          <w:sz w:val="32"/>
          <w:szCs w:val="32"/>
          <w:highlight w:val="none"/>
        </w:rPr>
        <w:t>万元，减少</w:t>
      </w:r>
      <w:r>
        <w:rPr>
          <w:rFonts w:hint="eastAsia" w:ascii="Times New Roman" w:hAnsi="Times New Roman" w:eastAsia="仿宋_GB2312"/>
          <w:sz w:val="32"/>
          <w:szCs w:val="32"/>
          <w:highlight w:val="none"/>
          <w:lang w:val="en-US" w:eastAsia="zh-CN"/>
        </w:rPr>
        <w:t>80.95</w:t>
      </w:r>
      <w:r>
        <w:rPr>
          <w:rFonts w:hint="eastAsia" w:ascii="Times New Roman" w:hAnsi="Times New Roman" w:eastAsia="仿宋_GB2312"/>
          <w:sz w:val="32"/>
          <w:szCs w:val="32"/>
          <w:highlight w:val="none"/>
        </w:rPr>
        <w:t>%,减少的主要原因</w:t>
      </w:r>
      <w:r>
        <w:rPr>
          <w:rFonts w:hint="eastAsia" w:ascii="Times New Roman" w:hAnsi="Times New Roman" w:eastAsia="仿宋_GB2312"/>
          <w:sz w:val="32"/>
          <w:szCs w:val="32"/>
          <w:highlight w:val="none"/>
          <w:lang w:val="en-US" w:eastAsia="zh-CN"/>
        </w:rPr>
        <w:t>一</w:t>
      </w:r>
      <w:r>
        <w:rPr>
          <w:rFonts w:hint="eastAsia" w:ascii="Times New Roman" w:hAnsi="Times New Roman" w:eastAsia="仿宋_GB2312"/>
          <w:sz w:val="32"/>
          <w:szCs w:val="32"/>
          <w:highlight w:val="none"/>
        </w:rPr>
        <w:t>是</w:t>
      </w:r>
      <w:r>
        <w:rPr>
          <w:rFonts w:hint="eastAsia" w:ascii="Times New Roman" w:hAnsi="Times New Roman" w:eastAsia="仿宋_GB2312"/>
          <w:sz w:val="32"/>
          <w:szCs w:val="32"/>
          <w:highlight w:val="none"/>
          <w:lang w:val="en-US" w:eastAsia="zh-CN"/>
        </w:rPr>
        <w:t>厉行节约，压减三公经费开支</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二是疫情原因，公务接待量减少</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公务用车购置费支出预算为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万元，上年预算和和决算数为0万元。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公务用车运行维护费支出预算为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万元，上年预算和和决算数为0万元。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highlight w:val="none"/>
        </w:rPr>
      </w:pPr>
      <w:r>
        <w:rPr>
          <w:rFonts w:hint="eastAsia" w:ascii="楷体" w:hAnsi="楷体" w:eastAsia="楷体" w:cs="楷体"/>
          <w:b/>
          <w:bCs w:val="0"/>
          <w:sz w:val="32"/>
          <w:szCs w:val="32"/>
          <w:highlight w:val="none"/>
        </w:rPr>
        <w:t>（二）“三公”经费财政拨款支出决算具体情况说明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年度“三公”经费财政拨款支出决算中，公务接待费支出决算</w:t>
      </w:r>
      <w:r>
        <w:rPr>
          <w:rFonts w:hint="eastAsia" w:ascii="Times New Roman" w:hAnsi="Times New Roman" w:eastAsia="仿宋_GB2312"/>
          <w:sz w:val="32"/>
          <w:szCs w:val="32"/>
          <w:highlight w:val="none"/>
          <w:lang w:val="en-US" w:eastAsia="zh-CN"/>
        </w:rPr>
        <w:t>为0.04</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100</w:t>
      </w:r>
      <w:r>
        <w:rPr>
          <w:rFonts w:hint="eastAsia" w:ascii="Times New Roman" w:hAnsi="Times New Roman" w:eastAsia="仿宋_GB2312"/>
          <w:sz w:val="32"/>
          <w:szCs w:val="32"/>
          <w:highlight w:val="none"/>
        </w:rPr>
        <w:t>%,因公出国（境）费支出决算</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%,公务用车购置费及运行维护费支出决算</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万元，占</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%。其中：</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highlight w:val="none"/>
          <w:lang w:eastAsia="zh-CN"/>
        </w:rPr>
      </w:pPr>
      <w:r>
        <w:rPr>
          <w:rFonts w:hint="eastAsia" w:ascii="Times New Roman" w:hAnsi="Times New Roman" w:eastAsia="仿宋_GB2312"/>
          <w:sz w:val="32"/>
          <w:szCs w:val="32"/>
          <w:highlight w:val="none"/>
          <w:lang w:val="en-US" w:eastAsia="zh-CN"/>
        </w:rPr>
        <w:t>1、</w:t>
      </w:r>
      <w:r>
        <w:rPr>
          <w:rFonts w:hint="eastAsia" w:ascii="Times New Roman" w:hAnsi="Times New Roman" w:eastAsia="仿宋_GB2312"/>
          <w:sz w:val="32"/>
          <w:szCs w:val="32"/>
          <w:highlight w:val="none"/>
        </w:rPr>
        <w:t>因公出国（境）费支出决算为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万元，全年安排因公出国（境）团组0个，累计0人次</w:t>
      </w:r>
      <w:r>
        <w:rPr>
          <w:rFonts w:hint="eastAsia" w:ascii="Times New Roman" w:hAnsi="Times New Roman" w:eastAsia="仿宋_GB2312"/>
          <w:sz w:val="32"/>
          <w:szCs w:val="32"/>
          <w:highlight w:val="none"/>
          <w:lang w:eastAsia="zh-CN"/>
        </w:rPr>
        <w:t>。</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2、公务接待费支出决算为</w:t>
      </w:r>
      <w:r>
        <w:rPr>
          <w:rFonts w:hint="eastAsia" w:ascii="Times New Roman" w:hAnsi="Times New Roman" w:eastAsia="仿宋_GB2312"/>
          <w:sz w:val="32"/>
          <w:szCs w:val="32"/>
          <w:highlight w:val="none"/>
          <w:lang w:val="en-US" w:eastAsia="zh-CN"/>
        </w:rPr>
        <w:t>0.04</w:t>
      </w:r>
      <w:r>
        <w:rPr>
          <w:rFonts w:hint="eastAsia" w:ascii="Times New Roman" w:hAnsi="Times New Roman" w:eastAsia="仿宋_GB2312"/>
          <w:sz w:val="32"/>
          <w:szCs w:val="32"/>
          <w:highlight w:val="none"/>
        </w:rPr>
        <w:t>万元，全年共接待来访团组</w:t>
      </w:r>
      <w:r>
        <w:rPr>
          <w:rFonts w:hint="eastAsia" w:ascii="Times New Roman" w:hAnsi="Times New Roman" w:eastAsia="仿宋_GB2312"/>
          <w:sz w:val="32"/>
          <w:szCs w:val="32"/>
          <w:highlight w:val="none"/>
          <w:lang w:val="en-US" w:eastAsia="zh-CN"/>
        </w:rPr>
        <w:t>1</w:t>
      </w:r>
      <w:r>
        <w:rPr>
          <w:rFonts w:hint="eastAsia" w:ascii="Times New Roman" w:hAnsi="Times New Roman" w:eastAsia="仿宋_GB2312"/>
          <w:sz w:val="32"/>
          <w:szCs w:val="32"/>
          <w:highlight w:val="none"/>
        </w:rPr>
        <w:t>个、来宾</w:t>
      </w: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人次，主要是</w:t>
      </w:r>
      <w:r>
        <w:rPr>
          <w:rFonts w:hint="eastAsia" w:ascii="Times New Roman" w:hAnsi="Times New Roman" w:eastAsia="仿宋_GB2312"/>
          <w:sz w:val="32"/>
          <w:szCs w:val="32"/>
          <w:highlight w:val="none"/>
          <w:lang w:val="en-US" w:eastAsia="zh-CN"/>
        </w:rPr>
        <w:t>市县汇报工作</w:t>
      </w:r>
      <w:r>
        <w:rPr>
          <w:rFonts w:hint="eastAsia" w:ascii="Times New Roman" w:hAnsi="Times New Roman" w:eastAsia="仿宋_GB2312"/>
          <w:sz w:val="32"/>
          <w:szCs w:val="32"/>
          <w:highlight w:val="none"/>
        </w:rPr>
        <w:t>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highlight w:val="none"/>
          <w:lang w:val="en-US" w:eastAsia="zh-CN" w:bidi="ar-SA"/>
        </w:rPr>
      </w:pPr>
      <w:r>
        <w:rPr>
          <w:rFonts w:hint="eastAsia" w:ascii="Times New Roman" w:hAnsi="Times New Roman" w:eastAsia="仿宋_GB2312"/>
          <w:sz w:val="32"/>
          <w:szCs w:val="32"/>
          <w:highlight w:val="none"/>
        </w:rPr>
        <w:t>3、公务用车购置费及运行维护费支出决算为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万元，其中：公务用车购置费</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rPr>
        <w:t>，单位本级更新公务用车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000000" w:themeColor="text1"/>
          <w:sz w:val="32"/>
          <w:szCs w:val="32"/>
          <w:highlight w:val="none"/>
          <w14:textFill>
            <w14:solidFill>
              <w14:schemeClr w14:val="tx1"/>
            </w14:solidFill>
          </w14:textFill>
        </w:rPr>
        <w:t>。</w:t>
      </w:r>
      <w:r>
        <w:rPr>
          <w:rFonts w:hint="eastAsia" w:ascii="Times New Roman" w:hAnsi="Times New Roman" w:eastAsia="仿宋_GB2312"/>
          <w:sz w:val="32"/>
          <w:szCs w:val="32"/>
          <w:highlight w:val="none"/>
        </w:rPr>
        <w:t>公务用车运行维护费</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万元，截止202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年12月31日，我单位开支财政拨款的公务用车保有量为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辆。</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八、政府性基金预算收入支出决算情况</w:t>
      </w:r>
    </w:p>
    <w:p>
      <w:pPr>
        <w:pStyle w:val="13"/>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cstheme="minorBidi"/>
          <w:color w:val="auto"/>
          <w:kern w:val="2"/>
          <w:sz w:val="32"/>
          <w:szCs w:val="32"/>
          <w:highlight w:val="none"/>
          <w:lang w:val="en-US" w:eastAsia="zh-CN" w:bidi="ar-SA"/>
        </w:rPr>
      </w:pPr>
      <w:r>
        <w:rPr>
          <w:rFonts w:hint="eastAsia" w:ascii="Times New Roman" w:hAnsi="Times New Roman" w:eastAsia="仿宋_GB2312"/>
          <w:sz w:val="32"/>
          <w:szCs w:val="32"/>
          <w:highlight w:val="none"/>
        </w:rPr>
        <w:t xml:space="preserve">   </w:t>
      </w:r>
      <w:r>
        <w:rPr>
          <w:rFonts w:hint="eastAsia" w:ascii="Times New Roman" w:hAnsi="Times New Roman" w:eastAsia="仿宋_GB2312" w:cstheme="minorBidi"/>
          <w:color w:val="auto"/>
          <w:kern w:val="2"/>
          <w:sz w:val="32"/>
          <w:szCs w:val="32"/>
          <w:highlight w:val="none"/>
          <w:lang w:val="en-US" w:eastAsia="zh-CN" w:bidi="ar-SA"/>
        </w:rPr>
        <w:t xml:space="preserve"> 本单位2022年无政府性基金收支。</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highlight w:val="none"/>
        </w:rPr>
      </w:pPr>
      <w:r>
        <w:rPr>
          <w:rFonts w:hint="eastAsia" w:ascii="Times New Roman" w:hAnsi="Times New Roman" w:eastAsia="仿宋_GB2312"/>
          <w:b/>
          <w:sz w:val="32"/>
          <w:szCs w:val="32"/>
          <w:highlight w:val="none"/>
        </w:rPr>
        <w:t>九、关于机关运行经费支出说明</w:t>
      </w:r>
    </w:p>
    <w:p>
      <w:pPr>
        <w:pStyle w:val="13"/>
        <w:ind w:firstLine="640" w:firstLineChars="200"/>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本部门202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年度机关运行经费支出</w:t>
      </w:r>
      <w:r>
        <w:rPr>
          <w:rFonts w:hint="eastAsia" w:ascii="Times New Roman" w:hAnsi="Times New Roman" w:eastAsia="仿宋_GB2312"/>
          <w:sz w:val="32"/>
          <w:szCs w:val="32"/>
          <w:highlight w:val="none"/>
          <w:lang w:val="en-US" w:eastAsia="zh-CN"/>
        </w:rPr>
        <w:t>112.44</w:t>
      </w:r>
      <w:r>
        <w:rPr>
          <w:rFonts w:hint="eastAsia" w:ascii="Times New Roman" w:hAnsi="Times New Roman" w:eastAsia="仿宋_GB2312"/>
          <w:sz w:val="32"/>
          <w:szCs w:val="32"/>
          <w:highlight w:val="none"/>
        </w:rPr>
        <w:t>万元，比年初预算数减少</w:t>
      </w:r>
      <w:r>
        <w:rPr>
          <w:rFonts w:hint="eastAsia" w:ascii="Times New Roman" w:hAnsi="Times New Roman" w:eastAsia="仿宋_GB2312"/>
          <w:sz w:val="32"/>
          <w:szCs w:val="32"/>
          <w:highlight w:val="none"/>
          <w:lang w:val="en-US" w:eastAsia="zh-CN"/>
        </w:rPr>
        <w:t>2.68</w:t>
      </w:r>
      <w:r>
        <w:rPr>
          <w:rFonts w:hint="eastAsia" w:ascii="Times New Roman" w:hAnsi="Times New Roman" w:eastAsia="仿宋_GB2312"/>
          <w:sz w:val="32"/>
          <w:szCs w:val="32"/>
          <w:highlight w:val="none"/>
        </w:rPr>
        <w:t xml:space="preserve"> 万元，降低</w:t>
      </w:r>
      <w:r>
        <w:rPr>
          <w:rFonts w:hint="eastAsia" w:ascii="Times New Roman" w:hAnsi="Times New Roman" w:eastAsia="仿宋_GB2312"/>
          <w:sz w:val="32"/>
          <w:szCs w:val="32"/>
          <w:highlight w:val="none"/>
          <w:lang w:val="en-US" w:eastAsia="zh-CN"/>
        </w:rPr>
        <w:t>2.32%</w:t>
      </w:r>
      <w:r>
        <w:rPr>
          <w:rFonts w:hint="eastAsia" w:ascii="Times New Roman" w:hAnsi="Times New Roman" w:eastAsia="仿宋_GB2312"/>
          <w:sz w:val="32"/>
          <w:szCs w:val="32"/>
          <w:highlight w:val="none"/>
        </w:rPr>
        <w:t>。主要原因是：</w:t>
      </w:r>
      <w:r>
        <w:rPr>
          <w:rFonts w:hint="eastAsia" w:ascii="Times New Roman" w:hAnsi="Times New Roman" w:eastAsia="仿宋_GB2312"/>
          <w:sz w:val="32"/>
          <w:szCs w:val="32"/>
          <w:highlight w:val="none"/>
          <w:lang w:val="en-US" w:eastAsia="zh-CN"/>
        </w:rPr>
        <w:t>我单位</w:t>
      </w:r>
      <w:r>
        <w:rPr>
          <w:rFonts w:hint="eastAsia" w:ascii="Times New Roman" w:hAnsi="Times New Roman" w:eastAsia="仿宋_GB2312"/>
          <w:sz w:val="32"/>
          <w:szCs w:val="32"/>
          <w:highlight w:val="none"/>
        </w:rPr>
        <w:t>贯彻中央“八项规定”和厉行节约的要求，</w:t>
      </w:r>
      <w:r>
        <w:rPr>
          <w:rFonts w:hint="eastAsia" w:ascii="Times New Roman" w:hAnsi="Times New Roman" w:eastAsia="仿宋_GB2312"/>
          <w:sz w:val="32"/>
          <w:szCs w:val="32"/>
          <w:highlight w:val="none"/>
          <w:lang w:eastAsia="zh-CN"/>
        </w:rPr>
        <w:t>压减机关运费经费开支</w:t>
      </w:r>
      <w:r>
        <w:rPr>
          <w:rFonts w:hint="eastAsia" w:ascii="Times New Roman" w:hAnsi="Times New Roman" w:eastAsia="仿宋_GB2312"/>
          <w:sz w:val="32"/>
          <w:szCs w:val="32"/>
          <w:highlight w:val="none"/>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十、一般性支出情况说明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年本部门开支会议费</w:t>
      </w:r>
      <w:r>
        <w:rPr>
          <w:rFonts w:hint="eastAsia" w:ascii="Times New Roman" w:hAnsi="Times New Roman" w:eastAsia="仿宋_GB2312"/>
          <w:sz w:val="32"/>
          <w:szCs w:val="32"/>
          <w:highlight w:val="none"/>
          <w:lang w:val="en-US" w:eastAsia="zh-CN"/>
        </w:rPr>
        <w:t>1.00</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val="en-US" w:eastAsia="zh-CN"/>
        </w:rPr>
        <w:t>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召开湖南省农垦宣传片制作碰头会，人数</w:t>
      </w:r>
      <w:r>
        <w:rPr>
          <w:rFonts w:hint="eastAsia" w:ascii="Times New Roman" w:hAnsi="Times New Roman" w:eastAsia="仿宋_GB2312"/>
          <w:sz w:val="32"/>
          <w:szCs w:val="32"/>
          <w:highlight w:val="none"/>
          <w:lang w:val="en-US" w:eastAsia="zh-CN"/>
        </w:rPr>
        <w:t>26</w:t>
      </w:r>
      <w:r>
        <w:rPr>
          <w:rFonts w:hint="eastAsia" w:ascii="Times New Roman" w:hAnsi="Times New Roman" w:eastAsia="仿宋_GB2312"/>
          <w:sz w:val="32"/>
          <w:szCs w:val="32"/>
          <w:highlight w:val="none"/>
        </w:rPr>
        <w:t>人，</w:t>
      </w:r>
      <w:r>
        <w:rPr>
          <w:rFonts w:hint="eastAsia" w:ascii="Times New Roman" w:hAnsi="Times New Roman" w:eastAsia="仿宋_GB2312"/>
          <w:sz w:val="32"/>
          <w:szCs w:val="32"/>
          <w:highlight w:val="none"/>
          <w:lang w:val="en-US" w:eastAsia="zh-CN"/>
        </w:rPr>
        <w:t>0.20万元；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lang w:val="en-US" w:eastAsia="zh-CN"/>
        </w:rPr>
        <w:t>欠发达国有农场巩固提升工作现场交流会，人数46人，0.80万元</w:t>
      </w:r>
      <w:r>
        <w:rPr>
          <w:rFonts w:hint="eastAsia" w:ascii="Times New Roman" w:hAnsi="Times New Roman" w:eastAsia="仿宋_GB2312"/>
          <w:sz w:val="32"/>
          <w:szCs w:val="32"/>
          <w:highlight w:val="none"/>
          <w:lang w:eastAsia="zh-CN"/>
        </w:rPr>
        <w:t>。</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开支培训费</w:t>
      </w:r>
      <w:r>
        <w:rPr>
          <w:rFonts w:hint="eastAsia" w:ascii="Times New Roman" w:hAnsi="Times New Roman" w:eastAsia="仿宋_GB2312"/>
          <w:sz w:val="32"/>
          <w:szCs w:val="32"/>
          <w:highlight w:val="none"/>
          <w:lang w:val="en-US" w:eastAsia="zh-CN"/>
        </w:rPr>
        <w:t>3.97</w:t>
      </w:r>
      <w:r>
        <w:rPr>
          <w:rFonts w:hint="eastAsia" w:ascii="Times New Roman" w:hAnsi="Times New Roman" w:eastAsia="仿宋_GB2312"/>
          <w:sz w:val="32"/>
          <w:szCs w:val="32"/>
          <w:highlight w:val="none"/>
        </w:rPr>
        <w:t>万元，</w:t>
      </w:r>
      <w:r>
        <w:rPr>
          <w:rFonts w:hint="eastAsia" w:ascii="Times New Roman" w:hAnsi="Times New Roman" w:eastAsia="仿宋_GB2312"/>
          <w:sz w:val="32"/>
          <w:szCs w:val="32"/>
          <w:highlight w:val="none"/>
          <w:lang w:val="en-US" w:eastAsia="zh-CN"/>
        </w:rPr>
        <w:t>其中：</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欠发达国有农场巩固提升工作的业务培训，人数46人，2.86万元；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参加公共科目和专业科目线上培训，人数1人，0.03万元；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参加线上垦区集团化农场企业化改革培训班人数3人，0.06万元；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参加线上农垦系统财税培训班人数3人，0.48万元。</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十一、关于政府采购支出说明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本部门2022年度政府采购支出总额6.97万元，其中：政府采购货物支出6.97 万元、政府采购工程支出0万元、政府采购服务支出0万元。授予中小企业合同金额6.97万元，占政府采购支出总额的100%，其中：授予小微企业合同金额6.97万元，占政府采购支出总额的100%。货物采购授予中小企业合同金额占货物支出金额的100%。</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十二、关于国有资产占用情况说明</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截至202</w:t>
      </w: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年12月31日，本单位共</w:t>
      </w:r>
      <w:bookmarkStart w:id="3" w:name="_GoBack"/>
      <w:bookmarkEnd w:id="3"/>
      <w:r>
        <w:rPr>
          <w:rFonts w:hint="eastAsia" w:ascii="Times New Roman" w:hAnsi="Times New Roman" w:eastAsia="仿宋_GB2312"/>
          <w:sz w:val="32"/>
          <w:szCs w:val="32"/>
          <w:highlight w:val="none"/>
        </w:rPr>
        <w:t>有车辆</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辆，其中，主要领导干部用车</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辆，机要通信用车</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辆、应急保障用车</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辆、执法执勤用车</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辆、特种专业技术用车</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辆、其他用车</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辆；单位价值50万元以上通用设备</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台（套）；单位价值100万元以上专用设备</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台（套）。</w:t>
      </w:r>
    </w:p>
    <w:p>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十三、关于</w:t>
      </w:r>
      <w:r>
        <w:rPr>
          <w:rFonts w:hint="eastAsia" w:ascii="Times New Roman" w:hAnsi="Times New Roman" w:eastAsia="仿宋_GB2312"/>
          <w:sz w:val="32"/>
          <w:szCs w:val="32"/>
          <w:highlight w:val="none"/>
        </w:rPr>
        <w:t>202</w:t>
      </w:r>
      <w:r>
        <w:rPr>
          <w:rFonts w:hint="eastAsia" w:ascii="Times New Roman" w:hAnsi="Times New Roman" w:eastAsia="仿宋_GB2312"/>
          <w:sz w:val="32"/>
          <w:szCs w:val="32"/>
          <w:highlight w:val="none"/>
          <w:lang w:val="en-US" w:eastAsia="zh-CN"/>
        </w:rPr>
        <w:t>2</w:t>
      </w:r>
      <w:r>
        <w:rPr>
          <w:rFonts w:hint="eastAsia" w:ascii="黑体" w:hAnsi="黑体" w:eastAsia="黑体" w:cs="黑体"/>
          <w:b w:val="0"/>
          <w:bCs/>
          <w:sz w:val="32"/>
          <w:szCs w:val="32"/>
          <w:highlight w:val="none"/>
        </w:rPr>
        <w:t>年度预算绩效情况的说明</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eastAsia="zh-CN"/>
        </w:rPr>
        <w:t>（一）</w:t>
      </w:r>
      <w:r>
        <w:rPr>
          <w:rFonts w:hint="eastAsia" w:ascii="楷体" w:hAnsi="楷体" w:eastAsia="楷体" w:cs="楷体"/>
          <w:b/>
          <w:bCs/>
          <w:sz w:val="32"/>
          <w:szCs w:val="32"/>
          <w:highlight w:val="none"/>
        </w:rPr>
        <w:t>部门整体支出绩效情况</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1、</w:t>
      </w:r>
      <w:r>
        <w:rPr>
          <w:rFonts w:hint="eastAsia" w:ascii="Times New Roman" w:hAnsi="Times New Roman" w:eastAsia="仿宋_GB2312"/>
          <w:sz w:val="32"/>
          <w:szCs w:val="32"/>
          <w:highlight w:val="none"/>
        </w:rPr>
        <w:t>运行成本</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全年预算数1052.36万元，决算数979.23万元，执行率93.04%，我单位全年整体支出控制在预算范围内。</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人员经费预算数824.71万元，决算数805.58万元，公用经费数115.47万元，决算数112.78万元，均控制在预算范围内。</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“三公”经费财政拨款支出预算为</w:t>
      </w:r>
      <w:r>
        <w:rPr>
          <w:rFonts w:hint="eastAsia" w:ascii="Times New Roman" w:hAnsi="Times New Roman" w:eastAsia="仿宋_GB2312"/>
          <w:sz w:val="32"/>
          <w:szCs w:val="32"/>
          <w:highlight w:val="none"/>
          <w:lang w:val="en-US" w:eastAsia="zh-CN"/>
        </w:rPr>
        <w:t>1</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0.04</w:t>
      </w:r>
      <w:r>
        <w:rPr>
          <w:rFonts w:hint="eastAsia" w:ascii="Times New Roman" w:hAnsi="Times New Roman" w:eastAsia="仿宋_GB2312"/>
          <w:sz w:val="32"/>
          <w:szCs w:val="32"/>
          <w:highlight w:val="none"/>
        </w:rPr>
        <w:t>万元，完成预算的</w:t>
      </w:r>
      <w:r>
        <w:rPr>
          <w:rFonts w:hint="eastAsia" w:ascii="Times New Roman" w:hAnsi="Times New Roman" w:eastAsia="仿宋_GB2312"/>
          <w:sz w:val="32"/>
          <w:szCs w:val="32"/>
          <w:highlight w:val="none"/>
          <w:lang w:val="en-US" w:eastAsia="zh-CN"/>
        </w:rPr>
        <w:t>4.00</w:t>
      </w:r>
      <w:r>
        <w:rPr>
          <w:rFonts w:hint="eastAsia" w:ascii="Times New Roman" w:hAnsi="Times New Roman" w:eastAsia="仿宋_GB2312"/>
          <w:sz w:val="32"/>
          <w:szCs w:val="32"/>
          <w:highlight w:val="none"/>
        </w:rPr>
        <w:t>%</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控制在预算范围内。</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2</w:t>
      </w:r>
      <w:r>
        <w:rPr>
          <w:rFonts w:hint="eastAsia" w:ascii="Times New Roman" w:hAnsi="Times New Roman" w:eastAsia="仿宋_GB2312"/>
          <w:sz w:val="32"/>
          <w:szCs w:val="32"/>
          <w:highlight w:val="none"/>
        </w:rPr>
        <w:t>、管理效率</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全省农垦全力贯彻落实习近平总书记关于稳定发展粮食生产、保障大豆油料安全的重要指示批示精神，把抓好粮食生产和大豆油料扩种任务的落实作为农垦当前工作重中之重，制定了《2022年湖南农垦带头扩种大豆油料实施方案》和《2022年湖南农垦带头扩种大豆油料行动宣传方案》，动员农垦各级农业农村部门抢抓农时、大干快上，全力推进粮食生产和大豆油料扩种高质量发展。2022年全省农垦大豆种植面积3.1万亩，较上年增长15%；总产量约5700吨，较上年增长15%。去冬今春，全省农垦油菜播种面积46.9万亩，较上年增长5.2%；油菜籽总产量5.4万吨，较上年增长3%。</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3、</w:t>
      </w:r>
      <w:r>
        <w:rPr>
          <w:rFonts w:hint="eastAsia" w:ascii="Times New Roman" w:hAnsi="Times New Roman" w:eastAsia="仿宋_GB2312"/>
          <w:sz w:val="32"/>
          <w:szCs w:val="32"/>
          <w:highlight w:val="none"/>
        </w:rPr>
        <w:t>履职效能</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1）深入开展农垦改革现状调查研究。为贯彻落实中央乡村振兴发展战略和中央、省委省政府农垦改革发展文件精神，全面了解我省农垦发展现状和财政保障机制情况，分析农垦改革发展的实际困难与问题，厘清农垦改革发展思路，理顺体制机制，提升农垦高质量发展能力，我站与财政厅、湖南农业大学专家组成了课题组赴全省农场开展了农垦改革发展与财政管理情况调研。通过实地走访，充分了解了农垦管理体制和经营机制、产业发展情况、财政管理体制、保障情况、投入情况等。</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ascii="仿宋" w:hAnsi="仿宋" w:eastAsia="仿宋" w:cs="仿宋"/>
          <w:sz w:val="32"/>
          <w:szCs w:val="32"/>
          <w:highlight w:val="none"/>
        </w:rPr>
      </w:pPr>
      <w:r>
        <w:rPr>
          <w:rFonts w:hint="eastAsia" w:ascii="Times New Roman" w:hAnsi="Times New Roman" w:eastAsia="仿宋_GB2312"/>
          <w:sz w:val="32"/>
          <w:szCs w:val="32"/>
          <w:highlight w:val="none"/>
          <w:lang w:val="en-US" w:eastAsia="zh-CN"/>
        </w:rPr>
        <w:t>（2）加强农垦土地管理。充分落实2022年中央一号文件“健全农垦国有农用地使用权管理制度”要求,今年三季度我站重点做好了农垦土地管理、保护与利用工作。依托“农垦国有土地管理与监测系统”，在2019年启动的农垦国有土地使用权确权登记发证信息入库上图工作基础上，组织全省垦区各土地权属单位填报、变更了《2021年农垦国有土地管理与利用监测数据》。完成了我省农垦土地管理与利用情况的调查、监测</w:t>
      </w:r>
      <w:r>
        <w:rPr>
          <w:rFonts w:hint="eastAsia" w:ascii="仿宋" w:hAnsi="仿宋" w:eastAsia="仿宋" w:cs="仿宋"/>
          <w:sz w:val="32"/>
          <w:szCs w:val="32"/>
          <w:highlight w:val="none"/>
        </w:rPr>
        <w:t>系统填报与审核工作。</w:t>
      </w:r>
    </w:p>
    <w:p>
      <w:pPr>
        <w:pStyle w:val="13"/>
        <w:keepNext w:val="0"/>
        <w:keepLines w:val="0"/>
        <w:pageBreakBefore w:val="0"/>
        <w:widowControl w:val="0"/>
        <w:numPr>
          <w:ilvl w:val="0"/>
          <w:numId w:val="0"/>
        </w:numPr>
        <w:kinsoku/>
        <w:wordWrap/>
        <w:overflowPunct/>
        <w:topLinePunct w:val="0"/>
        <w:bidi w:val="0"/>
        <w:snapToGrid/>
        <w:spacing w:line="600" w:lineRule="exact"/>
        <w:ind w:leftChars="200" w:firstLine="640" w:firstLineChars="200"/>
        <w:jc w:val="left"/>
        <w:textAlignment w:val="auto"/>
        <w:rPr>
          <w:rFonts w:ascii="仿宋" w:hAnsi="仿宋" w:eastAsia="仿宋" w:cs="仿宋"/>
          <w:sz w:val="32"/>
          <w:szCs w:val="32"/>
          <w:highlight w:val="none"/>
        </w:rPr>
      </w:pPr>
      <w:r>
        <w:rPr>
          <w:rFonts w:hint="eastAsia" w:ascii="Times New Roman" w:hAnsi="Times New Roman" w:eastAsia="仿宋_GB2312"/>
          <w:sz w:val="32"/>
          <w:szCs w:val="32"/>
          <w:highlight w:val="none"/>
          <w:lang w:val="en-US" w:eastAsia="zh-CN"/>
        </w:rPr>
        <w:t>4、</w:t>
      </w:r>
      <w:r>
        <w:rPr>
          <w:rFonts w:hint="eastAsia" w:ascii="Times New Roman" w:hAnsi="Times New Roman" w:eastAsia="仿宋_GB2312"/>
          <w:sz w:val="32"/>
          <w:szCs w:val="32"/>
          <w:highlight w:val="none"/>
        </w:rPr>
        <w:t>社会效应</w:t>
      </w:r>
    </w:p>
    <w:p>
      <w:pPr>
        <w:pStyle w:val="13"/>
        <w:keepNext w:val="0"/>
        <w:keepLines w:val="0"/>
        <w:pageBreakBefore w:val="0"/>
        <w:widowControl w:val="0"/>
        <w:numPr>
          <w:ilvl w:val="0"/>
          <w:numId w:val="0"/>
        </w:numPr>
        <w:kinsoku/>
        <w:wordWrap/>
        <w:overflowPunct/>
        <w:topLinePunct w:val="0"/>
        <w:bidi w:val="0"/>
        <w:snapToGrid/>
        <w:spacing w:line="600" w:lineRule="exact"/>
        <w:ind w:leftChars="200" w:firstLine="640" w:firstLineChars="200"/>
        <w:jc w:val="left"/>
        <w:textAlignment w:val="auto"/>
        <w:rPr>
          <w:rFonts w:ascii="仿宋" w:hAnsi="仿宋" w:eastAsia="仿宋" w:cs="仿宋"/>
          <w:sz w:val="32"/>
          <w:szCs w:val="32"/>
          <w:highlight w:val="none"/>
        </w:rPr>
      </w:pPr>
      <w:r>
        <w:rPr>
          <w:rFonts w:hint="eastAsia" w:ascii="仿宋" w:hAnsi="仿宋" w:eastAsia="仿宋" w:cs="仿宋"/>
          <w:sz w:val="32"/>
          <w:szCs w:val="32"/>
          <w:highlight w:val="none"/>
        </w:rPr>
        <w:t>为贯彻落实碳达峰碳中和重大决策部署，推进农业农村绿色低碳发展，根据上级要求，我站接管了“世界银行贷款湖南省稻田节水灌溉与绿色低碳发展项目”。我站成立了项目小组，目前本项目已进入前期准备阶段。</w:t>
      </w:r>
    </w:p>
    <w:p>
      <w:pPr>
        <w:pStyle w:val="13"/>
        <w:keepNext w:val="0"/>
        <w:keepLines w:val="0"/>
        <w:pageBreakBefore w:val="0"/>
        <w:widowControl w:val="0"/>
        <w:numPr>
          <w:ilvl w:val="0"/>
          <w:numId w:val="0"/>
        </w:numPr>
        <w:kinsoku/>
        <w:wordWrap/>
        <w:overflowPunct/>
        <w:topLinePunct w:val="0"/>
        <w:bidi w:val="0"/>
        <w:snapToGrid/>
        <w:spacing w:line="600" w:lineRule="exact"/>
        <w:ind w:leftChars="200" w:firstLine="640" w:firstLineChars="200"/>
        <w:jc w:val="left"/>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5、</w:t>
      </w:r>
      <w:r>
        <w:rPr>
          <w:rFonts w:hint="eastAsia" w:ascii="Times New Roman" w:hAnsi="Times New Roman" w:eastAsia="仿宋_GB2312"/>
          <w:sz w:val="32"/>
          <w:szCs w:val="32"/>
          <w:highlight w:val="none"/>
        </w:rPr>
        <w:t>可持续发展能力</w:t>
      </w:r>
    </w:p>
    <w:p>
      <w:pPr>
        <w:pStyle w:val="7"/>
        <w:ind w:firstLine="640"/>
        <w:rPr>
          <w:rFonts w:hint="eastAsia" w:ascii="黑体" w:hAnsi="黑体" w:eastAsia="黑体" w:cs="黑体"/>
          <w:bCs/>
          <w:color w:val="222222"/>
          <w:kern w:val="0"/>
          <w:sz w:val="32"/>
          <w:szCs w:val="32"/>
          <w:highlight w:val="none"/>
          <w:lang w:eastAsia="zh-CN"/>
        </w:rPr>
      </w:pPr>
      <w:r>
        <w:rPr>
          <w:rFonts w:hint="eastAsia" w:ascii="Times New Roman" w:hAnsi="Times New Roman" w:eastAsia="仿宋_GB2312" w:cs="黑体"/>
          <w:color w:val="000000"/>
          <w:kern w:val="0"/>
          <w:sz w:val="32"/>
          <w:szCs w:val="32"/>
          <w:highlight w:val="none"/>
          <w:lang w:val="en-US" w:eastAsia="zh-CN" w:bidi="ar-SA"/>
        </w:rPr>
        <w:t>扎实做好欠发达国有农场巩固提升工作。一是对我省欠发达国有农场巩固提升项目管理情况进行梳理，提前谋划2022年绩</w:t>
      </w:r>
      <w:r>
        <w:rPr>
          <w:rStyle w:val="19"/>
          <w:rFonts w:hint="eastAsia" w:ascii="仿宋" w:hAnsi="仿宋" w:eastAsia="仿宋" w:cs="仿宋"/>
          <w:color w:val="000000" w:themeColor="text1"/>
          <w:sz w:val="32"/>
          <w:szCs w:val="32"/>
          <w:highlight w:val="none"/>
          <w14:textFill>
            <w14:solidFill>
              <w14:schemeClr w14:val="tx1"/>
            </w14:solidFill>
          </w14:textFill>
        </w:rPr>
        <w:t>效考核工作；二是</w:t>
      </w:r>
      <w:r>
        <w:rPr>
          <w:rFonts w:hint="eastAsia" w:ascii="仿宋_GB2312" w:hAnsi="仿宋_GB2312" w:eastAsia="仿宋_GB2312" w:cs="仿宋_GB2312"/>
          <w:sz w:val="32"/>
          <w:szCs w:val="32"/>
          <w:highlight w:val="none"/>
        </w:rPr>
        <w:t>积极开展项目调度工作。对2021年项目结余结转资金使用情况、</w:t>
      </w:r>
      <w:r>
        <w:rPr>
          <w:rFonts w:hint="eastAsia" w:ascii="仿宋_GB2312" w:hAnsi="仿宋_GB2312" w:eastAsia="仿宋_GB2312" w:cs="仿宋_GB2312"/>
          <w:sz w:val="32"/>
          <w:szCs w:val="32"/>
          <w:highlight w:val="none"/>
          <w:lang w:val="en-US" w:eastAsia="zh-CN"/>
        </w:rPr>
        <w:t>2022年</w:t>
      </w:r>
      <w:r>
        <w:rPr>
          <w:rFonts w:hint="eastAsia" w:ascii="仿宋_GB2312" w:hAnsi="仿宋_GB2312" w:eastAsia="仿宋_GB2312" w:cs="仿宋_GB2312"/>
          <w:sz w:val="32"/>
          <w:szCs w:val="32"/>
          <w:highlight w:val="none"/>
        </w:rPr>
        <w:t>项目资金使用</w:t>
      </w:r>
      <w:r>
        <w:rPr>
          <w:rFonts w:hint="eastAsia" w:ascii="仿宋_GB2312" w:hAnsi="仿宋_GB2312" w:eastAsia="仿宋_GB2312" w:cs="仿宋_GB2312"/>
          <w:sz w:val="32"/>
          <w:szCs w:val="32"/>
          <w:highlight w:val="none"/>
          <w:lang w:val="en-US" w:eastAsia="zh-CN"/>
        </w:rPr>
        <w:t>情况</w:t>
      </w:r>
      <w:r>
        <w:rPr>
          <w:rFonts w:hint="eastAsia" w:ascii="仿宋_GB2312" w:hAnsi="仿宋_GB2312" w:eastAsia="仿宋_GB2312" w:cs="仿宋_GB2312"/>
          <w:sz w:val="32"/>
          <w:szCs w:val="32"/>
          <w:highlight w:val="none"/>
        </w:rPr>
        <w:t>、项目实施进度情况</w:t>
      </w:r>
      <w:r>
        <w:rPr>
          <w:rFonts w:hint="eastAsia" w:ascii="仿宋_GB2312" w:hAnsi="仿宋_GB2312" w:eastAsia="仿宋_GB2312" w:cs="仿宋_GB2312"/>
          <w:sz w:val="32"/>
          <w:szCs w:val="32"/>
          <w:highlight w:val="none"/>
          <w:lang w:val="en-US" w:eastAsia="zh-CN"/>
        </w:rPr>
        <w:t>等</w:t>
      </w:r>
      <w:r>
        <w:rPr>
          <w:rFonts w:hint="eastAsia" w:ascii="仿宋_GB2312" w:hAnsi="仿宋_GB2312" w:eastAsia="仿宋_GB2312" w:cs="仿宋_GB2312"/>
          <w:sz w:val="32"/>
          <w:szCs w:val="32"/>
          <w:highlight w:val="none"/>
        </w:rPr>
        <w:t>进行调度，并将调度结果通报相关市州及项目单位，对进度严重滞后、资金拨付不达标项目单位要求立即整改到位。三是组织召开了欠发达国有农场巩固提升工作现场交流暨业务培训会，会上对西湖、西洞庭项目现场进行了观摩，对项目实施流程进行了讲解，对项目日常管理进行了培训，</w:t>
      </w:r>
      <w:r>
        <w:rPr>
          <w:rFonts w:hint="eastAsia" w:ascii="仿宋" w:hAnsi="仿宋" w:eastAsia="仿宋" w:cs="Times New Roman"/>
          <w:sz w:val="32"/>
          <w:szCs w:val="32"/>
          <w:highlight w:val="none"/>
        </w:rPr>
        <w:t>对项目管理中遇到的问题与困难进行了交流座谈。</w:t>
      </w:r>
      <w:r>
        <w:rPr>
          <w:rFonts w:hint="eastAsia" w:ascii="Times New Roman" w:hAnsi="Times New Roman" w:eastAsia="仿宋_GB2312" w:cs="黑体"/>
          <w:color w:val="000000"/>
          <w:kern w:val="0"/>
          <w:sz w:val="32"/>
          <w:szCs w:val="32"/>
          <w:highlight w:val="none"/>
          <w:lang w:val="en-US" w:eastAsia="zh-CN" w:bidi="ar-SA"/>
        </w:rPr>
        <w:t>四是全面完成了2021年度绩效考核，在国家开展的衔接资金分任务绩效评价及考核中被评为A等（优秀等）。</w:t>
      </w:r>
    </w:p>
    <w:p>
      <w:pPr>
        <w:pStyle w:val="13"/>
        <w:keepNext w:val="0"/>
        <w:keepLines w:val="0"/>
        <w:pageBreakBefore w:val="0"/>
        <w:widowControl w:val="0"/>
        <w:numPr>
          <w:ilvl w:val="0"/>
          <w:numId w:val="0"/>
        </w:numPr>
        <w:kinsoku/>
        <w:wordWrap/>
        <w:overflowPunct/>
        <w:topLinePunct w:val="0"/>
        <w:bidi w:val="0"/>
        <w:snapToGrid/>
        <w:spacing w:line="600" w:lineRule="exact"/>
        <w:ind w:leftChars="200" w:firstLine="320" w:firstLineChars="100"/>
        <w:jc w:val="left"/>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6、</w:t>
      </w:r>
      <w:r>
        <w:rPr>
          <w:rFonts w:hint="eastAsia" w:ascii="Times New Roman" w:hAnsi="Times New Roman" w:eastAsia="仿宋_GB2312"/>
          <w:sz w:val="32"/>
          <w:szCs w:val="32"/>
          <w:highlight w:val="none"/>
        </w:rPr>
        <w:t>服务对象满意度</w:t>
      </w:r>
    </w:p>
    <w:p>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 xml:space="preserve">通过各项工作的开展，服务对象和社会公众满意度在90%以上。 </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eastAsia="zh-CN"/>
        </w:rPr>
        <w:t>（二）</w:t>
      </w:r>
      <w:r>
        <w:rPr>
          <w:rFonts w:hint="eastAsia" w:ascii="楷体" w:hAnsi="楷体" w:eastAsia="楷体" w:cs="楷体"/>
          <w:b/>
          <w:bCs/>
          <w:sz w:val="32"/>
          <w:szCs w:val="32"/>
          <w:highlight w:val="none"/>
        </w:rPr>
        <w:t>存在的问题及原因分析</w:t>
      </w:r>
    </w:p>
    <w:p>
      <w:pPr>
        <w:pStyle w:val="13"/>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项目支出预算执行率有待提高，我单位2022年项目预算执行率为54.07%，主要原因：一是因疫情原因项目相关会议和培训未能按计划进行，二是国外贷款项目配套资金下达时间较晚。</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下一步改进措施：一是通过定期对项目资金的执行情况进行梳理，督促项目早规划、早启动、早实施，二是完善单位的预算编制管理，定期对项目资金的预算执行情况进行分析，作为下年度预算编制的重要依据，进一步提高我单位的预算执行率。</w:t>
      </w: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both"/>
        <w:rPr>
          <w:rFonts w:hint="eastAsia" w:ascii="方正小标宋_GBK" w:hAnsi="方正小标宋_GBK" w:eastAsia="方正小标宋_GBK" w:cs="方正小标宋_GBK"/>
          <w:sz w:val="72"/>
          <w:szCs w:val="72"/>
          <w:highlight w:val="none"/>
        </w:rPr>
      </w:pPr>
    </w:p>
    <w:p>
      <w:pPr>
        <w:pStyle w:val="13"/>
        <w:jc w:val="both"/>
        <w:rPr>
          <w:rFonts w:hint="eastAsia" w:ascii="方正小标宋_GBK" w:hAnsi="方正小标宋_GBK" w:eastAsia="方正小标宋_GBK" w:cs="方正小标宋_GBK"/>
          <w:sz w:val="72"/>
          <w:szCs w:val="72"/>
          <w:highlight w:val="none"/>
        </w:rPr>
      </w:pPr>
    </w:p>
    <w:p>
      <w:pPr>
        <w:pStyle w:val="13"/>
        <w:jc w:val="both"/>
        <w:rPr>
          <w:rFonts w:hint="eastAsia" w:ascii="方正小标宋_GBK" w:hAnsi="方正小标宋_GBK" w:eastAsia="方正小标宋_GBK" w:cs="方正小标宋_GBK"/>
          <w:sz w:val="72"/>
          <w:szCs w:val="72"/>
          <w:highlight w:val="none"/>
        </w:rPr>
      </w:pPr>
    </w:p>
    <w:p>
      <w:pPr>
        <w:pStyle w:val="13"/>
        <w:jc w:val="both"/>
        <w:rPr>
          <w:rFonts w:hint="eastAsia" w:ascii="方正小标宋_GBK" w:hAnsi="方正小标宋_GBK" w:eastAsia="方正小标宋_GBK" w:cs="方正小标宋_GBK"/>
          <w:sz w:val="72"/>
          <w:szCs w:val="72"/>
          <w:highlight w:val="none"/>
        </w:rPr>
      </w:pPr>
    </w:p>
    <w:p>
      <w:pPr>
        <w:pStyle w:val="13"/>
        <w:jc w:val="both"/>
        <w:rPr>
          <w:rFonts w:hint="eastAsia" w:ascii="方正小标宋_GBK" w:hAnsi="方正小标宋_GBK" w:eastAsia="方正小标宋_GBK" w:cs="方正小标宋_GBK"/>
          <w:sz w:val="72"/>
          <w:szCs w:val="72"/>
          <w:highlight w:val="none"/>
        </w:rPr>
      </w:pPr>
    </w:p>
    <w:p>
      <w:pPr>
        <w:pStyle w:val="13"/>
        <w:jc w:val="both"/>
        <w:rPr>
          <w:rFonts w:hint="eastAsia" w:ascii="方正小标宋_GBK" w:hAnsi="方正小标宋_GBK" w:eastAsia="方正小标宋_GBK" w:cs="方正小标宋_GBK"/>
          <w:sz w:val="72"/>
          <w:szCs w:val="72"/>
          <w:highlight w:val="none"/>
        </w:rPr>
      </w:pPr>
    </w:p>
    <w:p>
      <w:pPr>
        <w:pStyle w:val="13"/>
        <w:jc w:val="both"/>
        <w:rPr>
          <w:rFonts w:hint="eastAsia" w:ascii="方正小标宋_GBK" w:hAnsi="方正小标宋_GBK" w:eastAsia="方正小标宋_GBK" w:cs="方正小标宋_GBK"/>
          <w:sz w:val="72"/>
          <w:szCs w:val="72"/>
          <w:highlight w:val="none"/>
        </w:rPr>
      </w:pPr>
    </w:p>
    <w:p>
      <w:pPr>
        <w:pStyle w:val="13"/>
        <w:jc w:val="both"/>
        <w:rPr>
          <w:rFonts w:hint="eastAsia" w:ascii="方正小标宋_GBK" w:hAnsi="方正小标宋_GBK" w:eastAsia="方正小标宋_GBK" w:cs="方正小标宋_GBK"/>
          <w:sz w:val="72"/>
          <w:szCs w:val="72"/>
          <w:highlight w:val="none"/>
        </w:rPr>
      </w:pPr>
    </w:p>
    <w:p>
      <w:pPr>
        <w:pStyle w:val="13"/>
        <w:jc w:val="center"/>
        <w:rPr>
          <w:rFonts w:hint="eastAsia" w:ascii="方正小标宋_GBK" w:hAnsi="方正小标宋_GBK" w:eastAsia="方正小标宋_GBK" w:cs="方正小标宋_GBK"/>
          <w:sz w:val="72"/>
          <w:szCs w:val="72"/>
          <w:highlight w:val="none"/>
        </w:rPr>
      </w:pPr>
    </w:p>
    <w:p>
      <w:pPr>
        <w:pStyle w:val="13"/>
        <w:jc w:val="center"/>
        <w:rPr>
          <w:rFonts w:hint="eastAsia" w:ascii="方正小标宋_GBK" w:hAnsi="方正小标宋_GBK" w:eastAsia="方正小标宋_GBK" w:cs="方正小标宋_GBK"/>
          <w:sz w:val="72"/>
          <w:szCs w:val="72"/>
          <w:highlight w:val="none"/>
        </w:rPr>
      </w:pPr>
      <w:r>
        <w:rPr>
          <w:rFonts w:hint="eastAsia" w:ascii="方正小标宋_GBK" w:hAnsi="方正小标宋_GBK" w:eastAsia="方正小标宋_GBK" w:cs="方正小标宋_GBK"/>
          <w:sz w:val="72"/>
          <w:szCs w:val="72"/>
          <w:highlight w:val="none"/>
        </w:rPr>
        <w:t>第四部分</w:t>
      </w:r>
    </w:p>
    <w:p>
      <w:pPr>
        <w:jc w:val="center"/>
        <w:rPr>
          <w:rFonts w:hint="eastAsia" w:ascii="方正小标宋_GBK" w:hAnsi="方正小标宋_GBK" w:eastAsia="方正小标宋_GBK" w:cs="方正小标宋_GBK"/>
          <w:color w:val="000000"/>
          <w:kern w:val="0"/>
          <w:sz w:val="70"/>
          <w:szCs w:val="70"/>
          <w:highlight w:val="none"/>
        </w:rPr>
      </w:pPr>
    </w:p>
    <w:p>
      <w:pPr>
        <w:jc w:val="center"/>
        <w:rPr>
          <w:rFonts w:hint="eastAsia" w:ascii="方正小标宋_GBK" w:hAnsi="方正小标宋_GBK" w:eastAsia="方正小标宋_GBK" w:cs="方正小标宋_GBK"/>
          <w:color w:val="000000"/>
          <w:kern w:val="0"/>
          <w:sz w:val="70"/>
          <w:szCs w:val="70"/>
          <w:highlight w:val="none"/>
        </w:rPr>
      </w:pPr>
      <w:r>
        <w:rPr>
          <w:rFonts w:hint="eastAsia" w:ascii="方正小标宋_GBK" w:hAnsi="方正小标宋_GBK" w:eastAsia="方正小标宋_GBK" w:cs="方正小标宋_GBK"/>
          <w:color w:val="000000"/>
          <w:kern w:val="0"/>
          <w:sz w:val="70"/>
          <w:szCs w:val="70"/>
          <w:highlight w:val="none"/>
        </w:rPr>
        <w:t>名词解释</w:t>
      </w:r>
    </w:p>
    <w:p>
      <w:pPr>
        <w:widowControl/>
        <w:jc w:val="left"/>
        <w:rPr>
          <w:rFonts w:cs="黑体" w:asciiTheme="minorEastAsia" w:hAnsiTheme="minorEastAsia"/>
          <w:color w:val="000000"/>
          <w:kern w:val="0"/>
          <w:sz w:val="32"/>
          <w:szCs w:val="32"/>
          <w:highlight w:val="none"/>
        </w:rPr>
      </w:pPr>
      <w:r>
        <w:rPr>
          <w:highlight w:val="none"/>
        </w:rPr>
        <w:br w:type="page"/>
      </w:r>
    </w:p>
    <w:p>
      <w:pPr>
        <w:pStyle w:val="13"/>
        <w:ind w:firstLine="600" w:firstLineChars="200"/>
        <w:rPr>
          <w:rFonts w:ascii="Times New Roman" w:hAnsi="仿宋" w:eastAsia="仿宋" w:cs="Times New Roman"/>
          <w:color w:val="000000" w:themeColor="text1"/>
          <w:sz w:val="30"/>
          <w:szCs w:val="30"/>
          <w:highlight w:val="none"/>
          <w14:textFill>
            <w14:solidFill>
              <w14:schemeClr w14:val="tx1"/>
            </w14:solidFill>
          </w14:textFill>
        </w:rPr>
      </w:pPr>
      <w:r>
        <w:rPr>
          <w:rFonts w:hint="eastAsia" w:ascii="Times New Roman" w:hAnsi="仿宋" w:eastAsia="仿宋" w:cs="Times New Roman"/>
          <w:color w:val="000000" w:themeColor="text1"/>
          <w:sz w:val="30"/>
          <w:szCs w:val="30"/>
          <w:highlight w:val="none"/>
          <w:lang w:eastAsia="zh-CN"/>
          <w14:textFill>
            <w14:solidFill>
              <w14:schemeClr w14:val="tx1"/>
            </w14:solidFill>
          </w14:textFill>
        </w:rPr>
        <w:t>（</w:t>
      </w:r>
      <w:r>
        <w:rPr>
          <w:rFonts w:hint="eastAsia" w:ascii="Times New Roman" w:hAnsi="仿宋" w:eastAsia="仿宋" w:cs="Times New Roman"/>
          <w:color w:val="000000" w:themeColor="text1"/>
          <w:sz w:val="30"/>
          <w:szCs w:val="30"/>
          <w:highlight w:val="none"/>
          <w:lang w:val="en-US" w:eastAsia="zh-CN"/>
          <w14:textFill>
            <w14:solidFill>
              <w14:schemeClr w14:val="tx1"/>
            </w14:solidFill>
          </w14:textFill>
        </w:rPr>
        <w:t>一）</w:t>
      </w:r>
      <w:r>
        <w:rPr>
          <w:rFonts w:hint="eastAsia" w:ascii="Times New Roman" w:hAnsi="仿宋" w:eastAsia="仿宋" w:cs="Times New Roman"/>
          <w:color w:val="000000" w:themeColor="text1"/>
          <w:sz w:val="30"/>
          <w:szCs w:val="30"/>
          <w:highlight w:val="none"/>
          <w14:textFill>
            <w14:solidFill>
              <w14:schemeClr w14:val="tx1"/>
            </w14:solidFill>
          </w14:textFill>
        </w:rPr>
        <w:t>基</w:t>
      </w:r>
      <w:r>
        <w:rPr>
          <w:rFonts w:ascii="Times New Roman" w:hAnsi="仿宋" w:eastAsia="仿宋" w:cs="Times New Roman"/>
          <w:color w:val="000000" w:themeColor="text1"/>
          <w:sz w:val="30"/>
          <w:szCs w:val="30"/>
          <w:highlight w:val="none"/>
          <w14:textFill>
            <w14:solidFill>
              <w14:schemeClr w14:val="tx1"/>
            </w14:solidFill>
          </w14:textFill>
        </w:rPr>
        <w:t>本支出：指为保障机构正常运转、完成日常工作任务而 发生的各项支出，包括人员支出和公用支出。</w:t>
      </w:r>
    </w:p>
    <w:p>
      <w:pPr>
        <w:pStyle w:val="13"/>
        <w:ind w:firstLine="450" w:firstLineChars="150"/>
        <w:rPr>
          <w:rFonts w:ascii="Times New Roman" w:hAnsi="仿宋" w:eastAsia="仿宋" w:cs="Times New Roman"/>
          <w:color w:val="000000" w:themeColor="text1"/>
          <w:sz w:val="30"/>
          <w:szCs w:val="30"/>
          <w:highlight w:val="none"/>
          <w14:textFill>
            <w14:solidFill>
              <w14:schemeClr w14:val="tx1"/>
            </w14:solidFill>
          </w14:textFill>
        </w:rPr>
      </w:pPr>
      <w:r>
        <w:rPr>
          <w:rFonts w:hint="eastAsia" w:ascii="Times New Roman" w:hAnsi="仿宋" w:eastAsia="仿宋" w:cs="Times New Roman"/>
          <w:color w:val="000000" w:themeColor="text1"/>
          <w:sz w:val="30"/>
          <w:szCs w:val="30"/>
          <w:highlight w:val="none"/>
          <w:lang w:eastAsia="zh-CN"/>
          <w14:textFill>
            <w14:solidFill>
              <w14:schemeClr w14:val="tx1"/>
            </w14:solidFill>
          </w14:textFill>
        </w:rPr>
        <w:t>（</w:t>
      </w:r>
      <w:r>
        <w:rPr>
          <w:rFonts w:hint="eastAsia" w:ascii="Times New Roman" w:hAnsi="仿宋" w:eastAsia="仿宋" w:cs="Times New Roman"/>
          <w:color w:val="000000" w:themeColor="text1"/>
          <w:sz w:val="30"/>
          <w:szCs w:val="30"/>
          <w:highlight w:val="none"/>
          <w:lang w:val="en-US" w:eastAsia="zh-CN"/>
          <w14:textFill>
            <w14:solidFill>
              <w14:schemeClr w14:val="tx1"/>
            </w14:solidFill>
          </w14:textFill>
        </w:rPr>
        <w:t>二）</w:t>
      </w:r>
      <w:r>
        <w:rPr>
          <w:rFonts w:ascii="Times New Roman" w:hAnsi="仿宋" w:eastAsia="仿宋" w:cs="Times New Roman"/>
          <w:color w:val="000000" w:themeColor="text1"/>
          <w:sz w:val="30"/>
          <w:szCs w:val="30"/>
          <w:highlight w:val="none"/>
          <w14:textFill>
            <w14:solidFill>
              <w14:schemeClr w14:val="tx1"/>
            </w14:solidFill>
          </w14:textFill>
        </w:rPr>
        <w:t xml:space="preserve"> 项目支出：指在基本支出以外为完成相关行政任务和事业 发展目标所发生的各项支出。 </w:t>
      </w:r>
    </w:p>
    <w:p>
      <w:pPr>
        <w:pStyle w:val="13"/>
        <w:ind w:firstLine="600" w:firstLineChars="200"/>
        <w:rPr>
          <w:rFonts w:ascii="仿宋" w:hAnsi="仿宋" w:eastAsia="仿宋"/>
          <w:bCs/>
          <w:sz w:val="32"/>
          <w:szCs w:val="32"/>
          <w:highlight w:val="none"/>
        </w:rPr>
      </w:pPr>
      <w:r>
        <w:rPr>
          <w:rFonts w:hint="eastAsia" w:ascii="Times New Roman" w:hAnsi="仿宋" w:eastAsia="仿宋" w:cs="Times New Roman"/>
          <w:color w:val="000000" w:themeColor="text1"/>
          <w:sz w:val="30"/>
          <w:szCs w:val="30"/>
          <w:highlight w:val="none"/>
          <w:lang w:eastAsia="zh-CN"/>
          <w14:textFill>
            <w14:solidFill>
              <w14:schemeClr w14:val="tx1"/>
            </w14:solidFill>
          </w14:textFill>
        </w:rPr>
        <w:t>（</w:t>
      </w:r>
      <w:r>
        <w:rPr>
          <w:rFonts w:hint="eastAsia" w:ascii="Times New Roman" w:hAnsi="仿宋" w:eastAsia="仿宋" w:cs="Times New Roman"/>
          <w:color w:val="000000" w:themeColor="text1"/>
          <w:sz w:val="30"/>
          <w:szCs w:val="30"/>
          <w:highlight w:val="none"/>
          <w:lang w:val="en-US" w:eastAsia="zh-CN"/>
          <w14:textFill>
            <w14:solidFill>
              <w14:schemeClr w14:val="tx1"/>
            </w14:solidFill>
          </w14:textFill>
        </w:rPr>
        <w:t>三）</w:t>
      </w:r>
      <w:r>
        <w:rPr>
          <w:rFonts w:ascii="Times New Roman" w:hAnsi="仿宋" w:eastAsia="仿宋" w:cs="Times New Roman"/>
          <w:color w:val="000000" w:themeColor="text1"/>
          <w:sz w:val="30"/>
          <w:szCs w:val="30"/>
          <w:highlight w:val="none"/>
          <w14:textFill>
            <w14:solidFill>
              <w14:schemeClr w14:val="tx1"/>
            </w14:solidFill>
          </w14:textFill>
        </w:rPr>
        <w:t>“</w:t>
      </w:r>
      <w:r>
        <w:rPr>
          <w:rFonts w:hint="eastAsia" w:ascii="仿宋" w:hAnsi="仿宋" w:eastAsia="仿宋" w:cs="黑体"/>
          <w:bCs/>
          <w:color w:val="000000"/>
          <w:kern w:val="0"/>
          <w:sz w:val="32"/>
          <w:szCs w:val="32"/>
          <w:highlight w:val="none"/>
          <w:lang w:val="en-US" w:eastAsia="zh-CN" w:bidi="ar-SA"/>
        </w:rPr>
        <w:t>“三公”经费:纳入省财政预算管理的“三</w:t>
      </w:r>
      <w:r>
        <w:rPr>
          <w:rFonts w:hint="eastAsia" w:ascii="仿宋" w:hAnsi="仿宋" w:eastAsia="仿宋"/>
          <w:bCs/>
          <w:sz w:val="32"/>
          <w:szCs w:val="32"/>
          <w:highlight w:val="none"/>
        </w:rPr>
        <w:t>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ind w:firstLine="600" w:firstLineChars="200"/>
        <w:jc w:val="left"/>
        <w:rPr>
          <w:rFonts w:ascii="黑体" w:eastAsia="黑体" w:cs="黑体"/>
          <w:color w:val="000000" w:themeColor="text1"/>
          <w:kern w:val="0"/>
          <w:sz w:val="70"/>
          <w:szCs w:val="70"/>
          <w:highlight w:val="none"/>
          <w14:textFill>
            <w14:solidFill>
              <w14:schemeClr w14:val="tx1"/>
            </w14:solidFill>
          </w14:textFill>
        </w:rPr>
      </w:pPr>
      <w:r>
        <w:rPr>
          <w:rFonts w:hint="eastAsia" w:ascii="Times New Roman" w:hAnsi="仿宋" w:eastAsia="仿宋" w:cs="Times New Roman"/>
          <w:color w:val="000000" w:themeColor="text1"/>
          <w:sz w:val="30"/>
          <w:szCs w:val="30"/>
          <w:highlight w:val="none"/>
          <w:lang w:eastAsia="zh-CN"/>
          <w14:textFill>
            <w14:solidFill>
              <w14:schemeClr w14:val="tx1"/>
            </w14:solidFill>
          </w14:textFill>
        </w:rPr>
        <w:t>（</w:t>
      </w:r>
      <w:r>
        <w:rPr>
          <w:rFonts w:hint="eastAsia" w:ascii="Times New Roman" w:hAnsi="仿宋" w:eastAsia="仿宋" w:cs="Times New Roman"/>
          <w:color w:val="000000" w:themeColor="text1"/>
          <w:sz w:val="30"/>
          <w:szCs w:val="30"/>
          <w:highlight w:val="none"/>
          <w:lang w:val="en-US" w:eastAsia="zh-CN"/>
          <w14:textFill>
            <w14:solidFill>
              <w14:schemeClr w14:val="tx1"/>
            </w14:solidFill>
          </w14:textFill>
        </w:rPr>
        <w:t>四）</w:t>
      </w:r>
      <w:r>
        <w:rPr>
          <w:rFonts w:ascii="Times New Roman" w:hAnsi="仿宋" w:eastAsia="仿宋" w:cs="Times New Roman"/>
          <w:color w:val="000000" w:themeColor="text1"/>
          <w:sz w:val="30"/>
          <w:szCs w:val="30"/>
          <w:highlight w:val="none"/>
          <w14:textFill>
            <w14:solidFill>
              <w14:schemeClr w14:val="tx1"/>
            </w14:solidFill>
          </w14:textFill>
        </w:rPr>
        <w:t>机关运行经费：是指各部门的公用经费，包括办公及印刷 费、邮电费、差旅费、会议费、福利费、日常维修费、专用材 料及一般设备购置费、办公用房水电费、办公用房取暖费、办公用房物业管理费、公务用车运行维护费以及其他费用。</w:t>
      </w: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pStyle w:val="13"/>
        <w:jc w:val="center"/>
        <w:rPr>
          <w:sz w:val="72"/>
          <w:szCs w:val="72"/>
          <w:highlight w:val="none"/>
        </w:rPr>
      </w:pPr>
    </w:p>
    <w:p>
      <w:pPr>
        <w:jc w:val="left"/>
        <w:rPr>
          <w:rFonts w:cs="黑体" w:asciiTheme="minorEastAsia" w:hAnsiTheme="minorEastAsia"/>
          <w:color w:val="000000"/>
          <w:kern w:val="0"/>
          <w:sz w:val="32"/>
          <w:szCs w:val="32"/>
          <w:highlight w:val="none"/>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5239E85"/>
    <w:multiLevelType w:val="singleLevel"/>
    <w:tmpl w:val="25239E85"/>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zY2I5YTQyYjZjY2I4ZjAwOWIyMjI5OGMzYmQwMWEifQ=="/>
  </w:docVars>
  <w:rsids>
    <w:rsidRoot w:val="00000000"/>
    <w:rsid w:val="06444268"/>
    <w:rsid w:val="0FF94513"/>
    <w:rsid w:val="198B3CAA"/>
    <w:rsid w:val="1B443496"/>
    <w:rsid w:val="20625E91"/>
    <w:rsid w:val="21AA6B52"/>
    <w:rsid w:val="23CC7ACB"/>
    <w:rsid w:val="2F962304"/>
    <w:rsid w:val="338D37FD"/>
    <w:rsid w:val="36914A71"/>
    <w:rsid w:val="3BFB198F"/>
    <w:rsid w:val="3E167606"/>
    <w:rsid w:val="3F916253"/>
    <w:rsid w:val="3FBA3CB8"/>
    <w:rsid w:val="43454840"/>
    <w:rsid w:val="468A61B5"/>
    <w:rsid w:val="48526C80"/>
    <w:rsid w:val="52014298"/>
    <w:rsid w:val="520B6E1C"/>
    <w:rsid w:val="53934BD3"/>
    <w:rsid w:val="54EE3AFA"/>
    <w:rsid w:val="5ABE0216"/>
    <w:rsid w:val="5E333BEC"/>
    <w:rsid w:val="5FE445E6"/>
    <w:rsid w:val="605F3BD2"/>
    <w:rsid w:val="66A8511D"/>
    <w:rsid w:val="682659F4"/>
    <w:rsid w:val="68960E26"/>
    <w:rsid w:val="69A351E5"/>
    <w:rsid w:val="730E64E0"/>
    <w:rsid w:val="741F3F9C"/>
    <w:rsid w:val="75795C34"/>
    <w:rsid w:val="76230753"/>
    <w:rsid w:val="765478B7"/>
    <w:rsid w:val="77CD32BF"/>
    <w:rsid w:val="7BC726C9"/>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unhideWhenUsed/>
    <w:qFormat/>
    <w:uiPriority w:val="99"/>
    <w:pPr>
      <w:spacing w:before="100" w:beforeAutospacing="1" w:after="120" w:line="480" w:lineRule="auto"/>
      <w:ind w:left="200" w:leftChars="200"/>
    </w:pPr>
  </w:style>
  <w:style w:type="paragraph" w:styleId="3">
    <w:name w:val="Body Text Indent"/>
    <w:basedOn w:val="1"/>
    <w:unhideWhenUsed/>
    <w:qFormat/>
    <w:uiPriority w:val="99"/>
    <w:pPr>
      <w:spacing w:after="120"/>
      <w:ind w:left="420" w:leftChars="200"/>
    </w:p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qFormat/>
    <w:uiPriority w:val="0"/>
    <w:pPr>
      <w:spacing w:after="0" w:line="500" w:lineRule="atLeast"/>
      <w:ind w:left="0" w:leftChars="0" w:firstLine="420" w:firstLineChars="200"/>
    </w:pPr>
    <w:rPr>
      <w:sz w:val="30"/>
    </w:rPr>
  </w:style>
  <w:style w:type="table" w:styleId="9">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4"/>
    <w:semiHidden/>
    <w:qFormat/>
    <w:uiPriority w:val="99"/>
    <w:rPr>
      <w:sz w:val="18"/>
      <w:szCs w:val="18"/>
    </w:rPr>
  </w:style>
  <w:style w:type="character" w:customStyle="1" w:styleId="16">
    <w:name w:val="font01"/>
    <w:basedOn w:val="10"/>
    <w:qFormat/>
    <w:uiPriority w:val="0"/>
    <w:rPr>
      <w:rFonts w:hint="eastAsia" w:ascii="宋体" w:hAnsi="宋体" w:eastAsia="宋体" w:cs="宋体"/>
      <w:color w:val="000000"/>
      <w:sz w:val="22"/>
      <w:szCs w:val="22"/>
      <w:u w:val="none"/>
    </w:rPr>
  </w:style>
  <w:style w:type="character" w:customStyle="1" w:styleId="17">
    <w:name w:val="font21"/>
    <w:basedOn w:val="10"/>
    <w:qFormat/>
    <w:uiPriority w:val="0"/>
    <w:rPr>
      <w:rFonts w:hint="eastAsia" w:ascii="宋体" w:hAnsi="宋体" w:eastAsia="宋体" w:cs="宋体"/>
      <w:color w:val="000000"/>
      <w:sz w:val="24"/>
      <w:szCs w:val="24"/>
      <w:u w:val="none"/>
    </w:rPr>
  </w:style>
  <w:style w:type="character" w:customStyle="1" w:styleId="18">
    <w:name w:val="font11"/>
    <w:basedOn w:val="10"/>
    <w:qFormat/>
    <w:uiPriority w:val="0"/>
    <w:rPr>
      <w:rFonts w:hint="eastAsia" w:ascii="宋体" w:hAnsi="宋体" w:eastAsia="宋体" w:cs="宋体"/>
      <w:color w:val="000000"/>
      <w:sz w:val="24"/>
      <w:szCs w:val="24"/>
      <w:u w:val="none"/>
    </w:rPr>
  </w:style>
  <w:style w:type="character" w:customStyle="1" w:styleId="19">
    <w:name w:val="NormalCharacter"/>
    <w:link w:val="20"/>
    <w:qFormat/>
    <w:uiPriority w:val="0"/>
    <w:rPr>
      <w:rFonts w:ascii="Times New Roman" w:hAnsi="Times New Roman" w:cs="Times New Roman"/>
      <w:kern w:val="0"/>
      <w:sz w:val="20"/>
      <w:szCs w:val="20"/>
    </w:rPr>
  </w:style>
  <w:style w:type="paragraph" w:customStyle="1" w:styleId="20">
    <w:name w:val="UserStyle_0"/>
    <w:basedOn w:val="21"/>
    <w:next w:val="1"/>
    <w:link w:val="19"/>
    <w:qFormat/>
    <w:uiPriority w:val="0"/>
    <w:pPr>
      <w:widowControl/>
      <w:adjustRightInd w:val="0"/>
      <w:snapToGrid w:val="0"/>
      <w:spacing w:after="160" w:line="240" w:lineRule="exact"/>
      <w:ind w:firstLine="200" w:firstLineChars="200"/>
      <w:jc w:val="left"/>
    </w:pPr>
    <w:rPr>
      <w:rFonts w:ascii="Times New Roman" w:hAnsi="Times New Roman" w:cs="Times New Roman"/>
      <w:kern w:val="0"/>
      <w:sz w:val="20"/>
      <w:szCs w:val="20"/>
    </w:rPr>
  </w:style>
  <w:style w:type="paragraph" w:customStyle="1" w:styleId="21">
    <w:name w:val="正文 New New New New New New New New New New New New New New New New New New New New New New New New New New New New New New New New"/>
    <w:next w:val="22"/>
    <w:qFormat/>
    <w:uiPriority w:val="0"/>
    <w:pPr>
      <w:widowControl w:val="0"/>
      <w:jc w:val="both"/>
    </w:pPr>
    <w:rPr>
      <w:rFonts w:ascii="Calibri" w:hAnsi="Calibri" w:eastAsia="宋体" w:cs="宋体"/>
      <w:kern w:val="2"/>
      <w:sz w:val="21"/>
      <w:szCs w:val="24"/>
      <w:lang w:val="en-US" w:eastAsia="zh-CN" w:bidi="ar-SA"/>
    </w:rPr>
  </w:style>
  <w:style w:type="paragraph" w:customStyle="1" w:styleId="22">
    <w:name w:val="正文文本 New New New New New New New New New"/>
    <w:basedOn w:val="21"/>
    <w:next w:val="23"/>
    <w:qFormat/>
    <w:uiPriority w:val="0"/>
  </w:style>
  <w:style w:type="paragraph" w:customStyle="1" w:styleId="23">
    <w:name w:val="正文首行缩进 New New New New New New New New"/>
    <w:basedOn w:val="22"/>
    <w:qFormat/>
    <w:uiPriority w:val="0"/>
    <w:pPr>
      <w:ind w:firstLine="420" w:firstLineChars="1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2.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5.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8.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64465040-0a8a-4ed3-be14-a7cc3042fabf}">
  <ds:schemaRefs/>
</ds:datastoreItem>
</file>

<file path=customXml/itemProps2.xml><?xml version="1.0" encoding="utf-8"?>
<ds:datastoreItem xmlns:ds="http://schemas.openxmlformats.org/officeDocument/2006/customXml" ds:itemID="{b657424c-00d7-496c-acc4-3188eb8ab183}">
  <ds:schemaRefs/>
</ds:datastoreItem>
</file>

<file path=customXml/itemProps3.xml><?xml version="1.0" encoding="utf-8"?>
<ds:datastoreItem xmlns:ds="http://schemas.openxmlformats.org/officeDocument/2006/customXml" ds:itemID="{2dc357b0-977c-4934-b441-849d1d6f775d}">
  <ds:schemaRefs/>
</ds:datastoreItem>
</file>

<file path=customXml/itemProps4.xml><?xml version="1.0" encoding="utf-8"?>
<ds:datastoreItem xmlns:ds="http://schemas.openxmlformats.org/officeDocument/2006/customXml" ds:itemID="{2ebc120e-3e90-42ea-9850-682a535515c6}">
  <ds:schemaRefs/>
</ds:datastoreItem>
</file>

<file path=customXml/itemProps5.xml><?xml version="1.0" encoding="utf-8"?>
<ds:datastoreItem xmlns:ds="http://schemas.openxmlformats.org/officeDocument/2006/customXml" ds:itemID="{91c34ff7-1b6e-4cdb-a304-cdde62aad2d2}">
  <ds:schemaRefs/>
</ds:datastoreItem>
</file>

<file path=customXml/itemProps6.xml><?xml version="1.0" encoding="utf-8"?>
<ds:datastoreItem xmlns:ds="http://schemas.openxmlformats.org/officeDocument/2006/customXml" ds:itemID="{20cd829b-0fdf-463b-8ee5-026f25b31726}">
  <ds:schemaRefs/>
</ds:datastoreItem>
</file>

<file path=customXml/itemProps7.xml><?xml version="1.0" encoding="utf-8"?>
<ds:datastoreItem xmlns:ds="http://schemas.openxmlformats.org/officeDocument/2006/customXml" ds:itemID="{0f9466da-85c6-4072-9a59-9634f3548593}">
  <ds:schemaRefs/>
</ds:datastoreItem>
</file>

<file path=customXml/itemProps8.xml><?xml version="1.0" encoding="utf-8"?>
<ds:datastoreItem xmlns:ds="http://schemas.openxmlformats.org/officeDocument/2006/customXml" ds:itemID="{bdd9ae3b-1842-40b6-9515-5a28579377fc}">
  <ds:schemaRefs/>
</ds:datastoreItem>
</file>

<file path=customXml/itemProps9.xml><?xml version="1.0" encoding="utf-8"?>
<ds:datastoreItem xmlns:ds="http://schemas.openxmlformats.org/officeDocument/2006/customXml" ds:itemID="{f7e8041e-ec46-4dda-9082-f1179d48ed9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6666</Words>
  <Characters>7855</Characters>
  <Lines>63</Lines>
  <Paragraphs>18</Paragraphs>
  <TotalTime>1</TotalTime>
  <ScaleCrop>false</ScaleCrop>
  <LinksUpToDate>false</LinksUpToDate>
  <CharactersWithSpaces>8157</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2023-09-11T00:54:00Z</cp:lastPrinted>
  <dcterms:modified xsi:type="dcterms:W3CDTF">2023-11-01T12:22:44Z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DD121A481E2B4FAEB6F32F3861D6FCFC_13</vt:lpwstr>
  </property>
</Properties>
</file>