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color w:val="auto"/>
          <w:sz w:val="56"/>
          <w:szCs w:val="56"/>
        </w:rPr>
      </w:pPr>
    </w:p>
    <w:p>
      <w:pPr>
        <w:pStyle w:val="13"/>
        <w:jc w:val="center"/>
        <w:rPr>
          <w:color w:val="auto"/>
          <w:sz w:val="56"/>
          <w:szCs w:val="56"/>
        </w:rPr>
      </w:pPr>
    </w:p>
    <w:p>
      <w:pPr>
        <w:pStyle w:val="13"/>
        <w:jc w:val="center"/>
        <w:rPr>
          <w:color w:val="auto"/>
          <w:sz w:val="84"/>
          <w:szCs w:val="84"/>
        </w:rPr>
      </w:pPr>
    </w:p>
    <w:p>
      <w:pPr>
        <w:pStyle w:val="13"/>
        <w:jc w:val="center"/>
        <w:rPr>
          <w:color w:val="auto"/>
          <w:sz w:val="84"/>
          <w:szCs w:val="84"/>
        </w:rPr>
      </w:pPr>
    </w:p>
    <w:p>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202</w:t>
      </w:r>
      <w:r>
        <w:rPr>
          <w:rFonts w:hint="eastAsia" w:ascii="方正小标宋_GBK" w:hAnsi="方正小标宋_GBK" w:eastAsia="方正小标宋_GBK" w:cs="方正小标宋_GBK"/>
          <w:color w:val="auto"/>
          <w:sz w:val="84"/>
          <w:szCs w:val="84"/>
          <w:lang w:val="en-US" w:eastAsia="zh-CN"/>
        </w:rPr>
        <w:t>2</w:t>
      </w:r>
      <w:r>
        <w:rPr>
          <w:rFonts w:hint="eastAsia" w:ascii="方正小标宋_GBK" w:hAnsi="方正小标宋_GBK" w:eastAsia="方正小标宋_GBK" w:cs="方正小标宋_GBK"/>
          <w:color w:val="auto"/>
          <w:sz w:val="84"/>
          <w:szCs w:val="84"/>
        </w:rPr>
        <w:t>年度</w:t>
      </w:r>
    </w:p>
    <w:p>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lang w:eastAsia="zh-CN"/>
        </w:rPr>
        <w:t>湖南省种子管理服务站</w:t>
      </w:r>
      <w:r>
        <w:rPr>
          <w:rFonts w:hint="eastAsia" w:ascii="方正小标宋_GBK" w:hAnsi="方正小标宋_GBK" w:eastAsia="方正小标宋_GBK" w:cs="方正小标宋_GBK"/>
          <w:color w:val="auto"/>
          <w:sz w:val="84"/>
          <w:szCs w:val="84"/>
        </w:rPr>
        <w:t>部门决算</w:t>
      </w:r>
    </w:p>
    <w:p>
      <w:pPr>
        <w:pStyle w:val="13"/>
        <w:jc w:val="center"/>
        <w:rPr>
          <w:rFonts w:hint="eastAsia" w:ascii="方正小标宋_GBK" w:hAnsi="方正小标宋_GBK" w:eastAsia="方正小标宋_GBK" w:cs="方正小标宋_GBK"/>
          <w:color w:val="auto"/>
          <w:sz w:val="56"/>
          <w:szCs w:val="56"/>
        </w:rPr>
      </w:pPr>
    </w:p>
    <w:p>
      <w:pPr>
        <w:pStyle w:val="13"/>
        <w:jc w:val="center"/>
        <w:rPr>
          <w:color w:val="auto"/>
          <w:sz w:val="56"/>
          <w:szCs w:val="56"/>
        </w:rPr>
      </w:pPr>
    </w:p>
    <w:p>
      <w:pPr>
        <w:pStyle w:val="13"/>
        <w:jc w:val="center"/>
        <w:rPr>
          <w:color w:val="auto"/>
          <w:sz w:val="56"/>
          <w:szCs w:val="56"/>
        </w:rPr>
      </w:pPr>
    </w:p>
    <w:p>
      <w:pPr>
        <w:pStyle w:val="13"/>
        <w:jc w:val="center"/>
        <w:rPr>
          <w:color w:val="auto"/>
          <w:sz w:val="56"/>
          <w:szCs w:val="56"/>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spacing w:line="500" w:lineRule="exact"/>
        <w:jc w:val="center"/>
        <w:rPr>
          <w:b/>
          <w:color w:val="auto"/>
          <w:sz w:val="36"/>
          <w:szCs w:val="28"/>
        </w:rPr>
      </w:pPr>
      <w:r>
        <w:rPr>
          <w:rFonts w:hint="eastAsia"/>
          <w:b/>
          <w:color w:val="auto"/>
          <w:sz w:val="36"/>
          <w:szCs w:val="28"/>
        </w:rPr>
        <w:t>目录</w:t>
      </w:r>
    </w:p>
    <w:p>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第一部分</w:t>
      </w:r>
      <w:r>
        <w:rPr>
          <w:rFonts w:hint="eastAsia" w:ascii="黑体" w:hAnsi="黑体" w:eastAsia="黑体" w:cs="黑体"/>
          <w:b w:val="0"/>
          <w:bCs/>
          <w:color w:val="auto"/>
          <w:sz w:val="28"/>
          <w:szCs w:val="28"/>
          <w:lang w:val="en-US" w:eastAsia="zh-CN"/>
        </w:rPr>
        <w:t xml:space="preserve"> </w:t>
      </w:r>
      <w:r>
        <w:rPr>
          <w:rFonts w:hint="eastAsia" w:hAnsi="黑体" w:cs="黑体"/>
          <w:b w:val="0"/>
          <w:bCs/>
          <w:color w:val="auto"/>
          <w:sz w:val="28"/>
          <w:szCs w:val="28"/>
          <w:lang w:eastAsia="zh-CN"/>
        </w:rPr>
        <w:t>湖南省种子管理服务站</w:t>
      </w:r>
      <w:r>
        <w:rPr>
          <w:rFonts w:hint="eastAsia" w:ascii="黑体" w:hAnsi="黑体" w:eastAsia="黑体" w:cs="黑体"/>
          <w:b w:val="0"/>
          <w:bCs/>
          <w:color w:val="auto"/>
          <w:sz w:val="28"/>
          <w:szCs w:val="28"/>
        </w:rPr>
        <w:t>概况</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一、部门职责</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二、机构设置</w:t>
      </w:r>
    </w:p>
    <w:p>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第二部分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部门决算表</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一、收入支出决算总表</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二、收入决算表</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三、支出决算表</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四、财政拨款收入支出决算总表</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五、一般公共预算财政拨款支出决算表</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六、一般公共预算财政拨款基本支出决算明细表</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七、政府性基金预算财政拨款收入支出决算表</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八、国有资本经营预算财政拨款支出决算表</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九、财政拨款“三公”经费支出决算表</w:t>
      </w:r>
    </w:p>
    <w:p>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第三部分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部门决算情况说明</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十一、关于政府采购支出说明</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十二、关于国有资产占用情况说明</w:t>
      </w:r>
    </w:p>
    <w:p>
      <w:pPr>
        <w:pStyle w:val="13"/>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十三、关于预算绩效情况的说明</w:t>
      </w:r>
    </w:p>
    <w:p>
      <w:pPr>
        <w:pStyle w:val="13"/>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第四部分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名词解释</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rPr>
          <w:rFonts w:hint="eastAsia" w:ascii="方正小标宋_GBK" w:hAnsi="方正小标宋_GBK" w:eastAsia="方正小标宋_GBK" w:cs="方正小标宋_GBK"/>
          <w:color w:val="auto"/>
          <w:sz w:val="72"/>
          <w:szCs w:val="72"/>
        </w:rPr>
      </w:pPr>
    </w:p>
    <w:p>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 xml:space="preserve">第一部分 </w:t>
      </w:r>
    </w:p>
    <w:p>
      <w:pPr>
        <w:pStyle w:val="13"/>
        <w:jc w:val="center"/>
        <w:rPr>
          <w:rFonts w:hint="eastAsia" w:ascii="方正小标宋_GBK" w:hAnsi="方正小标宋_GBK" w:eastAsia="方正小标宋_GBK" w:cs="方正小标宋_GBK"/>
          <w:color w:val="auto"/>
          <w:sz w:val="84"/>
          <w:szCs w:val="84"/>
        </w:rPr>
      </w:pPr>
    </w:p>
    <w:p>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lang w:eastAsia="zh-CN"/>
        </w:rPr>
        <w:t>湖南省种子管理服务站</w:t>
      </w:r>
      <w:r>
        <w:rPr>
          <w:rFonts w:hint="eastAsia" w:ascii="方正小标宋_GBK" w:hAnsi="方正小标宋_GBK" w:eastAsia="方正小标宋_GBK" w:cs="方正小标宋_GBK"/>
          <w:color w:val="auto"/>
          <w:sz w:val="84"/>
          <w:szCs w:val="84"/>
        </w:rPr>
        <w:t>概况</w:t>
      </w:r>
    </w:p>
    <w:p>
      <w:pPr>
        <w:jc w:val="center"/>
        <w:rPr>
          <w:rFonts w:hint="eastAsia" w:ascii="方正小标宋_GBK" w:hAnsi="方正小标宋_GBK" w:eastAsia="方正小标宋_GBK" w:cs="方正小标宋_GBK"/>
          <w:color w:val="auto"/>
          <w:sz w:val="72"/>
          <w:szCs w:val="72"/>
        </w:rPr>
      </w:pPr>
    </w:p>
    <w:p>
      <w:pPr>
        <w:jc w:val="center"/>
        <w:rPr>
          <w:rFonts w:hint="eastAsia" w:ascii="方正小标宋_GBK" w:hAnsi="方正小标宋_GBK" w:eastAsia="方正小标宋_GBK" w:cs="方正小标宋_GBK"/>
          <w:color w:val="auto"/>
          <w:sz w:val="72"/>
          <w:szCs w:val="72"/>
        </w:rPr>
      </w:pPr>
    </w:p>
    <w:p>
      <w:pPr>
        <w:jc w:val="center"/>
        <w:rPr>
          <w:color w:val="auto"/>
          <w:sz w:val="72"/>
          <w:szCs w:val="72"/>
        </w:rPr>
      </w:pPr>
    </w:p>
    <w:p>
      <w:pPr>
        <w:jc w:val="center"/>
        <w:rPr>
          <w:color w:val="auto"/>
          <w:sz w:val="72"/>
          <w:szCs w:val="72"/>
        </w:rPr>
      </w:pPr>
    </w:p>
    <w:p>
      <w:pPr>
        <w:jc w:val="center"/>
        <w:rPr>
          <w:color w:val="auto"/>
          <w:sz w:val="24"/>
          <w:szCs w:val="24"/>
        </w:rPr>
      </w:pPr>
    </w:p>
    <w:p>
      <w:pPr>
        <w:pStyle w:val="14"/>
        <w:numPr>
          <w:ilvl w:val="0"/>
          <w:numId w:val="1"/>
        </w:numPr>
        <w:ind w:firstLineChars="0"/>
        <w:jc w:val="left"/>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部门职责</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1、组织实施省级农作物品种区域试验、生产试验，承担省级审定农作物品种标准样品的封存、保管工作。</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2、负责省级农作物新品种展示、示范工作。</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3、负责农作物种子质量检验工作，承担种子检验员、种子质量检验机构考核的技术评价工作。</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4、承担农作物种子纯度种植鉴定和组织种子质量纠纷田间现场鉴定工作。</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5、开展种子供需形势调度和价格监测，负责种业基础信息信息收集和统计分析。</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6、承担救灾备荒种子储备管理的技术服务工作。</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7、承担农作物种子南繁技术服务工作。</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8、负责种子繁育、检验、加工、储藏等种业新技术的试验、示范与推广工作。</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9、</w:t>
      </w:r>
      <w:r>
        <w:rPr>
          <w:rFonts w:hint="eastAsia" w:ascii="Times New Roman" w:hAnsi="Times New Roman" w:eastAsia="仿宋_GB2312" w:cs="仿宋_GB2312"/>
          <w:color w:val="auto"/>
          <w:sz w:val="32"/>
          <w:szCs w:val="32"/>
        </w:rPr>
        <w:t>承担种业技术标准的制修工作。</w:t>
      </w:r>
    </w:p>
    <w:p>
      <w:pPr>
        <w:widowControl/>
        <w:spacing w:line="600" w:lineRule="exact"/>
        <w:ind w:firstLine="640" w:firstLineChars="20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10</w:t>
      </w:r>
      <w:r>
        <w:rPr>
          <w:rFonts w:hint="eastAsia" w:ascii="Times New Roman" w:hAnsi="Times New Roman" w:eastAsia="仿宋_GB2312" w:cs="仿宋_GB2312"/>
          <w:color w:val="auto"/>
          <w:sz w:val="32"/>
          <w:szCs w:val="32"/>
        </w:rPr>
        <w:t>、厅领导交办的其他工作。</w:t>
      </w:r>
    </w:p>
    <w:p>
      <w:pPr>
        <w:widowControl/>
        <w:spacing w:line="600" w:lineRule="exact"/>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二、机构设置及决算单位构成</w:t>
      </w:r>
    </w:p>
    <w:p>
      <w:pPr>
        <w:widowControl/>
        <w:spacing w:line="600" w:lineRule="exact"/>
        <w:ind w:firstLine="640" w:firstLineChars="200"/>
        <w:rPr>
          <w:rFonts w:hint="eastAsia" w:ascii="Times New Roman" w:hAnsi="Times New Roman" w:eastAsia="仿宋_GB2312" w:cs="仿宋_GB2312"/>
          <w:bCs/>
          <w:color w:val="auto"/>
          <w:kern w:val="0"/>
          <w:sz w:val="32"/>
          <w:szCs w:val="32"/>
        </w:rPr>
      </w:pPr>
      <w:r>
        <w:rPr>
          <w:rFonts w:hint="eastAsia" w:ascii="Times New Roman" w:hAnsi="Times New Roman" w:eastAsia="仿宋_GB2312" w:cs="仿宋_GB2312"/>
          <w:bCs/>
          <w:color w:val="auto"/>
          <w:kern w:val="0"/>
          <w:sz w:val="32"/>
          <w:szCs w:val="32"/>
        </w:rPr>
        <w:t>（一）内设机构设置。</w:t>
      </w:r>
      <w:r>
        <w:rPr>
          <w:rFonts w:hint="eastAsia" w:ascii="Times New Roman" w:hAnsi="Times New Roman" w:eastAsia="仿宋_GB2312" w:cs="仿宋_GB2312"/>
          <w:bCs/>
          <w:color w:val="auto"/>
          <w:kern w:val="0"/>
          <w:sz w:val="32"/>
          <w:szCs w:val="32"/>
          <w:lang w:eastAsia="zh-CN"/>
        </w:rPr>
        <w:t>湖南省种子管理服务站</w:t>
      </w:r>
      <w:r>
        <w:rPr>
          <w:rFonts w:hint="eastAsia" w:ascii="Times New Roman" w:hAnsi="Times New Roman" w:eastAsia="仿宋_GB2312" w:cs="仿宋_GB2312"/>
          <w:bCs/>
          <w:color w:val="auto"/>
          <w:kern w:val="0"/>
          <w:sz w:val="32"/>
          <w:szCs w:val="32"/>
        </w:rPr>
        <w:t>内设机构包括：综合科、财务科、品种管理科、生产质量科、种业信息与技术科、植物新品种保护科等六个科室。</w:t>
      </w:r>
    </w:p>
    <w:p>
      <w:pPr>
        <w:widowControl/>
        <w:spacing w:line="600" w:lineRule="exact"/>
        <w:ind w:firstLine="640" w:firstLineChars="200"/>
        <w:rPr>
          <w:rFonts w:hint="eastAsia" w:ascii="仿宋_GB2312" w:eastAsia="仿宋_GB2312" w:hAnsiTheme="minorEastAsia"/>
          <w:color w:val="auto"/>
          <w:sz w:val="28"/>
          <w:szCs w:val="32"/>
          <w:lang w:eastAsia="zh-CN"/>
        </w:rPr>
      </w:pPr>
      <w:r>
        <w:rPr>
          <w:rFonts w:hint="eastAsia" w:ascii="Times New Roman" w:hAnsi="Times New Roman" w:eastAsia="仿宋_GB2312" w:cs="仿宋_GB2312"/>
          <w:bCs/>
          <w:color w:val="auto"/>
          <w:kern w:val="0"/>
          <w:sz w:val="32"/>
          <w:szCs w:val="32"/>
        </w:rPr>
        <w:t>（二）决算单位构成。</w:t>
      </w:r>
      <w:r>
        <w:rPr>
          <w:rFonts w:hint="eastAsia" w:ascii="Times New Roman" w:hAnsi="Times New Roman" w:eastAsia="仿宋_GB2312" w:cs="仿宋_GB2312"/>
          <w:bCs/>
          <w:color w:val="auto"/>
          <w:kern w:val="0"/>
          <w:sz w:val="32"/>
          <w:szCs w:val="32"/>
          <w:lang w:eastAsia="zh-CN"/>
        </w:rPr>
        <w:t>湖南省种子管理服务站</w:t>
      </w:r>
      <w:r>
        <w:rPr>
          <w:rFonts w:hint="eastAsia" w:ascii="Times New Roman" w:hAnsi="Times New Roman" w:eastAsia="仿宋_GB2312" w:cs="仿宋_GB2312"/>
          <w:bCs/>
          <w:color w:val="auto"/>
          <w:kern w:val="0"/>
          <w:sz w:val="32"/>
          <w:szCs w:val="32"/>
        </w:rPr>
        <w:t>202</w:t>
      </w:r>
      <w:r>
        <w:rPr>
          <w:rFonts w:hint="eastAsia" w:ascii="Times New Roman" w:hAnsi="Times New Roman" w:eastAsia="仿宋_GB2312" w:cs="仿宋_GB2312"/>
          <w:bCs/>
          <w:color w:val="auto"/>
          <w:kern w:val="0"/>
          <w:sz w:val="32"/>
          <w:szCs w:val="32"/>
          <w:lang w:val="en-US" w:eastAsia="zh-CN"/>
        </w:rPr>
        <w:t>2</w:t>
      </w:r>
      <w:r>
        <w:rPr>
          <w:rFonts w:hint="eastAsia" w:ascii="Times New Roman" w:hAnsi="Times New Roman" w:eastAsia="仿宋_GB2312" w:cs="仿宋_GB2312"/>
          <w:bCs/>
          <w:color w:val="auto"/>
          <w:kern w:val="0"/>
          <w:sz w:val="32"/>
          <w:szCs w:val="32"/>
        </w:rPr>
        <w:t>年部门决算汇总公开单位构成包括：</w:t>
      </w:r>
      <w:r>
        <w:rPr>
          <w:rFonts w:hint="eastAsia" w:ascii="Times New Roman" w:hAnsi="Times New Roman" w:eastAsia="仿宋_GB2312" w:cs="仿宋_GB2312"/>
          <w:bCs/>
          <w:color w:val="auto"/>
          <w:kern w:val="0"/>
          <w:sz w:val="32"/>
          <w:szCs w:val="32"/>
          <w:lang w:eastAsia="zh-CN"/>
        </w:rPr>
        <w:t>湖南省种子管理服务站</w:t>
      </w:r>
      <w:r>
        <w:rPr>
          <w:rFonts w:hint="eastAsia" w:ascii="Times New Roman" w:hAnsi="Times New Roman" w:eastAsia="仿宋_GB2312" w:cs="仿宋_GB2312"/>
          <w:bCs/>
          <w:color w:val="auto"/>
          <w:kern w:val="0"/>
          <w:sz w:val="32"/>
          <w:szCs w:val="32"/>
        </w:rPr>
        <w:t>本级</w:t>
      </w:r>
      <w:r>
        <w:rPr>
          <w:rFonts w:hint="eastAsia" w:ascii="Times New Roman" w:hAnsi="Times New Roman" w:eastAsia="仿宋_GB2312" w:cs="仿宋_GB2312"/>
          <w:bCs/>
          <w:color w:val="auto"/>
          <w:kern w:val="0"/>
          <w:sz w:val="32"/>
          <w:szCs w:val="32"/>
          <w:lang w:eastAsia="zh-CN"/>
        </w:rPr>
        <w:t>。</w:t>
      </w: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pStyle w:val="13"/>
        <w:jc w:val="center"/>
        <w:rPr>
          <w:rFonts w:hint="eastAsia" w:ascii="方正小标宋_GBK" w:hAnsi="方正小标宋_GBK" w:eastAsia="方正小标宋_GBK" w:cs="方正小标宋_GBK"/>
          <w:color w:val="auto"/>
          <w:sz w:val="84"/>
          <w:szCs w:val="84"/>
        </w:rPr>
      </w:pPr>
    </w:p>
    <w:p>
      <w:pPr>
        <w:pStyle w:val="13"/>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第二部分</w:t>
      </w:r>
    </w:p>
    <w:p>
      <w:pPr>
        <w:pStyle w:val="13"/>
        <w:jc w:val="center"/>
        <w:rPr>
          <w:rFonts w:hint="eastAsia" w:ascii="方正小标宋_GBK" w:hAnsi="方正小标宋_GBK" w:eastAsia="方正小标宋_GBK" w:cs="方正小标宋_GBK"/>
          <w:color w:val="auto"/>
          <w:sz w:val="84"/>
          <w:szCs w:val="84"/>
        </w:rPr>
      </w:pPr>
    </w:p>
    <w:p>
      <w:pPr>
        <w:pStyle w:val="13"/>
        <w:jc w:val="center"/>
        <w:rPr>
          <w:color w:val="auto"/>
          <w:sz w:val="72"/>
          <w:szCs w:val="72"/>
        </w:rPr>
      </w:pPr>
      <w:r>
        <w:rPr>
          <w:rFonts w:hint="eastAsia" w:ascii="方正小标宋_GBK" w:hAnsi="方正小标宋_GBK" w:eastAsia="方正小标宋_GBK" w:cs="方正小标宋_GBK"/>
          <w:color w:val="auto"/>
          <w:sz w:val="84"/>
          <w:szCs w:val="84"/>
        </w:rPr>
        <w:t>部门决算表</w:t>
      </w:r>
    </w:p>
    <w:p>
      <w:pPr>
        <w:jc w:val="center"/>
        <w:rPr>
          <w:color w:val="auto"/>
          <w:sz w:val="72"/>
          <w:szCs w:val="72"/>
        </w:rPr>
      </w:pPr>
    </w:p>
    <w:p>
      <w:pPr>
        <w:jc w:val="center"/>
        <w:rPr>
          <w:color w:val="auto"/>
          <w:sz w:val="72"/>
          <w:szCs w:val="72"/>
        </w:rPr>
      </w:pPr>
    </w:p>
    <w:p>
      <w:pPr>
        <w:jc w:val="left"/>
        <w:rPr>
          <w:color w:val="auto"/>
          <w:sz w:val="32"/>
          <w:szCs w:val="32"/>
        </w:rPr>
      </w:pPr>
    </w:p>
    <w:p>
      <w:pPr>
        <w:jc w:val="left"/>
        <w:rPr>
          <w:rFonts w:asciiTheme="minorEastAsia" w:hAnsiTheme="minorEastAsia"/>
          <w:color w:val="auto"/>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color w:val="auto"/>
          <w:kern w:val="0"/>
          <w:sz w:val="32"/>
          <w:szCs w:val="32"/>
        </w:rPr>
      </w:pPr>
      <w:r>
        <w:rPr>
          <w:rFonts w:ascii="Times New Roman" w:hAnsi="Times New Roman" w:eastAsia="黑体" w:cs="Times New Roman"/>
          <w:bCs/>
          <w:color w:val="auto"/>
          <w:kern w:val="0"/>
          <w:sz w:val="32"/>
          <w:szCs w:val="32"/>
        </w:rPr>
        <w:t xml:space="preserve"> </w:t>
      </w:r>
      <w:r>
        <w:rPr>
          <w:color w:val="auto"/>
        </w:rPr>
        <w:drawing>
          <wp:inline distT="0" distB="0" distL="114300" distR="114300">
            <wp:extent cx="8298815" cy="6266815"/>
            <wp:effectExtent l="0" t="0" r="6985" b="698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4"/>
                    <a:stretch>
                      <a:fillRect/>
                    </a:stretch>
                  </pic:blipFill>
                  <pic:spPr>
                    <a:xfrm>
                      <a:off x="0" y="0"/>
                      <a:ext cx="8298815" cy="6266815"/>
                    </a:xfrm>
                    <a:prstGeom prst="rect">
                      <a:avLst/>
                    </a:prstGeom>
                    <a:noFill/>
                    <a:ln>
                      <a:noFill/>
                    </a:ln>
                  </pic:spPr>
                </pic:pic>
              </a:graphicData>
            </a:graphic>
          </wp:inline>
        </w:drawing>
      </w:r>
      <w:r>
        <w:rPr>
          <w:color w:val="auto"/>
        </w:rPr>
        <w:br w:type="page"/>
      </w:r>
    </w:p>
    <w:p>
      <w:pPr>
        <w:widowControl/>
        <w:jc w:val="both"/>
        <w:rPr>
          <w:rFonts w:ascii="Times New Roman" w:hAnsi="Times New Roman" w:eastAsia="方正小标宋_GBK" w:cs="Times New Roman"/>
          <w:color w:val="auto"/>
          <w:kern w:val="0"/>
          <w:sz w:val="36"/>
          <w:szCs w:val="21"/>
        </w:rPr>
      </w:pPr>
      <w:r>
        <w:rPr>
          <w:color w:val="auto"/>
        </w:rPr>
        <w:drawing>
          <wp:inline distT="0" distB="0" distL="114300" distR="114300">
            <wp:extent cx="9767570" cy="4558665"/>
            <wp:effectExtent l="0" t="0" r="1143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67570" cy="4558665"/>
                    </a:xfrm>
                    <a:prstGeom prst="rect">
                      <a:avLst/>
                    </a:prstGeom>
                    <a:noFill/>
                    <a:ln>
                      <a:noFill/>
                    </a:ln>
                  </pic:spPr>
                </pic:pic>
              </a:graphicData>
            </a:graphic>
          </wp:inline>
        </w:drawing>
      </w:r>
    </w:p>
    <w:p>
      <w:pPr>
        <w:widowControl/>
        <w:jc w:val="center"/>
        <w:rPr>
          <w:rFonts w:ascii="Times New Roman" w:hAnsi="Times New Roman" w:eastAsia="方正小标宋_GBK" w:cs="Times New Roman"/>
          <w:color w:val="auto"/>
          <w:kern w:val="0"/>
          <w:sz w:val="36"/>
          <w:szCs w:val="36"/>
        </w:rPr>
      </w:pPr>
      <w:bookmarkStart w:id="0" w:name="RANGE!A1:I22"/>
      <w:bookmarkEnd w:id="0"/>
      <w:bookmarkStart w:id="1" w:name="RANGE!A1:F16"/>
    </w:p>
    <w:p>
      <w:pPr>
        <w:widowControl/>
        <w:jc w:val="center"/>
        <w:rPr>
          <w:rFonts w:ascii="Times New Roman" w:hAnsi="Times New Roman" w:eastAsia="方正小标宋_GBK" w:cs="Times New Roman"/>
          <w:color w:val="auto"/>
          <w:kern w:val="0"/>
          <w:sz w:val="36"/>
          <w:szCs w:val="36"/>
        </w:rPr>
      </w:pPr>
    </w:p>
    <w:bookmarkEnd w:id="1"/>
    <w:p>
      <w:pPr>
        <w:widowControl/>
        <w:jc w:val="left"/>
        <w:rPr>
          <w:rFonts w:ascii="Times New Roman" w:hAnsi="Times New Roman" w:eastAsia="仿宋_GB2312" w:cs="Times New Roman"/>
          <w:bCs/>
          <w:color w:val="auto"/>
          <w:kern w:val="0"/>
          <w:szCs w:val="21"/>
        </w:rPr>
      </w:pPr>
      <w:r>
        <w:rPr>
          <w:color w:val="auto"/>
        </w:rPr>
        <w:drawing>
          <wp:inline distT="0" distB="0" distL="114300" distR="114300">
            <wp:extent cx="9715500" cy="4775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715500" cy="4775200"/>
                    </a:xfrm>
                    <a:prstGeom prst="rect">
                      <a:avLst/>
                    </a:prstGeom>
                    <a:noFill/>
                    <a:ln>
                      <a:noFill/>
                    </a:ln>
                  </pic:spPr>
                </pic:pic>
              </a:graphicData>
            </a:graphic>
          </wp:inline>
        </w:drawing>
      </w:r>
    </w:p>
    <w:p>
      <w:pPr>
        <w:widowControl/>
        <w:jc w:val="left"/>
        <w:rPr>
          <w:color w:val="auto"/>
        </w:rPr>
      </w:pPr>
      <w:r>
        <w:rPr>
          <w:color w:val="auto"/>
        </w:rPr>
        <w:br w:type="page"/>
      </w:r>
      <w:r>
        <w:rPr>
          <w:color w:val="auto"/>
        </w:rPr>
        <w:drawing>
          <wp:inline distT="0" distB="0" distL="114300" distR="114300">
            <wp:extent cx="8688070" cy="6270625"/>
            <wp:effectExtent l="0" t="0" r="11430" b="317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7"/>
                    <a:stretch>
                      <a:fillRect/>
                    </a:stretch>
                  </pic:blipFill>
                  <pic:spPr>
                    <a:xfrm>
                      <a:off x="0" y="0"/>
                      <a:ext cx="8688070" cy="6270625"/>
                    </a:xfrm>
                    <a:prstGeom prst="rect">
                      <a:avLst/>
                    </a:prstGeom>
                    <a:noFill/>
                    <a:ln>
                      <a:noFill/>
                    </a:ln>
                  </pic:spPr>
                </pic:pic>
              </a:graphicData>
            </a:graphic>
          </wp:inline>
        </w:drawing>
      </w:r>
      <w:r>
        <w:rPr>
          <w:color w:val="auto"/>
        </w:rPr>
        <w:drawing>
          <wp:inline distT="0" distB="0" distL="114300" distR="114300">
            <wp:extent cx="8191500" cy="4756150"/>
            <wp:effectExtent l="0" t="0" r="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8191500" cy="4756150"/>
                    </a:xfrm>
                    <a:prstGeom prst="rect">
                      <a:avLst/>
                    </a:prstGeom>
                    <a:noFill/>
                    <a:ln>
                      <a:noFill/>
                    </a:ln>
                  </pic:spPr>
                </pic:pic>
              </a:graphicData>
            </a:graphic>
          </wp:inline>
        </w:drawing>
      </w:r>
    </w:p>
    <w:p>
      <w:pPr>
        <w:widowControl/>
        <w:jc w:val="left"/>
        <w:rPr>
          <w:color w:val="auto"/>
        </w:rPr>
      </w:pPr>
      <w:r>
        <w:rPr>
          <w:color w:val="auto"/>
        </w:rPr>
        <w:drawing>
          <wp:inline distT="0" distB="0" distL="114300" distR="114300">
            <wp:extent cx="9777095" cy="5632450"/>
            <wp:effectExtent l="0" t="0" r="1905" b="635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9"/>
                    <a:stretch>
                      <a:fillRect/>
                    </a:stretch>
                  </pic:blipFill>
                  <pic:spPr>
                    <a:xfrm>
                      <a:off x="0" y="0"/>
                      <a:ext cx="9777095" cy="5632450"/>
                    </a:xfrm>
                    <a:prstGeom prst="rect">
                      <a:avLst/>
                    </a:prstGeom>
                    <a:noFill/>
                    <a:ln>
                      <a:noFill/>
                    </a:ln>
                  </pic:spPr>
                </pic:pic>
              </a:graphicData>
            </a:graphic>
          </wp:inline>
        </w:drawing>
      </w:r>
    </w:p>
    <w:p>
      <w:pPr>
        <w:pStyle w:val="2"/>
        <w:rPr>
          <w:color w:val="auto"/>
        </w:rPr>
      </w:pPr>
    </w:p>
    <w:p>
      <w:pPr>
        <w:pStyle w:val="2"/>
        <w:rPr>
          <w:color w:val="auto"/>
        </w:rPr>
      </w:pPr>
    </w:p>
    <w:tbl>
      <w:tblPr>
        <w:tblStyle w:val="8"/>
        <w:tblW w:w="15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auto"/>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4764"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部门：湖南省种子管理服务站</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xml:space="preserve">项 </w:t>
            </w:r>
            <w:r>
              <w:rPr>
                <w:rStyle w:val="16"/>
                <w:color w:val="auto"/>
                <w:lang w:val="en-US" w:eastAsia="zh-CN"/>
              </w:rPr>
              <w:t xml:space="preserve">   </w:t>
            </w:r>
            <w:r>
              <w:rPr>
                <w:rStyle w:val="17"/>
                <w:color w:val="auto"/>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宋体" w:hAnsi="宋体" w:eastAsia="宋体" w:cs="宋体"/>
                <w:i w:val="0"/>
                <w:color w:val="auto"/>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auto"/>
          <w:kern w:val="0"/>
          <w:sz w:val="36"/>
          <w:szCs w:val="36"/>
        </w:rPr>
      </w:pPr>
    </w:p>
    <w:p>
      <w:pPr>
        <w:widowControl/>
        <w:jc w:val="center"/>
        <w:rPr>
          <w:rFonts w:hint="eastAsia" w:ascii="Times New Roman" w:hAnsi="Times New Roman" w:eastAsia="方正小标宋_GBK" w:cs="Times New Roman"/>
          <w:color w:val="auto"/>
          <w:kern w:val="0"/>
          <w:sz w:val="36"/>
          <w:szCs w:val="36"/>
        </w:rPr>
      </w:pPr>
    </w:p>
    <w:tbl>
      <w:tblPr>
        <w:tblStyle w:val="8"/>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部门：湖南省种子管理服务站</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xml:space="preserve">项 </w:t>
            </w:r>
            <w:r>
              <w:rPr>
                <w:rFonts w:hint="eastAsia" w:ascii="宋体" w:hAnsi="宋体" w:eastAsia="宋体" w:cs="宋体"/>
                <w:i w:val="0"/>
                <w:color w:val="auto"/>
                <w:kern w:val="0"/>
                <w:sz w:val="22"/>
                <w:szCs w:val="22"/>
                <w:u w:val="none"/>
                <w:lang w:val="en-US" w:eastAsia="zh-CN"/>
              </w:rPr>
              <w:t xml:space="preserve">   </w:t>
            </w:r>
            <w:r>
              <w:rPr>
                <w:rStyle w:val="18"/>
                <w:color w:val="auto"/>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宋体" w:hAnsi="宋体" w:eastAsia="宋体" w:cs="宋体"/>
                <w:i w:val="0"/>
                <w:color w:val="auto"/>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auto"/>
          <w:kern w:val="0"/>
          <w:sz w:val="36"/>
          <w:szCs w:val="36"/>
        </w:rPr>
      </w:pPr>
    </w:p>
    <w:tbl>
      <w:tblPr>
        <w:tblStyle w:val="8"/>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auto"/>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部门：湖南省种子管理服务站</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1.20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widowControl/>
        <w:jc w:val="both"/>
        <w:rPr>
          <w:color w:val="auto"/>
          <w:sz w:val="72"/>
          <w:szCs w:val="72"/>
        </w:rPr>
        <w:sectPr>
          <w:pgSz w:w="16838" w:h="11906" w:orient="landscape"/>
          <w:pgMar w:top="720" w:right="720" w:bottom="720" w:left="720" w:header="851" w:footer="992" w:gutter="0"/>
          <w:cols w:space="425" w:num="1"/>
          <w:docGrid w:type="lines" w:linePitch="312" w:charSpace="0"/>
        </w:sectPr>
      </w:pPr>
      <w:r>
        <w:rPr>
          <w:color w:val="auto"/>
        </w:rPr>
        <w:br w:type="page"/>
      </w:r>
    </w:p>
    <w:p>
      <w:pPr>
        <w:pStyle w:val="13"/>
        <w:rPr>
          <w:color w:val="auto"/>
          <w:sz w:val="72"/>
          <w:szCs w:val="72"/>
        </w:rPr>
      </w:pPr>
    </w:p>
    <w:p>
      <w:pPr>
        <w:pStyle w:val="13"/>
        <w:rPr>
          <w:color w:val="auto"/>
          <w:sz w:val="72"/>
          <w:szCs w:val="72"/>
        </w:rPr>
      </w:pPr>
    </w:p>
    <w:p>
      <w:pPr>
        <w:pStyle w:val="13"/>
        <w:rPr>
          <w:color w:val="auto"/>
          <w:sz w:val="72"/>
          <w:szCs w:val="72"/>
        </w:rPr>
      </w:pPr>
    </w:p>
    <w:p>
      <w:pPr>
        <w:pStyle w:val="13"/>
        <w:rPr>
          <w:color w:val="auto"/>
          <w:sz w:val="72"/>
          <w:szCs w:val="72"/>
        </w:rPr>
      </w:pPr>
    </w:p>
    <w:p>
      <w:pPr>
        <w:pStyle w:val="13"/>
        <w:jc w:val="center"/>
        <w:rPr>
          <w:color w:val="auto"/>
          <w:sz w:val="72"/>
          <w:szCs w:val="72"/>
        </w:rPr>
      </w:pPr>
    </w:p>
    <w:p>
      <w:pPr>
        <w:pStyle w:val="13"/>
        <w:jc w:val="center"/>
        <w:rPr>
          <w:rFonts w:hint="eastAsia" w:ascii="方正小标宋_GBK" w:hAnsi="方正小标宋_GBK" w:eastAsia="方正小标宋_GBK" w:cs="方正小标宋_GBK"/>
          <w:color w:val="auto"/>
          <w:sz w:val="72"/>
          <w:szCs w:val="72"/>
        </w:rPr>
      </w:pPr>
    </w:p>
    <w:p>
      <w:pPr>
        <w:pStyle w:val="13"/>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第三部分</w:t>
      </w:r>
    </w:p>
    <w:p>
      <w:pPr>
        <w:pStyle w:val="13"/>
        <w:jc w:val="center"/>
        <w:rPr>
          <w:rFonts w:hint="eastAsia" w:ascii="方正小标宋_GBK" w:hAnsi="方正小标宋_GBK" w:eastAsia="方正小标宋_GBK" w:cs="方正小标宋_GBK"/>
          <w:color w:val="auto"/>
          <w:sz w:val="70"/>
          <w:szCs w:val="70"/>
        </w:rPr>
      </w:pPr>
    </w:p>
    <w:p>
      <w:pPr>
        <w:pStyle w:val="13"/>
        <w:jc w:val="center"/>
        <w:rPr>
          <w:rFonts w:hint="eastAsia" w:ascii="方正小标宋_GBK" w:hAnsi="方正小标宋_GBK" w:eastAsia="方正小标宋_GBK" w:cs="方正小标宋_GBK"/>
          <w:color w:val="auto"/>
          <w:sz w:val="70"/>
          <w:szCs w:val="70"/>
        </w:rPr>
      </w:pPr>
      <w:r>
        <w:rPr>
          <w:rFonts w:hint="eastAsia" w:ascii="方正小标宋_GBK" w:hAnsi="方正小标宋_GBK" w:eastAsia="方正小标宋_GBK" w:cs="方正小标宋_GBK"/>
          <w:color w:val="auto"/>
          <w:sz w:val="70"/>
          <w:szCs w:val="70"/>
        </w:rPr>
        <w:t>202</w:t>
      </w:r>
      <w:r>
        <w:rPr>
          <w:rFonts w:hint="eastAsia" w:ascii="方正小标宋_GBK" w:hAnsi="方正小标宋_GBK" w:eastAsia="方正小标宋_GBK" w:cs="方正小标宋_GBK"/>
          <w:color w:val="auto"/>
          <w:sz w:val="70"/>
          <w:szCs w:val="70"/>
          <w:lang w:val="en-US" w:eastAsia="zh-CN"/>
        </w:rPr>
        <w:t>2</w:t>
      </w:r>
      <w:r>
        <w:rPr>
          <w:rFonts w:hint="eastAsia" w:ascii="方正小标宋_GBK" w:hAnsi="方正小标宋_GBK" w:eastAsia="方正小标宋_GBK" w:cs="方正小标宋_GBK"/>
          <w:color w:val="auto"/>
          <w:sz w:val="70"/>
          <w:szCs w:val="70"/>
        </w:rPr>
        <w:t>年度部门决算情况说明</w:t>
      </w:r>
    </w:p>
    <w:p>
      <w:pPr>
        <w:widowControl/>
        <w:jc w:val="left"/>
        <w:rPr>
          <w:rFonts w:asciiTheme="minorEastAsia" w:hAnsiTheme="minorEastAsia" w:eastAsiaTheme="minorEastAsia"/>
          <w:color w:val="auto"/>
          <w:sz w:val="32"/>
          <w:szCs w:val="32"/>
        </w:rPr>
      </w:pPr>
      <w:r>
        <w:rPr>
          <w:color w:val="auto"/>
        </w:rPr>
        <w:br w:type="page"/>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一、收入支出决算总体情况说明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年度收、支总计</w:t>
      </w:r>
      <w:r>
        <w:rPr>
          <w:rFonts w:hint="eastAsia" w:ascii="Times New Roman" w:hAnsi="Times New Roman" w:eastAsia="仿宋_GB2312"/>
          <w:color w:val="auto"/>
          <w:sz w:val="32"/>
          <w:szCs w:val="32"/>
          <w:lang w:val="en-US" w:eastAsia="zh-CN"/>
        </w:rPr>
        <w:t>685.30</w:t>
      </w:r>
      <w:r>
        <w:rPr>
          <w:rFonts w:hint="eastAsia" w:ascii="Times New Roman" w:hAnsi="Times New Roman" w:eastAsia="仿宋_GB2312"/>
          <w:color w:val="auto"/>
          <w:sz w:val="32"/>
          <w:szCs w:val="32"/>
        </w:rPr>
        <w:t>万元。与上年相比，增加</w:t>
      </w:r>
      <w:r>
        <w:rPr>
          <w:rFonts w:hint="eastAsia" w:ascii="Times New Roman" w:hAnsi="Times New Roman" w:eastAsia="仿宋_GB2312"/>
          <w:color w:val="auto"/>
          <w:sz w:val="32"/>
          <w:szCs w:val="32"/>
          <w:lang w:val="en-US" w:eastAsia="zh-CN"/>
        </w:rPr>
        <w:t>142.30</w:t>
      </w:r>
      <w:r>
        <w:rPr>
          <w:rFonts w:hint="eastAsia" w:ascii="Times New Roman" w:hAnsi="Times New Roman" w:eastAsia="仿宋_GB2312"/>
          <w:color w:val="auto"/>
          <w:sz w:val="32"/>
          <w:szCs w:val="32"/>
        </w:rPr>
        <w:t>万元，增长</w:t>
      </w:r>
      <w:r>
        <w:rPr>
          <w:rFonts w:hint="eastAsia" w:ascii="Times New Roman" w:hAnsi="Times New Roman" w:eastAsia="仿宋_GB2312"/>
          <w:color w:val="auto"/>
          <w:sz w:val="32"/>
          <w:szCs w:val="32"/>
          <w:lang w:val="en-US" w:eastAsia="zh-CN"/>
        </w:rPr>
        <w:t>26.21</w:t>
      </w:r>
      <w:r>
        <w:rPr>
          <w:rFonts w:hint="eastAsia" w:ascii="Times New Roman" w:hAnsi="Times New Roman" w:eastAsia="仿宋_GB2312"/>
          <w:color w:val="auto"/>
          <w:sz w:val="32"/>
          <w:szCs w:val="32"/>
        </w:rPr>
        <w:t>%，主要是因为</w:t>
      </w:r>
      <w:r>
        <w:rPr>
          <w:rFonts w:hint="eastAsia" w:ascii="Times New Roman" w:hAnsi="Times New Roman" w:eastAsia="仿宋_GB2312"/>
          <w:color w:val="auto"/>
          <w:sz w:val="32"/>
          <w:szCs w:val="32"/>
          <w:lang w:val="en-US" w:eastAsia="zh-CN"/>
        </w:rPr>
        <w:t>年中追加2021、2022年绩效奖金。</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二、收入决算情况说明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年度收入合计</w:t>
      </w:r>
      <w:r>
        <w:rPr>
          <w:rFonts w:hint="eastAsia" w:ascii="Times New Roman" w:hAnsi="Times New Roman" w:eastAsia="仿宋_GB2312"/>
          <w:color w:val="auto"/>
          <w:sz w:val="32"/>
          <w:szCs w:val="32"/>
          <w:lang w:val="en-US" w:eastAsia="zh-CN"/>
        </w:rPr>
        <w:t>611.32</w:t>
      </w:r>
      <w:r>
        <w:rPr>
          <w:rFonts w:hint="eastAsia" w:ascii="Times New Roman" w:hAnsi="Times New Roman" w:eastAsia="仿宋_GB2312"/>
          <w:color w:val="auto"/>
          <w:sz w:val="32"/>
          <w:szCs w:val="32"/>
        </w:rPr>
        <w:t>万元，其中：财政拨款收入</w:t>
      </w:r>
      <w:r>
        <w:rPr>
          <w:rFonts w:hint="eastAsia" w:ascii="Times New Roman" w:hAnsi="Times New Roman" w:eastAsia="仿宋_GB2312"/>
          <w:color w:val="auto"/>
          <w:sz w:val="32"/>
          <w:szCs w:val="32"/>
          <w:lang w:val="en-US" w:eastAsia="zh-CN"/>
        </w:rPr>
        <w:t>611.32</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%；上级补助收入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%；事业收入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%；经营收入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%；附属单位上缴收入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%；其他收入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年度支出合计</w:t>
      </w:r>
      <w:r>
        <w:rPr>
          <w:rFonts w:hint="eastAsia" w:ascii="Times New Roman" w:hAnsi="Times New Roman" w:eastAsia="仿宋_GB2312"/>
          <w:color w:val="auto"/>
          <w:sz w:val="32"/>
          <w:szCs w:val="32"/>
          <w:lang w:val="en-US" w:eastAsia="zh-CN"/>
        </w:rPr>
        <w:t>651.82</w:t>
      </w:r>
      <w:r>
        <w:rPr>
          <w:rFonts w:hint="eastAsia" w:ascii="Times New Roman" w:hAnsi="Times New Roman" w:eastAsia="仿宋_GB2312"/>
          <w:color w:val="auto"/>
          <w:sz w:val="32"/>
          <w:szCs w:val="32"/>
        </w:rPr>
        <w:t>万元，其中：基本支出</w:t>
      </w:r>
      <w:r>
        <w:rPr>
          <w:rFonts w:hint="eastAsia" w:ascii="Times New Roman" w:hAnsi="Times New Roman" w:eastAsia="仿宋_GB2312"/>
          <w:color w:val="auto"/>
          <w:sz w:val="32"/>
          <w:szCs w:val="32"/>
          <w:lang w:val="en-US" w:eastAsia="zh-CN"/>
        </w:rPr>
        <w:t>508.46</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78.01</w:t>
      </w:r>
      <w:r>
        <w:rPr>
          <w:rFonts w:hint="eastAsia" w:ascii="Times New Roman" w:hAnsi="Times New Roman" w:eastAsia="仿宋_GB2312"/>
          <w:color w:val="auto"/>
          <w:sz w:val="32"/>
          <w:szCs w:val="32"/>
        </w:rPr>
        <w:t>%；项目支出</w:t>
      </w:r>
      <w:r>
        <w:rPr>
          <w:rFonts w:hint="eastAsia" w:ascii="Times New Roman" w:hAnsi="Times New Roman" w:eastAsia="仿宋_GB2312"/>
          <w:color w:val="auto"/>
          <w:sz w:val="32"/>
          <w:szCs w:val="32"/>
          <w:lang w:val="en-US" w:eastAsia="zh-CN"/>
        </w:rPr>
        <w:t>143.36</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21.99</w:t>
      </w:r>
      <w:r>
        <w:rPr>
          <w:rFonts w:hint="eastAsia" w:ascii="Times New Roman" w:hAnsi="Times New Roman" w:eastAsia="仿宋_GB2312"/>
          <w:color w:val="auto"/>
          <w:sz w:val="32"/>
          <w:szCs w:val="32"/>
        </w:rPr>
        <w:t>%；上缴上级支出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%；经营支出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%；对附属单位补助支出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四、财政拨款收入支出决算总体情况说明</w:t>
      </w:r>
    </w:p>
    <w:p>
      <w:pPr>
        <w:pStyle w:val="13"/>
        <w:keepNext w:val="0"/>
        <w:keepLines w:val="0"/>
        <w:pageBreakBefore w:val="0"/>
        <w:widowControl w:val="0"/>
        <w:kinsoku/>
        <w:wordWrap/>
        <w:overflowPunct/>
        <w:topLinePunct w:val="0"/>
        <w:bidi w:val="0"/>
        <w:snapToGrid/>
        <w:spacing w:line="600" w:lineRule="exact"/>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 xml:space="preserve">    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年度财政拨款收、支总计</w:t>
      </w:r>
      <w:r>
        <w:rPr>
          <w:rFonts w:hint="eastAsia" w:ascii="Times New Roman" w:hAnsi="Times New Roman" w:eastAsia="仿宋_GB2312"/>
          <w:color w:val="auto"/>
          <w:sz w:val="32"/>
          <w:szCs w:val="32"/>
          <w:lang w:val="en-US" w:eastAsia="zh-CN"/>
        </w:rPr>
        <w:t>657.61</w:t>
      </w:r>
      <w:r>
        <w:rPr>
          <w:rFonts w:hint="eastAsia" w:ascii="Times New Roman" w:hAnsi="Times New Roman" w:eastAsia="仿宋_GB2312"/>
          <w:color w:val="auto"/>
          <w:sz w:val="32"/>
          <w:szCs w:val="32"/>
        </w:rPr>
        <w:t>万元，与上年相比，增加</w:t>
      </w:r>
      <w:r>
        <w:rPr>
          <w:rFonts w:hint="eastAsia" w:ascii="Times New Roman" w:hAnsi="Times New Roman" w:eastAsia="仿宋_GB2312"/>
          <w:color w:val="auto"/>
          <w:sz w:val="32"/>
          <w:szCs w:val="32"/>
          <w:lang w:val="en-US" w:eastAsia="zh-CN"/>
        </w:rPr>
        <w:t>195.39</w:t>
      </w:r>
      <w:r>
        <w:rPr>
          <w:rFonts w:hint="eastAsia" w:ascii="Times New Roman" w:hAnsi="Times New Roman" w:eastAsia="仿宋_GB2312"/>
          <w:color w:val="auto"/>
          <w:sz w:val="32"/>
          <w:szCs w:val="32"/>
        </w:rPr>
        <w:t>万元,增长</w:t>
      </w:r>
      <w:r>
        <w:rPr>
          <w:rFonts w:hint="eastAsia" w:ascii="Times New Roman" w:hAnsi="Times New Roman" w:eastAsia="仿宋_GB2312"/>
          <w:color w:val="auto"/>
          <w:sz w:val="32"/>
          <w:szCs w:val="32"/>
          <w:lang w:val="en-US" w:eastAsia="zh-CN"/>
        </w:rPr>
        <w:t>42.27</w:t>
      </w:r>
      <w:r>
        <w:rPr>
          <w:rFonts w:hint="eastAsia" w:ascii="Times New Roman" w:hAnsi="Times New Roman" w:eastAsia="仿宋_GB2312"/>
          <w:color w:val="auto"/>
          <w:sz w:val="32"/>
          <w:szCs w:val="32"/>
        </w:rPr>
        <w:t>%，主要是因为</w:t>
      </w:r>
      <w:r>
        <w:rPr>
          <w:rFonts w:hint="eastAsia" w:ascii="Times New Roman" w:hAnsi="Times New Roman" w:eastAsia="仿宋_GB2312"/>
          <w:color w:val="auto"/>
          <w:sz w:val="32"/>
          <w:szCs w:val="32"/>
          <w:lang w:val="en-US" w:eastAsia="zh-CN"/>
        </w:rPr>
        <w:t>年中追加2021、2022年绩效奖金。</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五、一般公共预算财政拨款支出决算情况说明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（一）财政拨款支出决算总体情况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w:t>
      </w:r>
      <w:r>
        <w:rPr>
          <w:rFonts w:hint="eastAsia" w:ascii="Times New Roman" w:hAnsi="Times New Roman" w:eastAsia="仿宋_GB2312"/>
          <w:color w:val="auto"/>
          <w:sz w:val="32"/>
          <w:szCs w:val="32"/>
          <w:lang w:val="en-US" w:eastAsia="zh-CN"/>
        </w:rPr>
        <w:t>624.12</w:t>
      </w:r>
      <w:r>
        <w:rPr>
          <w:rFonts w:hint="eastAsia" w:ascii="Times New Roman" w:hAnsi="Times New Roman" w:eastAsia="仿宋_GB2312"/>
          <w:color w:val="auto"/>
          <w:sz w:val="32"/>
          <w:szCs w:val="32"/>
        </w:rPr>
        <w:t>万元，占本年支出合计的</w:t>
      </w:r>
      <w:r>
        <w:rPr>
          <w:rFonts w:hint="eastAsia" w:ascii="Times New Roman" w:hAnsi="Times New Roman" w:eastAsia="仿宋_GB2312"/>
          <w:color w:val="auto"/>
          <w:sz w:val="32"/>
          <w:szCs w:val="32"/>
          <w:lang w:val="en-US" w:eastAsia="zh-CN"/>
        </w:rPr>
        <w:t>95.74</w:t>
      </w:r>
      <w:r>
        <w:rPr>
          <w:rFonts w:hint="eastAsia" w:ascii="Times New Roman" w:hAnsi="Times New Roman" w:eastAsia="仿宋_GB2312"/>
          <w:color w:val="auto"/>
          <w:sz w:val="32"/>
          <w:szCs w:val="32"/>
        </w:rPr>
        <w:t>%，与上年相比，财政拨款支出增加</w:t>
      </w:r>
      <w:r>
        <w:rPr>
          <w:rFonts w:hint="eastAsia" w:ascii="Times New Roman" w:hAnsi="Times New Roman" w:eastAsia="仿宋_GB2312"/>
          <w:color w:val="auto"/>
          <w:sz w:val="32"/>
          <w:szCs w:val="32"/>
          <w:lang w:val="en-US" w:eastAsia="zh-CN"/>
        </w:rPr>
        <w:t>286.24</w:t>
      </w:r>
      <w:r>
        <w:rPr>
          <w:rFonts w:hint="eastAsia" w:ascii="Times New Roman" w:hAnsi="Times New Roman" w:eastAsia="仿宋_GB2312"/>
          <w:color w:val="auto"/>
          <w:sz w:val="32"/>
          <w:szCs w:val="32"/>
        </w:rPr>
        <w:t>万元，增长</w:t>
      </w:r>
      <w:r>
        <w:rPr>
          <w:rFonts w:hint="eastAsia" w:ascii="Times New Roman" w:hAnsi="Times New Roman" w:eastAsia="仿宋_GB2312"/>
          <w:color w:val="auto"/>
          <w:sz w:val="32"/>
          <w:szCs w:val="32"/>
          <w:lang w:val="en-US" w:eastAsia="zh-CN"/>
        </w:rPr>
        <w:t>84.72</w:t>
      </w:r>
      <w:r>
        <w:rPr>
          <w:rFonts w:hint="eastAsia" w:ascii="Times New Roman" w:hAnsi="Times New Roman" w:eastAsia="仿宋_GB2312"/>
          <w:color w:val="auto"/>
          <w:sz w:val="32"/>
          <w:szCs w:val="32"/>
        </w:rPr>
        <w:t>%，主要是因为</w:t>
      </w:r>
      <w:r>
        <w:rPr>
          <w:rFonts w:hint="eastAsia" w:ascii="Times New Roman" w:hAnsi="Times New Roman" w:eastAsia="仿宋_GB2312"/>
          <w:color w:val="auto"/>
          <w:sz w:val="32"/>
          <w:szCs w:val="32"/>
          <w:lang w:val="en-US" w:eastAsia="zh-CN"/>
        </w:rPr>
        <w:t>年中追加2021、2022年绩效工资，同时种植产业发展、农业种质资源保护与发展项目支出增加。</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（二）财政拨款支出决算结构情况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2022年度财政拨款支出624.12万元，主要用于以下方面：社会保障</w:t>
      </w:r>
      <w:r>
        <w:rPr>
          <w:rFonts w:hint="eastAsia" w:ascii="Times New Roman" w:hAnsi="Times New Roman" w:eastAsia="仿宋_GB2312"/>
          <w:color w:val="auto"/>
          <w:sz w:val="32"/>
          <w:szCs w:val="32"/>
        </w:rPr>
        <w:t>和就业（类）支出</w:t>
      </w:r>
      <w:r>
        <w:rPr>
          <w:rFonts w:hint="eastAsia" w:ascii="Times New Roman" w:hAnsi="Times New Roman" w:eastAsia="仿宋_GB2312"/>
          <w:color w:val="auto"/>
          <w:sz w:val="32"/>
          <w:szCs w:val="32"/>
          <w:lang w:val="en-US" w:eastAsia="zh-CN"/>
        </w:rPr>
        <w:t>48.72</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7.81</w:t>
      </w:r>
      <w:r>
        <w:rPr>
          <w:rFonts w:hint="eastAsia" w:ascii="Times New Roman" w:hAnsi="Times New Roman" w:eastAsia="仿宋_GB2312"/>
          <w:color w:val="auto"/>
          <w:sz w:val="32"/>
          <w:szCs w:val="32"/>
        </w:rPr>
        <w:t>%；农林水（类）支出</w:t>
      </w:r>
      <w:r>
        <w:rPr>
          <w:rFonts w:hint="eastAsia" w:ascii="Times New Roman" w:hAnsi="Times New Roman" w:eastAsia="仿宋_GB2312"/>
          <w:color w:val="auto"/>
          <w:sz w:val="32"/>
          <w:szCs w:val="32"/>
          <w:lang w:val="en-US" w:eastAsia="zh-CN"/>
        </w:rPr>
        <w:t>550.31</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88.17</w:t>
      </w:r>
      <w:r>
        <w:rPr>
          <w:rFonts w:hint="eastAsia" w:ascii="Times New Roman" w:hAnsi="Times New Roman" w:eastAsia="仿宋_GB2312"/>
          <w:color w:val="auto"/>
          <w:sz w:val="32"/>
          <w:szCs w:val="32"/>
        </w:rPr>
        <w:t>%;住房保障（类）支出</w:t>
      </w:r>
      <w:r>
        <w:rPr>
          <w:rFonts w:hint="eastAsia" w:ascii="Times New Roman" w:hAnsi="Times New Roman" w:eastAsia="仿宋_GB2312"/>
          <w:color w:val="auto"/>
          <w:sz w:val="32"/>
          <w:szCs w:val="32"/>
          <w:lang w:val="en-US" w:eastAsia="zh-CN"/>
        </w:rPr>
        <w:t>25.10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4.02</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lang w:eastAsia="zh-CN"/>
        </w:rPr>
        <w:t>（</w:t>
      </w:r>
      <w:r>
        <w:rPr>
          <w:rFonts w:hint="eastAsia" w:ascii="楷体" w:hAnsi="楷体" w:eastAsia="楷体" w:cs="楷体"/>
          <w:b w:val="0"/>
          <w:bCs/>
          <w:color w:val="auto"/>
          <w:sz w:val="32"/>
          <w:szCs w:val="32"/>
        </w:rPr>
        <w:t>三）财政拨款支出决算具体情况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年度财政拨款支出年初预算数为</w:t>
      </w:r>
      <w:r>
        <w:rPr>
          <w:rFonts w:hint="eastAsia" w:ascii="Times New Roman" w:hAnsi="Times New Roman" w:eastAsia="仿宋_GB2312"/>
          <w:color w:val="auto"/>
          <w:sz w:val="32"/>
          <w:szCs w:val="32"/>
          <w:lang w:val="en-US" w:eastAsia="zh-CN"/>
        </w:rPr>
        <w:t>426.01</w:t>
      </w:r>
      <w:r>
        <w:rPr>
          <w:rFonts w:hint="eastAsia" w:ascii="Times New Roman" w:hAnsi="Times New Roman" w:eastAsia="仿宋_GB2312"/>
          <w:color w:val="auto"/>
          <w:sz w:val="32"/>
          <w:szCs w:val="32"/>
        </w:rPr>
        <w:t>万元，支出决算数为</w:t>
      </w:r>
      <w:r>
        <w:rPr>
          <w:rFonts w:hint="eastAsia" w:ascii="Times New Roman" w:hAnsi="Times New Roman" w:eastAsia="仿宋_GB2312"/>
          <w:color w:val="auto"/>
          <w:sz w:val="32"/>
          <w:szCs w:val="32"/>
          <w:lang w:val="en-US" w:eastAsia="zh-CN"/>
        </w:rPr>
        <w:t>624.12</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146.50</w:t>
      </w:r>
      <w:r>
        <w:rPr>
          <w:rFonts w:hint="eastAsia" w:ascii="Times New Roman" w:hAnsi="Times New Roman" w:eastAsia="仿宋_GB2312"/>
          <w:color w:val="auto"/>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1、社会保障和就业（类）行政事业单位养老支出（款）机关事业单位基本养老保险缴费支出（项）。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50.40</w:t>
      </w:r>
      <w:r>
        <w:rPr>
          <w:rFonts w:hint="eastAsia" w:ascii="Times New Roman" w:hAnsi="Times New Roman" w:eastAsia="仿宋_GB2312"/>
          <w:color w:val="auto"/>
          <w:sz w:val="32"/>
          <w:szCs w:val="32"/>
        </w:rPr>
        <w:t>万元，支出决算</w:t>
      </w:r>
      <w:r>
        <w:rPr>
          <w:rFonts w:hint="eastAsia" w:ascii="Times New Roman" w:hAnsi="Times New Roman" w:eastAsia="仿宋_GB2312"/>
          <w:color w:val="auto"/>
          <w:sz w:val="32"/>
          <w:szCs w:val="32"/>
          <w:lang w:val="en-US" w:eastAsia="zh-CN"/>
        </w:rPr>
        <w:t>48.72</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96.66</w:t>
      </w:r>
      <w:r>
        <w:rPr>
          <w:rFonts w:hint="eastAsia" w:ascii="Times New Roman" w:hAnsi="Times New Roman" w:eastAsia="仿宋_GB2312"/>
          <w:color w:val="auto"/>
          <w:sz w:val="32"/>
          <w:szCs w:val="32"/>
        </w:rPr>
        <w:t>%，决算数</w:t>
      </w:r>
      <w:r>
        <w:rPr>
          <w:rFonts w:hint="eastAsia" w:ascii="Times New Roman" w:hAnsi="Times New Roman" w:eastAsia="仿宋_GB2312"/>
          <w:color w:val="auto"/>
          <w:sz w:val="32"/>
          <w:szCs w:val="32"/>
          <w:lang w:val="en-US" w:eastAsia="zh-CN"/>
        </w:rPr>
        <w:t>小</w:t>
      </w:r>
      <w:r>
        <w:rPr>
          <w:rFonts w:hint="eastAsia" w:ascii="Times New Roman" w:hAnsi="Times New Roman" w:eastAsia="仿宋_GB2312"/>
          <w:color w:val="auto"/>
          <w:sz w:val="32"/>
          <w:szCs w:val="32"/>
        </w:rPr>
        <w:t>于年初预算数的主要原因是：机关事业单位基本养老保险缴费支出</w:t>
      </w:r>
      <w:r>
        <w:rPr>
          <w:rFonts w:hint="eastAsia" w:ascii="Times New Roman" w:hAnsi="Times New Roman" w:eastAsia="仿宋_GB2312"/>
          <w:color w:val="auto"/>
          <w:sz w:val="32"/>
          <w:szCs w:val="32"/>
          <w:lang w:val="en-US" w:eastAsia="zh-CN"/>
        </w:rPr>
        <w:t>年末有结余。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2、农林水（类）农业农村（款）</w:t>
      </w:r>
      <w:r>
        <w:rPr>
          <w:rFonts w:hint="eastAsia" w:ascii="Times New Roman" w:hAnsi="Times New Roman" w:eastAsia="仿宋_GB2312"/>
          <w:color w:val="auto"/>
          <w:sz w:val="32"/>
          <w:szCs w:val="32"/>
          <w:lang w:val="en-US" w:eastAsia="zh-CN"/>
        </w:rPr>
        <w:t>行政</w:t>
      </w:r>
      <w:r>
        <w:rPr>
          <w:rFonts w:hint="eastAsia" w:ascii="Times New Roman" w:hAnsi="Times New Roman" w:eastAsia="仿宋_GB2312"/>
          <w:color w:val="auto"/>
          <w:sz w:val="32"/>
          <w:szCs w:val="32"/>
        </w:rPr>
        <w:t>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69.79</w:t>
      </w:r>
      <w:r>
        <w:rPr>
          <w:rFonts w:hint="eastAsia" w:ascii="Times New Roman" w:hAnsi="Times New Roman" w:eastAsia="仿宋_GB2312"/>
          <w:color w:val="auto"/>
          <w:sz w:val="32"/>
          <w:szCs w:val="32"/>
        </w:rPr>
        <w:t>万元，决算数大于年初预算数的主要原因是：</w:t>
      </w:r>
      <w:r>
        <w:rPr>
          <w:rFonts w:hint="eastAsia" w:ascii="Times New Roman" w:hAnsi="Times New Roman" w:eastAsia="仿宋_GB2312"/>
          <w:color w:val="auto"/>
          <w:sz w:val="32"/>
          <w:szCs w:val="32"/>
          <w:lang w:val="en-US" w:eastAsia="zh-CN"/>
        </w:rPr>
        <w:t>年中追加2021、2022年绩效奖金。</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农林水（类）农业农村（款）事业运行（项）。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243.13</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241.99</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99.53</w:t>
      </w:r>
      <w:r>
        <w:rPr>
          <w:rFonts w:hint="eastAsia" w:ascii="Times New Roman" w:hAnsi="Times New Roman" w:eastAsia="仿宋_GB2312"/>
          <w:color w:val="auto"/>
          <w:sz w:val="32"/>
          <w:szCs w:val="32"/>
        </w:rPr>
        <w:t>%，决算数小于年初预算数的主要原因是：规范公务接待以及受新冠疫情影响，结余公务接待费用。</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4</w:t>
      </w:r>
      <w:r>
        <w:rPr>
          <w:rFonts w:hint="eastAsia" w:ascii="Times New Roman" w:hAnsi="Times New Roman" w:eastAsia="仿宋_GB2312"/>
          <w:color w:val="auto"/>
          <w:sz w:val="32"/>
          <w:szCs w:val="32"/>
        </w:rPr>
        <w:t>、农林水（类）农业农村（款）科技转化与推广服务（项）。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4.87</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4.47</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91.78</w:t>
      </w:r>
      <w:r>
        <w:rPr>
          <w:rFonts w:hint="eastAsia" w:ascii="Times New Roman" w:hAnsi="Times New Roman" w:eastAsia="仿宋_GB2312"/>
          <w:color w:val="auto"/>
          <w:sz w:val="32"/>
          <w:szCs w:val="32"/>
        </w:rPr>
        <w:t>%，决算数小于年初预算数的主要原因是</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受疫情原因影响，项目培训</w:t>
      </w:r>
      <w:r>
        <w:rPr>
          <w:rFonts w:hint="eastAsia" w:ascii="Times New Roman" w:hAnsi="Times New Roman" w:eastAsia="仿宋_GB2312"/>
          <w:color w:val="auto"/>
          <w:sz w:val="32"/>
          <w:szCs w:val="32"/>
          <w:lang w:val="en-US" w:eastAsia="zh-CN"/>
        </w:rPr>
        <w:t>及出差任务减少</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5</w:t>
      </w:r>
      <w:r>
        <w:rPr>
          <w:rFonts w:hint="eastAsia" w:ascii="Times New Roman" w:hAnsi="Times New Roman" w:eastAsia="仿宋_GB2312"/>
          <w:color w:val="auto"/>
          <w:sz w:val="32"/>
          <w:szCs w:val="32"/>
        </w:rPr>
        <w:t>、农林水（类）农业农村（款）农产品质量安全（项）。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20.76</w:t>
      </w:r>
      <w:r>
        <w:rPr>
          <w:rFonts w:hint="eastAsia" w:ascii="Times New Roman" w:hAnsi="Times New Roman" w:eastAsia="仿宋_GB2312"/>
          <w:color w:val="auto"/>
          <w:sz w:val="32"/>
          <w:szCs w:val="32"/>
        </w:rPr>
        <w:t>万元，决算数大于年初预算数的主要原因是：</w:t>
      </w:r>
      <w:r>
        <w:rPr>
          <w:rFonts w:hint="eastAsia" w:ascii="Times New Roman" w:hAnsi="Times New Roman" w:eastAsia="仿宋_GB2312"/>
          <w:color w:val="auto"/>
          <w:sz w:val="32"/>
          <w:szCs w:val="32"/>
          <w:lang w:val="en-US" w:eastAsia="zh-CN"/>
        </w:rPr>
        <w:t>年中追加农作物、畜禽种业安全监管项目资金。</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6</w:t>
      </w:r>
      <w:r>
        <w:rPr>
          <w:rFonts w:hint="eastAsia" w:ascii="Times New Roman" w:hAnsi="Times New Roman" w:eastAsia="仿宋_GB2312"/>
          <w:color w:val="auto"/>
          <w:sz w:val="32"/>
          <w:szCs w:val="32"/>
        </w:rPr>
        <w:t>、农林水（类）农业农村（款）农业生产发展（项）。</w:t>
      </w:r>
    </w:p>
    <w:p>
      <w:pPr>
        <w:ind w:firstLine="640" w:firstLineChars="200"/>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102.51</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94.30</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91.99</w:t>
      </w:r>
      <w:r>
        <w:rPr>
          <w:rFonts w:hint="eastAsia" w:ascii="Times New Roman" w:hAnsi="Times New Roman" w:eastAsia="仿宋_GB2312"/>
          <w:color w:val="auto"/>
          <w:sz w:val="32"/>
          <w:szCs w:val="32"/>
        </w:rPr>
        <w:t>%，决算数小于年初预算数的主要原因是：受疫情原因影响，项目会议费结余。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7</w:t>
      </w:r>
      <w:r>
        <w:rPr>
          <w:rFonts w:hint="eastAsia" w:ascii="Times New Roman" w:hAnsi="Times New Roman" w:eastAsia="仿宋_GB2312"/>
          <w:color w:val="auto"/>
          <w:sz w:val="32"/>
          <w:szCs w:val="32"/>
        </w:rPr>
        <w:t>、农林水（类）</w:t>
      </w:r>
      <w:r>
        <w:rPr>
          <w:rFonts w:hint="eastAsia" w:ascii="Times New Roman" w:hAnsi="Times New Roman" w:eastAsia="仿宋_GB2312"/>
          <w:color w:val="auto"/>
          <w:sz w:val="32"/>
          <w:szCs w:val="32"/>
          <w:lang w:val="en-US" w:eastAsia="zh-CN"/>
        </w:rPr>
        <w:t>水利</w:t>
      </w:r>
      <w:r>
        <w:rPr>
          <w:rFonts w:hint="eastAsia" w:ascii="Times New Roman" w:hAnsi="Times New Roman" w:eastAsia="仿宋_GB2312"/>
          <w:color w:val="auto"/>
          <w:sz w:val="32"/>
          <w:szCs w:val="32"/>
        </w:rPr>
        <w:t>（款）</w:t>
      </w:r>
      <w:r>
        <w:rPr>
          <w:rFonts w:hint="eastAsia" w:ascii="Times New Roman" w:hAnsi="Times New Roman" w:eastAsia="仿宋_GB2312"/>
          <w:color w:val="auto"/>
          <w:sz w:val="32"/>
          <w:szCs w:val="32"/>
          <w:lang w:val="en-US" w:eastAsia="zh-CN"/>
        </w:rPr>
        <w:t>行政运行</w:t>
      </w:r>
      <w:r>
        <w:rPr>
          <w:rFonts w:hint="eastAsia" w:ascii="Times New Roman" w:hAnsi="Times New Roman" w:eastAsia="仿宋_GB2312"/>
          <w:color w:val="auto"/>
          <w:sz w:val="32"/>
          <w:szCs w:val="32"/>
        </w:rPr>
        <w:t>（项）。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119</w:t>
      </w:r>
      <w:r>
        <w:rPr>
          <w:rFonts w:hint="eastAsia" w:ascii="Times New Roman" w:hAnsi="Times New Roman" w:eastAsia="仿宋_GB2312"/>
          <w:color w:val="auto"/>
          <w:sz w:val="32"/>
          <w:szCs w:val="32"/>
        </w:rPr>
        <w:t>万元，决算数大于年初预算数的主要原因是：</w:t>
      </w:r>
      <w:r>
        <w:rPr>
          <w:rFonts w:hint="eastAsia" w:ascii="Times New Roman" w:hAnsi="Times New Roman" w:eastAsia="仿宋_GB2312"/>
          <w:color w:val="auto"/>
          <w:sz w:val="32"/>
          <w:szCs w:val="32"/>
          <w:lang w:val="en-US" w:eastAsia="zh-CN"/>
        </w:rPr>
        <w:t>年中追加2021、2022年绩效奖金</w:t>
      </w:r>
      <w:r>
        <w:rPr>
          <w:rFonts w:hint="eastAsia" w:ascii="Times New Roman" w:hAnsi="Times New Roman" w:eastAsia="仿宋_GB2312"/>
          <w:color w:val="auto"/>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8</w:t>
      </w:r>
      <w:r>
        <w:rPr>
          <w:rFonts w:hint="eastAsia" w:ascii="Times New Roman" w:hAnsi="Times New Roman" w:eastAsia="仿宋_GB2312"/>
          <w:color w:val="auto"/>
          <w:sz w:val="32"/>
          <w:szCs w:val="32"/>
        </w:rPr>
        <w:t>、住房保障（类）住房改革支出（款）住房公积金（项）。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25.10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25.10</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年度财政拨款基本支出</w:t>
      </w:r>
      <w:r>
        <w:rPr>
          <w:rFonts w:hint="eastAsia" w:ascii="Times New Roman" w:hAnsi="Times New Roman" w:eastAsia="仿宋_GB2312"/>
          <w:color w:val="auto"/>
          <w:sz w:val="32"/>
          <w:szCs w:val="32"/>
          <w:lang w:val="en-US" w:eastAsia="zh-CN"/>
        </w:rPr>
        <w:t>504.60</w:t>
      </w:r>
      <w:r>
        <w:rPr>
          <w:rFonts w:hint="eastAsia" w:ascii="Times New Roman" w:hAnsi="Times New Roman" w:eastAsia="仿宋_GB2312"/>
          <w:color w:val="auto"/>
          <w:sz w:val="32"/>
          <w:szCs w:val="32"/>
        </w:rPr>
        <w:t>万元，其中：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b/>
          <w:bCs/>
          <w:color w:val="auto"/>
          <w:sz w:val="32"/>
          <w:szCs w:val="32"/>
        </w:rPr>
        <w:t>人员经费</w:t>
      </w:r>
      <w:r>
        <w:rPr>
          <w:rFonts w:hint="eastAsia" w:ascii="Times New Roman" w:hAnsi="Times New Roman" w:eastAsia="仿宋_GB2312"/>
          <w:color w:val="auto"/>
          <w:sz w:val="32"/>
          <w:szCs w:val="32"/>
          <w:lang w:val="en-US" w:eastAsia="zh-CN"/>
        </w:rPr>
        <w:t>464.55</w:t>
      </w:r>
      <w:r>
        <w:rPr>
          <w:rFonts w:hint="eastAsia" w:ascii="Times New Roman" w:hAnsi="Times New Roman" w:eastAsia="仿宋_GB2312"/>
          <w:color w:val="auto"/>
          <w:sz w:val="32"/>
          <w:szCs w:val="32"/>
        </w:rPr>
        <w:t>万元，占基本支出的</w:t>
      </w:r>
      <w:r>
        <w:rPr>
          <w:rFonts w:hint="eastAsia" w:ascii="Times New Roman" w:hAnsi="Times New Roman" w:eastAsia="仿宋_GB2312"/>
          <w:color w:val="auto"/>
          <w:sz w:val="32"/>
          <w:szCs w:val="32"/>
          <w:lang w:val="en-US" w:eastAsia="zh-CN"/>
        </w:rPr>
        <w:t>92.06</w:t>
      </w:r>
      <w:r>
        <w:rPr>
          <w:rFonts w:hint="eastAsia" w:ascii="Times New Roman" w:hAnsi="Times New Roman" w:eastAsia="仿宋_GB2312"/>
          <w:color w:val="auto"/>
          <w:sz w:val="32"/>
          <w:szCs w:val="32"/>
        </w:rPr>
        <w:t>%,主要包括基本工资、津贴补贴、奖金、伙食补助费</w:t>
      </w:r>
      <w:r>
        <w:rPr>
          <w:rFonts w:hint="eastAsia" w:ascii="Times New Roman" w:hAnsi="Times New Roman" w:eastAsia="仿宋_GB2312"/>
          <w:color w:val="auto"/>
          <w:sz w:val="32"/>
          <w:szCs w:val="32"/>
          <w:lang w:eastAsia="zh-CN"/>
        </w:rPr>
        <w:t>、机关事业单位基本养老保险缴费、</w:t>
      </w:r>
      <w:r>
        <w:rPr>
          <w:rFonts w:hint="eastAsia" w:ascii="Times New Roman" w:hAnsi="Times New Roman" w:eastAsia="仿宋_GB2312"/>
          <w:color w:val="auto"/>
          <w:sz w:val="32"/>
          <w:szCs w:val="32"/>
          <w:lang w:val="en-US" w:eastAsia="zh-CN"/>
        </w:rPr>
        <w:t>住房公务金、退休费、奖励金等。</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rPr>
        <w:t>公用经费</w:t>
      </w:r>
      <w:r>
        <w:rPr>
          <w:rFonts w:hint="eastAsia" w:ascii="Times New Roman" w:hAnsi="Times New Roman" w:eastAsia="仿宋_GB2312"/>
          <w:color w:val="auto"/>
          <w:sz w:val="32"/>
          <w:szCs w:val="32"/>
          <w:lang w:val="en-US" w:eastAsia="zh-CN"/>
        </w:rPr>
        <w:t>40.06</w:t>
      </w:r>
      <w:r>
        <w:rPr>
          <w:rFonts w:hint="eastAsia" w:ascii="Times New Roman" w:hAnsi="Times New Roman" w:eastAsia="仿宋_GB2312"/>
          <w:color w:val="auto"/>
          <w:sz w:val="32"/>
          <w:szCs w:val="32"/>
        </w:rPr>
        <w:t>万元，占基本支出的</w:t>
      </w:r>
      <w:r>
        <w:rPr>
          <w:rFonts w:hint="eastAsia" w:ascii="Times New Roman" w:hAnsi="Times New Roman" w:eastAsia="仿宋_GB2312"/>
          <w:color w:val="auto"/>
          <w:sz w:val="32"/>
          <w:szCs w:val="32"/>
          <w:lang w:val="en-US" w:eastAsia="zh-CN"/>
        </w:rPr>
        <w:t>7.94</w:t>
      </w:r>
      <w:r>
        <w:rPr>
          <w:rFonts w:hint="eastAsia" w:ascii="Times New Roman" w:hAnsi="Times New Roman" w:eastAsia="仿宋_GB2312"/>
          <w:color w:val="auto"/>
          <w:sz w:val="32"/>
          <w:szCs w:val="32"/>
        </w:rPr>
        <w:t>%，主要包括办公费、印刷费、</w:t>
      </w:r>
      <w:r>
        <w:rPr>
          <w:rFonts w:hint="eastAsia" w:ascii="Times New Roman" w:hAnsi="Times New Roman" w:eastAsia="仿宋_GB2312"/>
          <w:color w:val="auto"/>
          <w:sz w:val="32"/>
          <w:szCs w:val="32"/>
          <w:lang w:val="en-US" w:eastAsia="zh-CN"/>
        </w:rPr>
        <w:t>物业管理费、工会经费、福利费、其他交通费用等</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黑体" w:hAnsi="黑体" w:eastAsia="黑体" w:cs="黑体"/>
          <w:b w:val="0"/>
          <w:bCs/>
          <w:color w:val="auto"/>
          <w:sz w:val="32"/>
          <w:szCs w:val="32"/>
        </w:rPr>
        <w:t>七、财政拨款三公经费支出决算情况说明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“三公”经费财政拨款支出预算为</w:t>
      </w:r>
      <w:r>
        <w:rPr>
          <w:rFonts w:hint="eastAsia" w:ascii="Times New Roman" w:hAnsi="Times New Roman" w:eastAsia="仿宋_GB2312"/>
          <w:color w:val="auto"/>
          <w:sz w:val="32"/>
          <w:szCs w:val="32"/>
          <w:lang w:val="en-US" w:eastAsia="zh-CN"/>
        </w:rPr>
        <w:t>1.20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0.06</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5</w:t>
      </w:r>
      <w:r>
        <w:rPr>
          <w:rFonts w:hint="eastAsia" w:ascii="Times New Roman" w:hAnsi="Times New Roman" w:eastAsia="仿宋_GB2312"/>
          <w:color w:val="auto"/>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因公出国（境）费支出预算为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val="en-US" w:eastAsia="zh-CN"/>
        </w:rPr>
        <w:t>与上年持平</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公务接待费支出预算为</w:t>
      </w:r>
      <w:r>
        <w:rPr>
          <w:rFonts w:hint="eastAsia" w:ascii="Times New Roman" w:hAnsi="Times New Roman" w:eastAsia="仿宋_GB2312"/>
          <w:color w:val="auto"/>
          <w:sz w:val="32"/>
          <w:szCs w:val="32"/>
          <w:lang w:val="en-US" w:eastAsia="zh-CN"/>
        </w:rPr>
        <w:t>1.20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0.06</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5</w:t>
      </w:r>
      <w:r>
        <w:rPr>
          <w:rFonts w:hint="eastAsia" w:ascii="Times New Roman" w:hAnsi="Times New Roman" w:eastAsia="仿宋_GB2312"/>
          <w:color w:val="auto"/>
          <w:sz w:val="32"/>
          <w:szCs w:val="32"/>
        </w:rPr>
        <w:t>%，决算数小于预算数的主要原因是规范公务接待以及受新冠疫情影响，与上年相比减少</w:t>
      </w:r>
      <w:r>
        <w:rPr>
          <w:rFonts w:hint="eastAsia" w:ascii="Times New Roman" w:hAnsi="Times New Roman" w:eastAsia="仿宋_GB2312"/>
          <w:color w:val="auto"/>
          <w:sz w:val="32"/>
          <w:szCs w:val="32"/>
          <w:lang w:val="en-US" w:eastAsia="zh-CN"/>
        </w:rPr>
        <w:t>0.20</w:t>
      </w:r>
      <w:r>
        <w:rPr>
          <w:rFonts w:hint="eastAsia" w:ascii="Times New Roman" w:hAnsi="Times New Roman" w:eastAsia="仿宋_GB2312"/>
          <w:color w:val="auto"/>
          <w:sz w:val="32"/>
          <w:szCs w:val="32"/>
        </w:rPr>
        <w:t>万元，减少</w:t>
      </w:r>
      <w:r>
        <w:rPr>
          <w:rFonts w:hint="eastAsia" w:ascii="Times New Roman" w:hAnsi="Times New Roman" w:eastAsia="仿宋_GB2312"/>
          <w:color w:val="auto"/>
          <w:sz w:val="32"/>
          <w:szCs w:val="32"/>
          <w:lang w:val="en-US" w:eastAsia="zh-CN"/>
        </w:rPr>
        <w:t>76.92</w:t>
      </w:r>
      <w:r>
        <w:rPr>
          <w:rFonts w:hint="eastAsia" w:ascii="Times New Roman" w:hAnsi="Times New Roman" w:eastAsia="仿宋_GB2312"/>
          <w:color w:val="auto"/>
          <w:sz w:val="32"/>
          <w:szCs w:val="32"/>
        </w:rPr>
        <w:t>%,减少的主要原因是规范公务接待以及受新冠疫情影响。</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公务用车购置费支出预算为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val="en-US" w:eastAsia="zh-CN"/>
        </w:rPr>
        <w:t>与上年持平</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公务用车运行维护费支出预算为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val="en-US" w:eastAsia="zh-CN"/>
        </w:rPr>
        <w:t>与上年持平</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（二）“三公”经费财政拨款支出决算具体情况说明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年度“三公”经费财政拨款支出决算中，公务接待费支出决算</w:t>
      </w:r>
      <w:r>
        <w:rPr>
          <w:rFonts w:hint="eastAsia" w:ascii="Times New Roman" w:hAnsi="Times New Roman" w:eastAsia="仿宋_GB2312"/>
          <w:color w:val="auto"/>
          <w:sz w:val="32"/>
          <w:szCs w:val="32"/>
          <w:lang w:val="en-US" w:eastAsia="zh-CN"/>
        </w:rPr>
        <w:t>0.06</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%,因公出国（境）费支出决算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%,公务用车购置费及运行维护费支出决算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%。其中：</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Times New Roman" w:hAnsi="Times New Roman" w:eastAsia="仿宋_GB2312"/>
          <w:b/>
          <w:color w:val="auto"/>
          <w:sz w:val="32"/>
          <w:szCs w:val="32"/>
          <w:lang w:val="en-US" w:eastAsia="zh-CN"/>
        </w:rPr>
      </w:pP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因公出国（境）费支出决算为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color w:val="auto"/>
          <w:sz w:val="32"/>
          <w:szCs w:val="32"/>
          <w:lang w:val="en-US"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2、公务接待费支出决算为</w:t>
      </w:r>
      <w:r>
        <w:rPr>
          <w:rFonts w:hint="eastAsia" w:ascii="Times New Roman" w:hAnsi="Times New Roman" w:eastAsia="仿宋_GB2312"/>
          <w:color w:val="auto"/>
          <w:sz w:val="32"/>
          <w:szCs w:val="32"/>
          <w:lang w:val="en-US" w:eastAsia="zh-CN"/>
        </w:rPr>
        <w:t>0.06</w:t>
      </w:r>
      <w:r>
        <w:rPr>
          <w:rFonts w:hint="eastAsia" w:ascii="Times New Roman" w:hAnsi="Times New Roman" w:eastAsia="仿宋_GB2312"/>
          <w:color w:val="auto"/>
          <w:sz w:val="32"/>
          <w:szCs w:val="32"/>
        </w:rPr>
        <w:t>万元，全年共接待来访团组</w:t>
      </w: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个、来宾</w:t>
      </w:r>
      <w:r>
        <w:rPr>
          <w:rFonts w:hint="eastAsia" w:ascii="Times New Roman" w:hAnsi="Times New Roman" w:eastAsia="仿宋_GB2312"/>
          <w:color w:val="auto"/>
          <w:sz w:val="32"/>
          <w:szCs w:val="32"/>
          <w:lang w:val="en-US" w:eastAsia="zh-CN"/>
        </w:rPr>
        <w:t>5</w:t>
      </w:r>
      <w:r>
        <w:rPr>
          <w:rFonts w:hint="eastAsia" w:ascii="Times New Roman" w:hAnsi="Times New Roman" w:eastAsia="仿宋_GB2312"/>
          <w:color w:val="auto"/>
          <w:sz w:val="32"/>
          <w:szCs w:val="32"/>
        </w:rPr>
        <w:t>人次，主要是</w:t>
      </w:r>
      <w:r>
        <w:rPr>
          <w:rFonts w:hint="eastAsia" w:ascii="Times New Roman" w:hAnsi="Times New Roman" w:eastAsia="仿宋_GB2312"/>
          <w:color w:val="auto"/>
          <w:sz w:val="32"/>
          <w:szCs w:val="32"/>
          <w:lang w:val="en-US" w:eastAsia="zh-CN"/>
        </w:rPr>
        <w:t>市县汇报工作</w:t>
      </w:r>
      <w:r>
        <w:rPr>
          <w:rFonts w:hint="eastAsia" w:ascii="Times New Roman" w:hAnsi="Times New Roman" w:eastAsia="仿宋_GB2312"/>
          <w:color w:val="auto"/>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color w:val="auto"/>
          <w:sz w:val="32"/>
          <w:szCs w:val="32"/>
        </w:rPr>
        <w:t>3、公务用车购置费及运行维护费支出决算为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万元，其中：公务用车购置费</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sz w:val="32"/>
          <w:szCs w:val="32"/>
          <w:lang w:eastAsia="zh-CN"/>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辆</w:t>
      </w:r>
      <w:r>
        <w:rPr>
          <w:rFonts w:hint="eastAsia" w:ascii="Times New Roman" w:hAnsi="Times New Roman" w:eastAsia="仿宋_GB2312"/>
          <w:color w:val="auto"/>
          <w:sz w:val="32"/>
          <w:szCs w:val="32"/>
        </w:rPr>
        <w:t>。公务用车运行维护费</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万元，截止202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年12月31日，我单位开支财政拨款的公务用车保有量为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八、政府性基金预算收入支出决算情况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本单位无政府性基金收支。</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rPr>
        <w:t>九、关于机关运行经费支出说明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本部门202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年度机关运行经费支出</w:t>
      </w:r>
      <w:r>
        <w:rPr>
          <w:rFonts w:hint="eastAsia" w:ascii="Times New Roman" w:hAnsi="Times New Roman" w:eastAsia="仿宋_GB2312"/>
          <w:color w:val="auto"/>
          <w:sz w:val="32"/>
          <w:szCs w:val="32"/>
          <w:lang w:val="en-US" w:eastAsia="zh-CN"/>
        </w:rPr>
        <w:t>40.06</w:t>
      </w:r>
      <w:r>
        <w:rPr>
          <w:rFonts w:hint="eastAsia" w:ascii="Times New Roman" w:hAnsi="Times New Roman" w:eastAsia="仿宋_GB2312"/>
          <w:color w:val="auto"/>
          <w:sz w:val="32"/>
          <w:szCs w:val="32"/>
        </w:rPr>
        <w:t>万元，比年初预算数减少</w:t>
      </w:r>
      <w:r>
        <w:rPr>
          <w:rFonts w:hint="eastAsia" w:ascii="Times New Roman" w:hAnsi="Times New Roman" w:eastAsia="仿宋_GB2312"/>
          <w:color w:val="auto"/>
          <w:sz w:val="32"/>
          <w:szCs w:val="32"/>
          <w:lang w:val="en-US" w:eastAsia="zh-CN"/>
        </w:rPr>
        <w:t>1.14</w:t>
      </w:r>
      <w:r>
        <w:rPr>
          <w:rFonts w:hint="eastAsia" w:ascii="Times New Roman" w:hAnsi="Times New Roman" w:eastAsia="仿宋_GB2312"/>
          <w:color w:val="auto"/>
          <w:sz w:val="32"/>
          <w:szCs w:val="32"/>
        </w:rPr>
        <w:t>万元，降低</w:t>
      </w:r>
      <w:r>
        <w:rPr>
          <w:rFonts w:hint="eastAsia" w:ascii="Times New Roman" w:hAnsi="Times New Roman" w:eastAsia="仿宋_GB2312"/>
          <w:color w:val="auto"/>
          <w:sz w:val="32"/>
          <w:szCs w:val="32"/>
          <w:lang w:val="en-US" w:eastAsia="zh-CN"/>
        </w:rPr>
        <w:t>2.78</w:t>
      </w:r>
      <w:r>
        <w:rPr>
          <w:rFonts w:hint="eastAsia" w:ascii="Times New Roman" w:hAnsi="Times New Roman" w:eastAsia="仿宋_GB2312"/>
          <w:color w:val="auto"/>
          <w:sz w:val="32"/>
          <w:szCs w:val="32"/>
        </w:rPr>
        <w:t>%。主要原因是：</w:t>
      </w:r>
      <w:r>
        <w:rPr>
          <w:rFonts w:hint="eastAsia" w:ascii="Times New Roman" w:hAnsi="Times New Roman" w:eastAsia="仿宋_GB2312"/>
          <w:color w:val="auto"/>
          <w:sz w:val="32"/>
          <w:szCs w:val="32"/>
          <w:lang w:val="en-US" w:eastAsia="zh-CN"/>
        </w:rPr>
        <w:t>厉行节约，严控机关支行经费支出</w:t>
      </w:r>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十、一般性支出情况说明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年本部门开支会议费</w:t>
      </w:r>
      <w:r>
        <w:rPr>
          <w:rFonts w:hint="eastAsia" w:ascii="Times New Roman" w:hAnsi="Times New Roman" w:eastAsia="仿宋_GB2312"/>
          <w:color w:val="auto"/>
          <w:sz w:val="32"/>
          <w:szCs w:val="32"/>
          <w:lang w:val="en-US" w:eastAsia="zh-CN"/>
        </w:rPr>
        <w:t>1.02</w:t>
      </w:r>
      <w:r>
        <w:rPr>
          <w:rFonts w:hint="eastAsia" w:ascii="Times New Roman" w:hAnsi="Times New Roman" w:eastAsia="仿宋_GB2312"/>
          <w:color w:val="auto"/>
          <w:sz w:val="32"/>
          <w:szCs w:val="32"/>
        </w:rPr>
        <w:t>万元，用于召开</w:t>
      </w:r>
      <w:r>
        <w:rPr>
          <w:rFonts w:hint="eastAsia" w:ascii="Times New Roman" w:hAnsi="Times New Roman" w:eastAsia="仿宋_GB2312"/>
          <w:color w:val="auto"/>
          <w:sz w:val="32"/>
          <w:szCs w:val="32"/>
          <w:lang w:val="en-US" w:eastAsia="zh-CN"/>
        </w:rPr>
        <w:t>与全省种子管理工作相关的</w:t>
      </w:r>
      <w:r>
        <w:rPr>
          <w:rFonts w:hint="eastAsia" w:ascii="Times New Roman" w:hAnsi="Times New Roman" w:eastAsia="仿宋_GB2312"/>
          <w:color w:val="auto"/>
          <w:sz w:val="32"/>
          <w:szCs w:val="32"/>
        </w:rPr>
        <w:t>会议，人数</w:t>
      </w:r>
      <w:r>
        <w:rPr>
          <w:rFonts w:hint="eastAsia" w:ascii="Times New Roman" w:hAnsi="Times New Roman" w:eastAsia="仿宋_GB2312"/>
          <w:color w:val="auto"/>
          <w:sz w:val="32"/>
          <w:szCs w:val="32"/>
          <w:lang w:val="en-US" w:eastAsia="zh-CN"/>
        </w:rPr>
        <w:t>81</w:t>
      </w:r>
      <w:r>
        <w:rPr>
          <w:rFonts w:hint="eastAsia" w:ascii="Times New Roman" w:hAnsi="Times New Roman" w:eastAsia="仿宋_GB2312"/>
          <w:color w:val="auto"/>
          <w:sz w:val="32"/>
          <w:szCs w:val="32"/>
        </w:rPr>
        <w:t>人，内容为农作物种子企业监督抽查工作部置</w:t>
      </w:r>
      <w:r>
        <w:rPr>
          <w:rFonts w:hint="eastAsia" w:ascii="Times New Roman" w:hAnsi="Times New Roman" w:eastAsia="仿宋_GB2312"/>
          <w:color w:val="auto"/>
          <w:sz w:val="32"/>
          <w:szCs w:val="32"/>
          <w:lang w:eastAsia="zh-CN"/>
        </w:rPr>
        <w:t>、湖南种业发展调研报告专家研讨会、油菜已登记品种符合性验证试验专家评议会、退休同志党建工作暨重阳座谈会、非主要农作物品种登记材料专家审核会</w:t>
      </w:r>
      <w:r>
        <w:rPr>
          <w:rFonts w:hint="eastAsia" w:ascii="Times New Roman" w:hAnsi="Times New Roman" w:eastAsia="仿宋_GB2312"/>
          <w:color w:val="auto"/>
          <w:sz w:val="32"/>
          <w:szCs w:val="32"/>
        </w:rPr>
        <w:t>；开支培训费</w:t>
      </w:r>
      <w:r>
        <w:rPr>
          <w:rFonts w:hint="eastAsia" w:ascii="Times New Roman" w:hAnsi="Times New Roman" w:eastAsia="仿宋_GB2312"/>
          <w:color w:val="auto"/>
          <w:sz w:val="32"/>
          <w:szCs w:val="32"/>
          <w:lang w:val="en-US" w:eastAsia="zh-CN"/>
        </w:rPr>
        <w:t>0.26</w:t>
      </w:r>
      <w:r>
        <w:rPr>
          <w:rFonts w:hint="eastAsia" w:ascii="Times New Roman" w:hAnsi="Times New Roman" w:eastAsia="仿宋_GB2312"/>
          <w:color w:val="auto"/>
          <w:sz w:val="32"/>
          <w:szCs w:val="32"/>
        </w:rPr>
        <w:t>万元，用于开展</w:t>
      </w:r>
      <w:r>
        <w:rPr>
          <w:rFonts w:hint="eastAsia" w:ascii="Times New Roman" w:hAnsi="Times New Roman" w:eastAsia="仿宋_GB2312"/>
          <w:color w:val="auto"/>
          <w:sz w:val="32"/>
          <w:szCs w:val="32"/>
          <w:lang w:val="en-US" w:eastAsia="zh-CN"/>
        </w:rPr>
        <w:t>财务</w:t>
      </w:r>
      <w:r>
        <w:rPr>
          <w:rFonts w:hint="eastAsia" w:ascii="Times New Roman" w:hAnsi="Times New Roman" w:eastAsia="仿宋_GB2312"/>
          <w:color w:val="auto"/>
          <w:sz w:val="32"/>
          <w:szCs w:val="32"/>
        </w:rPr>
        <w:t>培训，人数</w:t>
      </w:r>
      <w:r>
        <w:rPr>
          <w:rFonts w:hint="eastAsia" w:ascii="Times New Roman" w:hAnsi="Times New Roman" w:eastAsia="仿宋_GB2312"/>
          <w:color w:val="auto"/>
          <w:sz w:val="32"/>
          <w:szCs w:val="32"/>
          <w:lang w:val="en-US" w:eastAsia="zh-CN"/>
        </w:rPr>
        <w:t>9</w:t>
      </w:r>
      <w:r>
        <w:rPr>
          <w:rFonts w:hint="eastAsia" w:ascii="Times New Roman" w:hAnsi="Times New Roman" w:eastAsia="仿宋_GB2312"/>
          <w:color w:val="auto"/>
          <w:sz w:val="32"/>
          <w:szCs w:val="32"/>
        </w:rPr>
        <w:t>人，内容为财务决算及相关报告等培训；</w:t>
      </w:r>
      <w:r>
        <w:rPr>
          <w:rFonts w:hint="eastAsia" w:ascii="Times New Roman" w:hAnsi="Times New Roman" w:eastAsia="仿宋_GB2312"/>
          <w:color w:val="auto"/>
          <w:sz w:val="32"/>
          <w:szCs w:val="32"/>
          <w:lang w:val="en-US" w:eastAsia="zh-CN"/>
        </w:rPr>
        <w:t>未</w:t>
      </w:r>
      <w:r>
        <w:rPr>
          <w:rFonts w:hint="eastAsia" w:ascii="Times New Roman" w:hAnsi="Times New Roman" w:eastAsia="仿宋_GB2312"/>
          <w:color w:val="auto"/>
          <w:sz w:val="32"/>
          <w:szCs w:val="32"/>
        </w:rPr>
        <w:t>举</w:t>
      </w:r>
      <w:r>
        <w:rPr>
          <w:rFonts w:hint="eastAsia" w:ascii="Times New Roman" w:hAnsi="Times New Roman" w:eastAsia="仿宋_GB2312"/>
          <w:color w:val="auto"/>
          <w:sz w:val="32"/>
          <w:szCs w:val="32"/>
          <w:lang w:val="en-US" w:eastAsia="zh-CN"/>
        </w:rPr>
        <w:t>办</w:t>
      </w:r>
      <w:r>
        <w:rPr>
          <w:rFonts w:hint="eastAsia" w:ascii="Times New Roman" w:hAnsi="Times New Roman" w:eastAsia="仿宋_GB2312"/>
          <w:color w:val="auto"/>
          <w:sz w:val="32"/>
          <w:szCs w:val="32"/>
        </w:rPr>
        <w:t>节庆、晚会、论坛、赛事活动</w:t>
      </w:r>
      <w:r>
        <w:rPr>
          <w:rFonts w:hint="eastAsia" w:ascii="Times New Roman" w:hAnsi="Times New Roman" w:eastAsia="仿宋_GB2312"/>
          <w:color w:val="auto"/>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十一、关于政府采购支出说明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本部门202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年度政府采购支出总额</w:t>
      </w:r>
      <w:r>
        <w:rPr>
          <w:rFonts w:hint="eastAsia" w:ascii="Times New Roman" w:hAnsi="Times New Roman" w:eastAsia="仿宋_GB2312"/>
          <w:color w:val="auto"/>
          <w:sz w:val="32"/>
          <w:szCs w:val="32"/>
          <w:lang w:val="en-US" w:eastAsia="zh-CN"/>
        </w:rPr>
        <w:t>3.82</w:t>
      </w:r>
      <w:r>
        <w:rPr>
          <w:rFonts w:hint="eastAsia" w:ascii="Times New Roman" w:hAnsi="Times New Roman" w:eastAsia="仿宋_GB2312"/>
          <w:color w:val="auto"/>
          <w:sz w:val="32"/>
          <w:szCs w:val="32"/>
        </w:rPr>
        <w:t>万元，其中：政府采购货物支出</w:t>
      </w:r>
      <w:r>
        <w:rPr>
          <w:rFonts w:hint="eastAsia" w:ascii="Times New Roman" w:hAnsi="Times New Roman" w:eastAsia="仿宋_GB2312"/>
          <w:color w:val="auto"/>
          <w:sz w:val="32"/>
          <w:szCs w:val="32"/>
          <w:lang w:val="en-US" w:eastAsia="zh-CN"/>
        </w:rPr>
        <w:t>3.82</w:t>
      </w:r>
      <w:r>
        <w:rPr>
          <w:rFonts w:hint="eastAsia" w:ascii="Times New Roman" w:hAnsi="Times New Roman" w:eastAsia="仿宋_GB2312"/>
          <w:color w:val="auto"/>
          <w:sz w:val="32"/>
          <w:szCs w:val="32"/>
        </w:rPr>
        <w:t xml:space="preserve"> 万元、政府采购工程支出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万元、政府采购服务支出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万元。授予中小企业合同金额</w:t>
      </w:r>
      <w:r>
        <w:rPr>
          <w:rFonts w:hint="eastAsia" w:ascii="Times New Roman" w:hAnsi="Times New Roman" w:eastAsia="仿宋_GB2312"/>
          <w:color w:val="auto"/>
          <w:sz w:val="32"/>
          <w:szCs w:val="32"/>
          <w:lang w:val="en-US" w:eastAsia="zh-CN"/>
        </w:rPr>
        <w:t>3.82</w:t>
      </w:r>
      <w:r>
        <w:rPr>
          <w:rFonts w:hint="eastAsia" w:ascii="Times New Roman" w:hAnsi="Times New Roman" w:eastAsia="仿宋_GB2312"/>
          <w:color w:val="auto"/>
          <w:sz w:val="32"/>
          <w:szCs w:val="32"/>
        </w:rPr>
        <w:t>万元，占政府采购支出总额的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%，其中：授予小微企业合同金额</w:t>
      </w:r>
      <w:r>
        <w:rPr>
          <w:rFonts w:hint="eastAsia" w:ascii="Times New Roman" w:hAnsi="Times New Roman" w:eastAsia="仿宋_GB2312"/>
          <w:color w:val="auto"/>
          <w:sz w:val="32"/>
          <w:szCs w:val="32"/>
          <w:lang w:val="en-US" w:eastAsia="zh-CN"/>
        </w:rPr>
        <w:t>3.82</w:t>
      </w:r>
      <w:r>
        <w:rPr>
          <w:rFonts w:hint="eastAsia" w:ascii="Times New Roman" w:hAnsi="Times New Roman" w:eastAsia="仿宋_GB2312"/>
          <w:color w:val="auto"/>
          <w:sz w:val="32"/>
          <w:szCs w:val="32"/>
        </w:rPr>
        <w:t>万元，占政府采购支出总额的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%。货物采购授予中小企业合同金额占货物支出金额的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bookmarkStart w:id="2" w:name="_GoBack"/>
      <w:bookmarkEnd w:id="2"/>
      <w:r>
        <w:rPr>
          <w:rFonts w:hint="eastAsia" w:ascii="Times New Roman" w:hAnsi="Times New Roman" w:eastAsia="仿宋_GB2312"/>
          <w:color w:val="auto"/>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十二、关于国有资产占用情况说明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截至202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年12月31日，本单位共有车辆</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辆；单位价值50万元以上通用设备</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台（套）；单位价值100万元以上专用设备</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台（套）。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十三、关于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黑体" w:hAnsi="黑体" w:eastAsia="黑体" w:cs="黑体"/>
          <w:b w:val="0"/>
          <w:bCs/>
          <w:color w:val="auto"/>
          <w:sz w:val="32"/>
          <w:szCs w:val="32"/>
        </w:rPr>
        <w:t>年度预算绩效情况的说明</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（一）</w:t>
      </w:r>
      <w:r>
        <w:rPr>
          <w:rFonts w:hint="eastAsia" w:ascii="楷体" w:hAnsi="楷体" w:eastAsia="楷体" w:cs="楷体"/>
          <w:b/>
          <w:bCs/>
          <w:color w:val="auto"/>
          <w:sz w:val="32"/>
          <w:szCs w:val="32"/>
        </w:rPr>
        <w:t>部门整体支出绩效情况</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运行成本</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2022年“三公”经费支出</w:t>
      </w:r>
      <w:r>
        <w:rPr>
          <w:rFonts w:hint="eastAsia" w:ascii="Times New Roman" w:hAnsi="Times New Roman" w:eastAsia="仿宋_GB2312"/>
          <w:color w:val="auto"/>
          <w:sz w:val="32"/>
          <w:szCs w:val="32"/>
          <w:lang w:val="en-US" w:eastAsia="zh-CN"/>
        </w:rPr>
        <w:t>0.06</w:t>
      </w:r>
      <w:r>
        <w:rPr>
          <w:rFonts w:hint="eastAsia" w:ascii="Times New Roman" w:hAnsi="Times New Roman" w:eastAsia="仿宋_GB2312"/>
          <w:color w:val="auto"/>
          <w:sz w:val="32"/>
          <w:szCs w:val="32"/>
        </w:rPr>
        <w:t>万元。其中公务接待费</w:t>
      </w:r>
      <w:r>
        <w:rPr>
          <w:rFonts w:hint="eastAsia" w:ascii="Times New Roman" w:hAnsi="Times New Roman" w:eastAsia="仿宋_GB2312"/>
          <w:color w:val="auto"/>
          <w:sz w:val="32"/>
          <w:szCs w:val="32"/>
          <w:lang w:val="en-US" w:eastAsia="zh-CN"/>
        </w:rPr>
        <w:t>0.06</w:t>
      </w:r>
      <w:r>
        <w:rPr>
          <w:rFonts w:hint="eastAsia" w:ascii="Times New Roman" w:hAnsi="Times New Roman" w:eastAsia="仿宋_GB2312"/>
          <w:color w:val="auto"/>
          <w:sz w:val="32"/>
          <w:szCs w:val="32"/>
        </w:rPr>
        <w:t>万元、公务用车运行维护费2</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万元、车辆购置费支出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万元，较年初预算</w:t>
      </w:r>
      <w:r>
        <w:rPr>
          <w:rFonts w:hint="eastAsia" w:ascii="Times New Roman" w:hAnsi="Times New Roman" w:eastAsia="仿宋_GB2312"/>
          <w:color w:val="auto"/>
          <w:sz w:val="32"/>
          <w:szCs w:val="32"/>
          <w:lang w:val="en-US" w:eastAsia="zh-CN"/>
        </w:rPr>
        <w:t>1.20</w:t>
      </w:r>
      <w:r>
        <w:rPr>
          <w:rFonts w:hint="eastAsia" w:ascii="Times New Roman" w:hAnsi="Times New Roman" w:eastAsia="仿宋_GB2312"/>
          <w:color w:val="auto"/>
          <w:sz w:val="32"/>
          <w:szCs w:val="32"/>
        </w:rPr>
        <w:t>万元节约</w:t>
      </w:r>
      <w:r>
        <w:rPr>
          <w:rFonts w:hint="eastAsia" w:ascii="Times New Roman" w:hAnsi="Times New Roman" w:eastAsia="仿宋_GB2312"/>
          <w:color w:val="auto"/>
          <w:sz w:val="32"/>
          <w:szCs w:val="32"/>
          <w:lang w:val="en-US" w:eastAsia="zh-CN"/>
        </w:rPr>
        <w:t>1.14</w:t>
      </w:r>
      <w:r>
        <w:rPr>
          <w:rFonts w:hint="eastAsia" w:ascii="Times New Roman" w:hAnsi="Times New Roman" w:eastAsia="仿宋_GB2312"/>
          <w:color w:val="auto"/>
          <w:sz w:val="32"/>
          <w:szCs w:val="32"/>
        </w:rPr>
        <w:t>万元，节约比为</w:t>
      </w:r>
      <w:r>
        <w:rPr>
          <w:rFonts w:hint="eastAsia" w:ascii="Times New Roman" w:hAnsi="Times New Roman" w:eastAsia="仿宋_GB2312"/>
          <w:color w:val="auto"/>
          <w:sz w:val="32"/>
          <w:szCs w:val="32"/>
          <w:lang w:val="en-US" w:eastAsia="zh-CN"/>
        </w:rPr>
        <w:t>95</w:t>
      </w:r>
      <w:r>
        <w:rPr>
          <w:rFonts w:hint="eastAsia" w:ascii="Times New Roman" w:hAnsi="Times New Roman" w:eastAsia="仿宋_GB2312"/>
          <w:color w:val="auto"/>
          <w:sz w:val="32"/>
          <w:szCs w:val="32"/>
        </w:rPr>
        <w:t>%。2022年基本支出中水费、电费和差旅费年初预算为</w:t>
      </w:r>
      <w:r>
        <w:rPr>
          <w:rFonts w:hint="eastAsia" w:ascii="Times New Roman" w:hAnsi="Times New Roman" w:eastAsia="仿宋_GB2312"/>
          <w:color w:val="auto"/>
          <w:sz w:val="32"/>
          <w:szCs w:val="32"/>
          <w:lang w:val="en-US" w:eastAsia="zh-CN"/>
        </w:rPr>
        <w:t>6.00</w:t>
      </w:r>
      <w:r>
        <w:rPr>
          <w:rFonts w:hint="eastAsia" w:ascii="Times New Roman" w:hAnsi="Times New Roman" w:eastAsia="仿宋_GB2312"/>
          <w:color w:val="auto"/>
          <w:sz w:val="32"/>
          <w:szCs w:val="32"/>
        </w:rPr>
        <w:t>万元，决算数为</w:t>
      </w:r>
      <w:r>
        <w:rPr>
          <w:rFonts w:hint="eastAsia" w:ascii="Times New Roman" w:hAnsi="Times New Roman" w:eastAsia="仿宋_GB2312"/>
          <w:color w:val="auto"/>
          <w:sz w:val="32"/>
          <w:szCs w:val="32"/>
          <w:lang w:val="en-US" w:eastAsia="zh-CN"/>
        </w:rPr>
        <w:t>1.58</w:t>
      </w:r>
      <w:r>
        <w:rPr>
          <w:rFonts w:hint="eastAsia" w:ascii="Times New Roman" w:hAnsi="Times New Roman" w:eastAsia="仿宋_GB2312"/>
          <w:color w:val="auto"/>
          <w:sz w:val="32"/>
          <w:szCs w:val="32"/>
        </w:rPr>
        <w:t>万元，节约比为</w:t>
      </w:r>
      <w:r>
        <w:rPr>
          <w:rFonts w:hint="eastAsia" w:ascii="Times New Roman" w:hAnsi="Times New Roman" w:eastAsia="仿宋_GB2312"/>
          <w:color w:val="auto"/>
          <w:sz w:val="32"/>
          <w:szCs w:val="32"/>
          <w:lang w:val="en-US" w:eastAsia="zh-CN"/>
        </w:rPr>
        <w:t>73.67</w:t>
      </w:r>
      <w:r>
        <w:rPr>
          <w:rFonts w:hint="eastAsia" w:ascii="Times New Roman" w:hAnsi="Times New Roman" w:eastAsia="仿宋_GB2312"/>
          <w:color w:val="auto"/>
          <w:sz w:val="32"/>
          <w:szCs w:val="32"/>
        </w:rPr>
        <w:t>%。会议费和培训费年初预算为</w:t>
      </w:r>
      <w:r>
        <w:rPr>
          <w:rFonts w:hint="eastAsia" w:ascii="Times New Roman" w:hAnsi="Times New Roman" w:eastAsia="仿宋_GB2312"/>
          <w:color w:val="auto"/>
          <w:sz w:val="32"/>
          <w:szCs w:val="32"/>
          <w:lang w:val="en-US" w:eastAsia="zh-CN"/>
        </w:rPr>
        <w:t>44</w:t>
      </w:r>
      <w:r>
        <w:rPr>
          <w:rFonts w:hint="eastAsia" w:ascii="Times New Roman" w:hAnsi="Times New Roman" w:eastAsia="仿宋_GB2312"/>
          <w:color w:val="auto"/>
          <w:sz w:val="32"/>
          <w:szCs w:val="32"/>
        </w:rPr>
        <w:t>万元，决算数为</w:t>
      </w:r>
      <w:r>
        <w:rPr>
          <w:rFonts w:hint="eastAsia" w:ascii="Times New Roman" w:hAnsi="Times New Roman" w:eastAsia="仿宋_GB2312"/>
          <w:color w:val="auto"/>
          <w:sz w:val="32"/>
          <w:szCs w:val="32"/>
          <w:lang w:val="en-US" w:eastAsia="zh-CN"/>
        </w:rPr>
        <w:t>1.28</w:t>
      </w:r>
      <w:r>
        <w:rPr>
          <w:rFonts w:hint="eastAsia" w:ascii="Times New Roman" w:hAnsi="Times New Roman" w:eastAsia="仿宋_GB2312"/>
          <w:color w:val="auto"/>
          <w:sz w:val="32"/>
          <w:szCs w:val="32"/>
        </w:rPr>
        <w:t>万元，节约比为</w:t>
      </w:r>
      <w:r>
        <w:rPr>
          <w:rFonts w:hint="eastAsia" w:ascii="Times New Roman" w:hAnsi="Times New Roman" w:eastAsia="仿宋_GB2312"/>
          <w:color w:val="auto"/>
          <w:sz w:val="32"/>
          <w:szCs w:val="32"/>
          <w:lang w:val="en-US" w:eastAsia="zh-CN"/>
        </w:rPr>
        <w:t>97.09</w:t>
      </w:r>
      <w:r>
        <w:rPr>
          <w:rFonts w:hint="eastAsia" w:ascii="Times New Roman" w:hAnsi="Times New Roman" w:eastAsia="仿宋_GB2312"/>
          <w:color w:val="auto"/>
          <w:sz w:val="32"/>
          <w:szCs w:val="32"/>
        </w:rPr>
        <w:t>%，均合理控制在预算以内。</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、管理效率</w:t>
      </w:r>
    </w:p>
    <w:p>
      <w:pPr>
        <w:keepNext w:val="0"/>
        <w:keepLines w:val="0"/>
        <w:pageBreakBefore w:val="0"/>
        <w:kinsoku/>
        <w:wordWrap/>
        <w:overflowPunct/>
        <w:topLinePunct w:val="0"/>
        <w:bidi w:val="0"/>
        <w:adjustRightInd/>
        <w:spacing w:line="57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rPr>
        <w:t>是加强对种性安全的风险排查。对参加区试的品种全部取样进行转基因和DNA指纹检测，省级统一试验146个参试品种中，筛查出4个水稻品种、1个玉米品种真实性存在问题，依法终止试验，大田生产安全更有保障。</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是首次开展节水抗旱稻、镉低积累水稻品种比较与验证试验。鉴于近年来干旱少雨气候频发，高岸田水源保证存在困难的现实情况，引进国内新育成的节水抗旱稻品种开展比较试验，对新选育的镉低积累水稻品种开展大田验证试验，筛选适合湖南栽培推广的新优品种。</w:t>
      </w: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rPr>
        <w:t>是切实加强对品种试验过程的监管。在作物性状表现充分的关键时期，组织专家到田间开展试验考察，</w:t>
      </w:r>
      <w:r>
        <w:rPr>
          <w:rFonts w:hint="eastAsia" w:ascii="仿宋_GB2312" w:hAnsi="仿宋_GB2312" w:eastAsia="仿宋_GB2312" w:cs="仿宋_GB2312"/>
          <w:color w:val="auto"/>
          <w:sz w:val="32"/>
          <w:szCs w:val="32"/>
          <w:lang w:val="en-US" w:eastAsia="zh-CN"/>
        </w:rPr>
        <w:t>四</w:t>
      </w:r>
      <w:r>
        <w:rPr>
          <w:rFonts w:hint="eastAsia" w:ascii="仿宋_GB2312" w:hAnsi="仿宋_GB2312" w:eastAsia="仿宋_GB2312" w:cs="仿宋_GB2312"/>
          <w:color w:val="auto"/>
          <w:sz w:val="32"/>
          <w:szCs w:val="32"/>
        </w:rPr>
        <w:t>是邀请专家对申请材料进行审核把关，提高登记材料质量。登记品种正式审核前，请专家对材料进行审核，对登记品种的特异性、一致性和稳定性进行严格把关，提升登记品种的市场竞争力。全年共完成了辣椒、油菜、甜瓜等作物59个品种的受理和初步审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bCs/>
          <w:color w:val="auto"/>
          <w:sz w:val="32"/>
          <w:szCs w:val="32"/>
          <w:lang w:val="en-US" w:eastAsia="zh-CN"/>
        </w:rPr>
        <w:t>五</w:t>
      </w:r>
      <w:r>
        <w:rPr>
          <w:rFonts w:hint="eastAsia" w:ascii="仿宋_GB2312" w:hAnsi="仿宋_GB2312" w:eastAsia="仿宋_GB2312" w:cs="仿宋_GB2312"/>
          <w:b/>
          <w:bCs/>
          <w:color w:val="auto"/>
          <w:sz w:val="32"/>
          <w:szCs w:val="32"/>
        </w:rPr>
        <w:t>是</w:t>
      </w:r>
      <w:r>
        <w:rPr>
          <w:rFonts w:hint="eastAsia" w:ascii="仿宋_GB2312" w:hAnsi="仿宋_GB2312" w:eastAsia="仿宋_GB2312" w:cs="仿宋_GB2312"/>
          <w:color w:val="auto"/>
          <w:sz w:val="32"/>
          <w:szCs w:val="32"/>
        </w:rPr>
        <w:t>组织现场观摩和专家鉴评，筛选优质、多抗、绿色新优品种直接“进村入户”。在石门县水稻原种场集中示范30个水稻新品种，500名农技人员、种植大户到示范基地看禾选种。在道县“双季稻+油菜”核心区试点示范2000亩，开展稻油轮作示范，探索稻油轮作三熟制合适品种及高产栽培技术，多渠道发力服务于粮食产能的提升。</w:t>
      </w:r>
    </w:p>
    <w:p>
      <w:pPr>
        <w:pStyle w:val="13"/>
        <w:keepNext w:val="0"/>
        <w:keepLines w:val="0"/>
        <w:pageBreakBefore w:val="0"/>
        <w:widowControl w:val="0"/>
        <w:numPr>
          <w:ilvl w:val="0"/>
          <w:numId w:val="2"/>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履职效能</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）以防范风险为底线严格种子质量检测</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一是健全规则严格流程，主动防范检测中可能存在的风险漏洞。根据《种子法》等法规，进一步健全《质量手册》《程序文件》等把控种子检测的流程，确保检测工作的每一环节都有法可依、有章可循。在此基础上，严格落实检测样品加密处理，检测数据、检测报告经由两道“三级签字”把关，较好地防范了检测风险。二是扎实做好种子市场、储备种子抽样检测，提升粮食生产安全保障水平。全年完成了1331个样品在海南的纯度种植鉴定，检测出不合格样品41个；完成931份发芽率和品种真实性样品检测，6个样品发芽率不合格。一年来，全省没有发生一起大的种子质量事故，种子质量检测已成为守护农民利益的重要手段。三是持续推进种子质量认证。组织3家水稻、油菜种子企业扎实开展种子质量认证，认证试点示范面积1000亩，促进全省种子生产质量水平的稳步提升。</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）以四大专项行动为抓手净化种业市场环境</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一是加强对市场的预判，及早部署全年种业市场监管活动。3月上旬印发《2022-2023年湖南省种业市场监管工作方案》，3月底印发《2022-2023年湖南省种业监管执法年活动方案》，首次建立省市县三级职责任务清单，综合运用法律、经济、技术手段，压紧压实各级监管责任。二是全面推进“四大专项行动”，标本兼治构建诚信守法的种业市场。协调各市州全省一盘棋，检打联动、部门协同，全覆盖开展冬季种子企业督查、春季种子市场检查、夏季种子生产基地检查和秋季种子市场专项检查四大行动，行动中严格贯彻“双随机”原则，严厉打击品种侵权、制售假劣种子、未审先推等违法行为。三是严肃问题查处，净化种业市场环境。在种子企业督查行动中，约谈5家有种子质量隐患的企业，督促其做好质量管理。春季市场检查中，检测出1个水稻样品品种纯度不合格，以厅办文件形式要求所在市州立案查处。同时，通过查看门店、调阅资料、召开座谈等方式对全省情况进行督导检查，落实“属地管理、谁主管谁负责”的原则，全省种市场环境持续稳定好转。</w:t>
      </w:r>
    </w:p>
    <w:p>
      <w:pPr>
        <w:pStyle w:val="13"/>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社会效应</w:t>
      </w:r>
    </w:p>
    <w:p>
      <w:pPr>
        <w:keepNext w:val="0"/>
        <w:keepLines w:val="0"/>
        <w:pageBreakBefore w:val="0"/>
        <w:kinsoku/>
        <w:wordWrap/>
        <w:overflowPunct/>
        <w:topLinePunct w:val="0"/>
        <w:bidi w:val="0"/>
        <w:adjustRightInd/>
        <w:spacing w:line="57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严密、规范种子收储、调用的过程监管，加强储备种子余缺调节，确保储备种子“储得住，调得出，用得上”，为应急生产和备荒用种提供底部支撑。一是健全完善储备种子管理制度，消除存储疏漏。制定《湖南省救灾备荒种子储备管理操作细则》，明晰承储单位、管理部门各自的职责与义务，建立储备工作人员年度责任制，一管到底，严控擅自动用储备种子的风险，确保种子“储得住”。二是加强过程监管，确保储备种子数量、质量安全。从储备招标、种子验收入库，到中期检查、终期验收，细化全过程、每一环节的监管内容和检查方式，开展入库、中期、终期三轮检查检测。2022年，根据检查检测结果扣减、收回已下拨的储备种子资金232.51万元，在种子行业树立了较真碰硬、真抓实干的良好风气。三是积极开展国家救灾备荒储备监管服务。对国家在湖南的储备种子，按照省级储备的标准进行代管检查，在入库验收中查出72.5万公斤种子不符合要求，维护了国家储备的安全。</w:t>
      </w:r>
    </w:p>
    <w:p>
      <w:pPr>
        <w:pStyle w:val="13"/>
        <w:keepNext w:val="0"/>
        <w:keepLines w:val="0"/>
        <w:pageBreakBefore w:val="0"/>
        <w:widowControl w:val="0"/>
        <w:numPr>
          <w:ilvl w:val="0"/>
          <w:numId w:val="2"/>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可持续发展能力</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仿宋_GB2312" w:hAnsi="仿宋_GB2312" w:eastAsia="仿宋_GB2312" w:cs="仿宋_GB2312"/>
          <w:color w:val="auto"/>
          <w:sz w:val="32"/>
          <w:szCs w:val="32"/>
        </w:rPr>
        <w:t>今年以来，南繁科研育种园全面投入使用。作为国家《南繁规划》发布以来第一个集中建成、标准最高且规模最大的基地，全年共有34家企事业、科研单位进驻园区开展南繁育制种作业，常驻单位科研用地使用率100%，园区土地综合利用率达95%。为更充分地利用南繁资源，发挥南繁园区在种业创新中的高地作用，我们一是积极开展南繁工作培训与专项整治。全力配合海南南繁管理局做好南繁备案、植物检疫和专项整治工作，南繁单位法律意识进一步加强，个别投机问题得到有效整改。集中开展南繁法规培训，要求南繁单位作出不传播检疫性病虫害、不种植毒品原植株、非生物育种安全区不种植转基因作物的书面承诺，为全国南繁安全运营做出湖南努力。二是加强南繁信息收集统计。全面准确掌握全省南繁单位的科研人员数量、作物种类、品种数量、面积等基本情况，引导种业行业合理分配、充分利用好南繁资源。三是推进南繁工作规范化管理。出台了《湖南省南繁科研育种园管理工作细则》，明确南繁中心和入园单位的职责，我省南繁工作更加科学规范。</w:t>
      </w:r>
    </w:p>
    <w:p>
      <w:pPr>
        <w:pStyle w:val="13"/>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服务对象满意度</w:t>
      </w:r>
    </w:p>
    <w:p>
      <w:pPr>
        <w:pStyle w:val="13"/>
        <w:keepNext w:val="0"/>
        <w:keepLines w:val="0"/>
        <w:pageBreakBefore w:val="0"/>
        <w:widowControl w:val="0"/>
        <w:numPr>
          <w:ilvl w:val="0"/>
          <w:numId w:val="0"/>
        </w:numPr>
        <w:kinsoku/>
        <w:wordWrap/>
        <w:overflowPunct/>
        <w:topLinePunct w:val="0"/>
        <w:bidi w:val="0"/>
        <w:snapToGrid/>
        <w:spacing w:line="600" w:lineRule="exact"/>
        <w:jc w:val="left"/>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我单位服务对象和社会公从满意度为90%以上。</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存在的问题及原因分析</w:t>
      </w:r>
    </w:p>
    <w:p>
      <w:pPr>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2022年我单位整体执行率为95.11%，其中基本支出执行率97.02%，项目支出执行率88.92%，项目支出执行率有待提高，项目执行率低的主要原因是受疫情原因影响，项目会议未按计划召开，培训和出差任务减少。</w:t>
      </w:r>
    </w:p>
    <w:p>
      <w:pPr>
        <w:ind w:firstLine="640" w:firstLineChars="200"/>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下一步改进措施：定期对预算执行情况进行分析，对执行率低的项目资金分析原因，督促项目实施部门加快项目实施进度，同时把预算执行情况分析做为下一年度预算编制的重要依据，提高预算编制的准确性和科学性。</w:t>
      </w:r>
    </w:p>
    <w:p>
      <w:pPr>
        <w:ind w:firstLine="640" w:firstLineChars="200"/>
        <w:rPr>
          <w:rFonts w:hint="default" w:ascii="仿宋_GB2312" w:hAnsi="仿宋_GB2312" w:eastAsia="仿宋_GB2312" w:cs="仿宋_GB2312"/>
          <w:color w:val="auto"/>
          <w:kern w:val="2"/>
          <w:sz w:val="32"/>
          <w:szCs w:val="32"/>
          <w:lang w:val="en-US" w:eastAsia="zh-CN" w:bidi="ar-SA"/>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both"/>
        <w:rPr>
          <w:rFonts w:hint="eastAsia" w:ascii="方正小标宋_GBK" w:hAnsi="方正小标宋_GBK" w:eastAsia="方正小标宋_GBK" w:cs="方正小标宋_GBK"/>
          <w:color w:val="auto"/>
          <w:sz w:val="72"/>
          <w:szCs w:val="72"/>
        </w:rPr>
      </w:pPr>
    </w:p>
    <w:p>
      <w:pPr>
        <w:pStyle w:val="13"/>
        <w:jc w:val="center"/>
        <w:rPr>
          <w:rFonts w:hint="eastAsia" w:ascii="方正小标宋_GBK" w:hAnsi="方正小标宋_GBK" w:eastAsia="方正小标宋_GBK" w:cs="方正小标宋_GBK"/>
          <w:color w:val="auto"/>
          <w:sz w:val="72"/>
          <w:szCs w:val="72"/>
        </w:rPr>
      </w:pPr>
    </w:p>
    <w:p>
      <w:pPr>
        <w:pStyle w:val="13"/>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第四部分</w:t>
      </w:r>
    </w:p>
    <w:p>
      <w:pPr>
        <w:jc w:val="center"/>
        <w:rPr>
          <w:rFonts w:hint="eastAsia" w:ascii="方正小标宋_GBK" w:hAnsi="方正小标宋_GBK" w:eastAsia="方正小标宋_GBK" w:cs="方正小标宋_GBK"/>
          <w:color w:val="auto"/>
          <w:kern w:val="0"/>
          <w:sz w:val="70"/>
          <w:szCs w:val="70"/>
        </w:rPr>
      </w:pPr>
    </w:p>
    <w:p>
      <w:pPr>
        <w:jc w:val="center"/>
        <w:rPr>
          <w:rFonts w:hint="eastAsia" w:ascii="方正小标宋_GBK" w:hAnsi="方正小标宋_GBK" w:eastAsia="方正小标宋_GBK" w:cs="方正小标宋_GBK"/>
          <w:color w:val="auto"/>
          <w:kern w:val="0"/>
          <w:sz w:val="70"/>
          <w:szCs w:val="70"/>
        </w:rPr>
      </w:pPr>
      <w:r>
        <w:rPr>
          <w:rFonts w:hint="eastAsia" w:ascii="方正小标宋_GBK" w:hAnsi="方正小标宋_GBK" w:eastAsia="方正小标宋_GBK" w:cs="方正小标宋_GBK"/>
          <w:color w:val="auto"/>
          <w:kern w:val="0"/>
          <w:sz w:val="70"/>
          <w:szCs w:val="70"/>
        </w:rPr>
        <w:t>名词解释</w:t>
      </w:r>
    </w:p>
    <w:p>
      <w:pPr>
        <w:widowControl/>
        <w:jc w:val="left"/>
        <w:rPr>
          <w:rFonts w:cs="黑体" w:asciiTheme="minorEastAsia" w:hAnsiTheme="minorEastAsia"/>
          <w:color w:val="auto"/>
          <w:kern w:val="0"/>
          <w:sz w:val="32"/>
          <w:szCs w:val="32"/>
        </w:rPr>
      </w:pPr>
      <w:r>
        <w:rPr>
          <w:color w:val="auto"/>
        </w:rPr>
        <w:br w:type="page"/>
      </w:r>
    </w:p>
    <w:p>
      <w:pPr>
        <w:widowControl/>
        <w:spacing w:line="600" w:lineRule="exact"/>
        <w:ind w:firstLine="66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一、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sz w:val="72"/>
          <w:szCs w:val="72"/>
        </w:rPr>
      </w:pPr>
      <w:r>
        <w:rPr>
          <w:rFonts w:hint="eastAsia" w:ascii="Times New Roman" w:hAnsi="Times New Roman" w:eastAsia="仿宋_GB2312" w:cs="黑体"/>
          <w:color w:val="000000"/>
          <w:kern w:val="0"/>
          <w:sz w:val="32"/>
          <w:szCs w:val="32"/>
          <w:lang w:val="en-US" w:eastAsia="zh-CN" w:bidi="ar-SA"/>
        </w:rPr>
        <w:t>二、“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jc w:val="left"/>
        <w:rPr>
          <w:rFonts w:cs="黑体" w:asciiTheme="minorEastAsia" w:hAnsiTheme="minorEastAsia"/>
          <w:color w:val="auto"/>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_GBK">
    <w:panose1 w:val="02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61A2E47"/>
    <w:multiLevelType w:val="singleLevel"/>
    <w:tmpl w:val="C61A2E47"/>
    <w:lvl w:ilvl="0" w:tentative="0">
      <w:start w:val="3"/>
      <w:numFmt w:val="decimal"/>
      <w:suff w:val="nothing"/>
      <w:lvlText w:val="%1、"/>
      <w:lvlJc w:val="left"/>
    </w:lvl>
  </w:abstractNum>
  <w:abstractNum w:abstractNumId="2">
    <w:nsid w:val="CBBEF8DA"/>
    <w:multiLevelType w:val="singleLevel"/>
    <w:tmpl w:val="CBBEF8DA"/>
    <w:lvl w:ilvl="0" w:tentative="0">
      <w:start w:val="6"/>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15480"/>
    <w:rsid w:val="21B678C8"/>
    <w:rsid w:val="242C1508"/>
    <w:rsid w:val="26D432C0"/>
    <w:rsid w:val="289643B3"/>
    <w:rsid w:val="312E660C"/>
    <w:rsid w:val="330A3D5C"/>
    <w:rsid w:val="336F04CC"/>
    <w:rsid w:val="34A052AD"/>
    <w:rsid w:val="3C4A2F82"/>
    <w:rsid w:val="544D5BE8"/>
    <w:rsid w:val="5CA87F7F"/>
    <w:rsid w:val="5CFF3208"/>
    <w:rsid w:val="654B2FF6"/>
    <w:rsid w:val="77F60B2C"/>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9"/>
    <w:pPr>
      <w:outlineLvl w:val="1"/>
    </w:pPr>
    <w:rPr>
      <w:rFonts w:ascii="楷体_GB2312" w:hAnsi="Cambria" w:eastAsia="楷体_GB2312"/>
      <w:b/>
      <w:bCs/>
      <w:kern w:val="0"/>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4">
    <w:name w:val="Body Text Indent"/>
    <w:basedOn w:val="1"/>
    <w:qFormat/>
    <w:uiPriority w:val="0"/>
    <w:pPr>
      <w:spacing w:after="120"/>
      <w:ind w:left="420" w:leftChars="200"/>
    </w:pPr>
  </w:style>
  <w:style w:type="paragraph" w:styleId="5">
    <w:name w:val="Balloon Text"/>
    <w:basedOn w:val="1"/>
    <w:link w:val="15"/>
    <w:semiHidden/>
    <w:unhideWhenUsed/>
    <w:qFormat/>
    <w:uiPriority w:val="99"/>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qFormat/>
    <w:uiPriority w:val="0"/>
    <w:pPr>
      <w:ind w:firstLine="420" w:firstLineChars="200"/>
    </w:pPr>
  </w:style>
  <w:style w:type="table" w:styleId="9">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1">
    <w:name w:val="页眉 Char"/>
    <w:basedOn w:val="10"/>
    <w:link w:val="6"/>
    <w:qFormat/>
    <w:uiPriority w:val="99"/>
    <w:rPr>
      <w:sz w:val="18"/>
      <w:szCs w:val="18"/>
    </w:rPr>
  </w:style>
  <w:style w:type="character" w:customStyle="1" w:styleId="12">
    <w:name w:val="页脚 Char"/>
    <w:basedOn w:val="10"/>
    <w:link w:val="2"/>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2.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5.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8.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43e89acc-9c5f-41d0-9d14-f233e7e3878f}">
  <ds:schemaRefs/>
</ds:datastoreItem>
</file>

<file path=customXml/itemProps2.xml><?xml version="1.0" encoding="utf-8"?>
<ds:datastoreItem xmlns:ds="http://schemas.openxmlformats.org/officeDocument/2006/customXml" ds:itemID="{fe7e3b38-7782-4374-a21d-6f67e22547b9}">
  <ds:schemaRefs/>
</ds:datastoreItem>
</file>

<file path=customXml/itemProps3.xml><?xml version="1.0" encoding="utf-8"?>
<ds:datastoreItem xmlns:ds="http://schemas.openxmlformats.org/officeDocument/2006/customXml" ds:itemID="{f29ba3f3-2fd3-439e-b9f9-349a16038bb8}">
  <ds:schemaRefs/>
</ds:datastoreItem>
</file>

<file path=customXml/itemProps4.xml><?xml version="1.0" encoding="utf-8"?>
<ds:datastoreItem xmlns:ds="http://schemas.openxmlformats.org/officeDocument/2006/customXml" ds:itemID="{95972079-1954-4e23-9308-88f70d02d08e}">
  <ds:schemaRefs/>
</ds:datastoreItem>
</file>

<file path=customXml/itemProps5.xml><?xml version="1.0" encoding="utf-8"?>
<ds:datastoreItem xmlns:ds="http://schemas.openxmlformats.org/officeDocument/2006/customXml" ds:itemID="{9d610ee5-9b52-4fcc-bf50-b2e1e4eb6522}">
  <ds:schemaRefs/>
</ds:datastoreItem>
</file>

<file path=customXml/itemProps6.xml><?xml version="1.0" encoding="utf-8"?>
<ds:datastoreItem xmlns:ds="http://schemas.openxmlformats.org/officeDocument/2006/customXml" ds:itemID="{9ab4fe3c-4603-4bab-9b21-968409e47b76}">
  <ds:schemaRefs/>
</ds:datastoreItem>
</file>

<file path=customXml/itemProps7.xml><?xml version="1.0" encoding="utf-8"?>
<ds:datastoreItem xmlns:ds="http://schemas.openxmlformats.org/officeDocument/2006/customXml" ds:itemID="{522f4c94-840e-45ea-a615-b84c05dffed5}">
  <ds:schemaRefs/>
</ds:datastoreItem>
</file>

<file path=customXml/itemProps8.xml><?xml version="1.0" encoding="utf-8"?>
<ds:datastoreItem xmlns:ds="http://schemas.openxmlformats.org/officeDocument/2006/customXml" ds:itemID="{3199e4a6-d71b-474a-bf22-c647d8f214b3}">
  <ds:schemaRefs/>
</ds:datastoreItem>
</file>

<file path=customXml/itemProps9.xml><?xml version="1.0" encoding="utf-8"?>
<ds:datastoreItem xmlns:ds="http://schemas.openxmlformats.org/officeDocument/2006/customXml" ds:itemID="{5b6c70b0-28aa-4875-9041-dfbcfd1a436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0</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2023-11-01T13:21:57Z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