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202</w:t>
      </w:r>
      <w:r>
        <w:rPr>
          <w:rFonts w:hint="eastAsia" w:ascii="方正小标宋_GBK" w:hAnsi="方正小标宋_GBK" w:eastAsia="方正小标宋_GBK" w:cs="方正小标宋_GBK"/>
          <w:sz w:val="72"/>
          <w:szCs w:val="72"/>
          <w:lang w:val="en-US" w:eastAsia="zh-CN"/>
        </w:rPr>
        <w:t>2</w:t>
      </w:r>
      <w:r>
        <w:rPr>
          <w:rFonts w:hint="eastAsia" w:ascii="方正小标宋_GBK" w:hAnsi="方正小标宋_GBK" w:eastAsia="方正小标宋_GBK" w:cs="方正小标宋_GBK"/>
          <w:sz w:val="72"/>
          <w:szCs w:val="72"/>
        </w:rPr>
        <w:t>年度</w:t>
      </w: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湖南省兽药饲料监察所</w:t>
      </w: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部门决算</w:t>
      </w:r>
    </w:p>
    <w:p>
      <w:pPr>
        <w:pStyle w:val="10"/>
        <w:jc w:val="center"/>
        <w:rPr>
          <w:rFonts w:hint="eastAsia" w:ascii="方正小标宋_GBK" w:hAnsi="方正小标宋_GBK" w:eastAsia="方正小标宋_GBK" w:cs="方正小标宋_GBK"/>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rPr>
          <w:b/>
          <w:sz w:val="36"/>
          <w:szCs w:val="28"/>
        </w:rPr>
      </w:pPr>
      <w:r>
        <w:rPr>
          <w:b/>
          <w:sz w:val="36"/>
          <w:szCs w:val="28"/>
        </w:rPr>
        <w:br w:type="page"/>
      </w: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hAnsi="黑体" w:cs="黑体"/>
          <w:b w:val="0"/>
          <w:bCs/>
          <w:sz w:val="28"/>
          <w:szCs w:val="28"/>
          <w:lang w:val="en-US" w:eastAsia="zh-CN"/>
        </w:rPr>
        <w:t>湖南省兽药饲料监察所</w:t>
      </w:r>
      <w:r>
        <w:rPr>
          <w:rFonts w:hint="eastAsia" w:ascii="黑体" w:hAnsi="黑体" w:eastAsia="黑体" w:cs="黑体"/>
          <w:b w:val="0"/>
          <w:bCs/>
          <w:sz w:val="28"/>
          <w:szCs w:val="28"/>
        </w:rPr>
        <w:t>概况</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0"/>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0"/>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 xml:space="preserve">第一部分 </w:t>
      </w:r>
    </w:p>
    <w:p>
      <w:pPr>
        <w:pStyle w:val="10"/>
        <w:jc w:val="both"/>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lang w:eastAsia="zh-CN"/>
        </w:rPr>
      </w:pPr>
      <w:r>
        <w:rPr>
          <w:rFonts w:hint="eastAsia" w:ascii="方正小标宋_GBK" w:hAnsi="方正小标宋_GBK" w:eastAsia="方正小标宋_GBK" w:cs="方正小标宋_GBK"/>
          <w:sz w:val="72"/>
          <w:szCs w:val="72"/>
          <w:lang w:eastAsia="zh-CN"/>
        </w:rPr>
        <w:t>湖南省兽药饲料监察所</w:t>
      </w: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概况</w:t>
      </w:r>
    </w:p>
    <w:p>
      <w:pPr>
        <w:jc w:val="center"/>
        <w:rPr>
          <w:sz w:val="72"/>
          <w:szCs w:val="72"/>
        </w:rPr>
      </w:pPr>
    </w:p>
    <w:p>
      <w:pPr>
        <w:jc w:val="center"/>
        <w:rPr>
          <w:sz w:val="72"/>
          <w:szCs w:val="72"/>
        </w:rPr>
      </w:pPr>
    </w:p>
    <w:p>
      <w:pPr>
        <w:jc w:val="center"/>
        <w:rPr>
          <w:sz w:val="72"/>
          <w:szCs w:val="72"/>
        </w:rPr>
      </w:pPr>
    </w:p>
    <w:p>
      <w:pPr>
        <w:rPr>
          <w:rFonts w:hint="eastAsia" w:ascii="黑体" w:hAnsi="黑体" w:eastAsia="黑体" w:cs="黑体"/>
          <w:b w:val="0"/>
          <w:bCs w:val="0"/>
          <w:sz w:val="32"/>
          <w:szCs w:val="32"/>
        </w:rPr>
      </w:pPr>
      <w:r>
        <w:rPr>
          <w:rFonts w:hint="eastAsia" w:ascii="黑体" w:hAnsi="黑体" w:eastAsia="黑体" w:cs="黑体"/>
          <w:b w:val="0"/>
          <w:bCs w:val="0"/>
          <w:sz w:val="32"/>
          <w:szCs w:val="32"/>
        </w:rPr>
        <w:br w:type="page"/>
      </w:r>
    </w:p>
    <w:p>
      <w:pPr>
        <w:pStyle w:val="11"/>
        <w:numPr>
          <w:ilvl w:val="0"/>
          <w:numId w:val="1"/>
        </w:numPr>
        <w:tabs>
          <w:tab w:val="left" w:pos="1480"/>
        </w:tabs>
        <w:ind w:left="17" w:leftChars="8" w:firstLine="617" w:firstLineChars="193"/>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tabs>
          <w:tab w:val="left" w:pos="1260"/>
        </w:tabs>
        <w:ind w:left="17" w:leftChars="8" w:firstLine="617" w:firstLineChars="193"/>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湖南省兽药饲料监察所（湖南省畜禽水产品质量检验检测中心）主要承担农业部门和有关部门指定的畜禽等动物性产品及兽药、饲料产品质量的监督抽查检验、残留物质分析检验、优质产品的评选和复查检验；受农业部门或有关部门的委托，对实施生产许可证和质量认证的畜禽等动物性产品及兽药、饲料产品进行检验，以及对重要新产品、新品种投产和科研成果鉴定检验；承担畜禽等动物性产品及兽药、饲料产品质量考核检验、产品质量分等分级检验；承担畜禽等动物性产品及兽药、饲料产品质量仲裁检验和委托检验；对省内同类产品质量检验机构进行技术指导和人员培训；负责研究新的检验技术和方法，承担或参与国家标准、行业标准的制修订和有关标准试验验证工作。</w:t>
      </w:r>
    </w:p>
    <w:p>
      <w:pPr>
        <w:widowControl/>
        <w:tabs>
          <w:tab w:val="left" w:pos="1260"/>
        </w:tabs>
        <w:spacing w:line="600" w:lineRule="exact"/>
        <w:ind w:left="17" w:leftChars="8" w:firstLine="617" w:firstLineChars="193"/>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tabs>
          <w:tab w:val="left" w:pos="1260"/>
        </w:tabs>
        <w:spacing w:line="600" w:lineRule="exact"/>
        <w:ind w:left="17" w:leftChars="8" w:firstLine="617" w:firstLineChars="193"/>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（一）内设机构设置。湖南省兽药饲料监察所（湖南省畜禽水产品质量检验检测中心）内设机构包括：检验一室、检验二室、检验三室、业务办公室、综合科（人事科）、财务科。</w:t>
      </w:r>
    </w:p>
    <w:p>
      <w:pPr>
        <w:widowControl/>
        <w:tabs>
          <w:tab w:val="left" w:pos="1260"/>
        </w:tabs>
        <w:spacing w:line="600" w:lineRule="exact"/>
        <w:ind w:left="17" w:leftChars="8" w:firstLine="617" w:firstLineChars="193"/>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（二）决算单位构成。湖南省兽药饲料监察所（湖南省畜禽水产品质量检验检测中心）202</w:t>
      </w:r>
      <w:r>
        <w:rPr>
          <w:rFonts w:hint="eastAsia" w:ascii="仿宋_GB2312" w:hAnsi="仿宋_GB2312" w:eastAsia="仿宋_GB2312" w:cs="仿宋_GB2312"/>
          <w:bCs/>
          <w:kern w:val="0"/>
          <w:sz w:val="32"/>
          <w:szCs w:val="32"/>
          <w:lang w:val="en-US" w:eastAsia="zh-CN"/>
        </w:rPr>
        <w:t>2</w:t>
      </w:r>
      <w:r>
        <w:rPr>
          <w:rFonts w:hint="eastAsia" w:ascii="仿宋_GB2312" w:hAnsi="仿宋_GB2312" w:eastAsia="仿宋_GB2312" w:cs="仿宋_GB2312"/>
          <w:bCs/>
          <w:kern w:val="0"/>
          <w:sz w:val="32"/>
          <w:szCs w:val="32"/>
        </w:rPr>
        <w:t>年部门决算单位构成：湖南省兽药饲料监察所（湖南省畜禽水产品质量检验检测中心）本级。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sz w:val="72"/>
          <w:szCs w:val="72"/>
        </w:rPr>
      </w:pPr>
    </w:p>
    <w:p>
      <w:pPr>
        <w:rPr>
          <w:sz w:val="72"/>
          <w:szCs w:val="72"/>
        </w:rPr>
      </w:pPr>
      <w:r>
        <w:rPr>
          <w:sz w:val="72"/>
          <w:szCs w:val="72"/>
        </w:rPr>
        <w:br w:type="page"/>
      </w:r>
    </w:p>
    <w:p>
      <w:pPr>
        <w:jc w:val="center"/>
        <w:rPr>
          <w:sz w:val="72"/>
          <w:szCs w:val="72"/>
        </w:rPr>
      </w:pPr>
    </w:p>
    <w:p>
      <w:pPr>
        <w:jc w:val="center"/>
        <w:rPr>
          <w:sz w:val="72"/>
          <w:szCs w:val="72"/>
        </w:rPr>
      </w:pPr>
    </w:p>
    <w:p>
      <w:pPr>
        <w:jc w:val="center"/>
        <w:rPr>
          <w:sz w:val="72"/>
          <w:szCs w:val="72"/>
        </w:rPr>
      </w:pPr>
    </w:p>
    <w:p>
      <w:pPr>
        <w:pStyle w:val="10"/>
        <w:jc w:val="center"/>
        <w:rPr>
          <w:rFonts w:hint="eastAsia" w:ascii="方正小标宋_GBK" w:hAnsi="方正小标宋_GBK" w:eastAsia="方正小标宋_GBK" w:cs="方正小标宋_GBK"/>
          <w:sz w:val="84"/>
          <w:szCs w:val="84"/>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第二部分</w:t>
      </w:r>
    </w:p>
    <w:p>
      <w:pPr>
        <w:pStyle w:val="10"/>
        <w:jc w:val="center"/>
        <w:rPr>
          <w:rFonts w:asciiTheme="minorEastAsia" w:hAnsiTheme="minorEastAsia"/>
          <w:sz w:val="32"/>
          <w:szCs w:val="32"/>
        </w:rPr>
      </w:pPr>
      <w:r>
        <w:rPr>
          <w:rFonts w:hint="eastAsia" w:ascii="方正小标宋_GBK" w:hAnsi="方正小标宋_GBK" w:eastAsia="方正小标宋_GBK" w:cs="方正小标宋_GBK"/>
          <w:sz w:val="72"/>
          <w:szCs w:val="72"/>
        </w:rPr>
        <w:t>部门决算表</w:t>
      </w: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jc w:val="center"/>
      </w:pPr>
      <w:r>
        <w:drawing>
          <wp:inline distT="0" distB="0" distL="114300" distR="114300">
            <wp:extent cx="8324215" cy="4737100"/>
            <wp:effectExtent l="0" t="0" r="698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8324215" cy="4737100"/>
                    </a:xfrm>
                    <a:prstGeom prst="rect">
                      <a:avLst/>
                    </a:prstGeom>
                    <a:noFill/>
                    <a:ln>
                      <a:noFill/>
                    </a:ln>
                  </pic:spPr>
                </pic:pic>
              </a:graphicData>
            </a:graphic>
          </wp:inline>
        </w:drawing>
      </w:r>
      <w:r>
        <w:drawing>
          <wp:inline distT="0" distB="0" distL="114300" distR="114300">
            <wp:extent cx="9582150" cy="6362700"/>
            <wp:effectExtent l="0" t="0" r="0" b="0"/>
            <wp:docPr id="2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9"/>
                    <pic:cNvPicPr>
                      <a:picLocks noChangeAspect="1"/>
                    </pic:cNvPicPr>
                  </pic:nvPicPr>
                  <pic:blipFill>
                    <a:blip r:embed="rId5"/>
                    <a:stretch>
                      <a:fillRect/>
                    </a:stretch>
                  </pic:blipFill>
                  <pic:spPr>
                    <a:xfrm>
                      <a:off x="0" y="0"/>
                      <a:ext cx="9582150" cy="6362700"/>
                    </a:xfrm>
                    <a:prstGeom prst="rect">
                      <a:avLst/>
                    </a:prstGeom>
                    <a:noFill/>
                    <a:ln>
                      <a:noFill/>
                    </a:ln>
                  </pic:spPr>
                </pic:pic>
              </a:graphicData>
            </a:graphic>
          </wp:inline>
        </w:drawing>
      </w:r>
      <w:r>
        <w:br w:type="page"/>
      </w:r>
    </w:p>
    <w:p>
      <w:pPr>
        <w:jc w:val="center"/>
      </w:pPr>
    </w:p>
    <w:p>
      <w:pPr>
        <w:widowControl/>
        <w:jc w:val="center"/>
      </w:pPr>
    </w:p>
    <w:p>
      <w:pPr>
        <w:jc w:val="center"/>
        <w:rPr>
          <w:rFonts w:ascii="Times New Roman" w:hAnsi="Times New Roman" w:eastAsia="方正小标宋_GBK" w:cs="Times New Roman"/>
          <w:color w:val="000000"/>
          <w:kern w:val="0"/>
          <w:sz w:val="36"/>
          <w:szCs w:val="36"/>
        </w:rPr>
      </w:pPr>
      <w:r>
        <w:drawing>
          <wp:inline distT="0" distB="0" distL="114300" distR="114300">
            <wp:extent cx="9325610" cy="4940300"/>
            <wp:effectExtent l="0" t="0" r="8890" b="12700"/>
            <wp:docPr id="2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
                    <pic:cNvPicPr>
                      <a:picLocks noChangeAspect="1"/>
                    </pic:cNvPicPr>
                  </pic:nvPicPr>
                  <pic:blipFill>
                    <a:blip r:embed="rId6"/>
                    <a:stretch>
                      <a:fillRect/>
                    </a:stretch>
                  </pic:blipFill>
                  <pic:spPr>
                    <a:xfrm>
                      <a:off x="0" y="0"/>
                      <a:ext cx="9325610" cy="4940300"/>
                    </a:xfrm>
                    <a:prstGeom prst="rect">
                      <a:avLst/>
                    </a:prstGeom>
                    <a:noFill/>
                    <a:ln>
                      <a:noFill/>
                    </a:ln>
                  </pic:spPr>
                </pic:pic>
              </a:graphicData>
            </a:graphic>
          </wp:inline>
        </w:drawing>
      </w:r>
      <w:r>
        <w:rPr>
          <w:rFonts w:ascii="Times New Roman" w:hAnsi="Times New Roman" w:eastAsia="方正小标宋_GBK" w:cs="Times New Roman"/>
          <w:color w:val="000000"/>
          <w:kern w:val="0"/>
          <w:sz w:val="36"/>
          <w:szCs w:val="36"/>
        </w:rPr>
        <w:br w:type="page"/>
      </w:r>
    </w:p>
    <w:p>
      <w:pPr>
        <w:widowControl/>
        <w:jc w:val="center"/>
        <w:rPr>
          <w:rFonts w:ascii="Times New Roman" w:hAnsi="Times New Roman" w:eastAsia="方正小标宋_GBK" w:cs="Times New Roman"/>
          <w:color w:val="000000"/>
          <w:kern w:val="0"/>
          <w:sz w:val="36"/>
          <w:szCs w:val="36"/>
        </w:rPr>
      </w:pPr>
      <w:r>
        <w:drawing>
          <wp:inline distT="0" distB="0" distL="114300" distR="114300">
            <wp:extent cx="9770110" cy="6569075"/>
            <wp:effectExtent l="0" t="0" r="2540" b="3175"/>
            <wp:docPr id="1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pic:cNvPicPr>
                      <a:picLocks noChangeAspect="1"/>
                    </pic:cNvPicPr>
                  </pic:nvPicPr>
                  <pic:blipFill>
                    <a:blip r:embed="rId7"/>
                    <a:stretch>
                      <a:fillRect/>
                    </a:stretch>
                  </pic:blipFill>
                  <pic:spPr>
                    <a:xfrm>
                      <a:off x="0" y="0"/>
                      <a:ext cx="9770110" cy="6569075"/>
                    </a:xfrm>
                    <a:prstGeom prst="rect">
                      <a:avLst/>
                    </a:prstGeom>
                    <a:noFill/>
                    <a:ln>
                      <a:noFill/>
                    </a:ln>
                  </pic:spPr>
                </pic:pic>
              </a:graphicData>
            </a:graphic>
          </wp:inline>
        </w:drawing>
      </w:r>
    </w:p>
    <w:p>
      <w:pPr>
        <w:jc w:val="center"/>
        <w:rPr>
          <w:rFonts w:ascii="Times New Roman" w:hAnsi="Times New Roman" w:eastAsia="方正小标宋_GBK" w:cs="Times New Roman"/>
          <w:color w:val="000000"/>
          <w:kern w:val="0"/>
          <w:sz w:val="36"/>
          <w:szCs w:val="21"/>
        </w:rPr>
      </w:pPr>
      <w:r>
        <w:drawing>
          <wp:inline distT="0" distB="0" distL="114300" distR="114300">
            <wp:extent cx="9382760" cy="5719445"/>
            <wp:effectExtent l="0" t="0" r="8890" b="14605"/>
            <wp:docPr id="1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4"/>
                    <pic:cNvPicPr>
                      <a:picLocks noChangeAspect="1"/>
                    </pic:cNvPicPr>
                  </pic:nvPicPr>
                  <pic:blipFill>
                    <a:blip r:embed="rId8"/>
                    <a:stretch>
                      <a:fillRect/>
                    </a:stretch>
                  </pic:blipFill>
                  <pic:spPr>
                    <a:xfrm>
                      <a:off x="0" y="0"/>
                      <a:ext cx="9382760" cy="5719445"/>
                    </a:xfrm>
                    <a:prstGeom prst="rect">
                      <a:avLst/>
                    </a:prstGeom>
                    <a:noFill/>
                    <a:ln>
                      <a:noFill/>
                    </a:ln>
                  </pic:spPr>
                </pic:pic>
              </a:graphicData>
            </a:graphic>
          </wp:inline>
        </w:drawing>
      </w:r>
      <w:r>
        <w:rPr>
          <w:rFonts w:ascii="Times New Roman" w:hAnsi="Times New Roman" w:eastAsia="方正小标宋_GBK" w:cs="Times New Roman"/>
          <w:color w:val="000000"/>
          <w:kern w:val="0"/>
          <w:sz w:val="36"/>
          <w:szCs w:val="21"/>
        </w:rPr>
        <w:br w:type="page"/>
      </w:r>
    </w:p>
    <w:p>
      <w:pPr>
        <w:widowControl/>
        <w:jc w:val="both"/>
        <w:rPr>
          <w:rFonts w:ascii="Times New Roman" w:hAnsi="Times New Roman" w:eastAsia="方正小标宋_GBK" w:cs="Times New Roman"/>
          <w:color w:val="000000"/>
          <w:kern w:val="0"/>
          <w:sz w:val="36"/>
          <w:szCs w:val="21"/>
        </w:rPr>
      </w:pPr>
    </w:p>
    <w:p>
      <w:pPr>
        <w:jc w:val="center"/>
        <w:rPr>
          <w:rFonts w:ascii="Times New Roman" w:hAnsi="Times New Roman" w:eastAsia="方正小标宋_GBK" w:cs="Times New Roman"/>
          <w:kern w:val="0"/>
          <w:sz w:val="36"/>
          <w:szCs w:val="36"/>
        </w:rPr>
      </w:pPr>
      <w:bookmarkStart w:id="0" w:name="RANGE!A1:I22"/>
      <w:bookmarkEnd w:id="0"/>
      <w:bookmarkStart w:id="1" w:name="RANGE!A1:F16"/>
      <w:r>
        <w:drawing>
          <wp:inline distT="0" distB="0" distL="114300" distR="114300">
            <wp:extent cx="9773285" cy="6068695"/>
            <wp:effectExtent l="0" t="0" r="18415" b="8255"/>
            <wp:docPr id="1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pic:cNvPicPr>
                      <a:picLocks noChangeAspect="1"/>
                    </pic:cNvPicPr>
                  </pic:nvPicPr>
                  <pic:blipFill>
                    <a:blip r:embed="rId9"/>
                    <a:stretch>
                      <a:fillRect/>
                    </a:stretch>
                  </pic:blipFill>
                  <pic:spPr>
                    <a:xfrm>
                      <a:off x="0" y="0"/>
                      <a:ext cx="9773285" cy="6068695"/>
                    </a:xfrm>
                    <a:prstGeom prst="rect">
                      <a:avLst/>
                    </a:prstGeom>
                    <a:noFill/>
                    <a:ln>
                      <a:noFill/>
                    </a:ln>
                  </pic:spPr>
                </pic:pic>
              </a:graphicData>
            </a:graphic>
          </wp:inline>
        </w:drawing>
      </w:r>
      <w:r>
        <w:rPr>
          <w:rFonts w:ascii="Times New Roman" w:hAnsi="Times New Roman" w:eastAsia="方正小标宋_GBK" w:cs="Times New Roman"/>
          <w:kern w:val="0"/>
          <w:sz w:val="36"/>
          <w:szCs w:val="36"/>
        </w:rPr>
        <w:br w:type="page"/>
      </w: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bookmarkEnd w:id="1"/>
    <w:tbl>
      <w:tblPr>
        <w:tblStyle w:val="5"/>
        <w:tblW w:w="15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
        <w:gridCol w:w="910"/>
        <w:gridCol w:w="240"/>
        <w:gridCol w:w="176"/>
        <w:gridCol w:w="701"/>
        <w:gridCol w:w="525"/>
        <w:gridCol w:w="1767"/>
        <w:gridCol w:w="352"/>
        <w:gridCol w:w="2119"/>
        <w:gridCol w:w="844"/>
        <w:gridCol w:w="1275"/>
        <w:gridCol w:w="2040"/>
        <w:gridCol w:w="79"/>
        <w:gridCol w:w="2119"/>
        <w:gridCol w:w="1973"/>
        <w:gridCol w:w="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90" w:hRule="atLeast"/>
        </w:trPr>
        <w:tc>
          <w:tcPr>
            <w:tcW w:w="15360" w:type="dxa"/>
            <w:gridSpan w:val="1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1003"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gridSpan w:val="3"/>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764" w:type="dxa"/>
            <w:gridSpan w:val="8"/>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部门：湖南省兽药饲料监察所</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59" w:hRule="atLeast"/>
        </w:trPr>
        <w:tc>
          <w:tcPr>
            <w:tcW w:w="26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3"/>
                <w:lang w:val="en-US" w:eastAsia="zh-CN"/>
              </w:rPr>
              <w:t xml:space="preserve">   </w:t>
            </w:r>
            <w:r>
              <w:rPr>
                <w:rStyle w:val="14"/>
                <w:lang w:val="en-US" w:eastAsia="zh-CN"/>
              </w:rPr>
              <w:t>目</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124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9" w:hRule="atLeast"/>
        </w:trPr>
        <w:tc>
          <w:tcPr>
            <w:tcW w:w="12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26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无</w:t>
            </w: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lang w:val="en-US" w:eastAsia="zh-CN"/>
              </w:rPr>
            </w:pPr>
            <w:r>
              <w:rPr>
                <w:rFonts w:hint="eastAsia" w:ascii="宋体" w:hAnsi="宋体" w:eastAsia="宋体" w:cs="宋体"/>
                <w:i w:val="0"/>
                <w:color w:val="000000"/>
                <w:sz w:val="20"/>
                <w:szCs w:val="20"/>
                <w:u w:val="none"/>
                <w:lang w:val="en-US" w:eastAsia="zh-CN"/>
              </w:rPr>
              <w:t>无</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无</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无</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无</w:t>
            </w: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trPr>
        <w:tc>
          <w:tcPr>
            <w:tcW w:w="12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25" w:hRule="atLeast"/>
        </w:trPr>
        <w:tc>
          <w:tcPr>
            <w:tcW w:w="15360" w:type="dxa"/>
            <w:gridSpan w:val="1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963" w:hRule="atLeast"/>
        </w:trPr>
        <w:tc>
          <w:tcPr>
            <w:tcW w:w="15120" w:type="dxa"/>
            <w:gridSpan w:val="14"/>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417" w:hRule="atLeast"/>
        </w:trPr>
        <w:tc>
          <w:tcPr>
            <w:tcW w:w="1326" w:type="dxa"/>
            <w:gridSpan w:val="3"/>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gridSpan w:val="3"/>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417" w:hRule="atLeast"/>
        </w:trPr>
        <w:tc>
          <w:tcPr>
            <w:tcW w:w="4319" w:type="dxa"/>
            <w:gridSpan w:val="6"/>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部门：湖南省兽药饲料监察所</w:t>
            </w:r>
          </w:p>
        </w:tc>
        <w:tc>
          <w:tcPr>
            <w:tcW w:w="3315"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gridSpan w:val="3"/>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5"/>
                <w:lang w:val="en-US" w:eastAsia="zh-CN"/>
              </w:rPr>
              <w:t>目</w:t>
            </w:r>
          </w:p>
        </w:tc>
        <w:tc>
          <w:tcPr>
            <w:tcW w:w="1080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431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lang w:val="en-US" w:eastAsia="zh-CN"/>
              </w:rPr>
            </w:pPr>
            <w:r>
              <w:rPr>
                <w:rFonts w:hint="eastAsia" w:ascii="宋体" w:hAnsi="宋体" w:eastAsia="宋体" w:cs="宋体"/>
                <w:i w:val="0"/>
                <w:color w:val="000000"/>
                <w:sz w:val="24"/>
                <w:szCs w:val="24"/>
                <w:u w:val="none"/>
                <w:lang w:val="en-US" w:eastAsia="zh-CN"/>
              </w:rPr>
              <w:t>无</w:t>
            </w: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4"/>
                <w:szCs w:val="24"/>
                <w:u w:val="none"/>
                <w:lang w:val="en-US" w:eastAsia="zh-CN"/>
              </w:rPr>
              <w:t>无</w:t>
            </w: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无</w:t>
            </w: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无</w:t>
            </w: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93" w:type="dxa"/>
          <w:wAfter w:w="147" w:type="dxa"/>
          <w:trHeight w:val="548" w:hRule="atLeast"/>
        </w:trPr>
        <w:tc>
          <w:tcPr>
            <w:tcW w:w="20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Before w:val="1"/>
          <w:gridAfter w:val="1"/>
          <w:wBefore w:w="93" w:type="dxa"/>
          <w:wAfter w:w="147" w:type="dxa"/>
          <w:trHeight w:val="976" w:hRule="atLeast"/>
        </w:trPr>
        <w:tc>
          <w:tcPr>
            <w:tcW w:w="1512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5"/>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部门：湖南省兽药饲料监察所</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202</w:t>
      </w:r>
      <w:r>
        <w:rPr>
          <w:rFonts w:hint="eastAsia" w:ascii="方正小标宋_GBK" w:hAnsi="方正小标宋_GBK" w:eastAsia="方正小标宋_GBK" w:cs="方正小标宋_GBK"/>
          <w:sz w:val="72"/>
          <w:szCs w:val="72"/>
          <w:lang w:val="en-US" w:eastAsia="zh-CN"/>
        </w:rPr>
        <w:t>2</w:t>
      </w:r>
      <w:r>
        <w:rPr>
          <w:rFonts w:hint="eastAsia" w:ascii="方正小标宋_GBK" w:hAnsi="方正小标宋_GBK" w:eastAsia="方正小标宋_GBK" w:cs="方正小标宋_GBK"/>
          <w:sz w:val="72"/>
          <w:szCs w:val="72"/>
        </w:rPr>
        <w:t>年度部门决算情况说明</w:t>
      </w:r>
    </w:p>
    <w:p>
      <w:pPr>
        <w:widowControl/>
        <w:jc w:val="left"/>
        <w:rPr>
          <w:rFonts w:asciiTheme="minorEastAsia" w:hAnsiTheme="minorEastAsia" w:eastAsiaTheme="minorEastAsia"/>
          <w:sz w:val="32"/>
          <w:szCs w:val="32"/>
        </w:rPr>
      </w:pPr>
      <w:r>
        <w:br w:type="page"/>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年度收、支总计2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144.93万元。与上年相比，增加481.15万元，增长</w:t>
      </w:r>
      <w:r>
        <w:rPr>
          <w:rFonts w:hint="eastAsia" w:ascii="仿宋_GB2312" w:hAnsi="仿宋_GB2312" w:eastAsia="仿宋_GB2312" w:cs="仿宋_GB2312"/>
          <w:sz w:val="32"/>
          <w:szCs w:val="32"/>
          <w:lang w:val="en-US" w:eastAsia="zh-CN"/>
        </w:rPr>
        <w:t>28.92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highlight w:val="none"/>
          <w:lang w:val="en-US" w:eastAsia="zh-CN"/>
        </w:rPr>
        <w:t>2022年度新增动植物保护能力提升工程项目专项经费。</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年度收入合计1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868.47万元，其中：财政拨款收入1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868.14万元，占99.98%；上级补助收入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，占 </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，占 </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，占 </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，占 </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0.02</w:t>
      </w:r>
      <w:r>
        <w:rPr>
          <w:rFonts w:hint="eastAsia" w:ascii="仿宋_GB2312" w:hAnsi="仿宋_GB2312" w:eastAsia="仿宋_GB2312" w:cs="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年度支出合计1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335.07万元，其中：基本支出627.17万元，占46.98%；项目支出707.9</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万元，占53.02%；上缴上级支出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万元；经营支出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，占 </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，占 </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0"/>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年度财政拨款收、支总计1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868.14万元，与上年相比，增加667.67万元,增长55.62%，主要是因为</w:t>
      </w:r>
      <w:r>
        <w:rPr>
          <w:rFonts w:hint="eastAsia" w:ascii="仿宋_GB2312" w:hAnsi="仿宋_GB2312" w:eastAsia="仿宋_GB2312" w:cs="仿宋_GB2312"/>
          <w:sz w:val="32"/>
          <w:szCs w:val="32"/>
          <w:highlight w:val="none"/>
          <w:lang w:val="en-US" w:eastAsia="zh-CN"/>
        </w:rPr>
        <w:t>2022年度新增动植物保护能力提升工程项目专项经费。</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年度财政拨款支出1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319.34万元，占本年支出合计的98.82%，与上年相比，财政拨款支出增加122.77万元，增长10.26%，主要是因为</w:t>
      </w:r>
      <w:r>
        <w:rPr>
          <w:rFonts w:hint="eastAsia" w:ascii="仿宋_GB2312" w:hAnsi="仿宋_GB2312" w:eastAsia="仿宋_GB2312" w:cs="仿宋_GB2312"/>
          <w:sz w:val="32"/>
          <w:szCs w:val="32"/>
          <w:lang w:val="en-US" w:eastAsia="zh-CN"/>
        </w:rPr>
        <w:t>2022年检验检测项目支出增加及支付2021年绩效奖。</w:t>
      </w:r>
    </w:p>
    <w:p>
      <w:pPr>
        <w:pStyle w:val="10"/>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年度财政拨款支出1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319.34万元，主要用于以下方面：社会保障和就业（类）支出48.73万元，占3.69%；农林水（类）支出1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270.61万元，占96.31%</w:t>
      </w:r>
      <w:r>
        <w:rPr>
          <w:rFonts w:hint="eastAsia" w:ascii="仿宋_GB2312" w:hAnsi="仿宋_GB2312" w:eastAsia="仿宋_GB2312" w:cs="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年度财政拨款支出年初预算数</w:t>
      </w:r>
      <w:r>
        <w:rPr>
          <w:rFonts w:hint="eastAsia" w:ascii="仿宋_GB2312" w:hAnsi="仿宋_GB2312" w:eastAsia="仿宋_GB2312" w:cs="仿宋_GB2312"/>
          <w:sz w:val="32"/>
          <w:szCs w:val="32"/>
          <w:highlight w:val="none"/>
        </w:rPr>
        <w:t>为1,</w:t>
      </w:r>
      <w:r>
        <w:rPr>
          <w:rFonts w:hint="eastAsia" w:ascii="仿宋_GB2312" w:hAnsi="仿宋_GB2312" w:eastAsia="仿宋_GB2312" w:cs="仿宋_GB2312"/>
          <w:sz w:val="32"/>
          <w:szCs w:val="32"/>
          <w:highlight w:val="none"/>
          <w:lang w:val="en-US" w:eastAsia="zh-CN"/>
        </w:rPr>
        <w:t>382.92</w:t>
      </w:r>
      <w:r>
        <w:rPr>
          <w:rFonts w:hint="eastAsia" w:ascii="仿宋_GB2312" w:hAnsi="仿宋_GB2312" w:eastAsia="仿宋_GB2312" w:cs="仿宋_GB2312"/>
          <w:sz w:val="32"/>
          <w:szCs w:val="32"/>
        </w:rPr>
        <w:t>万元，支出决算数为1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319.34万元，完成年初预算的11</w:t>
      </w:r>
      <w:r>
        <w:rPr>
          <w:rFonts w:hint="eastAsia" w:ascii="仿宋_GB2312" w:hAnsi="仿宋_GB2312" w:eastAsia="仿宋_GB2312" w:cs="仿宋_GB2312"/>
          <w:sz w:val="32"/>
          <w:szCs w:val="32"/>
          <w:lang w:val="en-US" w:eastAsia="zh-CN"/>
        </w:rPr>
        <w:t>1.61</w:t>
      </w:r>
      <w:r>
        <w:rPr>
          <w:rFonts w:hint="eastAsia" w:ascii="仿宋_GB2312" w:hAnsi="仿宋_GB2312" w:eastAsia="仿宋_GB2312" w:cs="仿宋_GB2312"/>
          <w:sz w:val="32"/>
          <w:szCs w:val="32"/>
        </w:rPr>
        <w:t>%，其中：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1、社会保障和就业（类）行政事业单位养老（款）机关事业单位基本养老保险缴费支出（项）。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年初预算为43.00万元，支出决算为43.00万元，完成年初预算的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2、社会保障和就业（类）抚恤（款）死亡抚恤（项）。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万元，支出决算为5.73万元，决算数大于年初预算数的主要原因是：</w:t>
      </w:r>
      <w:r>
        <w:rPr>
          <w:rFonts w:hint="eastAsia" w:ascii="仿宋_GB2312" w:hAnsi="仿宋_GB2312" w:eastAsia="仿宋_GB2312" w:cs="仿宋_GB2312"/>
          <w:sz w:val="32"/>
          <w:szCs w:val="32"/>
          <w:lang w:val="en-US" w:eastAsia="zh-CN"/>
        </w:rPr>
        <w:t>年中追加了抚恤金。</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、农林水支出（类）农业农村（款）行政运行（项）。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rPr>
        <w:t>年初预算为</w:t>
      </w:r>
      <w:r>
        <w:rPr>
          <w:rFonts w:hint="eastAsia" w:ascii="仿宋_GB2312" w:hAnsi="仿宋_GB2312" w:eastAsia="仿宋_GB2312" w:cs="仿宋_GB2312"/>
          <w:sz w:val="32"/>
          <w:szCs w:val="32"/>
          <w:highlight w:val="none"/>
          <w:lang w:val="en-US" w:eastAsia="zh-CN"/>
        </w:rPr>
        <w:t>0.00</w:t>
      </w:r>
      <w:r>
        <w:rPr>
          <w:rFonts w:hint="eastAsia" w:ascii="仿宋_GB2312" w:hAnsi="仿宋_GB2312" w:eastAsia="仿宋_GB2312" w:cs="仿宋_GB2312"/>
          <w:sz w:val="32"/>
          <w:szCs w:val="32"/>
          <w:highlight w:val="none"/>
        </w:rPr>
        <w:t>万元，支出决算为32.24万元，决</w:t>
      </w:r>
      <w:r>
        <w:rPr>
          <w:rFonts w:hint="eastAsia" w:ascii="仿宋_GB2312" w:hAnsi="仿宋_GB2312" w:eastAsia="仿宋_GB2312" w:cs="仿宋_GB2312"/>
          <w:sz w:val="32"/>
          <w:szCs w:val="32"/>
        </w:rPr>
        <w:t>算数大于年初预算数的主要原因是：</w:t>
      </w:r>
      <w:r>
        <w:rPr>
          <w:rFonts w:hint="eastAsia" w:ascii="仿宋_GB2312" w:hAnsi="仿宋_GB2312" w:eastAsia="仿宋_GB2312" w:cs="仿宋_GB2312"/>
          <w:sz w:val="32"/>
          <w:szCs w:val="32"/>
          <w:lang w:val="en-US" w:eastAsia="zh-CN"/>
        </w:rPr>
        <w:t>年中追加部分人员经费。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农林水支出（类）农业农村（款）事业运行</w:t>
      </w:r>
      <w:r>
        <w:rPr>
          <w:rFonts w:hint="eastAsia" w:ascii="仿宋_GB2312" w:hAnsi="仿宋_GB2312" w:eastAsia="仿宋_GB2312" w:cs="仿宋_GB2312"/>
          <w:sz w:val="32"/>
          <w:szCs w:val="32"/>
        </w:rPr>
        <w:t>（项）。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年初预算为558.87万元，支出决算为546.20万元，完成年初预算的97.73%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val="en-US" w:eastAsia="zh-CN"/>
        </w:rPr>
        <w:t>厉行节约</w:t>
      </w:r>
      <w:r>
        <w:rPr>
          <w:rFonts w:hint="eastAsia" w:ascii="仿宋_GB2312" w:hAnsi="仿宋_GB2312" w:eastAsia="仿宋_GB2312" w:cs="仿宋_GB2312"/>
          <w:sz w:val="32"/>
          <w:szCs w:val="32"/>
        </w:rPr>
        <w:t>控制公</w:t>
      </w:r>
      <w:r>
        <w:rPr>
          <w:rFonts w:hint="eastAsia" w:ascii="仿宋_GB2312" w:hAnsi="仿宋_GB2312" w:eastAsia="仿宋_GB2312" w:cs="仿宋_GB2312"/>
          <w:sz w:val="32"/>
          <w:szCs w:val="32"/>
          <w:lang w:val="en-US" w:eastAsia="zh-CN"/>
        </w:rPr>
        <w:t>用支出</w:t>
      </w:r>
      <w:r>
        <w:rPr>
          <w:rFonts w:hint="eastAsia" w:ascii="仿宋_GB2312" w:hAnsi="仿宋_GB2312" w:eastAsia="仿宋_GB2312" w:cs="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农林水支出（类）农业农村（款）</w:t>
      </w:r>
      <w:r>
        <w:rPr>
          <w:rFonts w:hint="eastAsia" w:ascii="仿宋_GB2312" w:hAnsi="仿宋_GB2312" w:eastAsia="仿宋_GB2312" w:cs="仿宋_GB2312"/>
          <w:sz w:val="32"/>
          <w:szCs w:val="32"/>
        </w:rPr>
        <w:t>农产品质量安全（项）。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万元，支出决算为59.96万元，决算数大于年初预算数的主要原因是：</w:t>
      </w:r>
      <w:r>
        <w:rPr>
          <w:rFonts w:hint="eastAsia" w:ascii="仿宋_GB2312" w:hAnsi="仿宋_GB2312" w:eastAsia="仿宋_GB2312" w:cs="仿宋_GB2312"/>
          <w:sz w:val="32"/>
          <w:szCs w:val="32"/>
          <w:lang w:val="en-US" w:eastAsia="zh-CN"/>
        </w:rPr>
        <w:t>年中追加</w:t>
      </w:r>
      <w:r>
        <w:rPr>
          <w:rFonts w:hint="eastAsia" w:ascii="仿宋_GB2312" w:hAnsi="仿宋_GB2312" w:eastAsia="仿宋_GB2312" w:cs="仿宋_GB2312"/>
          <w:sz w:val="32"/>
          <w:szCs w:val="32"/>
        </w:rPr>
        <w:t>农产品质量安全</w:t>
      </w:r>
      <w:r>
        <w:rPr>
          <w:rFonts w:hint="eastAsia" w:ascii="仿宋_GB2312" w:hAnsi="仿宋_GB2312" w:eastAsia="仿宋_GB2312" w:cs="仿宋_GB2312"/>
          <w:sz w:val="32"/>
          <w:szCs w:val="32"/>
          <w:lang w:val="en-US" w:eastAsia="zh-CN"/>
        </w:rPr>
        <w:t>专项资金</w:t>
      </w:r>
      <w:r>
        <w:rPr>
          <w:rFonts w:hint="eastAsia" w:ascii="仿宋_GB2312" w:hAnsi="仿宋_GB2312" w:eastAsia="仿宋_GB2312" w:cs="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农林水支出（类）农业农村（款）</w:t>
      </w:r>
      <w:r>
        <w:rPr>
          <w:rFonts w:hint="eastAsia" w:ascii="仿宋_GB2312" w:hAnsi="仿宋_GB2312" w:eastAsia="仿宋_GB2312" w:cs="仿宋_GB2312"/>
          <w:sz w:val="32"/>
          <w:szCs w:val="32"/>
        </w:rPr>
        <w:t>农业生产发展（项）。</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781.05</w:t>
      </w:r>
      <w:r>
        <w:rPr>
          <w:rFonts w:hint="eastAsia" w:ascii="仿宋_GB2312" w:hAnsi="仿宋_GB2312" w:eastAsia="仿宋_GB2312" w:cs="仿宋_GB2312"/>
          <w:sz w:val="32"/>
          <w:szCs w:val="32"/>
        </w:rPr>
        <w:t>万元，支出决算为632.21万元，完成年初预算的</w:t>
      </w:r>
      <w:r>
        <w:rPr>
          <w:rFonts w:hint="eastAsia" w:ascii="仿宋_GB2312" w:hAnsi="仿宋_GB2312" w:eastAsia="仿宋_GB2312" w:cs="仿宋_GB2312"/>
          <w:sz w:val="32"/>
          <w:szCs w:val="32"/>
          <w:lang w:val="en-US" w:eastAsia="zh-CN"/>
        </w:rPr>
        <w:t>80.94</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val="en-US" w:eastAsia="zh-CN"/>
        </w:rPr>
        <w:t>其中信息网络更新项目到2022年底还在审批阶段未能开工。</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年度财政拨款基本支出627.17万元，其中：</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color w:val="000000"/>
          <w:kern w:val="0"/>
          <w:sz w:val="31"/>
          <w:szCs w:val="31"/>
          <w:lang w:val="en-US" w:eastAsia="zh-CN" w:bidi="ar"/>
        </w:rPr>
      </w:pPr>
      <w:r>
        <w:rPr>
          <w:rFonts w:hint="eastAsia" w:ascii="仿宋_GB2312" w:hAnsi="仿宋_GB2312" w:eastAsia="仿宋_GB2312" w:cs="仿宋_GB2312"/>
          <w:b w:val="0"/>
          <w:bCs w:val="0"/>
          <w:sz w:val="32"/>
          <w:szCs w:val="32"/>
        </w:rPr>
        <w:t>人员经费592.90万元，占基本支出的94.54%,主要包括基本工资、津贴补贴、伙食补助费</w:t>
      </w:r>
      <w:r>
        <w:rPr>
          <w:rFonts w:hint="eastAsia" w:ascii="仿宋_GB2312" w:hAnsi="仿宋_GB2312" w:eastAsia="仿宋_GB2312" w:cs="仿宋_GB2312"/>
          <w:b w:val="0"/>
          <w:bCs w:val="0"/>
          <w:sz w:val="32"/>
          <w:szCs w:val="32"/>
          <w:lang w:eastAsia="zh-CN"/>
        </w:rPr>
        <w:t>、绩效工资、机关事业单位基本养老保险缴费、</w:t>
      </w:r>
      <w:r>
        <w:rPr>
          <w:rFonts w:hint="eastAsia" w:ascii="仿宋_GB2312" w:hAnsi="仿宋_GB2312" w:eastAsia="仿宋_GB2312" w:cs="仿宋_GB2312"/>
          <w:b w:val="0"/>
          <w:bCs w:val="0"/>
          <w:color w:val="000000"/>
          <w:kern w:val="0"/>
          <w:sz w:val="31"/>
          <w:szCs w:val="31"/>
          <w:lang w:val="en-US" w:eastAsia="zh-CN" w:bidi="ar"/>
        </w:rPr>
        <w:t>住房公积金、其他工资福利支出、奖励金、其他对个人和家庭的补助支出等。</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rPr>
        <w:t>公用经费34.28万元，占基本支出的5.4</w:t>
      </w:r>
      <w:r>
        <w:rPr>
          <w:rFonts w:hint="eastAsia" w:ascii="仿宋_GB2312" w:hAnsi="仿宋_GB2312" w:eastAsia="仿宋_GB2312" w:cs="仿宋_GB2312"/>
          <w:b w:val="0"/>
          <w:bCs w:val="0"/>
          <w:sz w:val="32"/>
          <w:szCs w:val="32"/>
          <w:lang w:val="en-US" w:eastAsia="zh-CN"/>
        </w:rPr>
        <w:t>6</w:t>
      </w:r>
      <w:r>
        <w:rPr>
          <w:rFonts w:hint="eastAsia" w:ascii="仿宋_GB2312" w:hAnsi="仿宋_GB2312" w:eastAsia="仿宋_GB2312" w:cs="仿宋_GB2312"/>
          <w:b w:val="0"/>
          <w:bCs w:val="0"/>
          <w:sz w:val="32"/>
          <w:szCs w:val="32"/>
        </w:rPr>
        <w:t>%，主要包括办公费、</w:t>
      </w:r>
      <w:r>
        <w:rPr>
          <w:rFonts w:hint="eastAsia" w:ascii="仿宋_GB2312" w:hAnsi="仿宋_GB2312" w:eastAsia="仿宋_GB2312" w:cs="仿宋_GB2312"/>
          <w:b w:val="0"/>
          <w:bCs w:val="0"/>
          <w:sz w:val="32"/>
          <w:szCs w:val="32"/>
          <w:lang w:val="en-US" w:eastAsia="zh-CN"/>
        </w:rPr>
        <w:t>工会经</w:t>
      </w:r>
      <w:r>
        <w:rPr>
          <w:rFonts w:hint="eastAsia" w:ascii="仿宋_GB2312" w:hAnsi="仿宋_GB2312" w:eastAsia="仿宋_GB2312" w:cs="仿宋_GB2312"/>
          <w:b w:val="0"/>
          <w:bCs w:val="0"/>
          <w:sz w:val="32"/>
          <w:szCs w:val="32"/>
        </w:rPr>
        <w:t>费</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其他交通费用、其他商品和服务支出等。</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七、财政拨款三公经费支出决算情况说明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w:t>
      </w:r>
      <w:r>
        <w:rPr>
          <w:rFonts w:hint="eastAsia" w:ascii="仿宋_GB2312" w:hAnsi="仿宋_GB2312" w:eastAsia="仿宋_GB2312" w:cs="仿宋_GB2312"/>
          <w:sz w:val="32"/>
          <w:szCs w:val="32"/>
          <w:lang w:val="en-US" w:eastAsia="zh-CN"/>
        </w:rPr>
        <w:t>4.00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2.08</w:t>
      </w:r>
      <w:r>
        <w:rPr>
          <w:rFonts w:hint="eastAsia" w:ascii="仿宋_GB2312" w:hAnsi="仿宋_GB2312" w:eastAsia="仿宋_GB2312" w:cs="仿宋_GB2312"/>
          <w:sz w:val="32"/>
          <w:szCs w:val="32"/>
        </w:rPr>
        <w:t>万元，完成预算的52.00%，其中：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万元，与上年相比</w:t>
      </w:r>
      <w:r>
        <w:rPr>
          <w:rFonts w:hint="eastAsia" w:ascii="仿宋_GB2312" w:hAnsi="仿宋_GB2312" w:eastAsia="仿宋_GB2312" w:cs="仿宋_GB2312"/>
          <w:sz w:val="32"/>
          <w:szCs w:val="32"/>
          <w:lang w:val="en-US" w:eastAsia="zh-CN"/>
        </w:rPr>
        <w:t>无变化</w:t>
      </w:r>
      <w:r>
        <w:rPr>
          <w:rFonts w:hint="eastAsia" w:ascii="仿宋_GB2312" w:hAnsi="仿宋_GB2312" w:eastAsia="仿宋_GB2312" w:cs="仿宋_GB2312"/>
          <w:sz w:val="32"/>
          <w:szCs w:val="32"/>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0.08</w:t>
      </w:r>
      <w:r>
        <w:rPr>
          <w:rFonts w:hint="eastAsia" w:ascii="仿宋_GB2312" w:hAnsi="仿宋_GB2312" w:eastAsia="仿宋_GB2312" w:cs="仿宋_GB2312"/>
          <w:sz w:val="32"/>
          <w:szCs w:val="32"/>
        </w:rPr>
        <w:t>万元，完成预算的4.00%，决算数小于预算数的主要原因是</w:t>
      </w:r>
      <w:r>
        <w:rPr>
          <w:rFonts w:hint="eastAsia" w:ascii="仿宋_GB2312" w:hAnsi="仿宋_GB2312" w:eastAsia="仿宋_GB2312" w:cs="仿宋_GB2312"/>
          <w:sz w:val="32"/>
          <w:szCs w:val="32"/>
          <w:lang w:val="en-US" w:eastAsia="zh-CN"/>
        </w:rPr>
        <w:t>疫情原因接待任务减少，厉行节约</w:t>
      </w:r>
      <w:r>
        <w:rPr>
          <w:rFonts w:hint="eastAsia" w:ascii="仿宋_GB2312" w:hAnsi="仿宋_GB2312" w:eastAsia="仿宋_GB2312" w:cs="仿宋_GB2312"/>
          <w:sz w:val="32"/>
          <w:szCs w:val="32"/>
        </w:rPr>
        <w:t>从严控制公务接待经费开支，与上年相比减少</w:t>
      </w:r>
      <w:r>
        <w:rPr>
          <w:rFonts w:hint="eastAsia" w:ascii="仿宋_GB2312" w:hAnsi="仿宋_GB2312" w:eastAsia="仿宋_GB2312" w:cs="仿宋_GB2312"/>
          <w:sz w:val="32"/>
          <w:szCs w:val="32"/>
          <w:lang w:val="en-US" w:eastAsia="zh-CN"/>
        </w:rPr>
        <w:t>1.21</w:t>
      </w:r>
      <w:r>
        <w:rPr>
          <w:rFonts w:hint="eastAsia" w:ascii="仿宋_GB2312" w:hAnsi="仿宋_GB2312" w:eastAsia="仿宋_GB2312" w:cs="仿宋_GB2312"/>
          <w:sz w:val="32"/>
          <w:szCs w:val="32"/>
        </w:rPr>
        <w:t>万元，减少93.80%,减少的主要原因是</w:t>
      </w:r>
      <w:r>
        <w:rPr>
          <w:rFonts w:hint="eastAsia" w:ascii="仿宋_GB2312" w:hAnsi="仿宋_GB2312" w:eastAsia="仿宋_GB2312" w:cs="仿宋_GB2312"/>
          <w:sz w:val="32"/>
          <w:szCs w:val="32"/>
          <w:lang w:val="en-US" w:eastAsia="zh-CN"/>
        </w:rPr>
        <w:t>疫情原因接待任务减少，厉行节约</w:t>
      </w:r>
      <w:r>
        <w:rPr>
          <w:rFonts w:hint="eastAsia" w:ascii="仿宋_GB2312" w:hAnsi="仿宋_GB2312" w:eastAsia="仿宋_GB2312" w:cs="仿宋_GB2312"/>
          <w:sz w:val="32"/>
          <w:szCs w:val="32"/>
        </w:rPr>
        <w:t>从严控制公务接待经费开支。</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万元，与上年相比</w:t>
      </w:r>
      <w:r>
        <w:rPr>
          <w:rFonts w:hint="eastAsia" w:ascii="仿宋_GB2312" w:hAnsi="仿宋_GB2312" w:eastAsia="仿宋_GB2312" w:cs="仿宋_GB2312"/>
          <w:sz w:val="32"/>
          <w:szCs w:val="32"/>
          <w:lang w:val="en-US" w:eastAsia="zh-CN"/>
        </w:rPr>
        <w:t>无变化</w:t>
      </w:r>
      <w:r>
        <w:rPr>
          <w:rFonts w:hint="eastAsia" w:ascii="仿宋_GB2312" w:hAnsi="仿宋_GB2312" w:eastAsia="仿宋_GB2312" w:cs="仿宋_GB2312"/>
          <w:sz w:val="32"/>
          <w:szCs w:val="32"/>
        </w:rPr>
        <w:t>。公务用车运行维护费支出预算为</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万元，完成预算的99.90%，与上年相比减少</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万元，减少33.33%,减少的主要原因是</w:t>
      </w:r>
      <w:r>
        <w:rPr>
          <w:rFonts w:hint="eastAsia" w:ascii="仿宋_GB2312" w:hAnsi="仿宋_GB2312" w:eastAsia="仿宋_GB2312" w:cs="仿宋_GB2312"/>
          <w:sz w:val="32"/>
          <w:szCs w:val="32"/>
          <w:lang w:val="en-US" w:eastAsia="zh-CN"/>
        </w:rPr>
        <w:t>进</w:t>
      </w:r>
      <w:r>
        <w:rPr>
          <w:rFonts w:hint="eastAsia" w:ascii="仿宋_GB2312" w:hAnsi="仿宋_GB2312" w:eastAsia="仿宋_GB2312" w:cs="仿宋_GB2312"/>
          <w:color w:val="000000"/>
          <w:kern w:val="0"/>
          <w:sz w:val="31"/>
          <w:szCs w:val="31"/>
          <w:lang w:val="en-US" w:eastAsia="zh-CN" w:bidi="ar"/>
        </w:rPr>
        <w:t>一步从严控制公务用车运行维护开支</w:t>
      </w:r>
      <w:r>
        <w:rPr>
          <w:rFonts w:hint="eastAsia" w:ascii="仿宋_GB2312" w:hAnsi="仿宋_GB2312" w:eastAsia="仿宋_GB2312" w:cs="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0.08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3.85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万元，占96.15%。其中：</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因公出国（境）费支出决算为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万元，全年安排因公出国（境）团组</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个，累计</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人次</w:t>
      </w:r>
      <w:r>
        <w:rPr>
          <w:rFonts w:hint="eastAsia" w:ascii="仿宋_GB2312" w:hAnsi="仿宋_GB2312" w:eastAsia="仿宋_GB2312" w:cs="仿宋_GB2312"/>
          <w:sz w:val="32"/>
          <w:szCs w:val="32"/>
          <w:lang w:eastAsia="zh-CN"/>
        </w:rPr>
        <w:t>。</w:t>
      </w:r>
    </w:p>
    <w:p>
      <w:pPr>
        <w:pStyle w:val="10"/>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w:t>
      </w:r>
      <w:r>
        <w:rPr>
          <w:rFonts w:hint="eastAsia" w:ascii="仿宋_GB2312" w:hAnsi="仿宋_GB2312" w:eastAsia="仿宋_GB2312" w:cs="仿宋_GB2312"/>
          <w:sz w:val="32"/>
          <w:szCs w:val="32"/>
          <w:lang w:val="en-US" w:eastAsia="zh-CN"/>
        </w:rPr>
        <w:t>0.08</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人次，主要是兽药生产许可证核发事项发生的接待支出。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Times New Roman" w:hAnsi="Times New Roman" w:eastAsia="仿宋_GB2312"/>
          <w:sz w:val="32"/>
          <w:szCs w:val="32"/>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万元，主要是公务用车维修保养、保险、加油支出，截止202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辆。</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0"/>
        <w:keepNext w:val="0"/>
        <w:keepLines w:val="0"/>
        <w:pageBreakBefore w:val="0"/>
        <w:widowControl w:val="0"/>
        <w:kinsoku/>
        <w:wordWrap/>
        <w:overflowPunct/>
        <w:topLinePunct w:val="0"/>
        <w:bidi w:val="0"/>
        <w:snapToGrid/>
        <w:spacing w:line="60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本单位无政府性基金收支。</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sz w:val="32"/>
          <w:szCs w:val="32"/>
        </w:rPr>
      </w:pPr>
      <w:r>
        <w:rPr>
          <w:rFonts w:hint="eastAsia" w:ascii="黑体" w:hAnsi="黑体" w:eastAsia="黑体" w:cs="黑体"/>
          <w:b/>
          <w:sz w:val="32"/>
          <w:szCs w:val="32"/>
        </w:rPr>
        <w:t>九、关于机关运行经费支出说明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与上年持平</w:t>
      </w:r>
      <w:r>
        <w:rPr>
          <w:rFonts w:hint="eastAsia" w:ascii="仿宋_GB2312" w:hAnsi="仿宋_GB2312" w:eastAsia="仿宋_GB2312" w:cs="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rPr>
        <w:t>十、一般性支出情况说明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年本部门开支会议费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开支培训费14.64 万元，用于开展检验检测技术人员能力提升培训班，人数</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人，内容为检验检测技术人员能力提升培训；举办农产品质量安全检测技术能力验证总结培训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人数150人，内容为全省</w:t>
      </w:r>
      <w:r>
        <w:rPr>
          <w:rFonts w:hint="eastAsia" w:ascii="仿宋_GB2312" w:hAnsi="仿宋_GB2312" w:eastAsia="仿宋_GB2312" w:cs="仿宋_GB2312"/>
          <w:sz w:val="32"/>
          <w:szCs w:val="32"/>
        </w:rPr>
        <w:t>农产品质量安全检测技术能力验证</w:t>
      </w:r>
      <w:r>
        <w:rPr>
          <w:rFonts w:hint="eastAsia" w:ascii="仿宋_GB2312" w:hAnsi="仿宋_GB2312" w:eastAsia="仿宋_GB2312" w:cs="仿宋_GB2312"/>
          <w:sz w:val="32"/>
          <w:szCs w:val="32"/>
          <w:lang w:val="en-US" w:eastAsia="zh-CN"/>
        </w:rPr>
        <w:t>培训及</w:t>
      </w:r>
      <w:r>
        <w:rPr>
          <w:rFonts w:hint="eastAsia" w:ascii="仿宋_GB2312" w:hAnsi="仿宋_GB2312" w:eastAsia="仿宋_GB2312" w:cs="仿宋_GB2312"/>
          <w:sz w:val="32"/>
          <w:szCs w:val="32"/>
        </w:rPr>
        <w:t>总结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节庆、晚会、论坛、赛事活动，开支</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rPr>
        <w:t>十一、关于政府采购支出说明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年度政府采购支出总额332.46万元，其中：政府采购货物支出332.46万元、政府采购工程支出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万元。授予中小企业合同金额332.46万元，占政府采购支出总额的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%，其中：授予小微企业合同金额256.81万元，占政府采购支出总额的</w:t>
      </w:r>
      <w:r>
        <w:rPr>
          <w:rFonts w:hint="eastAsia" w:ascii="仿宋_GB2312" w:hAnsi="仿宋_GB2312" w:eastAsia="仿宋_GB2312" w:cs="仿宋_GB2312"/>
          <w:sz w:val="32"/>
          <w:szCs w:val="32"/>
          <w:lang w:val="en-US" w:eastAsia="zh-CN"/>
        </w:rPr>
        <w:t>77.24</w:t>
      </w:r>
      <w:r>
        <w:rPr>
          <w:rFonts w:hint="eastAsia" w:ascii="仿宋_GB2312" w:hAnsi="仿宋_GB2312" w:eastAsia="仿宋_GB2312" w:cs="仿宋_GB2312"/>
          <w:sz w:val="32"/>
          <w:szCs w:val="32"/>
        </w:rPr>
        <w:t>%。货物采购授予中小企业合同金额占货物支出金额的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bCs w:val="0"/>
          <w:sz w:val="32"/>
          <w:szCs w:val="32"/>
        </w:rPr>
        <w:t>十二、关于国有资产占用情况说明</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4辆，其中</w:t>
      </w:r>
      <w:bookmarkStart w:id="2" w:name="_GoBack"/>
      <w:bookmarkEnd w:id="2"/>
      <w:r>
        <w:rPr>
          <w:rFonts w:hint="eastAsia" w:ascii="Times New Roman" w:hAnsi="Times New Roman" w:eastAsia="仿宋_GB2312"/>
          <w:sz w:val="32"/>
          <w:szCs w:val="32"/>
        </w:rPr>
        <w:t>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中</w:t>
      </w:r>
      <w:r>
        <w:rPr>
          <w:rFonts w:hint="eastAsia" w:ascii="Times New Roman" w:hAnsi="Times New Roman" w:eastAsia="仿宋_GB2312"/>
          <w:sz w:val="32"/>
          <w:szCs w:val="32"/>
          <w:highlight w:val="none"/>
          <w:lang w:val="en-US" w:eastAsia="zh-CN"/>
        </w:rPr>
        <w:t>3辆车已报废在办理相关手续，1辆车为</w:t>
      </w:r>
      <w:r>
        <w:rPr>
          <w:rFonts w:hint="eastAsia" w:ascii="Times New Roman" w:hAnsi="Times New Roman" w:eastAsia="仿宋_GB2312"/>
          <w:sz w:val="32"/>
          <w:szCs w:val="32"/>
          <w:highlight w:val="none"/>
        </w:rPr>
        <w:t>单位抽样用车；单位价值50万元以上通用</w:t>
      </w:r>
      <w:r>
        <w:rPr>
          <w:rFonts w:hint="eastAsia" w:ascii="Times New Roman" w:hAnsi="Times New Roman" w:eastAsia="仿宋_GB2312"/>
          <w:sz w:val="32"/>
          <w:szCs w:val="32"/>
        </w:rPr>
        <w:t>设备</w:t>
      </w: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台（套）。</w:t>
      </w:r>
    </w:p>
    <w:p>
      <w:pPr>
        <w:pStyle w:val="10"/>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rPr>
        <w:t>十三、关于</w:t>
      </w:r>
      <w:r>
        <w:rPr>
          <w:rFonts w:hint="eastAsia" w:ascii="Times New Roman" w:hAnsi="Times New Roman" w:eastAsia="仿宋_GB2312"/>
          <w:b/>
          <w:bCs w:val="0"/>
          <w:sz w:val="32"/>
          <w:szCs w:val="32"/>
        </w:rPr>
        <w:t>202</w:t>
      </w:r>
      <w:r>
        <w:rPr>
          <w:rFonts w:hint="eastAsia" w:ascii="Times New Roman" w:hAnsi="Times New Roman" w:eastAsia="仿宋_GB2312"/>
          <w:b/>
          <w:bCs w:val="0"/>
          <w:sz w:val="32"/>
          <w:szCs w:val="32"/>
          <w:lang w:val="en-US" w:eastAsia="zh-CN"/>
        </w:rPr>
        <w:t>2</w:t>
      </w:r>
      <w:r>
        <w:rPr>
          <w:rFonts w:hint="eastAsia" w:ascii="黑体" w:hAnsi="黑体" w:eastAsia="黑体" w:cs="黑体"/>
          <w:b/>
          <w:bCs w:val="0"/>
          <w:sz w:val="32"/>
          <w:szCs w:val="32"/>
        </w:rPr>
        <w:t>年度预算绩效情况的说明</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ind w:left="0" w:leftChars="0" w:firstLine="729" w:firstLineChars="228"/>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1．运行成本方面。</w:t>
      </w:r>
      <w:r>
        <w:rPr>
          <w:rFonts w:hint="eastAsia" w:ascii="仿宋_GB2312" w:hAnsi="仿宋_GB2312" w:eastAsia="仿宋_GB2312" w:cs="仿宋_GB2312"/>
          <w:sz w:val="32"/>
          <w:szCs w:val="32"/>
          <w:lang w:val="en-US" w:eastAsia="zh-CN"/>
        </w:rPr>
        <w:t>2022年度我所进一步规范管理，建立健全各项管理制度，组织修订了《湖南省兽药饲料监察所财务管理办法》《关于进一步规范公务用餐有关事项的通知》等多项制度，为工作稳定有序地开展提供了有力的制度保障；同时认真贯彻《公共机构节能条例》积极推动单位节能降耗工作；按照“精打细算、勤俭节约、过紧日子” 的原则，严格控制运行成本，“三公”经费财政拨款支出预算及支出都较上年度有大幅下降。</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2．管理效率方面。2022 年部门财政拨款收入年初预算1,186.87万元，其中基本支出预算597.87万元，实际支出589.20万元，预算执行率为97.90%，农业生产发展项目支出预算420.00万元，实际支出374.24万元，预算执行率为 89.1%。单位在职人员数25人，编制数 22人，控制率为88%，在职人员在编制控制范围内。</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3.履职效能。</w:t>
      </w:r>
      <w:r>
        <w:rPr>
          <w:rFonts w:hint="eastAsia" w:ascii="仿宋_GB2312" w:hAnsi="仿宋_GB2312" w:eastAsia="仿宋_GB2312" w:cs="仿宋_GB2312"/>
          <w:sz w:val="32"/>
          <w:szCs w:val="32"/>
        </w:rPr>
        <w:t>2022年,我所在厅党组的正确领导和分管厅领导指导下，坚持以习近平新时代中国特色社会主义思想为指导，全面贯彻落实党的十九大及其历次全会精神，深入学习党的二十大精神,扎实工作，圆满完成了各项工作任务，有效助推我省畜禽产品质量安全检验检测事业高质量发展，主要事业成效有：1.高质量完成检测任务。全年共完成兽药、畜禽产品（含生鲜乳）、饲料等抽检样品共计7564 批次。一是兽药及兽药残留检测1280批次；二是畜禽产品检测4576批次；三是生鲜乳质量安全监测任务60批次；四是饲料质量安全任务514 批次；五是持续做好细菌耐药性监测1134份；六是协助兄弟单位完成样品抽取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协助国家饲料中心完成饲料企业现场检查和饲料监测抽样任务65 批次，农业农村部委托兽药跟踪抽样2次。2.高标准加强技术攻关。一是加大科研项目攻关力度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今年，我所成功申报省重点研发项目3项；二是加强检测标准和技术规范制修订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完成并正式发布标准2项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完成3项地方标准送审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开展5项兽药标准修订研究；三是促进实验室能力验证建设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全年参加农业农村部、省市场监督管理局等部门组织的有关兽药、饲料、畜产品及生鲜乳能力验证15次26项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承担全省30家检验检测机构畜禽产品类检测项目能力验证组织工作，有效的促进市县及第三方检测实验室检测能力的提升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四是深化检验检测技术培训工作；五是完善风险评估协同机制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开展了3市9县畜禽产品质量安全风险情况的实地调研，撰写风险评估的报告，为主管部门制定政策提供数据支撑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3.高要求规范业务管理。一是完善实验室质量体系建设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今年全面修订了内部审核、管理评审、质量监督、中长期培训等质量体系计划和实施方案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更新了《标准查新记录表》中标准558个；二是持续推进质量管理工作，7月份接受省农业农村厅组织专家到对我所进行监测质量评估，评估结果为优秀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是顺利通过部级中心的复评审工作。4.高质量提升软硬件设备水平。今年，我所技术人员在现有Lims系统基础上自行开发了与之配套系统软件模块，明显提高管理系统运行效率和稳定性，进一步提升了我所的软实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采购了冷冻离心机、振荡仪等仪器设备，有效改善实验室硬件配置水平。5.高效率落实防疫部署。坚决贯彻落实上级疫情防控工作部署，在加强疫情防控的同时，兼顾工作有序推进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一是严密布署，抓好疫情防控工作；二是强化组织领导，落实成立“联防联控”小组；三是加强干部返岗前信息排摸；四是落实疫情防控常态化管理措施。</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存在的问题及原因分析</w:t>
      </w:r>
    </w:p>
    <w:p>
      <w:pPr>
        <w:pStyle w:val="10"/>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2022 年预算</w:t>
      </w:r>
      <w:r>
        <w:rPr>
          <w:rFonts w:hint="eastAsia" w:ascii="仿宋_GB2312" w:hAnsi="仿宋_GB2312" w:eastAsia="仿宋_GB2312" w:cs="仿宋_GB2312"/>
          <w:sz w:val="32"/>
          <w:szCs w:val="32"/>
          <w:lang w:val="en-US" w:eastAsia="zh-CN"/>
        </w:rPr>
        <w:t>整体</w:t>
      </w:r>
      <w:r>
        <w:rPr>
          <w:rFonts w:hint="eastAsia" w:ascii="仿宋_GB2312" w:hAnsi="仿宋_GB2312" w:eastAsia="仿宋_GB2312" w:cs="仿宋_GB2312"/>
          <w:sz w:val="32"/>
          <w:szCs w:val="32"/>
        </w:rPr>
        <w:t>执行率</w:t>
      </w:r>
      <w:r>
        <w:rPr>
          <w:rFonts w:hint="eastAsia" w:ascii="仿宋_GB2312" w:hAnsi="仿宋_GB2312" w:eastAsia="仿宋_GB2312" w:cs="仿宋_GB2312"/>
          <w:sz w:val="32"/>
          <w:szCs w:val="32"/>
          <w:lang w:val="en-US" w:eastAsia="zh-CN"/>
        </w:rPr>
        <w:t>偏低</w:t>
      </w:r>
      <w:r>
        <w:rPr>
          <w:rFonts w:hint="eastAsia" w:ascii="仿宋_GB2312" w:hAnsi="仿宋_GB2312" w:eastAsia="仿宋_GB2312" w:cs="仿宋_GB2312"/>
          <w:sz w:val="32"/>
          <w:szCs w:val="32"/>
        </w:rPr>
        <w:t>，执行率有待提高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主要原因是当年有追加基建投资预算项目资金640万元，该项目为执行期自2022年到2023年两年期项目，另有信息网络更新项目资金100万元，该两个项目到2022年底还在审批阶段未能开工，造成了财政资金执行率偏低的问题。下一步改进措施：加快项目完成进度，提高预算资金执行率。具体措施：加大项目实施力度，加强与各相关部门的沟通协调争取尽早完成项目审批程序；针对跨年项目要合理计划，把工作往前赶，争取早日保质保量完成项目任务。确实保障预算安全高效执行到位。</w:t>
      </w:r>
    </w:p>
    <w:p>
      <w:pPr>
        <w:pStyle w:val="10"/>
        <w:jc w:val="center"/>
        <w:rPr>
          <w:sz w:val="72"/>
          <w:szCs w:val="72"/>
        </w:rPr>
      </w:pPr>
    </w:p>
    <w:p>
      <w:pPr>
        <w:rPr>
          <w:sz w:val="72"/>
          <w:szCs w:val="72"/>
        </w:rPr>
      </w:pPr>
      <w:r>
        <w:rPr>
          <w:sz w:val="72"/>
          <w:szCs w:val="72"/>
        </w:rPr>
        <w:br w:type="page"/>
      </w: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p>
    <w:p>
      <w:pPr>
        <w:pStyle w:val="10"/>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一、财政拨款收入：指省财政当年拨付的资金。</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二、农林水支出（类）农业（款）行政运行（项）：指行政单位（包括实行公务员管理的事业单位）的基本支出。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三、农林水支出（类）农业（款）一般行政管理事务（项）：指行政单位（包括实行公务员管理的事业单位）未单独设置项级科目的其他项目支出。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四、农林水支出（类）农业（款）其他农林水（项）：反映除化解债务支出以外其他用于农林水主方面的支出。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五、社会保障和就业（类）行政事业单位离退休（款）归口管理的行政单位离退休（项）：指财政部离退休干部局统一管理的部机关离退休人员的支出，以及财政部驻各地财政监察专员办事处离退休人员的支出。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住房保障（类）住房改革支出（款）住房公积金（项）：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目前已实施约20年时间。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七、住房保障（类）住房改革支出（款）住房补贴（项）：指按房改政策规定，行政事业单位向符合条件职工（含离退休人员）、军队（含武警）向转役复员离退休人员发放的用于购买住房的补贴。</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八、基本支出：指为保障机构正常运转、完成日常工作任务而发生的人员支出和公用支出。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九、项目支出：指在基本支出之外为完成特定行政任务和事业发展目标所发生的支出。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一、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十二、年初结转和结余：是指以前年度尚未完成、结转到本年按有关规定继续使用的资金。</w:t>
      </w:r>
    </w:p>
    <w:p>
      <w:pPr>
        <w:widowControl/>
        <w:ind w:firstLine="640" w:firstLineChars="200"/>
        <w:jc w:val="left"/>
        <w:rPr>
          <w:sz w:val="72"/>
          <w:szCs w:val="72"/>
        </w:rPr>
      </w:pPr>
      <w:r>
        <w:rPr>
          <w:rFonts w:hint="eastAsia" w:cs="黑体" w:asciiTheme="minorEastAsia" w:hAnsiTheme="minorEastAsia"/>
          <w:color w:val="000000"/>
          <w:kern w:val="0"/>
          <w:sz w:val="32"/>
          <w:szCs w:val="32"/>
        </w:rPr>
        <w:t>十三、年末结转和结余：指本年度或以前年度预算安排、因客观条件发生变化无法按原计划实施，需要延迟到以后年度按有关规定继续使用的资金。</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jg0NzE5ZGUxM2U2MWFjZTQxMDgzMWEyNjBmMzIifQ=="/>
  </w:docVars>
  <w:rsids>
    <w:rsidRoot w:val="00000000"/>
    <w:rsid w:val="012313A8"/>
    <w:rsid w:val="059D1824"/>
    <w:rsid w:val="08647AFE"/>
    <w:rsid w:val="0A6C5F1D"/>
    <w:rsid w:val="0F4C2412"/>
    <w:rsid w:val="11F533F4"/>
    <w:rsid w:val="15545B0C"/>
    <w:rsid w:val="191B03E2"/>
    <w:rsid w:val="1BE966A9"/>
    <w:rsid w:val="1C052EA4"/>
    <w:rsid w:val="202F402B"/>
    <w:rsid w:val="21184746"/>
    <w:rsid w:val="24BD373E"/>
    <w:rsid w:val="25AE01E9"/>
    <w:rsid w:val="266A1AC6"/>
    <w:rsid w:val="36E917D0"/>
    <w:rsid w:val="375B2E6E"/>
    <w:rsid w:val="3B933C8A"/>
    <w:rsid w:val="3C412DED"/>
    <w:rsid w:val="41D758FD"/>
    <w:rsid w:val="43AF029E"/>
    <w:rsid w:val="445C45F0"/>
    <w:rsid w:val="44DC7F63"/>
    <w:rsid w:val="452A43EC"/>
    <w:rsid w:val="47E5746F"/>
    <w:rsid w:val="4D524653"/>
    <w:rsid w:val="4E3A10AC"/>
    <w:rsid w:val="50E72A30"/>
    <w:rsid w:val="52AA37E4"/>
    <w:rsid w:val="52C103AB"/>
    <w:rsid w:val="558F0C98"/>
    <w:rsid w:val="57184721"/>
    <w:rsid w:val="579431E8"/>
    <w:rsid w:val="58337722"/>
    <w:rsid w:val="598D29D8"/>
    <w:rsid w:val="60514E8E"/>
    <w:rsid w:val="621F572A"/>
    <w:rsid w:val="648828E6"/>
    <w:rsid w:val="6DCB6718"/>
    <w:rsid w:val="6E414065"/>
    <w:rsid w:val="6F514DCB"/>
    <w:rsid w:val="728269FA"/>
    <w:rsid w:val="7441228D"/>
    <w:rsid w:val="77714D7E"/>
    <w:rsid w:val="798A3C76"/>
    <w:rsid w:val="7A88308D"/>
    <w:rsid w:val="7B795C82"/>
    <w:rsid w:val="7E396311"/>
    <w:rsid w:val="7EE246B0"/>
    <w:rsid w:val="7FF52A32"/>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 w:type="character" w:customStyle="1" w:styleId="13">
    <w:name w:val="font01"/>
    <w:basedOn w:val="7"/>
    <w:qFormat/>
    <w:uiPriority w:val="0"/>
    <w:rPr>
      <w:rFonts w:hint="eastAsia" w:ascii="宋体" w:hAnsi="宋体" w:eastAsia="宋体" w:cs="宋体"/>
      <w:color w:val="000000"/>
      <w:sz w:val="22"/>
      <w:szCs w:val="22"/>
      <w:u w:val="none"/>
    </w:rPr>
  </w:style>
  <w:style w:type="character" w:customStyle="1" w:styleId="14">
    <w:name w:val="font21"/>
    <w:basedOn w:val="7"/>
    <w:qFormat/>
    <w:uiPriority w:val="0"/>
    <w:rPr>
      <w:rFonts w:hint="eastAsia" w:ascii="宋体" w:hAnsi="宋体" w:eastAsia="宋体" w:cs="宋体"/>
      <w:color w:val="000000"/>
      <w:sz w:val="24"/>
      <w:szCs w:val="24"/>
      <w:u w:val="none"/>
    </w:rPr>
  </w:style>
  <w:style w:type="character" w:customStyle="1" w:styleId="15">
    <w:name w:val="font1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2.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4.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6.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7.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751db24-d124-45de-a85e-03a7497f69a3}">
  <ds:schemaRefs/>
</ds:datastoreItem>
</file>

<file path=customXml/itemProps2.xml><?xml version="1.0" encoding="utf-8"?>
<ds:datastoreItem xmlns:ds="http://schemas.openxmlformats.org/officeDocument/2006/customXml" ds:itemID="{89449ce4-efae-4047-9410-6ae44dd19e15}">
  <ds:schemaRefs/>
</ds:datastoreItem>
</file>

<file path=customXml/itemProps3.xml><?xml version="1.0" encoding="utf-8"?>
<ds:datastoreItem xmlns:ds="http://schemas.openxmlformats.org/officeDocument/2006/customXml" ds:itemID="{08f459f1-9a95-46ea-be8f-dd357ffb17da}">
  <ds:schemaRefs/>
</ds:datastoreItem>
</file>

<file path=customXml/itemProps4.xml><?xml version="1.0" encoding="utf-8"?>
<ds:datastoreItem xmlns:ds="http://schemas.openxmlformats.org/officeDocument/2006/customXml" ds:itemID="{51978255-ae16-47d1-b0ee-effddf18e20b}">
  <ds:schemaRefs/>
</ds:datastoreItem>
</file>

<file path=customXml/itemProps5.xml><?xml version="1.0" encoding="utf-8"?>
<ds:datastoreItem xmlns:ds="http://schemas.openxmlformats.org/officeDocument/2006/customXml" ds:itemID="{dce2d7a7-a9fd-40ce-945b-209640446cc2}">
  <ds:schemaRefs/>
</ds:datastoreItem>
</file>

<file path=customXml/itemProps6.xml><?xml version="1.0" encoding="utf-8"?>
<ds:datastoreItem xmlns:ds="http://schemas.openxmlformats.org/officeDocument/2006/customXml" ds:itemID="{791bebfc-faa7-43cd-bbfb-2946bd328832}">
  <ds:schemaRefs/>
</ds:datastoreItem>
</file>

<file path=customXml/itemProps7.xml><?xml version="1.0" encoding="utf-8"?>
<ds:datastoreItem xmlns:ds="http://schemas.openxmlformats.org/officeDocument/2006/customXml" ds:itemID="{a4f5ca41-3728-4858-b6b7-eb896c1c76ef}">
  <ds:schemaRefs/>
</ds:datastoreItem>
</file>

<file path=customXml/itemProps8.xml><?xml version="1.0" encoding="utf-8"?>
<ds:datastoreItem xmlns:ds="http://schemas.openxmlformats.org/officeDocument/2006/customXml" ds:itemID="{42864561-2b4d-4d2e-901d-a4bc2ba9777c}">
  <ds:schemaRefs/>
</ds:datastoreItem>
</file>

<file path=customXml/itemProps9.xml><?xml version="1.0" encoding="utf-8"?>
<ds:datastoreItem xmlns:ds="http://schemas.openxmlformats.org/officeDocument/2006/customXml" ds:itemID="{ee680bcf-fff9-48b3-b086-04c861073d4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6684</Words>
  <Characters>7322</Characters>
  <Lines>63</Lines>
  <Paragraphs>18</Paragraphs>
  <TotalTime>1</TotalTime>
  <ScaleCrop>false</ScaleCrop>
  <LinksUpToDate>false</LinksUpToDate>
  <CharactersWithSpaces>7357</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2023-09-13T09:41:00Z</cp:lastPrinted>
  <dcterms:modified xsi:type="dcterms:W3CDTF">2023-11-01T13:04:04Z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061058542E5447D480844A88F45BC932_13</vt:lpwstr>
  </property>
</Properties>
</file>