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2</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lang w:eastAsia="zh-CN"/>
        </w:rPr>
      </w:pPr>
      <w:r>
        <w:rPr>
          <w:rFonts w:hint="eastAsia" w:ascii="方正小标宋_GBK" w:hAnsi="方正小标宋_GBK" w:eastAsia="方正小标宋_GBK" w:cs="方正小标宋_GBK"/>
          <w:sz w:val="84"/>
          <w:szCs w:val="84"/>
          <w:lang w:eastAsia="zh-CN"/>
        </w:rPr>
        <w:t>湖南省水产科学研究所</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湖南省水产科学研究所单位</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十二、关于国有资产占用情况说明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十三、关于预算绩效情况的说明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单位概况</w:t>
      </w:r>
    </w:p>
    <w:p>
      <w:pPr>
        <w:jc w:val="center"/>
        <w:rPr>
          <w:rFonts w:hint="eastAsia" w:ascii="方正小标宋_GBK" w:hAnsi="方正小标宋_GBK" w:eastAsia="方正小标宋_GBK" w:cs="方正小标宋_GBK"/>
          <w:sz w:val="72"/>
          <w:szCs w:val="72"/>
        </w:rPr>
      </w:pPr>
    </w:p>
    <w:p>
      <w:pPr>
        <w:jc w:val="center"/>
        <w:rPr>
          <w:rFonts w:hint="eastAsia" w:ascii="方正小标宋_GBK" w:hAnsi="方正小标宋_GBK" w:eastAsia="方正小标宋_GBK" w:cs="方正小标宋_GBK"/>
          <w:sz w:val="72"/>
          <w:szCs w:val="72"/>
        </w:rPr>
      </w:pPr>
    </w:p>
    <w:p>
      <w:pPr>
        <w:jc w:val="center"/>
        <w:rPr>
          <w:sz w:val="72"/>
          <w:szCs w:val="72"/>
        </w:rPr>
      </w:pPr>
    </w:p>
    <w:p>
      <w:pPr>
        <w:jc w:val="center"/>
        <w:rPr>
          <w:sz w:val="72"/>
          <w:szCs w:val="72"/>
        </w:rPr>
      </w:pPr>
    </w:p>
    <w:p>
      <w:pPr>
        <w:jc w:val="center"/>
        <w:rPr>
          <w:sz w:val="72"/>
          <w:szCs w:val="72"/>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湖南省水产科学研究所是湖南省农业农村厅直属的公益一类事业单位，主要承担水产行业基础研究、资源调查与保护、渔业产品检验监督、相关社会技术支撑与服务等方面的职责，为全省水产养殖业高质量发展做出了突出贡献。</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（一）内设机构设置。湖南省水产科学研究所</w:t>
      </w:r>
      <w:r>
        <w:rPr>
          <w:rFonts w:hint="eastAsia" w:ascii="Times New Roman" w:hAnsi="Times New Roman" w:eastAsia="仿宋_GB2312" w:cs="仿宋_GB2312"/>
          <w:bCs/>
          <w:kern w:val="0"/>
          <w:sz w:val="32"/>
          <w:szCs w:val="32"/>
          <w:lang w:eastAsia="zh-CN"/>
        </w:rPr>
        <w:t>内设机构</w:t>
      </w:r>
      <w:r>
        <w:rPr>
          <w:rFonts w:hint="eastAsia" w:ascii="Times New Roman" w:hAnsi="Times New Roman" w:eastAsia="仿宋_GB2312" w:cs="仿宋_GB2312"/>
          <w:bCs/>
          <w:kern w:val="0"/>
          <w:sz w:val="32"/>
          <w:szCs w:val="32"/>
        </w:rPr>
        <w:t>包括：</w:t>
      </w:r>
      <w:r>
        <w:rPr>
          <w:rFonts w:hint="eastAsia" w:ascii="Times New Roman" w:hAnsi="Times New Roman" w:eastAsia="仿宋_GB2312" w:cs="仿宋_GB2312"/>
          <w:bCs/>
          <w:kern w:val="0"/>
          <w:sz w:val="32"/>
          <w:szCs w:val="32"/>
          <w:lang w:val="en-US" w:eastAsia="zh-CN"/>
        </w:rPr>
        <w:t>党政办公室、纪检监察室、人事科、财务科、后勤管理科、科研管理科、沅江基地办、遗传育种研究室、鱼病研究室、营养与饲料研究室、渔业资源与保护研究室（省渔业环境监测站）、养殖工程研究室、农业农村部渔业产品质量检测监督测试中心（长沙）（水产品质量安全研究室）、渔业经济研究中心。</w:t>
      </w:r>
    </w:p>
    <w:p>
      <w:pPr>
        <w:widowControl/>
        <w:spacing w:line="600" w:lineRule="exact"/>
        <w:ind w:firstLine="640" w:firstLineChars="200"/>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rPr>
        <w:t>（</w:t>
      </w:r>
      <w:r>
        <w:rPr>
          <w:rFonts w:hint="eastAsia" w:ascii="Times New Roman" w:hAnsi="Times New Roman" w:eastAsia="仿宋_GB2312" w:cs="仿宋_GB2312"/>
          <w:bCs/>
          <w:kern w:val="0"/>
          <w:sz w:val="32"/>
          <w:szCs w:val="32"/>
          <w:lang w:val="en-US" w:eastAsia="zh-CN"/>
        </w:rPr>
        <w:t>二）决算单位构成。湖南省水产科学研究所2022年部门决算汇总公开单位构成包括：湖南省水产科学研究所本级。</w:t>
      </w:r>
    </w:p>
    <w:p>
      <w:pPr>
        <w:widowControl/>
        <w:spacing w:line="600" w:lineRule="exact"/>
        <w:rPr>
          <w:rFonts w:hint="eastAsia" w:ascii="Times New Roman" w:hAnsi="Times New Roman" w:eastAsia="仿宋_GB2312" w:cs="仿宋_GB2312"/>
          <w:bCs/>
          <w:kern w:val="0"/>
          <w:sz w:val="32"/>
          <w:szCs w:val="32"/>
          <w:lang w:val="en-US" w:eastAsia="zh-CN"/>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7"/>
        <w:tblW w:w="15428" w:type="dxa"/>
        <w:tblInd w:w="0" w:type="dxa"/>
        <w:tblLayout w:type="fixed"/>
        <w:tblCellMar>
          <w:top w:w="0" w:type="dxa"/>
          <w:left w:w="0" w:type="dxa"/>
          <w:bottom w:w="0" w:type="dxa"/>
          <w:right w:w="0" w:type="dxa"/>
        </w:tblCellMar>
      </w:tblPr>
      <w:tblGrid>
        <w:gridCol w:w="280"/>
        <w:gridCol w:w="512"/>
        <w:gridCol w:w="3930"/>
        <w:gridCol w:w="1365"/>
        <w:gridCol w:w="1515"/>
        <w:gridCol w:w="1830"/>
        <w:gridCol w:w="1950"/>
        <w:gridCol w:w="1515"/>
        <w:gridCol w:w="1170"/>
        <w:gridCol w:w="1361"/>
      </w:tblGrid>
      <w:tr>
        <w:tblPrEx>
          <w:tblLayout w:type="fixed"/>
          <w:tblCellMar>
            <w:top w:w="0" w:type="dxa"/>
            <w:left w:w="0" w:type="dxa"/>
            <w:bottom w:w="0" w:type="dxa"/>
            <w:right w:w="0" w:type="dxa"/>
          </w:tblCellMar>
        </w:tblPrEx>
        <w:trPr>
          <w:trHeight w:val="435" w:hRule="atLeast"/>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tbl>
            <w:tblPr>
              <w:tblStyle w:val="7"/>
              <w:tblW w:w="15398"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747"/>
              <w:gridCol w:w="573"/>
              <w:gridCol w:w="1204"/>
              <w:gridCol w:w="4242"/>
              <w:gridCol w:w="2189"/>
              <w:gridCol w:w="454"/>
              <w:gridCol w:w="536"/>
              <w:gridCol w:w="24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4" w:hRule="atLeast"/>
              </w:trPr>
              <w:tc>
                <w:tcPr>
                  <w:tcW w:w="3747" w:type="dxa"/>
                  <w:tcBorders>
                    <w:top w:val="nil"/>
                    <w:left w:val="nil"/>
                    <w:bottom w:val="nil"/>
                    <w:right w:val="nil"/>
                  </w:tcBorders>
                  <w:shd w:val="clear" w:color="auto" w:fill="auto"/>
                  <w:noWrap/>
                  <w:vAlign w:val="center"/>
                </w:tcPr>
                <w:p>
                  <w:pPr>
                    <w:jc w:val="left"/>
                    <w:rPr>
                      <w:rFonts w:hint="eastAsia" w:ascii="黑体" w:hAnsi="宋体" w:eastAsia="黑体" w:cs="黑体"/>
                      <w:i w:val="0"/>
                      <w:color w:val="000000"/>
                      <w:sz w:val="24"/>
                      <w:szCs w:val="24"/>
                      <w:u w:val="none"/>
                    </w:rPr>
                  </w:pPr>
                </w:p>
              </w:tc>
              <w:tc>
                <w:tcPr>
                  <w:tcW w:w="573"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1204"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4242" w:type="dxa"/>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2643" w:type="dxa"/>
                  <w:gridSpan w:val="2"/>
                  <w:tcBorders>
                    <w:top w:val="nil"/>
                    <w:left w:val="nil"/>
                    <w:bottom w:val="nil"/>
                    <w:right w:val="nil"/>
                  </w:tcBorders>
                  <w:shd w:val="clear" w:color="auto" w:fill="auto"/>
                  <w:noWrap/>
                  <w:vAlign w:val="center"/>
                </w:tcPr>
                <w:p>
                  <w:pPr>
                    <w:jc w:val="right"/>
                    <w:rPr>
                      <w:rFonts w:hint="eastAsia" w:ascii="宋体" w:hAnsi="宋体" w:eastAsia="宋体" w:cs="宋体"/>
                      <w:i w:val="0"/>
                      <w:color w:val="000000"/>
                      <w:sz w:val="24"/>
                      <w:szCs w:val="24"/>
                      <w:u w:val="none"/>
                    </w:rPr>
                  </w:pPr>
                </w:p>
              </w:tc>
              <w:tc>
                <w:tcPr>
                  <w:tcW w:w="2989" w:type="dxa"/>
                  <w:gridSpan w:val="2"/>
                  <w:tcBorders>
                    <w:top w:val="nil"/>
                    <w:left w:val="nil"/>
                    <w:bottom w:val="nil"/>
                    <w:right w:val="nil"/>
                  </w:tcBorders>
                  <w:shd w:val="clear" w:color="auto" w:fill="auto"/>
                  <w:noWrap/>
                  <w:vAlign w:val="center"/>
                </w:tcPr>
                <w:p>
                  <w:pPr>
                    <w:jc w:val="right"/>
                    <w:rPr>
                      <w:rFonts w:hint="eastAsia" w:ascii="黑体" w:hAnsi="宋体" w:eastAsia="黑体" w:cs="黑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9" w:hRule="atLeast"/>
              </w:trPr>
              <w:tc>
                <w:tcPr>
                  <w:tcW w:w="15398"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4" w:hRule="atLeast"/>
              </w:trPr>
              <w:tc>
                <w:tcPr>
                  <w:tcW w:w="3747"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573"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1204"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4242"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643"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989"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4" w:hRule="atLeast"/>
              </w:trPr>
              <w:tc>
                <w:tcPr>
                  <w:tcW w:w="3747"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部门：湖南省水产科学研究所</w:t>
                  </w:r>
                </w:p>
              </w:tc>
              <w:tc>
                <w:tcPr>
                  <w:tcW w:w="573"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1204"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4242" w:type="dxa"/>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643" w:type="dxa"/>
                  <w:gridSpan w:val="2"/>
                  <w:tcBorders>
                    <w:top w:val="nil"/>
                    <w:left w:val="nil"/>
                    <w:bottom w:val="nil"/>
                    <w:right w:val="nil"/>
                  </w:tcBorders>
                  <w:shd w:val="clear" w:color="auto" w:fill="FFFFFF"/>
                  <w:noWrap/>
                  <w:vAlign w:val="center"/>
                </w:tcPr>
                <w:p>
                  <w:pPr>
                    <w:jc w:val="right"/>
                    <w:rPr>
                      <w:rFonts w:hint="eastAsia" w:ascii="宋体" w:hAnsi="宋体" w:eastAsia="宋体" w:cs="宋体"/>
                      <w:i w:val="0"/>
                      <w:color w:val="000000"/>
                      <w:sz w:val="24"/>
                      <w:szCs w:val="24"/>
                      <w:u w:val="none"/>
                    </w:rPr>
                  </w:pPr>
                </w:p>
              </w:tc>
              <w:tc>
                <w:tcPr>
                  <w:tcW w:w="2989"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5524"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收入</w:t>
                  </w:r>
                </w:p>
              </w:tc>
              <w:tc>
                <w:tcPr>
                  <w:tcW w:w="7421"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62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    目</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行次</w:t>
                  </w:r>
                </w:p>
              </w:tc>
              <w:tc>
                <w:tcPr>
                  <w:tcW w:w="120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决算数</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    目</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行次</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    次</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4"/>
                      <w:szCs w:val="24"/>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    次</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4"/>
                      <w:szCs w:val="24"/>
                      <w:u w:val="none"/>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一、一般公共预算财政拨款收入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3095.36</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一、一般公共服务支出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31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二、政府性基金预算财政拨款收入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二、外交支出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32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三、国有资本经营预算财政拨款收入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三、国防支出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33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四、上级补助收入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四、公共安全支出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34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五、事业收入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1281.27</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五、教育支出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35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六、经营收入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六、科学技术支出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36</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七、附属单位上缴收入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七、文化旅游体育与传媒支出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kern w:val="0"/>
                      <w:sz w:val="22"/>
                      <w:szCs w:val="22"/>
                      <w:lang w:val="en-US" w:eastAsia="zh-CN" w:bidi="ar-SA"/>
                    </w:rPr>
                  </w:pPr>
                  <w:r>
                    <w:rPr>
                      <w:rFonts w:hint="eastAsia" w:ascii="宋体" w:hAnsi="宋体" w:eastAsia="宋体" w:cs="宋体"/>
                      <w:i w:val="0"/>
                      <w:iCs w:val="0"/>
                      <w:color w:val="000000"/>
                      <w:kern w:val="0"/>
                      <w:sz w:val="20"/>
                      <w:szCs w:val="20"/>
                      <w:u w:val="none"/>
                      <w:lang w:val="en-US" w:eastAsia="zh-CN" w:bidi="ar"/>
                    </w:rPr>
                    <w:t>37</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八、其他收入</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8</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30</w:t>
                  </w: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八、社会保障和就业支出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38</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205.45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九、卫生健康支出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rPr>
                  </w:pPr>
                  <w:r>
                    <w:rPr>
                      <w:rFonts w:hint="eastAsia" w:ascii="宋体" w:hAnsi="宋体" w:eastAsia="宋体" w:cs="宋体"/>
                      <w:i w:val="0"/>
                      <w:color w:val="000000"/>
                      <w:kern w:val="0"/>
                      <w:sz w:val="22"/>
                      <w:szCs w:val="22"/>
                      <w:u w:val="none"/>
                      <w:lang w:val="en-US" w:eastAsia="zh-CN"/>
                    </w:rPr>
                    <w:t>10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十、节能环保支出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11</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十一、城乡社区支出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12</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十二、农林水支出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3456.67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13</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十三、交通运输支出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14</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15</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16</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十六、金融支出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46</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17</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47</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18</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48</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19</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十九、住房保障支出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21</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51</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22</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52</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23</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二十三、其他支出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53</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24</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54</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25</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55</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color w:val="000000"/>
                      <w:sz w:val="20"/>
                      <w:szCs w:val="20"/>
                      <w:u w:val="none"/>
                    </w:rPr>
                  </w:pP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26</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56</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rPr>
                    <w:t>本年收入合计</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27</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4406.93</w:t>
                  </w: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rPr>
                    <w:t>本年支出合计</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57</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4197.92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 xml:space="preserve">         使用非财政拨款结余</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28</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 xml:space="preserve">                结余分配</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58</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233.48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62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 xml:space="preserve">         年初结转和结余</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29</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1059.44</w:t>
                  </w:r>
                </w:p>
              </w:tc>
              <w:tc>
                <w:tcPr>
                  <w:tcW w:w="4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 xml:space="preserve">                年末结转和结余</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lang w:val="en-US" w:eastAsia="zh-CN"/>
                    </w:rPr>
                    <w:t>59</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1034.97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2453" w:type="dxa"/>
                <w:trHeight w:val="448" w:hRule="atLeast"/>
              </w:trPr>
              <w:tc>
                <w:tcPr>
                  <w:tcW w:w="374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rPr>
                    <w:t>总计</w:t>
                  </w:r>
                </w:p>
              </w:tc>
              <w:tc>
                <w:tcPr>
                  <w:tcW w:w="5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lang w:val="en-US" w:eastAsia="zh-CN"/>
                    </w:rPr>
                    <w:t>30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rPr>
                    <w:t>5466.36</w:t>
                  </w:r>
                </w:p>
              </w:tc>
              <w:tc>
                <w:tcPr>
                  <w:tcW w:w="42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rPr>
                    <w:t>总计</w:t>
                  </w:r>
                </w:p>
              </w:tc>
              <w:tc>
                <w:tcPr>
                  <w:tcW w:w="21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lang w:val="en-US" w:eastAsia="zh-CN"/>
                    </w:rPr>
                    <w:t>60</w:t>
                  </w: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i w:val="0"/>
                      <w:color w:val="000000"/>
                      <w:sz w:val="22"/>
                      <w:szCs w:val="22"/>
                      <w:u w:val="none"/>
                    </w:rPr>
                  </w:pPr>
                  <w:r>
                    <w:rPr>
                      <w:rFonts w:hint="eastAsia" w:ascii="宋体" w:hAnsi="宋体" w:eastAsia="宋体" w:cs="宋体"/>
                      <w:i w:val="0"/>
                      <w:color w:val="000000"/>
                      <w:sz w:val="22"/>
                      <w:szCs w:val="22"/>
                      <w:u w:val="none"/>
                    </w:rPr>
                    <w:t>5466.36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5" w:hRule="atLeast"/>
              </w:trPr>
              <w:tc>
                <w:tcPr>
                  <w:tcW w:w="15398"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注：1.本表反映部门本年度的总收支和年末结转结余情况。</w:t>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br w:type="textWrapping"/>
                  </w:r>
                  <w:r>
                    <w:rPr>
                      <w:rFonts w:hint="eastAsia" w:ascii="宋体" w:hAnsi="宋体" w:eastAsia="宋体" w:cs="宋体"/>
                      <w:i w:val="0"/>
                      <w:color w:val="000000"/>
                      <w:kern w:val="0"/>
                      <w:sz w:val="24"/>
                      <w:szCs w:val="24"/>
                      <w:u w:val="none"/>
                      <w:lang w:val="en-US" w:eastAsia="zh-CN"/>
                    </w:rPr>
                    <w:t xml:space="preserve">    2.本套报表金额单位转换时可能存在尾数误差。</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tc>
            </w:tr>
          </w:tbl>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285" w:hRule="atLeast"/>
        </w:trPr>
        <w:tc>
          <w:tcPr>
            <w:tcW w:w="2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93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6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1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3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1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7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6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285" w:hRule="atLeast"/>
        </w:trPr>
        <w:tc>
          <w:tcPr>
            <w:tcW w:w="792"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5295"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both"/>
              <w:rPr>
                <w:rFonts w:ascii="宋体" w:hAnsi="宋体" w:eastAsia="宋体" w:cs="宋体"/>
                <w:sz w:val="24"/>
                <w:szCs w:val="24"/>
              </w:rPr>
            </w:pPr>
            <w:r>
              <w:rPr>
                <w:rFonts w:hint="eastAsia"/>
                <w:lang w:eastAsia="zh-CN"/>
              </w:rPr>
              <w:t>湖南省水产科学研究所</w:t>
            </w:r>
            <w:r>
              <w:rPr>
                <w:rFonts w:hint="eastAsia"/>
              </w:rPr>
              <w:t>　　</w:t>
            </w:r>
          </w:p>
        </w:tc>
        <w:tc>
          <w:tcPr>
            <w:tcW w:w="151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30"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9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1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17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61"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4722"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36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5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83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95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51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17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36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792"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93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36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3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95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7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6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792"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930"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6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3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95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17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61"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472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3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51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8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95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51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17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361"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4722"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4406.93</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3095.36</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1281.27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30.3</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201</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一般公共服务支出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kern w:val="2"/>
                <w:sz w:val="24"/>
                <w:szCs w:val="24"/>
                <w:lang w:val="en-US" w:eastAsia="zh-CN" w:bidi="ar-SA"/>
              </w:rPr>
            </w:pPr>
            <w:r>
              <w:rPr>
                <w:rFonts w:hint="eastAsia"/>
                <w:lang w:val="en-US" w:eastAsia="zh-CN"/>
              </w:rPr>
              <w:t>37</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20104</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发展与改革事务</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sz w:val="24"/>
                <w:szCs w:val="24"/>
              </w:rPr>
            </w:pPr>
            <w:r>
              <w:rPr>
                <w:rFonts w:hint="eastAsia" w:ascii="华文中宋" w:hAnsi="华文中宋" w:eastAsia="华文中宋"/>
                <w:lang w:val="en-US" w:eastAsia="zh-CN"/>
              </w:rPr>
              <w:t>30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kern w:val="2"/>
                <w:sz w:val="24"/>
                <w:szCs w:val="24"/>
                <w:lang w:val="en-US" w:eastAsia="zh-CN" w:bidi="ar-SA"/>
              </w:rPr>
            </w:pPr>
            <w:r>
              <w:rPr>
                <w:rFonts w:hint="eastAsia" w:ascii="华文中宋" w:hAnsi="华文中宋" w:eastAsia="华文中宋"/>
                <w:lang w:val="en-US" w:eastAsia="zh-CN"/>
              </w:rPr>
              <w:t>30</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2010499</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其他发展与改革事务支出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kern w:val="2"/>
                <w:sz w:val="24"/>
                <w:szCs w:val="24"/>
                <w:lang w:val="en-US" w:eastAsia="zh-CN" w:bidi="ar-SA"/>
              </w:rPr>
            </w:pPr>
            <w:r>
              <w:rPr>
                <w:rFonts w:hint="eastAsia"/>
                <w:lang w:val="en-US" w:eastAsia="zh-CN"/>
              </w:rPr>
              <w:t>30</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20138</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市场监督管理事务</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kern w:val="2"/>
                <w:sz w:val="24"/>
                <w:szCs w:val="24"/>
                <w:lang w:val="en-US" w:eastAsia="zh-CN" w:bidi="ar-SA"/>
              </w:rPr>
            </w:pPr>
            <w:r>
              <w:rPr>
                <w:rFonts w:hint="eastAsia"/>
                <w:lang w:val="en-US" w:eastAsia="zh-CN"/>
              </w:rPr>
              <w:t>7</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2013810</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质量基础</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7</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9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206</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科学技术支出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5</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20607</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科学技术普及</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5</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2060799</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5</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208</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205.45</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205.45</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20805</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205.45</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205.45</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eastAsiaTheme="minorEastAsia"/>
                <w:lang w:val="en-US" w:eastAsia="zh-CN"/>
              </w:rPr>
            </w:pPr>
            <w:r>
              <w:rPr>
                <w:rFonts w:hint="eastAsia"/>
              </w:rPr>
              <w:t>20805</w:t>
            </w:r>
            <w:r>
              <w:rPr>
                <w:rFonts w:hint="eastAsia"/>
                <w:lang w:val="en-US" w:eastAsia="zh-CN"/>
              </w:rPr>
              <w:t>05</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205.45</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205.45</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213</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农林水支出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4159.48</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2847.91</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1281.27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30.3</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21301</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农业农村</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rPr>
            </w:pPr>
            <w:r>
              <w:rPr>
                <w:rFonts w:hint="eastAsia"/>
              </w:rPr>
              <w:t>4159.48</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2847.91</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1281.27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30.3</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2130101</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行政运行</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129.78</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129.78</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2130104</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事业运行</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2479.7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1168.13</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1281.27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30.3</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2130109</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农产品质量安全</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50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50</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rPr>
            </w:pPr>
            <w:r>
              <w:rPr>
                <w:rFonts w:hint="eastAsia"/>
              </w:rPr>
              <w:t>2130122</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农业生产发展</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eastAsiaTheme="minorEastAsia"/>
                <w:lang w:val="en-US" w:eastAsia="zh-CN"/>
              </w:rPr>
            </w:pPr>
            <w:r>
              <w:rPr>
                <w:rFonts w:hint="eastAsia"/>
                <w:lang w:val="en-US" w:eastAsia="zh-CN"/>
              </w:rPr>
              <w:t>457</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457</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eastAsiaTheme="minorEastAsia"/>
                <w:lang w:val="en-US" w:eastAsia="zh-CN"/>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2130135</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农业资源保护修复与利用</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309</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kern w:val="2"/>
                <w:sz w:val="24"/>
                <w:szCs w:val="24"/>
                <w:lang w:val="en-US" w:eastAsia="zh-CN" w:bidi="ar-SA"/>
              </w:rPr>
            </w:pPr>
            <w:r>
              <w:rPr>
                <w:rFonts w:hint="eastAsia"/>
                <w:lang w:val="en-US" w:eastAsia="zh-CN"/>
              </w:rPr>
              <w:t>309</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Layout w:type="fixed"/>
          <w:tblCellMar>
            <w:top w:w="0" w:type="dxa"/>
            <w:left w:w="0" w:type="dxa"/>
            <w:bottom w:w="0" w:type="dxa"/>
            <w:right w:w="0" w:type="dxa"/>
          </w:tblCellMar>
        </w:tblPrEx>
        <w:trPr>
          <w:trHeight w:val="450" w:hRule="atLeast"/>
        </w:trPr>
        <w:tc>
          <w:tcPr>
            <w:tcW w:w="792"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2130199　</w:t>
            </w:r>
          </w:p>
        </w:tc>
        <w:tc>
          <w:tcPr>
            <w:tcW w:w="393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其他农业农村支出</w:t>
            </w:r>
          </w:p>
        </w:tc>
        <w:tc>
          <w:tcPr>
            <w:tcW w:w="136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734</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kern w:val="2"/>
                <w:sz w:val="24"/>
                <w:szCs w:val="24"/>
                <w:lang w:val="en-US" w:eastAsia="zh-CN" w:bidi="ar-SA"/>
              </w:rPr>
            </w:pPr>
            <w:r>
              <w:rPr>
                <w:rFonts w:hint="eastAsia"/>
                <w:lang w:val="en-US" w:eastAsia="zh-CN"/>
              </w:rPr>
              <w:t>734</w:t>
            </w:r>
          </w:p>
        </w:tc>
        <w:tc>
          <w:tcPr>
            <w:tcW w:w="18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95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1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17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3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Layout w:type="fixed"/>
          <w:tblCellMar>
            <w:top w:w="0" w:type="dxa"/>
            <w:left w:w="0" w:type="dxa"/>
            <w:bottom w:w="0" w:type="dxa"/>
            <w:right w:w="0" w:type="dxa"/>
          </w:tblCellMar>
        </w:tblPrEx>
        <w:trPr>
          <w:trHeight w:val="615" w:hRule="atLeast"/>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br w:type="page"/>
      </w:r>
    </w:p>
    <w:p>
      <w:pPr>
        <w:widowControl/>
        <w:rPr>
          <w:rFonts w:ascii="Times New Roman" w:hAnsi="Times New Roman" w:eastAsia="方正小标宋_GBK" w:cs="Times New Roman"/>
          <w:color w:val="000000"/>
          <w:kern w:val="0"/>
          <w:sz w:val="36"/>
          <w:szCs w:val="36"/>
        </w:rPr>
      </w:pPr>
    </w:p>
    <w:tbl>
      <w:tblPr>
        <w:tblStyle w:val="7"/>
        <w:tblW w:w="15640" w:type="dxa"/>
        <w:tblInd w:w="93" w:type="dxa"/>
        <w:tblLayout w:type="fixed"/>
        <w:tblCellMar>
          <w:top w:w="0" w:type="dxa"/>
          <w:left w:w="108" w:type="dxa"/>
          <w:bottom w:w="0" w:type="dxa"/>
          <w:right w:w="108" w:type="dxa"/>
        </w:tblCellMar>
      </w:tblPr>
      <w:tblGrid>
        <w:gridCol w:w="1236"/>
        <w:gridCol w:w="263"/>
        <w:gridCol w:w="2443"/>
        <w:gridCol w:w="1950"/>
        <w:gridCol w:w="2025"/>
        <w:gridCol w:w="2055"/>
        <w:gridCol w:w="1920"/>
        <w:gridCol w:w="1605"/>
        <w:gridCol w:w="2143"/>
      </w:tblGrid>
      <w:tr>
        <w:tblPrEx>
          <w:tblLayout w:type="fixed"/>
          <w:tblCellMar>
            <w:top w:w="0" w:type="dxa"/>
            <w:left w:w="108" w:type="dxa"/>
            <w:bottom w:w="0" w:type="dxa"/>
            <w:right w:w="108" w:type="dxa"/>
          </w:tblCellMar>
        </w:tblPrEx>
        <w:trPr>
          <w:trHeight w:val="807" w:hRule="atLeast"/>
        </w:trPr>
        <w:tc>
          <w:tcPr>
            <w:tcW w:w="15640"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403" w:hRule="atLeast"/>
        </w:trPr>
        <w:tc>
          <w:tcPr>
            <w:tcW w:w="1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4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5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2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5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2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14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403" w:hRule="atLeast"/>
        </w:trPr>
        <w:tc>
          <w:tcPr>
            <w:tcW w:w="1236"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656" w:type="dxa"/>
            <w:gridSpan w:val="3"/>
            <w:tcBorders>
              <w:top w:val="nil"/>
              <w:left w:val="nil"/>
              <w:bottom w:val="nil"/>
              <w:right w:val="nil"/>
            </w:tcBorders>
            <w:shd w:val="clear" w:color="000000" w:fill="FFFFFF"/>
            <w:noWrap/>
            <w:vAlign w:val="center"/>
          </w:tcPr>
          <w:p>
            <w:pPr>
              <w:widowControl/>
              <w:jc w:val="both"/>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湖南省水产科学研究所</w:t>
            </w:r>
          </w:p>
        </w:tc>
        <w:tc>
          <w:tcPr>
            <w:tcW w:w="202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055"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2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0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14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595" w:hRule="atLeast"/>
        </w:trPr>
        <w:tc>
          <w:tcPr>
            <w:tcW w:w="3942"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95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202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205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92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0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14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595" w:hRule="atLeast"/>
        </w:trPr>
        <w:tc>
          <w:tcPr>
            <w:tcW w:w="1499"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443"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9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149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4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0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4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595" w:hRule="atLeast"/>
        </w:trPr>
        <w:tc>
          <w:tcPr>
            <w:tcW w:w="394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95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02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205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92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0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14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595" w:hRule="atLeast"/>
        </w:trPr>
        <w:tc>
          <w:tcPr>
            <w:tcW w:w="394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4,197.92</w:t>
            </w:r>
          </w:p>
        </w:tc>
        <w:tc>
          <w:tcPr>
            <w:tcW w:w="20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2,197.43</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2,000.48</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201</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一般公共服务支出</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7</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7.00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90"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20138</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市场监督管理事务</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7</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7</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tabs>
                <w:tab w:val="center" w:pos="1264"/>
                <w:tab w:val="right" w:pos="2888"/>
              </w:tabs>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2013810</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质量基础</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7</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7</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206</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科学技术支出</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100</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20609</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科技重大项目</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100</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2060902　</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重点研发计划</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100</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100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208</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205.45</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20805</w:t>
            </w:r>
          </w:p>
          <w:p>
            <w:pPr>
              <w:widowControl/>
              <w:jc w:val="left"/>
              <w:rPr>
                <w:rFonts w:hint="eastAsia" w:ascii="宋体" w:hAnsi="宋体" w:eastAsia="宋体" w:cs="宋体"/>
                <w:kern w:val="0"/>
                <w:sz w:val="24"/>
                <w:szCs w:val="24"/>
              </w:rPr>
            </w:pP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205.45</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2080505</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95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205.45</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农林水支出</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3,456.66</w:t>
            </w:r>
          </w:p>
        </w:tc>
        <w:tc>
          <w:tcPr>
            <w:tcW w:w="20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1,991.98</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1,464.68</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21301</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农业农村</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3,427.59</w:t>
            </w:r>
          </w:p>
        </w:tc>
        <w:tc>
          <w:tcPr>
            <w:tcW w:w="20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1,991.98</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1,435.61</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2130101</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行政运行</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129.78</w:t>
            </w:r>
          </w:p>
        </w:tc>
        <w:tc>
          <w:tcPr>
            <w:tcW w:w="20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129.78</w:t>
            </w:r>
          </w:p>
        </w:tc>
        <w:tc>
          <w:tcPr>
            <w:tcW w:w="205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213010</w:t>
            </w:r>
            <w:r>
              <w:rPr>
                <w:rFonts w:hint="eastAsia" w:ascii="宋体" w:hAnsi="宋体" w:eastAsia="宋体" w:cs="宋体"/>
                <w:kern w:val="0"/>
                <w:sz w:val="24"/>
                <w:szCs w:val="24"/>
                <w:lang w:val="en-US" w:eastAsia="zh-CN"/>
              </w:rPr>
              <w:t>4</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事业运行</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2,360.35</w:t>
            </w:r>
          </w:p>
        </w:tc>
        <w:tc>
          <w:tcPr>
            <w:tcW w:w="202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1,862.20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498.15</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213010</w:t>
            </w:r>
            <w:r>
              <w:rPr>
                <w:rFonts w:hint="eastAsia" w:ascii="宋体" w:hAnsi="宋体" w:eastAsia="宋体" w:cs="宋体"/>
                <w:kern w:val="0"/>
                <w:sz w:val="24"/>
                <w:szCs w:val="24"/>
                <w:lang w:val="en-US" w:eastAsia="zh-CN"/>
              </w:rPr>
              <w:t>6</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科技转化与推广服务</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9.16</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9.16</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213010</w:t>
            </w:r>
            <w:r>
              <w:rPr>
                <w:rFonts w:hint="eastAsia" w:ascii="宋体" w:hAnsi="宋体" w:eastAsia="宋体" w:cs="宋体"/>
                <w:kern w:val="0"/>
                <w:sz w:val="24"/>
                <w:szCs w:val="24"/>
                <w:lang w:val="en-US" w:eastAsia="zh-CN"/>
              </w:rPr>
              <w:t>9</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农产品质量安全</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31.13</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31.13</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2130122</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农业生产发展</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518.99</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518.99</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2130135</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农业资源保护修复与利用</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184.26</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184.26</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2130199</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其他农业农村支出</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193.92</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193.92</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21399</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其他农林水支出</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2139999</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其他农林水支出</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214</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交通运输支出</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21499</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其他交通运输支出</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595" w:hRule="atLeast"/>
        </w:trPr>
        <w:tc>
          <w:tcPr>
            <w:tcW w:w="1499"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2149999</w:t>
            </w:r>
          </w:p>
        </w:tc>
        <w:tc>
          <w:tcPr>
            <w:tcW w:w="244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其他交通运输支出</w:t>
            </w:r>
          </w:p>
        </w:tc>
        <w:tc>
          <w:tcPr>
            <w:tcW w:w="195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202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05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19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160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c>
          <w:tcPr>
            <w:tcW w:w="214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w:t>
            </w:r>
          </w:p>
        </w:tc>
      </w:tr>
      <w:tr>
        <w:tblPrEx>
          <w:tblLayout w:type="fixed"/>
          <w:tblCellMar>
            <w:top w:w="0" w:type="dxa"/>
            <w:left w:w="108" w:type="dxa"/>
            <w:bottom w:w="0" w:type="dxa"/>
            <w:right w:w="108" w:type="dxa"/>
          </w:tblCellMar>
        </w:tblPrEx>
        <w:trPr>
          <w:trHeight w:val="828" w:hRule="atLeast"/>
        </w:trPr>
        <w:tc>
          <w:tcPr>
            <w:tcW w:w="15640"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jc w:val="both"/>
        <w:rPr>
          <w:rFonts w:ascii="Times New Roman" w:hAnsi="Times New Roman" w:eastAsia="方正小标宋_GBK" w:cs="Times New Roman"/>
          <w:color w:val="000000"/>
          <w:kern w:val="0"/>
          <w:sz w:val="36"/>
          <w:szCs w:val="21"/>
        </w:rPr>
      </w:pPr>
    </w:p>
    <w:tbl>
      <w:tblPr>
        <w:tblStyle w:val="7"/>
        <w:tblW w:w="15521" w:type="dxa"/>
        <w:tblInd w:w="93"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Layout w:type="fixed"/>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湖南省水产科学研究所</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3095.36</w:t>
            </w: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r>
      <w:tr>
        <w:tblPrEx>
          <w:tblLayout w:type="fixed"/>
          <w:tblCellMar>
            <w:top w:w="0" w:type="dxa"/>
            <w:left w:w="108" w:type="dxa"/>
            <w:bottom w:w="0" w:type="dxa"/>
            <w:right w:w="108" w:type="dxa"/>
          </w:tblCellMar>
        </w:tblPrEx>
        <w:trPr>
          <w:trHeight w:val="9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100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七、文化旅游体育与传媒支出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八、社会保障和就业支出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205.45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205.45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0</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九、卫生健康支出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十、节能环保支出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十一、城乡社区支出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十二、农林水支出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2398.21</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2398.21</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十三、交通运输支出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428.8</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428.8</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十四、资源勘探工业信息等支出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十五、商业服务业等支出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十六、金融支出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十七、援助其他地区支出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十八、自然资源海洋气象等支出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十九、住房保障支出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二十、粮油物资储备支出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二十一、国有资本经营预算支出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二十二、灾害防治及应急管理支出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二十三、其他支出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二十四、债务还本支出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二十五、债务付息支出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二十六、抗疫特别国债安排的支出</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3095.36</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szCs w:val="22"/>
                <w:lang w:val="en-US" w:eastAsia="zh-CN" w:bidi="ar-SA"/>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3139.46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3139.46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965.56</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921.46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921.46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29</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965.56</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30</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31</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szCs w:val="22"/>
                <w:lang w:val="en-US" w:eastAsia="zh-CN" w:bidi="ar-SA"/>
              </w:rPr>
            </w:pPr>
            <w:r>
              <w:rPr>
                <w:rFonts w:hint="eastAsia" w:ascii="宋体" w:hAnsi="宋体" w:eastAsia="宋体" w:cs="宋体"/>
                <w:kern w:val="0"/>
                <w:sz w:val="22"/>
                <w:lang w:val="en-US" w:eastAsia="zh-CN"/>
              </w:rPr>
              <w:t>0</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szCs w:val="22"/>
                <w:lang w:val="en-US" w:eastAsia="zh-CN" w:bidi="ar-SA"/>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32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lang w:val="en-US" w:eastAsia="zh-CN" w:bidi="ar-SA"/>
              </w:rPr>
            </w:pPr>
            <w:r>
              <w:rPr>
                <w:rFonts w:hint="eastAsia" w:ascii="宋体" w:hAnsi="宋体" w:eastAsia="宋体" w:cs="宋体"/>
                <w:kern w:val="0"/>
                <w:sz w:val="22"/>
                <w:lang w:val="en-US" w:eastAsia="zh-CN"/>
              </w:rPr>
              <w:t>4060.92</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szCs w:val="22"/>
                <w:lang w:val="en-US" w:eastAsia="zh-CN" w:bidi="ar-SA"/>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64</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4060.92</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4060.92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　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lang w:val="en-US" w:eastAsia="zh-CN"/>
              </w:rPr>
            </w:pPr>
            <w:r>
              <w:rPr>
                <w:rFonts w:hint="eastAsia" w:ascii="宋体" w:hAnsi="宋体" w:eastAsia="宋体" w:cs="宋体"/>
                <w:kern w:val="0"/>
                <w:sz w:val="22"/>
                <w:lang w:val="en-US" w:eastAsia="zh-CN"/>
              </w:rPr>
              <w:t>0</w:t>
            </w:r>
          </w:p>
        </w:tc>
      </w:tr>
      <w:tr>
        <w:tblPrEx>
          <w:tblLayout w:type="fixed"/>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lang w:eastAsia="zh-CN"/>
        </w:rPr>
        <w:t>湖南省水产科学研究所</w:t>
      </w:r>
      <w:r>
        <w:rPr>
          <w:rFonts w:hint="eastAsia" w:ascii="Times New Roman" w:hAnsi="Times New Roman" w:eastAsia="仿宋_GB2312" w:cs="Times New Roman"/>
          <w:color w:val="000000"/>
          <w:kern w:val="0"/>
          <w:szCs w:val="21"/>
          <w:lang w:val="en-US" w:eastAsia="zh-CN"/>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7"/>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3,139.46</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1,503.36</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1,636.10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201</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一般公共服务支出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7.00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20104</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发展与改革事务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2010499</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其他发展与改革事务支出</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20138</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市场监督管理事务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2013810</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质量基础</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206</w:t>
            </w: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科学技术支出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20607</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科学技术普及</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2060799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其他科学技术普及支出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20609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科技重大项目</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2060902</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重点研发计划</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208</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205.45</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205.45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20805</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205.45</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205.45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65"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2080505</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205.45</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205.45</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农林水支出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2,398.21</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1,297.91</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1,100.30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农业农村</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2,369.14</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1,297.91</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1,071.23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2130101</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行政运行</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129.78</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129.78</w:t>
            </w:r>
          </w:p>
        </w:tc>
        <w:tc>
          <w:tcPr>
            <w:tcW w:w="3000" w:type="dxa"/>
            <w:tcBorders>
              <w:top w:val="nil"/>
              <w:left w:val="nil"/>
              <w:bottom w:val="single" w:color="auto" w:sz="8" w:space="0"/>
              <w:right w:val="single" w:color="auto" w:sz="8" w:space="0"/>
            </w:tcBorders>
            <w:shd w:val="clear" w:color="auto" w:fill="auto"/>
            <w:vAlign w:val="center"/>
          </w:tcPr>
          <w:p>
            <w:pPr>
              <w:widowControl/>
              <w:ind w:firstLine="2640" w:firstLineChars="1200"/>
              <w:jc w:val="center"/>
              <w:rPr>
                <w:rFonts w:hint="eastAsia" w:ascii="Times New Roman" w:hAnsi="Times New Roman" w:eastAsia="仿宋_GB2312" w:cs="Times New Roman"/>
                <w:kern w:val="0"/>
                <w:szCs w:val="21"/>
                <w:lang w:val="en-US" w:eastAsia="zh-CN"/>
              </w:rPr>
            </w:pPr>
            <w:r>
              <w:rPr>
                <w:rFonts w:hint="eastAsia" w:ascii="宋体" w:hAnsi="宋体" w:eastAsia="宋体" w:cs="宋体"/>
                <w:i w:val="0"/>
                <w:iCs w:val="0"/>
                <w:color w:val="000000"/>
                <w:kern w:val="0"/>
                <w:sz w:val="22"/>
                <w:szCs w:val="22"/>
                <w:u w:val="none"/>
                <w:lang w:val="en-US" w:eastAsia="zh-CN" w:bidi="ar"/>
              </w:rPr>
              <w:t>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2130104</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事业运行</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1,301.90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1,168.13</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133.77</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2130106</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科技转化与推广服务</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9.16</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9.16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2130109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农产品质量安全</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31.13</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31.13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2130122</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农业生产发展</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518.99</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518.99</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2130135</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农业资源保护修复与利用</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184.26</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184.26</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2130199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其他农业农村支出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193.92</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193.92</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其他农林水支出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2139999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其他农林水支出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29.07</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214</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交通运输支出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21499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其他交通运输支出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rPr>
            </w:pPr>
            <w:r>
              <w:rPr>
                <w:rFonts w:hint="eastAsia" w:ascii="Times New Roman" w:hAnsi="Times New Roman" w:eastAsia="仿宋_GB2312" w:cs="Times New Roman"/>
                <w:kern w:val="0"/>
                <w:szCs w:val="21"/>
              </w:rPr>
              <w:t>2149999</w:t>
            </w:r>
          </w:p>
        </w:tc>
        <w:tc>
          <w:tcPr>
            <w:tcW w:w="352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其他交通运输支出</w:t>
            </w:r>
          </w:p>
        </w:tc>
        <w:tc>
          <w:tcPr>
            <w:tcW w:w="300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c>
          <w:tcPr>
            <w:tcW w:w="3492"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w:t>
            </w:r>
          </w:p>
        </w:tc>
        <w:tc>
          <w:tcPr>
            <w:tcW w:w="300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428.80</w:t>
            </w: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br w:type="page"/>
      </w:r>
    </w:p>
    <w:tbl>
      <w:tblPr>
        <w:tblStyle w:val="7"/>
        <w:tblW w:w="15614" w:type="dxa"/>
        <w:tblInd w:w="0" w:type="dxa"/>
        <w:tblLayout w:type="fixed"/>
        <w:tblCellMar>
          <w:top w:w="0" w:type="dxa"/>
          <w:left w:w="108" w:type="dxa"/>
          <w:bottom w:w="0" w:type="dxa"/>
          <w:right w:w="108" w:type="dxa"/>
        </w:tblCellMar>
      </w:tblPr>
      <w:tblGrid>
        <w:gridCol w:w="935"/>
        <w:gridCol w:w="238"/>
        <w:gridCol w:w="88"/>
        <w:gridCol w:w="1212"/>
        <w:gridCol w:w="1607"/>
        <w:gridCol w:w="437"/>
        <w:gridCol w:w="1183"/>
        <w:gridCol w:w="945"/>
        <w:gridCol w:w="709"/>
        <w:gridCol w:w="1316"/>
        <w:gridCol w:w="673"/>
        <w:gridCol w:w="542"/>
        <w:gridCol w:w="990"/>
        <w:gridCol w:w="588"/>
        <w:gridCol w:w="1956"/>
        <w:gridCol w:w="1011"/>
        <w:gridCol w:w="945"/>
        <w:gridCol w:w="239"/>
      </w:tblGrid>
      <w:tr>
        <w:tblPrEx>
          <w:tblLayout w:type="fixed"/>
          <w:tblCellMar>
            <w:top w:w="0" w:type="dxa"/>
            <w:left w:w="108" w:type="dxa"/>
            <w:bottom w:w="0" w:type="dxa"/>
            <w:right w:w="108" w:type="dxa"/>
          </w:tblCellMar>
        </w:tblPrEx>
        <w:trPr>
          <w:trHeight w:val="113" w:hRule="atLeast"/>
        </w:trPr>
        <w:tc>
          <w:tcPr>
            <w:tcW w:w="15614" w:type="dxa"/>
            <w:gridSpan w:val="1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lang w:eastAsia="zh-CN"/>
              </w:rPr>
              <w:t>湖南省水产科学研究所</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26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81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6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02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1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9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555"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1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145</w:t>
            </w:r>
            <w:r>
              <w:rPr>
                <w:rFonts w:hint="eastAsia" w:ascii="宋体" w:hAnsi="宋体" w:eastAsia="宋体" w:cs="宋体"/>
                <w:color w:val="000000"/>
                <w:kern w:val="0"/>
                <w:szCs w:val="20"/>
              </w:rPr>
              <w:t>0.31</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18.96</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446.92</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100.32</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141.65</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45.97</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358.22</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109.47</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83.79</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12.19</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131.7</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16.48</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3.58</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34.09</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2.32</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15.33</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15.3315.3315.33</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31.77</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3.63</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1261"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819"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c>
          <w:tcPr>
            <w:tcW w:w="9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025"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2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w:t>
            </w:r>
          </w:p>
        </w:tc>
        <w:tc>
          <w:tcPr>
            <w:tcW w:w="9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555"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p>
        </w:tc>
      </w:tr>
      <w:tr>
        <w:tblPrEx>
          <w:tblLayout w:type="fixed"/>
          <w:tblCellMar>
            <w:top w:w="0" w:type="dxa"/>
            <w:left w:w="108" w:type="dxa"/>
            <w:bottom w:w="0" w:type="dxa"/>
            <w:right w:w="108" w:type="dxa"/>
          </w:tblCellMar>
        </w:tblPrEx>
        <w:trPr>
          <w:trHeight w:val="284" w:hRule="exact"/>
        </w:trPr>
        <w:tc>
          <w:tcPr>
            <w:tcW w:w="408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6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1484.4</w:t>
            </w:r>
          </w:p>
        </w:tc>
        <w:tc>
          <w:tcPr>
            <w:tcW w:w="8730" w:type="dxa"/>
            <w:gridSpan w:val="9"/>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18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18"/>
              </w:rPr>
            </w:pPr>
            <w:r>
              <w:rPr>
                <w:rFonts w:hint="eastAsia" w:ascii="宋体" w:hAnsi="宋体" w:eastAsia="宋体" w:cs="宋体"/>
                <w:color w:val="000000"/>
                <w:kern w:val="0"/>
                <w:szCs w:val="18"/>
                <w:lang w:val="en-US" w:eastAsia="zh-CN"/>
              </w:rPr>
              <w:t>18.96</w:t>
            </w:r>
          </w:p>
        </w:tc>
      </w:tr>
      <w:tr>
        <w:tblPrEx>
          <w:tblLayout w:type="fixed"/>
          <w:tblCellMar>
            <w:top w:w="0" w:type="dxa"/>
            <w:left w:w="108" w:type="dxa"/>
            <w:bottom w:w="0" w:type="dxa"/>
            <w:right w:w="108" w:type="dxa"/>
          </w:tblCellMar>
        </w:tblPrEx>
        <w:trPr>
          <w:trHeight w:val="284" w:hRule="exact"/>
        </w:trPr>
        <w:tc>
          <w:tcPr>
            <w:tcW w:w="15614" w:type="dxa"/>
            <w:gridSpan w:val="18"/>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690" w:hRule="atLeast"/>
        </w:trPr>
        <w:tc>
          <w:tcPr>
            <w:tcW w:w="15375" w:type="dxa"/>
            <w:gridSpan w:val="17"/>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345" w:hRule="atLeast"/>
        </w:trPr>
        <w:tc>
          <w:tcPr>
            <w:tcW w:w="935"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38"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1300" w:type="dxa"/>
            <w:gridSpan w:val="2"/>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044"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837"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8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56"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56"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690" w:hRule="atLeast"/>
        </w:trPr>
        <w:tc>
          <w:tcPr>
            <w:tcW w:w="935" w:type="dxa"/>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w:t>
            </w:r>
          </w:p>
        </w:tc>
        <w:tc>
          <w:tcPr>
            <w:tcW w:w="3582" w:type="dxa"/>
            <w:gridSpan w:val="5"/>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湖南省水产科学研究所</w:t>
            </w:r>
          </w:p>
        </w:tc>
        <w:tc>
          <w:tcPr>
            <w:tcW w:w="2837"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89" w:type="dxa"/>
            <w:gridSpan w:val="2"/>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2120" w:type="dxa"/>
            <w:gridSpan w:val="3"/>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56"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956" w:type="dxa"/>
            <w:gridSpan w:val="2"/>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459" w:hRule="atLeast"/>
        </w:trPr>
        <w:tc>
          <w:tcPr>
            <w:tcW w:w="24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Style w:val="15"/>
                <w:lang w:val="en-US" w:eastAsia="zh-CN"/>
              </w:rPr>
              <w:t xml:space="preserve">   </w:t>
            </w:r>
            <w:r>
              <w:rPr>
                <w:rStyle w:val="16"/>
                <w:lang w:val="en-US" w:eastAsia="zh-CN"/>
              </w:rPr>
              <w:t>目</w:t>
            </w:r>
          </w:p>
        </w:tc>
        <w:tc>
          <w:tcPr>
            <w:tcW w:w="20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年初结转和结余</w:t>
            </w:r>
          </w:p>
        </w:tc>
        <w:tc>
          <w:tcPr>
            <w:tcW w:w="283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本年收入</w:t>
            </w:r>
          </w:p>
        </w:tc>
        <w:tc>
          <w:tcPr>
            <w:tcW w:w="60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c>
          <w:tcPr>
            <w:tcW w:w="19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609" w:hRule="atLeast"/>
        </w:trPr>
        <w:tc>
          <w:tcPr>
            <w:tcW w:w="11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13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2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小计</w:t>
            </w:r>
          </w:p>
        </w:tc>
        <w:tc>
          <w:tcPr>
            <w:tcW w:w="212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1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c>
          <w:tcPr>
            <w:tcW w:w="19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409" w:hRule="atLeast"/>
        </w:trPr>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11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0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24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4</w:t>
            </w: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5</w:t>
            </w: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247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509" w:hRule="atLeast"/>
        </w:trPr>
        <w:tc>
          <w:tcPr>
            <w:tcW w:w="11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0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8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2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19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gridAfter w:val="1"/>
          <w:wAfter w:w="239" w:type="dxa"/>
          <w:trHeight w:val="725" w:hRule="atLeast"/>
        </w:trPr>
        <w:tc>
          <w:tcPr>
            <w:tcW w:w="15375"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注：本表反映部门本年度政府性基金预算财政拨款收入、支出及结转和结余情况。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说明：我单位没有政府性基金收入，也没有使用政府性基金安排的支出，故本表无数据。</w:t>
            </w:r>
          </w:p>
        </w:tc>
      </w:tr>
    </w:tbl>
    <w:p>
      <w:pPr>
        <w:widowControl/>
        <w:jc w:val="center"/>
        <w:rPr>
          <w:rFonts w:hint="eastAsia" w:ascii="Times New Roman" w:hAnsi="Times New Roman" w:eastAsia="方正小标宋_GBK" w:cs="Times New Roman"/>
          <w:color w:val="000000"/>
          <w:kern w:val="0"/>
          <w:sz w:val="36"/>
          <w:szCs w:val="36"/>
        </w:rPr>
      </w:pPr>
    </w:p>
    <w:p>
      <w:pPr>
        <w:widowControl/>
        <w:jc w:val="center"/>
        <w:rPr>
          <w:rFonts w:hint="eastAsia" w:ascii="Times New Roman" w:hAnsi="Times New Roman" w:eastAsia="方正小标宋_GBK" w:cs="Times New Roman"/>
          <w:color w:val="000000"/>
          <w:kern w:val="0"/>
          <w:sz w:val="36"/>
          <w:szCs w:val="36"/>
        </w:rPr>
      </w:pPr>
    </w:p>
    <w:tbl>
      <w:tblPr>
        <w:tblStyle w:val="7"/>
        <w:tblW w:w="15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6"/>
        <w:gridCol w:w="701"/>
        <w:gridCol w:w="2292"/>
        <w:gridCol w:w="3315"/>
        <w:gridCol w:w="3315"/>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3" w:hRule="atLeast"/>
        </w:trPr>
        <w:tc>
          <w:tcPr>
            <w:tcW w:w="15120" w:type="dxa"/>
            <w:gridSpan w:val="6"/>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1326"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701"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2292" w:type="dxa"/>
            <w:tcBorders>
              <w:top w:val="nil"/>
              <w:left w:val="nil"/>
              <w:bottom w:val="nil"/>
              <w:right w:val="nil"/>
            </w:tcBorders>
            <w:shd w:val="clear" w:color="auto" w:fill="FFFFFF"/>
            <w:vAlign w:val="center"/>
          </w:tcPr>
          <w:p>
            <w:pPr>
              <w:jc w:val="cente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4319" w:type="dxa"/>
            <w:gridSpan w:val="3"/>
            <w:tcBorders>
              <w:top w:val="nil"/>
              <w:left w:val="nil"/>
              <w:bottom w:val="nil"/>
              <w:right w:val="nil"/>
            </w:tcBorders>
            <w:shd w:val="clear" w:color="auto" w:fill="FFFFFF"/>
            <w:noWrap/>
            <w:vAlign w:val="center"/>
          </w:tcPr>
          <w:p>
            <w:pPr>
              <w:jc w:val="left"/>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部门：湖南省水产科学研究所</w:t>
            </w: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3315"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4171"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项 </w:t>
            </w:r>
            <w:r>
              <w:rPr>
                <w:rFonts w:hint="eastAsia" w:ascii="宋体" w:hAnsi="宋体" w:eastAsia="宋体" w:cs="宋体"/>
                <w:i w:val="0"/>
                <w:color w:val="000000"/>
                <w:kern w:val="0"/>
                <w:sz w:val="22"/>
                <w:szCs w:val="22"/>
                <w:u w:val="none"/>
                <w:lang w:val="en-US" w:eastAsia="zh-CN"/>
              </w:rPr>
              <w:t xml:space="preserve">   </w:t>
            </w:r>
            <w:r>
              <w:rPr>
                <w:rStyle w:val="17"/>
                <w:lang w:val="en-US" w:eastAsia="zh-CN"/>
              </w:rPr>
              <w:t>目</w:t>
            </w:r>
          </w:p>
        </w:tc>
        <w:tc>
          <w:tcPr>
            <w:tcW w:w="108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科目代码</w:t>
            </w:r>
          </w:p>
        </w:tc>
        <w:tc>
          <w:tcPr>
            <w:tcW w:w="2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科目名称</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 xml:space="preserve">基本支出  </w:t>
            </w:r>
          </w:p>
        </w:tc>
        <w:tc>
          <w:tcPr>
            <w:tcW w:w="4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栏次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2</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43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合计</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8" w:hRule="atLeast"/>
        </w:trPr>
        <w:tc>
          <w:tcPr>
            <w:tcW w:w="20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22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976" w:hRule="atLeast"/>
        </w:trPr>
        <w:tc>
          <w:tcPr>
            <w:tcW w:w="1512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宋体" w:hAnsi="宋体" w:eastAsia="宋体" w:cs="宋体"/>
                <w:i w:val="0"/>
                <w:color w:val="000000"/>
                <w:kern w:val="0"/>
                <w:sz w:val="24"/>
                <w:szCs w:val="24"/>
                <w:u w:val="none"/>
                <w:lang w:val="en-US" w:eastAsia="zh-CN"/>
              </w:rPr>
              <w:t>注：本表反映部门本年度国有资本经营预算财政拨款支出情况。</w:t>
            </w: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rPr>
            </w:pPr>
            <w:r>
              <w:rPr>
                <w:rFonts w:hint="eastAsia" w:ascii="楷体" w:hAnsi="楷体" w:eastAsia="楷体" w:cs="楷体"/>
                <w:b/>
                <w:bCs/>
                <w:i w:val="0"/>
                <w:color w:val="auto"/>
                <w:kern w:val="0"/>
                <w:sz w:val="24"/>
                <w:szCs w:val="24"/>
                <w:u w:val="none"/>
                <w:lang w:val="en-US" w:eastAsia="zh-CN"/>
              </w:rPr>
              <w:t>说明：我单位没有使用国有资本经营预算安排的支出，故本表无数据。</w:t>
            </w:r>
          </w:p>
        </w:tc>
      </w:tr>
    </w:tbl>
    <w:p>
      <w:pPr>
        <w:widowControl/>
        <w:jc w:val="center"/>
        <w:rPr>
          <w:rFonts w:hint="eastAsia" w:ascii="Times New Roman" w:hAnsi="Times New Roman" w:eastAsia="方正小标宋_GBK" w:cs="Times New Roman"/>
          <w:color w:val="000000"/>
          <w:kern w:val="0"/>
          <w:sz w:val="36"/>
          <w:szCs w:val="36"/>
        </w:rPr>
      </w:pPr>
    </w:p>
    <w:tbl>
      <w:tblPr>
        <w:tblStyle w:val="7"/>
        <w:tblW w:w="15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1261"/>
        <w:gridCol w:w="1261"/>
        <w:gridCol w:w="1261"/>
        <w:gridCol w:w="1261"/>
        <w:gridCol w:w="1261"/>
        <w:gridCol w:w="1261"/>
        <w:gridCol w:w="1261"/>
        <w:gridCol w:w="1261"/>
        <w:gridCol w:w="1261"/>
        <w:gridCol w:w="1261"/>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40" w:hRule="atLeast"/>
        </w:trPr>
        <w:tc>
          <w:tcPr>
            <w:tcW w:w="15140"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hint="eastAsia" w:ascii="华文中宋" w:hAnsi="华文中宋" w:eastAsia="华文中宋" w:cs="华文中宋"/>
                <w:i w:val="0"/>
                <w:color w:val="000000"/>
                <w:kern w:val="0"/>
                <w:sz w:val="32"/>
                <w:szCs w:val="32"/>
                <w:u w:val="none"/>
                <w:lang w:val="en-US" w:eastAsia="zh-CN"/>
              </w:rPr>
            </w:pPr>
          </w:p>
          <w:p>
            <w:pPr>
              <w:keepNext w:val="0"/>
              <w:keepLines w:val="0"/>
              <w:widowControl/>
              <w:suppressLineNumbers w:val="0"/>
              <w:jc w:val="center"/>
              <w:textAlignment w:val="center"/>
              <w:rPr>
                <w:rFonts w:ascii="华文中宋" w:hAnsi="华文中宋" w:eastAsia="华文中宋" w:cs="华文中宋"/>
                <w:i w:val="0"/>
                <w:color w:val="000000"/>
                <w:sz w:val="32"/>
                <w:szCs w:val="32"/>
                <w:u w:val="none"/>
              </w:rPr>
            </w:pPr>
            <w:r>
              <w:rPr>
                <w:rFonts w:hint="eastAsia" w:ascii="华文中宋" w:hAnsi="华文中宋" w:eastAsia="华文中宋" w:cs="华文中宋"/>
                <w:i w:val="0"/>
                <w:color w:val="000000"/>
                <w:kern w:val="0"/>
                <w:sz w:val="32"/>
                <w:szCs w:val="32"/>
                <w:u w:val="none"/>
                <w:lang w:val="en-US" w:eastAsia="zh-CN"/>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260"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3782" w:type="dxa"/>
            <w:gridSpan w:val="3"/>
            <w:tcBorders>
              <w:top w:val="nil"/>
              <w:left w:val="nil"/>
              <w:bottom w:val="nil"/>
              <w:right w:val="nil"/>
            </w:tcBorders>
            <w:shd w:val="clear" w:color="auto" w:fill="FFFFFF"/>
            <w:noWrap/>
            <w:vAlign w:val="center"/>
          </w:tcPr>
          <w:p>
            <w:pP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部门：湖南省水产科学研究所</w:t>
            </w: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61" w:type="dxa"/>
            <w:tcBorders>
              <w:top w:val="nil"/>
              <w:left w:val="nil"/>
              <w:bottom w:val="nil"/>
              <w:right w:val="nil"/>
            </w:tcBorders>
            <w:shd w:val="clear" w:color="auto" w:fill="FFFFFF"/>
            <w:vAlign w:val="center"/>
          </w:tcPr>
          <w:p>
            <w:pPr>
              <w:rPr>
                <w:rFonts w:hint="eastAsia" w:ascii="宋体" w:hAnsi="宋体" w:eastAsia="宋体" w:cs="宋体"/>
                <w:i w:val="0"/>
                <w:color w:val="000000"/>
                <w:sz w:val="20"/>
                <w:szCs w:val="20"/>
                <w:u w:val="none"/>
              </w:rPr>
            </w:pPr>
          </w:p>
        </w:tc>
        <w:tc>
          <w:tcPr>
            <w:tcW w:w="1270" w:type="dxa"/>
            <w:tcBorders>
              <w:top w:val="nil"/>
              <w:left w:val="nil"/>
              <w:bottom w:val="nil"/>
              <w:right w:val="nil"/>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756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预算数</w:t>
            </w:r>
          </w:p>
        </w:tc>
        <w:tc>
          <w:tcPr>
            <w:tcW w:w="75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22"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合计</w:t>
            </w:r>
          </w:p>
        </w:tc>
        <w:tc>
          <w:tcPr>
            <w:tcW w:w="12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因公出国（境）费</w:t>
            </w:r>
          </w:p>
        </w:tc>
        <w:tc>
          <w:tcPr>
            <w:tcW w:w="37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公务用车购置及运行维护费</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74"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小计</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购置费</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公务用车</w:t>
            </w:r>
            <w:r>
              <w:rPr>
                <w:rFonts w:hint="eastAsia" w:ascii="宋体" w:hAnsi="宋体" w:eastAsia="宋体" w:cs="宋体"/>
                <w:i w:val="0"/>
                <w:color w:val="000000"/>
                <w:kern w:val="0"/>
                <w:sz w:val="22"/>
                <w:szCs w:val="22"/>
                <w:u w:val="none"/>
                <w:lang w:val="en-US" w:eastAsia="zh-CN"/>
              </w:rPr>
              <w:br w:type="textWrapping"/>
            </w:r>
            <w:r>
              <w:rPr>
                <w:rFonts w:hint="eastAsia" w:ascii="宋体" w:hAnsi="宋体" w:eastAsia="宋体" w:cs="宋体"/>
                <w:i w:val="0"/>
                <w:color w:val="000000"/>
                <w:kern w:val="0"/>
                <w:sz w:val="22"/>
                <w:szCs w:val="22"/>
                <w:u w:val="none"/>
                <w:lang w:val="en-US" w:eastAsia="zh-CN"/>
              </w:rPr>
              <w:t>运行维护费</w:t>
            </w: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6"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4</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5</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6</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7</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8</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9</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11</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65"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4.00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0.03</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c>
          <w:tcPr>
            <w:tcW w:w="12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0.03</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226" w:hRule="atLeast"/>
        </w:trPr>
        <w:tc>
          <w:tcPr>
            <w:tcW w:w="15140" w:type="dxa"/>
            <w:gridSpan w:val="1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widowControl/>
        <w:jc w:val="both"/>
        <w:rPr>
          <w:sz w:val="72"/>
          <w:szCs w:val="72"/>
        </w:rPr>
        <w:sectPr>
          <w:pgSz w:w="16838" w:h="11906" w:orient="landscape"/>
          <w:pgMar w:top="720" w:right="720" w:bottom="720" w:left="720" w:header="851" w:footer="992" w:gutter="0"/>
          <w:cols w:space="425" w:num="1"/>
          <w:docGrid w:type="lines" w:linePitch="312" w:charSpace="0"/>
        </w:sectPr>
      </w:pPr>
      <w:r>
        <w:br w:type="page"/>
      </w: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center"/>
        <w:rPr>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2</w:t>
      </w:r>
      <w:r>
        <w:rPr>
          <w:rFonts w:hint="eastAsia" w:ascii="方正小标宋_GBK" w:hAnsi="方正小标宋_GBK" w:eastAsia="方正小标宋_GBK" w:cs="方正小标宋_GBK"/>
          <w:sz w:val="70"/>
          <w:szCs w:val="70"/>
        </w:rPr>
        <w:t>年度部门决算情况说明</w:t>
      </w:r>
    </w:p>
    <w:p>
      <w:pPr>
        <w:widowControl/>
        <w:jc w:val="left"/>
        <w:rPr>
          <w:rFonts w:asciiTheme="minorEastAsia" w:hAnsiTheme="minorEastAsia" w:eastAsiaTheme="minorEastAsia"/>
          <w:sz w:val="32"/>
          <w:szCs w:val="32"/>
        </w:rPr>
      </w:pPr>
      <w:r>
        <w:br w:type="page"/>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年度收、支总计</w:t>
      </w:r>
      <w:r>
        <w:rPr>
          <w:rFonts w:hint="eastAsia" w:ascii="Times New Roman" w:hAnsi="Times New Roman" w:eastAsia="仿宋_GB2312"/>
          <w:sz w:val="32"/>
          <w:szCs w:val="32"/>
          <w:lang w:val="en-US" w:eastAsia="zh-CN"/>
        </w:rPr>
        <w:t>5466.36</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503.22</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10.14</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val="en-US" w:eastAsia="zh-CN"/>
        </w:rPr>
        <w:t>增加</w:t>
      </w:r>
      <w:r>
        <w:rPr>
          <w:rFonts w:hint="eastAsia" w:ascii="Times New Roman" w:hAnsi="Times New Roman" w:eastAsia="仿宋_GB2312"/>
          <w:sz w:val="32"/>
          <w:szCs w:val="32"/>
          <w:lang w:eastAsia="zh-CN"/>
        </w:rPr>
        <w:t>农产品质量安全监管、水产良种种质资源创新等项目。</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年度收入合计</w:t>
      </w:r>
      <w:r>
        <w:rPr>
          <w:rFonts w:hint="eastAsia" w:ascii="Times New Roman" w:hAnsi="Times New Roman" w:eastAsia="仿宋_GB2312"/>
          <w:sz w:val="32"/>
          <w:szCs w:val="32"/>
          <w:lang w:val="en-US" w:eastAsia="zh-CN"/>
        </w:rPr>
        <w:t>4406.93</w:t>
      </w:r>
      <w:r>
        <w:rPr>
          <w:rFonts w:hint="eastAsia" w:ascii="Times New Roman" w:hAnsi="Times New Roman" w:eastAsia="仿宋_GB2312"/>
          <w:sz w:val="32"/>
          <w:szCs w:val="32"/>
          <w:lang w:eastAsia="zh-CN"/>
        </w:rPr>
        <w:t>万元，其中：财政拨款收入</w:t>
      </w:r>
      <w:r>
        <w:rPr>
          <w:rFonts w:hint="eastAsia" w:ascii="Times New Roman" w:hAnsi="Times New Roman" w:eastAsia="仿宋_GB2312"/>
          <w:sz w:val="32"/>
          <w:szCs w:val="32"/>
          <w:lang w:val="en-US" w:eastAsia="zh-CN"/>
        </w:rPr>
        <w:t>3095.36</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70.24</w:t>
      </w:r>
      <w:r>
        <w:rPr>
          <w:rFonts w:hint="eastAsia" w:ascii="Times New Roman" w:hAnsi="Times New Roman" w:eastAsia="仿宋_GB2312"/>
          <w:sz w:val="32"/>
          <w:szCs w:val="32"/>
          <w:lang w:eastAsia="zh-CN"/>
        </w:rPr>
        <w:t>%；上级补助收入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%；事业收入</w:t>
      </w:r>
      <w:r>
        <w:rPr>
          <w:rFonts w:hint="eastAsia" w:ascii="Times New Roman" w:hAnsi="Times New Roman" w:eastAsia="仿宋_GB2312"/>
          <w:sz w:val="32"/>
          <w:szCs w:val="32"/>
          <w:lang w:val="en-US" w:eastAsia="zh-CN"/>
        </w:rPr>
        <w:t>1281.27</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29.07</w:t>
      </w:r>
      <w:r>
        <w:rPr>
          <w:rFonts w:hint="eastAsia" w:ascii="Times New Roman" w:hAnsi="Times New Roman" w:eastAsia="仿宋_GB2312"/>
          <w:sz w:val="32"/>
          <w:szCs w:val="32"/>
          <w:lang w:eastAsia="zh-CN"/>
        </w:rPr>
        <w:t>%；经营收入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%；附属单位上缴收入</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%；其他收入</w:t>
      </w:r>
      <w:r>
        <w:rPr>
          <w:rFonts w:hint="eastAsia" w:ascii="Times New Roman" w:hAnsi="Times New Roman" w:eastAsia="仿宋_GB2312"/>
          <w:sz w:val="32"/>
          <w:szCs w:val="32"/>
          <w:lang w:val="en-US" w:eastAsia="zh-CN"/>
        </w:rPr>
        <w:t>30.3</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0.69</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年度支出合计</w:t>
      </w:r>
      <w:r>
        <w:rPr>
          <w:rFonts w:hint="eastAsia" w:ascii="Times New Roman" w:hAnsi="Times New Roman" w:eastAsia="仿宋_GB2312"/>
          <w:sz w:val="32"/>
          <w:szCs w:val="32"/>
          <w:lang w:val="en-US" w:eastAsia="zh-CN"/>
        </w:rPr>
        <w:t>4197.92</w:t>
      </w:r>
      <w:r>
        <w:rPr>
          <w:rFonts w:hint="eastAsia" w:ascii="Times New Roman" w:hAnsi="Times New Roman" w:eastAsia="仿宋_GB2312"/>
          <w:sz w:val="32"/>
          <w:szCs w:val="32"/>
          <w:lang w:eastAsia="zh-CN"/>
        </w:rPr>
        <w:t>万元，其中：基本支出</w:t>
      </w:r>
      <w:r>
        <w:rPr>
          <w:rFonts w:hint="eastAsia" w:ascii="Times New Roman" w:hAnsi="Times New Roman" w:eastAsia="仿宋_GB2312"/>
          <w:sz w:val="32"/>
          <w:szCs w:val="32"/>
          <w:lang w:val="en-US" w:eastAsia="zh-CN"/>
        </w:rPr>
        <w:t>2197.43</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52.35</w:t>
      </w:r>
      <w:r>
        <w:rPr>
          <w:rFonts w:hint="eastAsia" w:ascii="Times New Roman" w:hAnsi="Times New Roman" w:eastAsia="仿宋_GB2312"/>
          <w:sz w:val="32"/>
          <w:szCs w:val="32"/>
          <w:lang w:eastAsia="zh-CN"/>
        </w:rPr>
        <w:t>%；项目支出</w:t>
      </w:r>
      <w:r>
        <w:rPr>
          <w:rFonts w:hint="eastAsia" w:ascii="Times New Roman" w:hAnsi="Times New Roman" w:eastAsia="仿宋_GB2312"/>
          <w:sz w:val="32"/>
          <w:szCs w:val="32"/>
          <w:lang w:val="en-US" w:eastAsia="zh-CN"/>
        </w:rPr>
        <w:t>2000.48</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47.65</w:t>
      </w:r>
      <w:r>
        <w:rPr>
          <w:rFonts w:hint="eastAsia" w:ascii="Times New Roman" w:hAnsi="Times New Roman" w:eastAsia="仿宋_GB2312"/>
          <w:sz w:val="32"/>
          <w:szCs w:val="32"/>
          <w:lang w:eastAsia="zh-CN"/>
        </w:rPr>
        <w:t>%；上缴上级支出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%；经营支出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%；对附属单位补助支出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rPr>
        <w:t xml:space="preserve">    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年度财政拨款收、支总计</w:t>
      </w:r>
      <w:r>
        <w:rPr>
          <w:rFonts w:hint="eastAsia" w:ascii="Times New Roman" w:hAnsi="Times New Roman" w:eastAsia="仿宋_GB2312"/>
          <w:sz w:val="32"/>
          <w:szCs w:val="32"/>
          <w:lang w:val="en-US" w:eastAsia="zh-CN"/>
        </w:rPr>
        <w:t>4060.92</w:t>
      </w:r>
      <w:r>
        <w:rPr>
          <w:rFonts w:hint="eastAsia" w:ascii="Times New Roman" w:hAnsi="Times New Roman" w:eastAsia="仿宋_GB2312"/>
          <w:sz w:val="32"/>
          <w:szCs w:val="32"/>
        </w:rPr>
        <w:t>万元，与上年相比，增加</w:t>
      </w:r>
      <w:r>
        <w:rPr>
          <w:rFonts w:hint="eastAsia" w:ascii="Times New Roman" w:hAnsi="Times New Roman" w:eastAsia="仿宋_GB2312"/>
          <w:sz w:val="32"/>
          <w:szCs w:val="32"/>
          <w:lang w:val="en-US" w:eastAsia="zh-CN"/>
        </w:rPr>
        <w:t>339.33</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9.12</w:t>
      </w:r>
      <w:r>
        <w:rPr>
          <w:rFonts w:hint="eastAsia" w:ascii="Times New Roman" w:hAnsi="Times New Roman" w:eastAsia="仿宋_GB2312"/>
          <w:sz w:val="32"/>
          <w:szCs w:val="32"/>
        </w:rPr>
        <w:t>%，主要是因为</w:t>
      </w:r>
      <w:r>
        <w:rPr>
          <w:rFonts w:hint="eastAsia" w:ascii="Times New Roman" w:hAnsi="Times New Roman" w:eastAsia="仿宋_GB2312"/>
          <w:sz w:val="32"/>
          <w:szCs w:val="32"/>
          <w:lang w:eastAsia="zh-CN"/>
        </w:rPr>
        <w:t>增加农产品质量安全监管及水产良种种质资源创新等项目</w:t>
      </w:r>
      <w:r>
        <w:rPr>
          <w:rFonts w:hint="eastAsia" w:ascii="Times New Roman" w:hAnsi="Times New Roman" w:eastAsia="仿宋_GB2312"/>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（一）财政拨款支出决算总体情况</w:t>
      </w:r>
    </w:p>
    <w:p>
      <w:pPr>
        <w:pStyle w:val="12"/>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年度财政拨款支出</w:t>
      </w:r>
      <w:r>
        <w:rPr>
          <w:rFonts w:hint="eastAsia" w:ascii="Times New Roman" w:hAnsi="Times New Roman" w:eastAsia="仿宋_GB2312"/>
          <w:sz w:val="32"/>
          <w:szCs w:val="32"/>
          <w:lang w:val="en-US" w:eastAsia="zh-CN"/>
        </w:rPr>
        <w:t>3139.46</w:t>
      </w:r>
      <w:r>
        <w:rPr>
          <w:rFonts w:hint="eastAsia" w:ascii="Times New Roman" w:hAnsi="Times New Roman" w:eastAsia="仿宋_GB2312"/>
          <w:sz w:val="32"/>
          <w:szCs w:val="32"/>
          <w:lang w:eastAsia="zh-CN"/>
        </w:rPr>
        <w:t>万元，占本年支出合计的</w:t>
      </w:r>
      <w:r>
        <w:rPr>
          <w:rFonts w:hint="eastAsia" w:ascii="Times New Roman" w:hAnsi="Times New Roman" w:eastAsia="仿宋_GB2312"/>
          <w:sz w:val="32"/>
          <w:szCs w:val="32"/>
          <w:lang w:val="en-US" w:eastAsia="zh-CN"/>
        </w:rPr>
        <w:t>74.79</w:t>
      </w:r>
      <w:r>
        <w:rPr>
          <w:rFonts w:hint="eastAsia" w:ascii="Times New Roman" w:hAnsi="Times New Roman" w:eastAsia="仿宋_GB2312"/>
          <w:sz w:val="32"/>
          <w:szCs w:val="32"/>
          <w:lang w:eastAsia="zh-CN"/>
        </w:rPr>
        <w:t>%，与上年相比，财政拨款支出增加</w:t>
      </w:r>
      <w:r>
        <w:rPr>
          <w:rFonts w:hint="eastAsia" w:ascii="Times New Roman" w:hAnsi="Times New Roman" w:eastAsia="仿宋_GB2312"/>
          <w:sz w:val="32"/>
          <w:szCs w:val="32"/>
          <w:lang w:val="en-US" w:eastAsia="zh-CN"/>
        </w:rPr>
        <w:t>388.31</w:t>
      </w:r>
      <w:r>
        <w:rPr>
          <w:rFonts w:hint="eastAsia" w:ascii="Times New Roman" w:hAnsi="Times New Roman" w:eastAsia="仿宋_GB2312"/>
          <w:sz w:val="32"/>
          <w:szCs w:val="32"/>
          <w:lang w:eastAsia="zh-CN"/>
        </w:rPr>
        <w:t>万元，增长</w:t>
      </w:r>
      <w:r>
        <w:rPr>
          <w:rFonts w:hint="eastAsia" w:ascii="Times New Roman" w:hAnsi="Times New Roman" w:eastAsia="仿宋_GB2312"/>
          <w:sz w:val="32"/>
          <w:szCs w:val="32"/>
          <w:lang w:val="en-US" w:eastAsia="zh-CN"/>
        </w:rPr>
        <w:t>14.11</w:t>
      </w:r>
      <w:r>
        <w:rPr>
          <w:rFonts w:hint="eastAsia" w:ascii="Times New Roman" w:hAnsi="Times New Roman" w:eastAsia="仿宋_GB2312"/>
          <w:sz w:val="32"/>
          <w:szCs w:val="32"/>
          <w:lang w:eastAsia="zh-CN"/>
        </w:rPr>
        <w:t>%，主要是因为农产品质量安全监管及水产良种种质资源创新等项目支出增加</w:t>
      </w:r>
      <w:r>
        <w:rPr>
          <w:rFonts w:hint="eastAsia" w:ascii="Times New Roman" w:hAnsi="Times New Roman" w:eastAsia="仿宋_GB2312"/>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480" w:firstLineChars="1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年度财政拨款支出</w:t>
      </w:r>
      <w:r>
        <w:rPr>
          <w:rFonts w:hint="eastAsia" w:ascii="Times New Roman" w:hAnsi="Times New Roman" w:eastAsia="仿宋_GB2312"/>
          <w:sz w:val="32"/>
          <w:szCs w:val="32"/>
          <w:lang w:val="en-US" w:eastAsia="zh-CN"/>
        </w:rPr>
        <w:t>3139.46</w:t>
      </w:r>
      <w:r>
        <w:rPr>
          <w:rFonts w:hint="eastAsia" w:ascii="Times New Roman" w:hAnsi="Times New Roman" w:eastAsia="仿宋_GB2312"/>
          <w:sz w:val="32"/>
          <w:szCs w:val="32"/>
          <w:lang w:eastAsia="zh-CN"/>
        </w:rPr>
        <w:t>万元，主要用于以下方面：一般公共服务（类）支出</w:t>
      </w: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0.22</w:t>
      </w:r>
      <w:r>
        <w:rPr>
          <w:rFonts w:hint="eastAsia" w:ascii="Times New Roman" w:hAnsi="Times New Roman" w:eastAsia="仿宋_GB2312"/>
          <w:sz w:val="32"/>
          <w:szCs w:val="32"/>
          <w:lang w:eastAsia="zh-CN"/>
        </w:rPr>
        <w:t>%；科学技术（类）支出</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万元，占</w:t>
      </w:r>
      <w:r>
        <w:rPr>
          <w:rFonts w:hint="eastAsia" w:ascii="Times New Roman" w:hAnsi="Times New Roman" w:eastAsia="仿宋_GB2312"/>
          <w:sz w:val="32"/>
          <w:szCs w:val="32"/>
          <w:lang w:val="en-US" w:eastAsia="zh-CN"/>
        </w:rPr>
        <w:t>3.19</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社会保障和就业（类）支出205.45万元，占6.54%；农林水（类）支出2398.21万元，占76.39%；交通运输（类）支出428.8万元，占13.66%。</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（三）财政拨款支出决算具体情况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年度财政拨款支出年初预算数为</w:t>
      </w:r>
      <w:r>
        <w:rPr>
          <w:rFonts w:hint="eastAsia" w:ascii="Times New Roman" w:hAnsi="Times New Roman" w:eastAsia="仿宋_GB2312"/>
          <w:sz w:val="32"/>
          <w:szCs w:val="32"/>
          <w:lang w:val="en-US" w:eastAsia="zh-CN"/>
        </w:rPr>
        <w:t>3010.14</w:t>
      </w:r>
      <w:r>
        <w:rPr>
          <w:rFonts w:hint="eastAsia" w:ascii="Times New Roman" w:hAnsi="Times New Roman" w:eastAsia="仿宋_GB2312"/>
          <w:sz w:val="32"/>
          <w:szCs w:val="32"/>
          <w:lang w:eastAsia="zh-CN"/>
        </w:rPr>
        <w:t>万元，支出决算数为</w:t>
      </w:r>
      <w:r>
        <w:rPr>
          <w:rFonts w:hint="eastAsia" w:ascii="Times New Roman" w:hAnsi="Times New Roman" w:eastAsia="仿宋_GB2312"/>
          <w:sz w:val="32"/>
          <w:szCs w:val="32"/>
          <w:lang w:val="en-US" w:eastAsia="zh-CN"/>
        </w:rPr>
        <w:t>3139.46</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104.30</w:t>
      </w:r>
      <w:r>
        <w:rPr>
          <w:rFonts w:hint="eastAsia" w:ascii="Times New Roman" w:hAnsi="Times New Roman" w:eastAsia="仿宋_GB2312"/>
          <w:sz w:val="32"/>
          <w:szCs w:val="32"/>
          <w:lang w:eastAsia="zh-CN"/>
        </w:rPr>
        <w:t>%，其中：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1、一般公共服务（类）</w:t>
      </w:r>
      <w:r>
        <w:rPr>
          <w:rFonts w:hint="eastAsia" w:ascii="Times New Roman" w:hAnsi="Times New Roman" w:eastAsia="仿宋_GB2312"/>
          <w:sz w:val="32"/>
          <w:szCs w:val="32"/>
          <w:lang w:val="en-US" w:eastAsia="zh-CN"/>
        </w:rPr>
        <w:t>市场监督管理事物（款）质量基础（项）</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lang w:eastAsia="zh-CN"/>
        </w:rPr>
        <w:t>万元，决算数大于年初预算数的主要原因是：</w:t>
      </w:r>
      <w:r>
        <w:rPr>
          <w:rFonts w:hint="eastAsia" w:ascii="Times New Roman" w:hAnsi="Times New Roman" w:eastAsia="仿宋_GB2312"/>
          <w:sz w:val="32"/>
          <w:szCs w:val="32"/>
          <w:lang w:val="en-US" w:eastAsia="zh-CN"/>
        </w:rPr>
        <w:t>本年追加省级标准化专项资金预算7万元。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2、科学技术（类）科技重大项目（款）重点研发计划（项）。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lang w:eastAsia="zh-CN"/>
        </w:rPr>
        <w:t>社会保障和就业（类）行政事业单位养老（款）机关事业单位基本养老保险缴费（项）。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205.45</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205.45</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lang w:eastAsia="zh-CN"/>
        </w:rPr>
        <w:t>农林水（类）农业农村（款）行政运行（项）。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129.78</w:t>
      </w:r>
      <w:r>
        <w:rPr>
          <w:rFonts w:hint="eastAsia" w:ascii="Times New Roman" w:hAnsi="Times New Roman" w:eastAsia="仿宋_GB2312"/>
          <w:sz w:val="32"/>
          <w:szCs w:val="32"/>
          <w:lang w:eastAsia="zh-CN"/>
        </w:rPr>
        <w:t>万元，决算数大于年初预算数的主要原因是：</w:t>
      </w:r>
      <w:r>
        <w:rPr>
          <w:rFonts w:hint="eastAsia" w:ascii="Times New Roman" w:hAnsi="Times New Roman" w:eastAsia="仿宋_GB2312"/>
          <w:sz w:val="32"/>
          <w:szCs w:val="32"/>
          <w:lang w:val="en-US" w:eastAsia="zh-CN"/>
        </w:rPr>
        <w:t>年中追加绩效工资。</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w:t>
      </w:r>
      <w:r>
        <w:rPr>
          <w:rFonts w:hint="eastAsia" w:ascii="Times New Roman" w:hAnsi="Times New Roman" w:eastAsia="仿宋_GB2312"/>
          <w:sz w:val="32"/>
          <w:szCs w:val="32"/>
          <w:lang w:eastAsia="zh-CN"/>
        </w:rPr>
        <w:t>农林水（类）农业农村（款）事业运行（项）。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1307.5</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1301.9</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99.57</w:t>
      </w:r>
      <w:r>
        <w:rPr>
          <w:rFonts w:hint="eastAsia" w:ascii="Times New Roman" w:hAnsi="Times New Roman" w:eastAsia="仿宋_GB2312"/>
          <w:sz w:val="32"/>
          <w:szCs w:val="32"/>
          <w:lang w:eastAsia="zh-CN"/>
        </w:rPr>
        <w:t>%，决算数大小于年初预算数的主要原因是：项目跨年实施。</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w:t>
      </w:r>
      <w:r>
        <w:rPr>
          <w:rFonts w:hint="eastAsia" w:ascii="Times New Roman" w:hAnsi="Times New Roman" w:eastAsia="仿宋_GB2312"/>
          <w:sz w:val="32"/>
          <w:szCs w:val="32"/>
          <w:lang w:eastAsia="zh-CN"/>
        </w:rPr>
        <w:t>农林水（类）农业农村（款）科技转化与推广服务（项）。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9.16</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9.16</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w:t>
      </w:r>
      <w:r>
        <w:rPr>
          <w:rFonts w:hint="eastAsia" w:ascii="Times New Roman" w:hAnsi="Times New Roman" w:eastAsia="仿宋_GB2312"/>
          <w:sz w:val="32"/>
          <w:szCs w:val="32"/>
          <w:lang w:eastAsia="zh-CN"/>
        </w:rPr>
        <w:t>农林水（类）农业农村（款）农产品质量安全（项）。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31.13</w:t>
      </w:r>
      <w:r>
        <w:rPr>
          <w:rFonts w:hint="eastAsia" w:ascii="Times New Roman" w:hAnsi="Times New Roman" w:eastAsia="仿宋_GB2312"/>
          <w:sz w:val="32"/>
          <w:szCs w:val="32"/>
          <w:lang w:eastAsia="zh-CN"/>
        </w:rPr>
        <w:t>万元，决算数大于年初预算数的主要原因是：</w:t>
      </w:r>
      <w:r>
        <w:rPr>
          <w:rFonts w:hint="eastAsia" w:ascii="Times New Roman" w:hAnsi="Times New Roman" w:eastAsia="仿宋_GB2312"/>
          <w:sz w:val="32"/>
          <w:szCs w:val="32"/>
          <w:lang w:val="en-US" w:eastAsia="zh-CN"/>
        </w:rPr>
        <w:t>年中追加农产品质量安全监管专项资金预算50万元。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8、</w:t>
      </w:r>
      <w:r>
        <w:rPr>
          <w:rFonts w:hint="eastAsia" w:ascii="Times New Roman" w:hAnsi="Times New Roman" w:eastAsia="仿宋_GB2312"/>
          <w:sz w:val="32"/>
          <w:szCs w:val="32"/>
          <w:lang w:eastAsia="zh-CN"/>
        </w:rPr>
        <w:t>农林水（类）农业农村（款）农业生产发展（项）。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223.78</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518.99</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231.92</w:t>
      </w:r>
      <w:r>
        <w:rPr>
          <w:rFonts w:hint="eastAsia" w:ascii="Times New Roman" w:hAnsi="Times New Roman" w:eastAsia="仿宋_GB2312"/>
          <w:sz w:val="32"/>
          <w:szCs w:val="32"/>
          <w:lang w:eastAsia="zh-CN"/>
        </w:rPr>
        <w:t>%，决算数</w:t>
      </w:r>
      <w:r>
        <w:rPr>
          <w:rFonts w:hint="eastAsia" w:ascii="Times New Roman" w:hAnsi="Times New Roman" w:eastAsia="仿宋_GB2312"/>
          <w:sz w:val="32"/>
          <w:szCs w:val="32"/>
          <w:lang w:val="en-US" w:eastAsia="zh-CN"/>
        </w:rPr>
        <w:t>大</w:t>
      </w:r>
      <w:r>
        <w:rPr>
          <w:rFonts w:hint="eastAsia" w:ascii="Times New Roman" w:hAnsi="Times New Roman" w:eastAsia="仿宋_GB2312"/>
          <w:sz w:val="32"/>
          <w:szCs w:val="32"/>
          <w:lang w:eastAsia="zh-CN"/>
        </w:rPr>
        <w:t>于年初预算数的主要原因是：年中追加养殖产业发展专项资金预算</w:t>
      </w:r>
      <w:r>
        <w:rPr>
          <w:rFonts w:hint="eastAsia" w:ascii="Times New Roman" w:hAnsi="Times New Roman" w:eastAsia="仿宋_GB2312"/>
          <w:sz w:val="32"/>
          <w:szCs w:val="32"/>
          <w:lang w:val="en-US" w:eastAsia="zh-CN"/>
        </w:rPr>
        <w:t>100万元、农业安全监管专项资金预算275万元、水产养殖药品生物安全性评价专项资金预算20万元、养殖尾水监测专项资金预算20万元、智慧监控专项资金预算42万元。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9、</w:t>
      </w:r>
      <w:r>
        <w:rPr>
          <w:rFonts w:hint="eastAsia" w:ascii="Times New Roman" w:hAnsi="Times New Roman" w:eastAsia="仿宋_GB2312"/>
          <w:sz w:val="32"/>
          <w:szCs w:val="32"/>
          <w:lang w:eastAsia="zh-CN"/>
        </w:rPr>
        <w:t>农林水（类）农业农村（款）农业资源保护与修复利用（项）。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184.26</w:t>
      </w:r>
      <w:r>
        <w:rPr>
          <w:rFonts w:hint="eastAsia" w:ascii="Times New Roman" w:hAnsi="Times New Roman" w:eastAsia="仿宋_GB2312"/>
          <w:sz w:val="32"/>
          <w:szCs w:val="32"/>
          <w:lang w:eastAsia="zh-CN"/>
        </w:rPr>
        <w:t>万元，决算数</w:t>
      </w:r>
      <w:r>
        <w:rPr>
          <w:rFonts w:hint="eastAsia" w:ascii="Times New Roman" w:hAnsi="Times New Roman" w:eastAsia="仿宋_GB2312"/>
          <w:sz w:val="32"/>
          <w:szCs w:val="32"/>
          <w:lang w:val="en-US" w:eastAsia="zh-CN"/>
        </w:rPr>
        <w:t>大</w:t>
      </w:r>
      <w:r>
        <w:rPr>
          <w:rFonts w:hint="eastAsia" w:ascii="Times New Roman" w:hAnsi="Times New Roman" w:eastAsia="仿宋_GB2312"/>
          <w:sz w:val="32"/>
          <w:szCs w:val="32"/>
          <w:lang w:eastAsia="zh-CN"/>
        </w:rPr>
        <w:t>于年初预算数的主要原因是：年中追加渔业资源增殖放流及保护专项资金预算</w:t>
      </w:r>
      <w:r>
        <w:rPr>
          <w:rFonts w:hint="eastAsia" w:ascii="Times New Roman" w:hAnsi="Times New Roman" w:eastAsia="仿宋_GB2312"/>
          <w:sz w:val="32"/>
          <w:szCs w:val="32"/>
          <w:lang w:val="en-US" w:eastAsia="zh-CN"/>
        </w:rPr>
        <w:t>214万元、农业种质资源保护与利用专项资金预算95万元。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10、</w:t>
      </w:r>
      <w:r>
        <w:rPr>
          <w:rFonts w:hint="eastAsia" w:ascii="Times New Roman" w:hAnsi="Times New Roman" w:eastAsia="仿宋_GB2312"/>
          <w:sz w:val="32"/>
          <w:szCs w:val="32"/>
          <w:lang w:eastAsia="zh-CN"/>
        </w:rPr>
        <w:t>农林水（类）农业农村（款）其他农业农村支出（项）。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35.39</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193.92</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547.95</w:t>
      </w:r>
      <w:r>
        <w:rPr>
          <w:rFonts w:hint="eastAsia" w:ascii="Times New Roman" w:hAnsi="Times New Roman" w:eastAsia="仿宋_GB2312"/>
          <w:sz w:val="32"/>
          <w:szCs w:val="32"/>
          <w:lang w:eastAsia="zh-CN"/>
        </w:rPr>
        <w:t>%，决算数大于年初预算数的主要原因是：</w:t>
      </w:r>
      <w:r>
        <w:rPr>
          <w:rFonts w:hint="eastAsia" w:ascii="Times New Roman" w:hAnsi="Times New Roman" w:eastAsia="仿宋_GB2312"/>
          <w:sz w:val="32"/>
          <w:szCs w:val="32"/>
          <w:lang w:val="en-US" w:eastAsia="zh-CN"/>
        </w:rPr>
        <w:t>年中追加智慧监控建设专项资金预算120万元、技术规程修订专项资金预算15万元、水产产业技术体系名优特水产种质创新与繁殖专项资金预算20万元、水产种质资源创新专项资金预算300万元、水生生物资源监测专项资金预算140万元、渔业生产和经济运行统计调查专项资金预算80万元、省级重大水生动物疫病监测专项资金预算9万元、湖南省养殖水域滩涂规划矢量空间数据库建设专项资金预算50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11、</w:t>
      </w:r>
      <w:r>
        <w:rPr>
          <w:rFonts w:hint="eastAsia" w:ascii="Times New Roman" w:hAnsi="Times New Roman" w:eastAsia="仿宋_GB2312"/>
          <w:sz w:val="32"/>
          <w:szCs w:val="32"/>
          <w:lang w:eastAsia="zh-CN"/>
        </w:rPr>
        <w:t>农林水（类）其他农林水支出（款）其他农林水支出（项）。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29.07</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29.07</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100%。</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12、</w:t>
      </w:r>
      <w:r>
        <w:rPr>
          <w:rFonts w:hint="eastAsia" w:ascii="Times New Roman" w:hAnsi="Times New Roman" w:eastAsia="仿宋_GB2312"/>
          <w:sz w:val="32"/>
          <w:szCs w:val="32"/>
          <w:lang w:eastAsia="zh-CN"/>
        </w:rPr>
        <w:t>交通运输（类）其他交通运输支出（款）其他交通运输支出（项）。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年初预算为</w:t>
      </w:r>
      <w:r>
        <w:rPr>
          <w:rFonts w:hint="eastAsia" w:ascii="Times New Roman" w:hAnsi="Times New Roman" w:eastAsia="仿宋_GB2312"/>
          <w:sz w:val="32"/>
          <w:szCs w:val="32"/>
          <w:lang w:val="en-US" w:eastAsia="zh-CN"/>
        </w:rPr>
        <w:t>428.80</w:t>
      </w:r>
      <w:r>
        <w:rPr>
          <w:rFonts w:hint="eastAsia" w:ascii="Times New Roman" w:hAnsi="Times New Roman" w:eastAsia="仿宋_GB2312"/>
          <w:sz w:val="32"/>
          <w:szCs w:val="32"/>
          <w:lang w:eastAsia="zh-CN"/>
        </w:rPr>
        <w:t>万元，支出决算为</w:t>
      </w:r>
      <w:r>
        <w:rPr>
          <w:rFonts w:hint="eastAsia" w:ascii="Times New Roman" w:hAnsi="Times New Roman" w:eastAsia="仿宋_GB2312"/>
          <w:sz w:val="32"/>
          <w:szCs w:val="32"/>
          <w:lang w:val="en-US" w:eastAsia="zh-CN"/>
        </w:rPr>
        <w:t>428.80</w:t>
      </w:r>
      <w:r>
        <w:rPr>
          <w:rFonts w:hint="eastAsia" w:ascii="Times New Roman" w:hAnsi="Times New Roman" w:eastAsia="仿宋_GB2312"/>
          <w:sz w:val="32"/>
          <w:szCs w:val="32"/>
          <w:lang w:eastAsia="zh-CN"/>
        </w:rPr>
        <w:t>万元，完成年初预算的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ind w:firstLine="640" w:firstLineChars="200"/>
        <w:rPr>
          <w:rFonts w:hint="eastAsia" w:asciiTheme="minorEastAsia" w:hAnsiTheme="minorEastAsia" w:eastAsiaTheme="minorEastAsia"/>
          <w:sz w:val="32"/>
          <w:szCs w:val="32"/>
          <w:lang w:val="en-US" w:eastAsia="zh-CN"/>
        </w:rPr>
      </w:pPr>
      <w:r>
        <w:rPr>
          <w:rFonts w:hint="eastAsia" w:ascii="Times New Roman" w:hAnsi="Times New Roman" w:eastAsia="仿宋_GB2312"/>
          <w:sz w:val="32"/>
          <w:szCs w:val="32"/>
          <w:lang w:eastAsia="zh-CN"/>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lang w:eastAsia="zh-CN"/>
        </w:rPr>
        <w:t>年度财政拨款基本支出</w:t>
      </w:r>
      <w:r>
        <w:rPr>
          <w:rFonts w:hint="eastAsia" w:ascii="Times New Roman" w:hAnsi="Times New Roman" w:eastAsia="仿宋_GB2312"/>
          <w:sz w:val="32"/>
          <w:szCs w:val="32"/>
          <w:lang w:val="en-US" w:eastAsia="zh-CN"/>
        </w:rPr>
        <w:t>1503.36</w:t>
      </w:r>
      <w:r>
        <w:rPr>
          <w:rFonts w:hint="eastAsia" w:ascii="Times New Roman" w:hAnsi="Times New Roman" w:eastAsia="仿宋_GB2312"/>
          <w:sz w:val="32"/>
          <w:szCs w:val="32"/>
          <w:lang w:eastAsia="zh-CN"/>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人员经费</w:t>
      </w:r>
      <w:r>
        <w:rPr>
          <w:rFonts w:hint="eastAsia" w:ascii="Times New Roman" w:hAnsi="Times New Roman" w:eastAsia="仿宋_GB2312"/>
          <w:sz w:val="32"/>
          <w:szCs w:val="32"/>
          <w:lang w:val="en-US" w:eastAsia="zh-CN"/>
        </w:rPr>
        <w:t>1484.4</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98.74</w:t>
      </w:r>
      <w:r>
        <w:rPr>
          <w:rFonts w:hint="eastAsia" w:ascii="Times New Roman" w:hAnsi="Times New Roman" w:eastAsia="仿宋_GB2312"/>
          <w:sz w:val="32"/>
          <w:szCs w:val="32"/>
        </w:rPr>
        <w:t>%,主要包括基本工资、津贴补贴、奖金、伙食补助费</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绩效工资、机关事业单位基本养老保险缴费、住房公积金、奖励金等。</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b/>
          <w:sz w:val="32"/>
          <w:szCs w:val="32"/>
        </w:rPr>
      </w:pPr>
      <w:r>
        <w:rPr>
          <w:rFonts w:hint="eastAsia" w:ascii="Times New Roman" w:hAnsi="Times New Roman" w:eastAsia="仿宋_GB2312"/>
          <w:b/>
          <w:bCs/>
          <w:sz w:val="32"/>
          <w:szCs w:val="32"/>
        </w:rPr>
        <w:t>公用经费</w:t>
      </w:r>
      <w:r>
        <w:rPr>
          <w:rFonts w:hint="eastAsia" w:ascii="Times New Roman" w:hAnsi="Times New Roman" w:eastAsia="仿宋_GB2312"/>
          <w:sz w:val="32"/>
          <w:szCs w:val="32"/>
          <w:lang w:val="en-US" w:eastAsia="zh-CN"/>
        </w:rPr>
        <w:t>18.96</w:t>
      </w:r>
      <w:r>
        <w:rPr>
          <w:rFonts w:hint="eastAsia" w:ascii="Times New Roman" w:hAnsi="Times New Roman" w:eastAsia="仿宋_GB2312"/>
          <w:sz w:val="32"/>
          <w:szCs w:val="32"/>
        </w:rPr>
        <w:t>万元，占基本支出的</w:t>
      </w:r>
      <w:r>
        <w:rPr>
          <w:rFonts w:hint="eastAsia" w:ascii="Times New Roman" w:hAnsi="Times New Roman" w:eastAsia="仿宋_GB2312"/>
          <w:sz w:val="32"/>
          <w:szCs w:val="32"/>
          <w:lang w:val="en-US" w:eastAsia="zh-CN"/>
        </w:rPr>
        <w:t>1.26</w:t>
      </w:r>
      <w:r>
        <w:rPr>
          <w:rFonts w:hint="eastAsia" w:ascii="Times New Roman" w:hAnsi="Times New Roman" w:eastAsia="仿宋_GB2312"/>
          <w:sz w:val="32"/>
          <w:szCs w:val="32"/>
        </w:rPr>
        <w:t>%，主要</w:t>
      </w:r>
      <w:r>
        <w:rPr>
          <w:rFonts w:hint="eastAsia" w:ascii="Times New Roman" w:hAnsi="Times New Roman" w:eastAsia="仿宋_GB2312"/>
          <w:sz w:val="32"/>
          <w:szCs w:val="32"/>
          <w:lang w:eastAsia="zh-CN"/>
        </w:rPr>
        <w:t>包括工会经费和福利费</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ascii="黑体" w:hAnsi="黑体" w:eastAsia="黑体" w:cs="黑体"/>
          <w:b w:val="0"/>
          <w:bCs/>
          <w:sz w:val="32"/>
          <w:szCs w:val="32"/>
        </w:rPr>
        <w:t>七、财政拨款三公经费支出决算情况说明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“三公”经费财政拨款支出预算为4万元，支出决算为0.03万元，完成预算的0.75%，其中：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因公出国（境）费支出预算为0万元，支出决算为0万元。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公务接待费支出预算为0万元，支出决算为0万元。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公务用车购置费支出预算为0万元，支出决算为0万元。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color w:val="auto"/>
          <w:sz w:val="32"/>
          <w:szCs w:val="32"/>
          <w:highlight w:val="red"/>
        </w:rPr>
      </w:pPr>
      <w:r>
        <w:rPr>
          <w:rFonts w:hint="eastAsia" w:ascii="Times New Roman" w:hAnsi="Times New Roman" w:eastAsia="仿宋_GB2312"/>
          <w:sz w:val="32"/>
          <w:szCs w:val="32"/>
          <w:lang w:val="en-US" w:eastAsia="zh-CN"/>
        </w:rPr>
        <w:t>公务用车运行维护费</w:t>
      </w:r>
      <w:r>
        <w:rPr>
          <w:rFonts w:hint="eastAsia" w:ascii="Times New Roman" w:hAnsi="Times New Roman" w:eastAsia="仿宋_GB2312"/>
          <w:color w:val="auto"/>
          <w:sz w:val="32"/>
          <w:szCs w:val="32"/>
          <w:lang w:val="en-US" w:eastAsia="zh-CN"/>
        </w:rPr>
        <w:t>支出预算</w:t>
      </w:r>
      <w:r>
        <w:rPr>
          <w:rFonts w:hint="eastAsia" w:ascii="Times New Roman" w:hAnsi="Times New Roman" w:eastAsia="仿宋_GB2312"/>
          <w:sz w:val="32"/>
          <w:szCs w:val="32"/>
          <w:lang w:val="en-US" w:eastAsia="zh-CN"/>
        </w:rPr>
        <w:t>为4万元，支出决算为0.03万元，完</w:t>
      </w:r>
      <w:r>
        <w:rPr>
          <w:rFonts w:hint="eastAsia" w:ascii="Times New Roman" w:hAnsi="Times New Roman" w:eastAsia="仿宋_GB2312"/>
          <w:sz w:val="32"/>
          <w:szCs w:val="32"/>
        </w:rPr>
        <w:t>成预算的</w:t>
      </w:r>
      <w:r>
        <w:rPr>
          <w:rFonts w:hint="eastAsia" w:ascii="Times New Roman" w:hAnsi="Times New Roman" w:eastAsia="仿宋_GB2312"/>
          <w:sz w:val="32"/>
          <w:szCs w:val="32"/>
          <w:lang w:val="en-US" w:eastAsia="zh-CN"/>
        </w:rPr>
        <w:t>0.75</w:t>
      </w:r>
      <w:r>
        <w:rPr>
          <w:rFonts w:hint="eastAsia" w:ascii="Times New Roman" w:hAnsi="Times New Roman" w:eastAsia="仿宋_GB2312"/>
          <w:sz w:val="32"/>
          <w:szCs w:val="32"/>
        </w:rPr>
        <w:t>%，决算数小于预算数的主要原因是</w:t>
      </w:r>
      <w:r>
        <w:rPr>
          <w:rFonts w:hint="eastAsia" w:ascii="Times New Roman" w:hAnsi="Times New Roman" w:eastAsia="仿宋_GB2312"/>
          <w:sz w:val="32"/>
          <w:szCs w:val="32"/>
          <w:lang w:eastAsia="zh-CN"/>
        </w:rPr>
        <w:t>公务用车运行维护费主要通过技术服务创收资金支付</w:t>
      </w:r>
      <w:r>
        <w:rPr>
          <w:rFonts w:hint="eastAsia" w:ascii="Times New Roman" w:hAnsi="Times New Roman" w:eastAsia="仿宋_GB2312"/>
          <w:sz w:val="32"/>
          <w:szCs w:val="32"/>
        </w:rPr>
        <w:t>，与上年相比增加</w:t>
      </w:r>
      <w:r>
        <w:rPr>
          <w:rFonts w:hint="eastAsia" w:ascii="Times New Roman" w:hAnsi="Times New Roman" w:eastAsia="仿宋_GB2312"/>
          <w:sz w:val="32"/>
          <w:szCs w:val="32"/>
          <w:lang w:val="en-US" w:eastAsia="zh-CN"/>
        </w:rPr>
        <w:t>0.03</w:t>
      </w:r>
      <w:r>
        <w:rPr>
          <w:rFonts w:hint="eastAsia" w:ascii="Times New Roman" w:hAnsi="Times New Roman" w:eastAsia="仿宋_GB2312"/>
          <w:sz w:val="32"/>
          <w:szCs w:val="32"/>
        </w:rPr>
        <w:t>万元，增长）</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%,增长的主要原因是</w:t>
      </w:r>
      <w:r>
        <w:rPr>
          <w:rFonts w:hint="eastAsia" w:ascii="Times New Roman" w:hAnsi="Times New Roman" w:eastAsia="仿宋_GB2312"/>
          <w:sz w:val="32"/>
          <w:szCs w:val="32"/>
          <w:lang w:val="en-US" w:eastAsia="zh-CN"/>
        </w:rPr>
        <w:t>2021年公务用车运行维护费全部通过技术服务创收资金支付</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年度“三公”经费财政拨款支出决算中，公务接待费支出决算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%,因公出国（境）费支出决算</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%,公务用车购置费及运行维护费支出决算</w:t>
      </w:r>
      <w:r>
        <w:rPr>
          <w:rFonts w:hint="eastAsia" w:ascii="Times New Roman" w:hAnsi="Times New Roman" w:eastAsia="仿宋_GB2312"/>
          <w:sz w:val="32"/>
          <w:szCs w:val="32"/>
          <w:lang w:val="en-US" w:eastAsia="zh-CN"/>
        </w:rPr>
        <w:t>0.03</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仿宋_GB2312" w:cs="楷体"/>
          <w:b/>
          <w:bCs/>
          <w:i/>
          <w:color w:val="auto"/>
          <w:sz w:val="32"/>
          <w:szCs w:val="32"/>
          <w:lang w:val="en-US" w:eastAsia="zh-CN"/>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rPr>
        <w:t>因公出国（境）费支出决算为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万元，全年安排因公出国（境）团组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个，累计</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ascii="Times New Roman" w:hAnsi="Times New Roman" w:eastAsia="仿宋_GB2312"/>
          <w:sz w:val="32"/>
          <w:szCs w:val="32"/>
        </w:rPr>
      </w:pPr>
      <w:r>
        <w:rPr>
          <w:rFonts w:hint="eastAsia" w:ascii="Times New Roman" w:hAnsi="Times New Roman" w:eastAsia="仿宋_GB2312"/>
          <w:sz w:val="32"/>
          <w:szCs w:val="32"/>
        </w:rPr>
        <w:t>2、公务接待费支出决算为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万元，全年共接待来访团组</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个、来宾</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人次。</w:t>
      </w:r>
    </w:p>
    <w:p>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 w:hAnsi="楷体" w:eastAsia="楷体" w:cs="楷体"/>
          <w:b/>
          <w:bCs/>
          <w:i/>
          <w:color w:val="auto"/>
          <w:kern w:val="0"/>
          <w:sz w:val="32"/>
          <w:szCs w:val="32"/>
          <w:lang w:val="en-US" w:eastAsia="zh-CN" w:bidi="ar-SA"/>
        </w:rPr>
      </w:pPr>
      <w:r>
        <w:rPr>
          <w:rFonts w:hint="eastAsia" w:ascii="Times New Roman" w:hAnsi="Times New Roman" w:eastAsia="仿宋_GB2312"/>
          <w:sz w:val="32"/>
          <w:szCs w:val="32"/>
        </w:rPr>
        <w:t>3、公务用车购置费及运行维护费支出决算为</w:t>
      </w:r>
      <w:r>
        <w:rPr>
          <w:rFonts w:hint="eastAsia" w:ascii="Times New Roman" w:hAnsi="Times New Roman" w:eastAsia="仿宋_GB2312"/>
          <w:sz w:val="32"/>
          <w:szCs w:val="32"/>
          <w:lang w:val="en-US" w:eastAsia="zh-CN"/>
        </w:rPr>
        <w:t>0.03</w:t>
      </w:r>
      <w:r>
        <w:rPr>
          <w:rFonts w:hint="eastAsia" w:ascii="Times New Roman" w:hAnsi="Times New Roman" w:eastAsia="仿宋_GB2312"/>
          <w:sz w:val="32"/>
          <w:szCs w:val="32"/>
        </w:rPr>
        <w:t>万元，其中：公务用车购置费</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r>
        <w:rPr>
          <w:rFonts w:hint="eastAsia" w:ascii="Times New Roman" w:hAnsi="Times New Roman" w:eastAsia="仿宋_GB2312"/>
          <w:sz w:val="32"/>
          <w:szCs w:val="32"/>
          <w:lang w:eastAsia="zh-CN"/>
        </w:rPr>
        <w:t>，更新公务用车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辆</w:t>
      </w:r>
      <w:r>
        <w:rPr>
          <w:rFonts w:hint="eastAsia"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sz w:val="32"/>
          <w:szCs w:val="32"/>
        </w:rPr>
        <w:t>公务用车运行维护费</w:t>
      </w:r>
      <w:r>
        <w:rPr>
          <w:rFonts w:hint="eastAsia" w:ascii="Times New Roman" w:hAnsi="Times New Roman" w:eastAsia="仿宋_GB2312"/>
          <w:sz w:val="32"/>
          <w:szCs w:val="32"/>
          <w:lang w:val="en-US" w:eastAsia="zh-CN"/>
        </w:rPr>
        <w:t>0.03</w:t>
      </w:r>
      <w:r>
        <w:rPr>
          <w:rFonts w:hint="eastAsia" w:ascii="Times New Roman" w:hAnsi="Times New Roman" w:eastAsia="仿宋_GB2312"/>
          <w:sz w:val="32"/>
          <w:szCs w:val="32"/>
        </w:rPr>
        <w:t>万元，主要是</w:t>
      </w:r>
      <w:r>
        <w:rPr>
          <w:rFonts w:hint="eastAsia" w:ascii="Times New Roman" w:hAnsi="Times New Roman" w:eastAsia="仿宋_GB2312"/>
          <w:sz w:val="32"/>
          <w:szCs w:val="32"/>
          <w:lang w:eastAsia="zh-CN"/>
        </w:rPr>
        <w:t>汽车油费</w:t>
      </w:r>
      <w:r>
        <w:rPr>
          <w:rFonts w:hint="eastAsia" w:ascii="Times New Roman" w:hAnsi="Times New Roman" w:eastAsia="仿宋_GB2312"/>
          <w:sz w:val="32"/>
          <w:szCs w:val="32"/>
        </w:rPr>
        <w:t>支出，截止202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年12月31日，我单位开支财政拨款的公务用车保有量为</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八、政府性基金预算收入支出决算情况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heme="minorBidi"/>
          <w:color w:val="auto"/>
          <w:kern w:val="2"/>
          <w:sz w:val="32"/>
          <w:szCs w:val="32"/>
          <w:lang w:val="en-US" w:eastAsia="zh-CN" w:bidi="ar-SA"/>
        </w:rPr>
      </w:pPr>
      <w:r>
        <w:rPr>
          <w:rFonts w:hint="eastAsia" w:ascii="Times New Roman" w:hAnsi="Times New Roman" w:eastAsia="仿宋_GB2312" w:cstheme="minorBidi"/>
          <w:color w:val="auto"/>
          <w:kern w:val="2"/>
          <w:sz w:val="32"/>
          <w:szCs w:val="32"/>
          <w:lang w:val="en-US" w:eastAsia="zh-CN" w:bidi="ar-SA"/>
        </w:rPr>
        <w:t>本单位无政府性基金收支。</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九、关于机关运行经费支出说明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本部门202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年度机关运行经费支出</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十、一般性支出情况说明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年本部门开支会议费</w:t>
      </w:r>
      <w:r>
        <w:rPr>
          <w:rFonts w:hint="eastAsia" w:ascii="Times New Roman" w:hAnsi="Times New Roman" w:eastAsia="仿宋_GB2312"/>
          <w:sz w:val="32"/>
          <w:szCs w:val="32"/>
          <w:lang w:val="en-US" w:eastAsia="zh-CN"/>
        </w:rPr>
        <w:t>15.74</w:t>
      </w:r>
      <w:r>
        <w:rPr>
          <w:rFonts w:hint="eastAsia" w:ascii="Times New Roman" w:hAnsi="Times New Roman" w:eastAsia="仿宋_GB2312"/>
          <w:sz w:val="32"/>
          <w:szCs w:val="32"/>
        </w:rPr>
        <w:t>万元，用于召开水生生物资源监测</w:t>
      </w:r>
      <w:r>
        <w:rPr>
          <w:rFonts w:hint="eastAsia" w:ascii="Times New Roman" w:hAnsi="Times New Roman" w:eastAsia="仿宋_GB2312"/>
          <w:sz w:val="32"/>
          <w:szCs w:val="32"/>
          <w:lang w:eastAsia="zh-CN"/>
        </w:rPr>
        <w:t>及农产品质量安全监管相关会议</w:t>
      </w:r>
      <w:r>
        <w:rPr>
          <w:rFonts w:hint="eastAsia" w:ascii="Times New Roman" w:hAnsi="Times New Roman" w:eastAsia="仿宋_GB2312"/>
          <w:sz w:val="32"/>
          <w:szCs w:val="32"/>
        </w:rPr>
        <w:t>，人数</w:t>
      </w:r>
      <w:r>
        <w:rPr>
          <w:rFonts w:hint="eastAsia" w:ascii="Times New Roman" w:hAnsi="Times New Roman" w:eastAsia="仿宋_GB2312"/>
          <w:sz w:val="32"/>
          <w:szCs w:val="32"/>
          <w:lang w:val="en-US" w:eastAsia="zh-CN"/>
        </w:rPr>
        <w:t>520</w:t>
      </w:r>
      <w:r>
        <w:rPr>
          <w:rFonts w:hint="eastAsia" w:ascii="Times New Roman" w:hAnsi="Times New Roman" w:eastAsia="仿宋_GB2312"/>
          <w:sz w:val="32"/>
          <w:szCs w:val="32"/>
        </w:rPr>
        <w:t>人，</w:t>
      </w:r>
      <w:r>
        <w:rPr>
          <w:rFonts w:hint="eastAsia" w:ascii="Times New Roman" w:hAnsi="Times New Roman" w:eastAsia="仿宋_GB2312"/>
          <w:sz w:val="32"/>
          <w:szCs w:val="32"/>
          <w:lang w:eastAsia="zh-CN"/>
        </w:rPr>
        <w:t>主要会议内容如下：</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1、</w:t>
      </w:r>
      <w:r>
        <w:rPr>
          <w:rFonts w:hint="eastAsia" w:ascii="Times New Roman" w:hAnsi="Times New Roman" w:eastAsia="仿宋_GB2312"/>
          <w:sz w:val="32"/>
          <w:szCs w:val="32"/>
          <w:lang w:eastAsia="zh-CN"/>
        </w:rPr>
        <w:t>长江流域水生生物资源监测技术学习交流，</w:t>
      </w:r>
      <w:r>
        <w:rPr>
          <w:rFonts w:hint="eastAsia" w:ascii="Times New Roman" w:hAnsi="Times New Roman" w:eastAsia="仿宋_GB2312"/>
          <w:sz w:val="32"/>
          <w:szCs w:val="32"/>
          <w:lang w:val="en-US" w:eastAsia="zh-CN"/>
        </w:rPr>
        <w:t>0.96万元，26人</w:t>
      </w:r>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湖南省水生生物资源监测业务培训会议，</w:t>
      </w:r>
      <w:r>
        <w:rPr>
          <w:rFonts w:hint="eastAsia" w:ascii="Times New Roman" w:hAnsi="Times New Roman" w:eastAsia="仿宋_GB2312"/>
          <w:sz w:val="32"/>
          <w:szCs w:val="32"/>
          <w:lang w:val="en-US" w:eastAsia="zh-CN"/>
        </w:rPr>
        <w:t>2.23万元，88</w:t>
      </w:r>
      <w:r>
        <w:rPr>
          <w:rFonts w:hint="eastAsia" w:ascii="Times New Roman" w:hAnsi="Times New Roman" w:eastAsia="仿宋_GB2312"/>
          <w:sz w:val="32"/>
          <w:szCs w:val="32"/>
        </w:rPr>
        <w:t>人</w:t>
      </w:r>
      <w:r>
        <w:rPr>
          <w:rFonts w:hint="eastAsia" w:ascii="Times New Roman" w:hAnsi="Times New Roman" w:eastAsia="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3、农产品质量安全监测质量评估会议，0.25万元，20人；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4、农产品质量安全监管会议，4.42万元，101人；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5、《洞庭湖生态疏浚初步方案》会议，1.13万元，27人；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6、农产品质检机构废弃物处理规范审查会，1.1万元，40人；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7、涉渔工程水生态影响专题审查会议，3.14万元，118人；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8、水产种质创新与资源利用学术交流会，0.26万元,30人；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9、虾蟹体系年度总结会，0.86万元,25人；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10、特色鱼产业现状与发展趋势研讨会，1.1万元，25人；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11、鱼水文化建设交流会，0.26万元，20人。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eastAsia="zh-CN"/>
        </w:rPr>
      </w:pPr>
      <w:r>
        <w:rPr>
          <w:rFonts w:hint="eastAsia" w:ascii="Times New Roman" w:hAnsi="Times New Roman" w:eastAsia="仿宋_GB2312"/>
          <w:sz w:val="32"/>
          <w:szCs w:val="32"/>
        </w:rPr>
        <w:t>开支培训费</w:t>
      </w:r>
      <w:r>
        <w:rPr>
          <w:rFonts w:hint="eastAsia" w:ascii="Times New Roman" w:hAnsi="Times New Roman" w:eastAsia="仿宋_GB2312"/>
          <w:sz w:val="32"/>
          <w:szCs w:val="32"/>
          <w:lang w:val="en-US" w:eastAsia="zh-CN"/>
        </w:rPr>
        <w:t>2.79</w:t>
      </w:r>
      <w:r>
        <w:rPr>
          <w:rFonts w:hint="eastAsia" w:ascii="Times New Roman" w:hAnsi="Times New Roman" w:eastAsia="仿宋_GB2312"/>
          <w:sz w:val="32"/>
          <w:szCs w:val="32"/>
        </w:rPr>
        <w:t>万元，用于开展</w:t>
      </w:r>
      <w:r>
        <w:rPr>
          <w:rFonts w:hint="eastAsia" w:ascii="Times New Roman" w:hAnsi="Times New Roman" w:eastAsia="仿宋_GB2312"/>
          <w:sz w:val="32"/>
          <w:szCs w:val="32"/>
          <w:lang w:eastAsia="zh-CN"/>
        </w:rPr>
        <w:t>水产品检测技能竞赛培训及事业人员</w:t>
      </w:r>
      <w:r>
        <w:rPr>
          <w:rFonts w:hint="eastAsia" w:ascii="Times New Roman" w:hAnsi="Times New Roman" w:eastAsia="仿宋_GB2312"/>
          <w:sz w:val="32"/>
          <w:szCs w:val="32"/>
        </w:rPr>
        <w:t>培训，人数</w:t>
      </w:r>
      <w:r>
        <w:rPr>
          <w:rFonts w:hint="eastAsia" w:ascii="Times New Roman" w:hAnsi="Times New Roman" w:eastAsia="仿宋_GB2312"/>
          <w:sz w:val="32"/>
          <w:szCs w:val="32"/>
          <w:lang w:val="en-US" w:eastAsia="zh-CN"/>
        </w:rPr>
        <w:t>80</w:t>
      </w:r>
      <w:r>
        <w:rPr>
          <w:rFonts w:hint="eastAsia" w:ascii="Times New Roman" w:hAnsi="Times New Roman" w:eastAsia="仿宋_GB2312"/>
          <w:sz w:val="32"/>
          <w:szCs w:val="32"/>
        </w:rPr>
        <w:t>人，</w:t>
      </w:r>
      <w:r>
        <w:rPr>
          <w:rFonts w:hint="eastAsia" w:ascii="Times New Roman" w:hAnsi="Times New Roman" w:eastAsia="仿宋_GB2312"/>
          <w:sz w:val="32"/>
          <w:szCs w:val="32"/>
          <w:lang w:eastAsia="zh-CN"/>
        </w:rPr>
        <w:t>主要</w:t>
      </w:r>
      <w:r>
        <w:rPr>
          <w:rFonts w:hint="eastAsia" w:ascii="Times New Roman" w:hAnsi="Times New Roman" w:eastAsia="仿宋_GB2312"/>
          <w:sz w:val="32"/>
          <w:szCs w:val="32"/>
        </w:rPr>
        <w:t>内容</w:t>
      </w:r>
      <w:r>
        <w:rPr>
          <w:rFonts w:hint="eastAsia" w:ascii="Times New Roman" w:hAnsi="Times New Roman" w:eastAsia="仿宋_GB2312"/>
          <w:sz w:val="32"/>
          <w:szCs w:val="32"/>
          <w:lang w:eastAsia="zh-CN"/>
        </w:rPr>
        <w:t>如下：</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1、事业单位工作人员培训，2.12万元，74人；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2、农产品质量安全检测技能竞赛跟班培训，0.67万元，6人（18天）。</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十一、关于政府采购支出说明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本部门2022年度政府采购支出总额326.08万元，其中：政府采购货物支出326.08 万元、政府采购工程支出0万元、政府采购服务支出0万元。授予中小企业合同金额326.08万元，占政府采购支出总额的100%，其中：授予小微企业合同金额326.08万元，占政府采购支出总额的100%，</w:t>
      </w:r>
      <w:r>
        <w:rPr>
          <w:rFonts w:hint="eastAsia" w:ascii="Times New Roman" w:hAnsi="Times New Roman" w:eastAsia="仿宋_GB2312"/>
          <w:sz w:val="32"/>
          <w:szCs w:val="32"/>
        </w:rPr>
        <w:t>货物采购授予中小企业合同金额占货物支出金额的</w:t>
      </w:r>
      <w:r>
        <w:rPr>
          <w:rFonts w:hint="eastAsia" w:ascii="Times New Roman" w:hAnsi="Times New Roman" w:eastAsia="仿宋_GB2312"/>
          <w:sz w:val="32"/>
          <w:szCs w:val="32"/>
          <w:lang w:val="en-US" w:eastAsia="zh-CN"/>
        </w:rPr>
        <w:t>100</w:t>
      </w:r>
      <w:r>
        <w:rPr>
          <w:rFonts w:hint="eastAsia" w:ascii="Times New Roman" w:hAnsi="Times New Roman" w:eastAsia="仿宋_GB2312"/>
          <w:sz w:val="32"/>
          <w:szCs w:val="32"/>
        </w:rPr>
        <w:t>%</w:t>
      </w:r>
      <w:bookmarkStart w:id="3" w:name="_GoBack"/>
      <w:bookmarkEnd w:id="3"/>
      <w:r>
        <w:rPr>
          <w:rFonts w:hint="eastAsia" w:ascii="Times New Roman" w:hAnsi="Times New Roman" w:eastAsia="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十二、关于国有资产占用情况说明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rPr>
        <w:t>截至202</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年12月31日，本单位共有车辆</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辆，其中，主要领导干部用车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辆，机要通信用车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辆、应急保障用车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辆、执法执勤用车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辆、特种专业技术用车</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rPr>
        <w:t>辆、其他用车</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辆，其他用车主要是</w:t>
      </w:r>
      <w:r>
        <w:rPr>
          <w:rFonts w:hint="eastAsia" w:ascii="Times New Roman" w:hAnsi="Times New Roman" w:eastAsia="仿宋_GB2312"/>
          <w:sz w:val="32"/>
          <w:szCs w:val="32"/>
          <w:lang w:val="en-US" w:eastAsia="zh-CN"/>
        </w:rPr>
        <w:t>业务用车</w:t>
      </w:r>
      <w:r>
        <w:rPr>
          <w:rFonts w:hint="eastAsia" w:ascii="Times New Roman" w:hAnsi="Times New Roman" w:eastAsia="仿宋_GB2312"/>
          <w:sz w:val="32"/>
          <w:szCs w:val="32"/>
        </w:rPr>
        <w:t>；单位价值50万元以上通用设备</w:t>
      </w:r>
      <w:r>
        <w:rPr>
          <w:rFonts w:hint="eastAsia" w:ascii="Times New Roman" w:hAnsi="Times New Roman" w:eastAsia="仿宋_GB2312"/>
          <w:sz w:val="32"/>
          <w:szCs w:val="32"/>
          <w:lang w:val="en-US" w:eastAsia="zh-CN"/>
        </w:rPr>
        <w:t>11</w:t>
      </w:r>
      <w:r>
        <w:rPr>
          <w:rFonts w:hint="eastAsia" w:ascii="Times New Roman" w:hAnsi="Times New Roman" w:eastAsia="仿宋_GB2312"/>
          <w:sz w:val="32"/>
          <w:szCs w:val="32"/>
        </w:rPr>
        <w:t>台（套）；单位价值100万元以上专用设备</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台（套）。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十三、关于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2</w:t>
      </w:r>
      <w:r>
        <w:rPr>
          <w:rFonts w:hint="eastAsia" w:ascii="黑体" w:hAnsi="黑体" w:eastAsia="黑体" w:cs="黑体"/>
          <w:b w:val="0"/>
          <w:bCs/>
          <w:sz w:val="32"/>
          <w:szCs w:val="32"/>
        </w:rPr>
        <w:t>年度预算绩效情况的说明</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pStyle w:val="2"/>
        <w:ind w:left="0" w:leftChars="0" w:firstLine="640" w:firstLineChars="200"/>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2022年度我所总支出4197.92万元，其中：基本支出2197.43万元，项目支出2000.48万元，各项工作稳步推进，为全省水产科研事业发展做出了积极贡献。</w:t>
      </w:r>
    </w:p>
    <w:p>
      <w:pPr>
        <w:pStyle w:val="2"/>
        <w:numPr>
          <w:ilvl w:val="0"/>
          <w:numId w:val="0"/>
        </w:numPr>
        <w:ind w:firstLine="640" w:firstLineChars="200"/>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1、夯实科研基础条件、增强可持续发展能力</w:t>
      </w:r>
    </w:p>
    <w:p>
      <w:pPr>
        <w:pStyle w:val="2"/>
        <w:numPr>
          <w:ilvl w:val="0"/>
          <w:numId w:val="0"/>
        </w:numPr>
        <w:ind w:firstLine="640" w:firstLineChars="200"/>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一是进一步改善科研条件，添置新设备200余万元，建成“零排放”池塘圈养系统1套，建设种业提升工程基础设施。二是进一步拓宽科研平台，成功入选国家种业阵型企业技术支撑单位，与湖南农业大学达成意向联合创办水产学院，与华中农业大学签订实践基地协议。科研条件以及科研平台的搭建，大大提高了本所的科研能力水平，也提高了服务社会的能力。</w:t>
      </w:r>
    </w:p>
    <w:p>
      <w:pPr>
        <w:pStyle w:val="2"/>
        <w:numPr>
          <w:ilvl w:val="0"/>
          <w:numId w:val="0"/>
        </w:numPr>
        <w:ind w:firstLine="640" w:firstLineChars="200"/>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2、提升服务能力</w:t>
      </w:r>
    </w:p>
    <w:p>
      <w:pPr>
        <w:pStyle w:val="2"/>
        <w:numPr>
          <w:ilvl w:val="0"/>
          <w:numId w:val="0"/>
        </w:numPr>
        <w:ind w:firstLine="640" w:firstLineChars="200"/>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今年，我所继续夯实质量检测、鱼病检疫平台，提升服务能力。一是圆满完成33项参数、36个标准方法的扩项工作，通过农产品质量安全检测机构考核、审查、资质认定复查。二是承担省部下达的各项抽查、监测和普查任务3366批次，出具检验报告884份、检测数据71991项次。三是草鱼出血病等9项水生动物疫病检测项目通过了全国水产技术推广总站开展的能力验证工作，获得2023年国家及省级水生动物疫病监测计划相应疫病检测实验室备选资格。3、提升服务保障能力，营造所场良好发展环境。</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3、促进良好社会效应</w:t>
      </w:r>
    </w:p>
    <w:p>
      <w:pPr>
        <w:pStyle w:val="12"/>
        <w:keepNext w:val="0"/>
        <w:keepLines w:val="0"/>
        <w:pageBreakBefore w:val="0"/>
        <w:widowControl w:val="0"/>
        <w:numPr>
          <w:ilvl w:val="0"/>
          <w:numId w:val="0"/>
        </w:numPr>
        <w:kinsoku/>
        <w:wordWrap/>
        <w:overflowPunct/>
        <w:topLinePunct w:val="0"/>
        <w:bidi w:val="0"/>
        <w:snapToGrid/>
        <w:spacing w:line="600" w:lineRule="exact"/>
        <w:ind w:firstLine="640"/>
        <w:jc w:val="left"/>
        <w:textAlignment w:val="auto"/>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一是对标对表中央和省里决策部署，坚决扛稳“守护好一江碧水”“种业创新”“乡村振兴”等政治责任。二是全年2次组织科研人员对“一江一湖四水”水域进行水生生物资源监测，在湘江增殖放流水生生物近4200万尾（只）。三是深入开展“五条鱼”攻关任务，湘华鲮规模化繁苗、小龙虾家系选育、刺鲃人繁实现了突破，鳜饲料驯化、黄鳝人繁科学实验实现了初步成功。四是与津市市、君山区签订战略协议，组织科研人员前往水产养殖重点县开展技术服务，推动渔业发展。</w:t>
      </w:r>
    </w:p>
    <w:p>
      <w:pPr>
        <w:pStyle w:val="12"/>
        <w:numPr>
          <w:ilvl w:val="0"/>
          <w:numId w:val="0"/>
        </w:numPr>
        <w:spacing w:line="600" w:lineRule="exact"/>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cs="黑体"/>
          <w:bCs w:val="0"/>
          <w:color w:val="000000"/>
          <w:kern w:val="0"/>
          <w:sz w:val="32"/>
          <w:szCs w:val="32"/>
          <w:lang w:val="en-US" w:eastAsia="zh-CN" w:bidi="ar-SA"/>
        </w:rPr>
        <w:t>4、</w:t>
      </w:r>
      <w:r>
        <w:rPr>
          <w:rFonts w:hint="eastAsia" w:ascii="Times New Roman" w:hAnsi="Times New Roman" w:eastAsia="仿宋_GB2312"/>
          <w:sz w:val="32"/>
          <w:szCs w:val="32"/>
          <w:lang w:val="en-US" w:eastAsia="zh-CN"/>
        </w:rPr>
        <w:t>促进经济效益提升</w:t>
      </w:r>
    </w:p>
    <w:p>
      <w:pPr>
        <w:pStyle w:val="12"/>
        <w:numPr>
          <w:ilvl w:val="0"/>
          <w:numId w:val="0"/>
        </w:numPr>
        <w:spacing w:line="600" w:lineRule="exact"/>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 xml:space="preserve">   通过增强水产科研力量，提升科研水平，推动我省水产养殖业发展，同时推广水产养殖新模式，推进原种亲本应用更新，提高种苗质量，减少饲料、药物等投入品使用，降低环境污染，促进水产养殖业提质增效，提高了服务对象水产养殖水平，推动经济发展。</w:t>
      </w:r>
    </w:p>
    <w:p>
      <w:pPr>
        <w:pStyle w:val="12"/>
        <w:keepNext w:val="0"/>
        <w:keepLines w:val="0"/>
        <w:pageBreakBefore w:val="0"/>
        <w:widowControl w:val="0"/>
        <w:numPr>
          <w:ilvl w:val="0"/>
          <w:numId w:val="2"/>
        </w:numPr>
        <w:kinsoku/>
        <w:wordWrap/>
        <w:overflowPunct/>
        <w:topLinePunct w:val="0"/>
        <w:bidi w:val="0"/>
        <w:snapToGrid/>
        <w:spacing w:line="600" w:lineRule="exact"/>
        <w:jc w:val="left"/>
        <w:textAlignment w:val="auto"/>
        <w:rPr>
          <w:rFonts w:hint="eastAsia" w:ascii="楷体" w:hAnsi="楷体" w:eastAsia="楷体" w:cs="楷体"/>
          <w:b/>
          <w:bCs/>
          <w:sz w:val="32"/>
          <w:szCs w:val="32"/>
        </w:rPr>
      </w:pPr>
      <w:r>
        <w:rPr>
          <w:rFonts w:hint="eastAsia" w:ascii="楷体" w:hAnsi="楷体" w:eastAsia="楷体" w:cs="楷体"/>
          <w:b/>
          <w:bCs/>
          <w:sz w:val="32"/>
          <w:szCs w:val="32"/>
        </w:rPr>
        <w:t>存在的问题及原因分析</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部分项目资金预算执行率有待提高。2022年一般公共预算项目支出总预算2557.56万元，预算执行1636.10万元，预算执行率63.97%。其中部分项目资金预算执行率低于30%。</w:t>
      </w:r>
    </w:p>
    <w:p>
      <w:pPr>
        <w:pStyle w:val="12"/>
        <w:keepNext w:val="0"/>
        <w:keepLines w:val="0"/>
        <w:pageBreakBefore w:val="0"/>
        <w:widowControl w:val="0"/>
        <w:numPr>
          <w:ilvl w:val="0"/>
          <w:numId w:val="0"/>
        </w:numPr>
        <w:kinsoku/>
        <w:wordWrap/>
        <w:overflowPunct/>
        <w:topLinePunct w:val="0"/>
        <w:bidi w:val="0"/>
        <w:snapToGrid/>
        <w:spacing w:line="600" w:lineRule="exact"/>
        <w:ind w:firstLine="640"/>
        <w:jc w:val="left"/>
        <w:textAlignment w:val="auto"/>
        <w:rPr>
          <w:rFonts w:hint="eastAsia" w:ascii="Times New Roman" w:hAnsi="Times New Roman" w:eastAsia="仿宋_GB2312" w:cs="黑体"/>
          <w:bCs w:val="0"/>
          <w:color w:val="000000"/>
          <w:kern w:val="0"/>
          <w:sz w:val="32"/>
          <w:szCs w:val="32"/>
          <w:lang w:val="en-US" w:eastAsia="zh-CN" w:bidi="ar-SA"/>
        </w:rPr>
      </w:pPr>
      <w:r>
        <w:rPr>
          <w:rFonts w:hint="eastAsia" w:ascii="Times New Roman" w:hAnsi="Times New Roman" w:eastAsia="仿宋_GB2312" w:cs="黑体"/>
          <w:bCs w:val="0"/>
          <w:color w:val="000000"/>
          <w:kern w:val="0"/>
          <w:sz w:val="32"/>
          <w:szCs w:val="32"/>
          <w:lang w:val="en-US" w:eastAsia="zh-CN" w:bidi="ar-SA"/>
        </w:rPr>
        <w:t>原因分析：一是部分项目按照政府采购合同尚未达到资金支付时间；二是部分项目为10月份之后预算追加资金项目。</w:t>
      </w:r>
    </w:p>
    <w:p>
      <w:pPr>
        <w:pStyle w:val="12"/>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（三）下一步改进措施</w:t>
      </w:r>
    </w:p>
    <w:p>
      <w:pPr>
        <w:pStyle w:val="12"/>
        <w:keepNext w:val="0"/>
        <w:keepLines w:val="0"/>
        <w:pageBreakBefore w:val="0"/>
        <w:widowControl w:val="0"/>
        <w:numPr>
          <w:ilvl w:val="0"/>
          <w:numId w:val="0"/>
        </w:numPr>
        <w:kinsoku/>
        <w:wordWrap/>
        <w:overflowPunct/>
        <w:topLinePunct w:val="0"/>
        <w:bidi w:val="0"/>
        <w:snapToGrid/>
        <w:spacing w:line="600" w:lineRule="exact"/>
        <w:ind w:firstLine="640" w:firstLineChars="200"/>
        <w:jc w:val="left"/>
        <w:textAlignment w:val="auto"/>
        <w:rPr>
          <w:rFonts w:hint="eastAsia" w:ascii="Times New Roman" w:hAnsi="Times New Roman" w:eastAsia="仿宋_GB2312"/>
          <w:color w:val="auto"/>
          <w:sz w:val="32"/>
          <w:szCs w:val="32"/>
        </w:rPr>
      </w:pPr>
      <w:r>
        <w:rPr>
          <w:rFonts w:hint="eastAsia" w:ascii="Times New Roman" w:hAnsi="Times New Roman" w:eastAsia="仿宋_GB2312" w:cs="黑体"/>
          <w:bCs w:val="0"/>
          <w:color w:val="000000"/>
          <w:kern w:val="0"/>
          <w:sz w:val="32"/>
          <w:szCs w:val="32"/>
          <w:lang w:val="en-US" w:eastAsia="zh-CN" w:bidi="ar-SA"/>
        </w:rPr>
        <w:t>进一步提高预算资金执行率。</w:t>
      </w:r>
      <w:r>
        <w:rPr>
          <w:rFonts w:hint="eastAsia" w:ascii="Times New Roman" w:hAnsi="Times New Roman" w:eastAsia="仿宋_GB2312"/>
          <w:color w:val="auto"/>
          <w:sz w:val="32"/>
          <w:szCs w:val="32"/>
        </w:rPr>
        <w:t>提高年初预算编制准确性</w:t>
      </w:r>
      <w:r>
        <w:rPr>
          <w:rFonts w:hint="eastAsia" w:ascii="Times New Roman" w:hAnsi="Times New Roman" w:eastAsia="仿宋_GB2312"/>
          <w:color w:val="auto"/>
          <w:sz w:val="32"/>
          <w:szCs w:val="32"/>
          <w:lang w:eastAsia="zh-CN"/>
        </w:rPr>
        <w:t>，</w:t>
      </w:r>
      <w:r>
        <w:rPr>
          <w:rFonts w:hint="eastAsia" w:ascii="Times New Roman" w:hAnsi="Times New Roman" w:eastAsia="仿宋_GB2312" w:cs="黑体"/>
          <w:bCs w:val="0"/>
          <w:color w:val="000000"/>
          <w:kern w:val="0"/>
          <w:sz w:val="32"/>
          <w:szCs w:val="32"/>
          <w:lang w:val="en-US" w:eastAsia="zh-CN" w:bidi="ar-SA"/>
        </w:rPr>
        <w:t>科学合理编制预算执行计划，并将编制责任落实到具体项目组，定期召开预算执行分析会议，分析存在的问题，及时提出改进措施并完成整改，</w:t>
      </w:r>
      <w:r>
        <w:rPr>
          <w:rFonts w:hint="eastAsia" w:ascii="Times New Roman" w:hAnsi="Times New Roman" w:eastAsia="仿宋_GB2312"/>
          <w:color w:val="auto"/>
          <w:sz w:val="32"/>
          <w:szCs w:val="32"/>
        </w:rPr>
        <w:t>从而提高部门整体预算执行率。</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jc w:val="center"/>
        <w:rPr>
          <w:rFonts w:hint="eastAsia" w:ascii="方正小标宋_GBK" w:hAnsi="方正小标宋_GBK" w:eastAsia="方正小标宋_GBK" w:cs="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cs="黑体" w:asciiTheme="minorEastAsia" w:hAnsiTheme="minorEastAsia"/>
          <w:color w:val="000000"/>
          <w:kern w:val="0"/>
          <w:sz w:val="32"/>
          <w:szCs w:val="32"/>
        </w:rPr>
      </w:pPr>
      <w:r>
        <w:br w:type="page"/>
      </w:r>
    </w:p>
    <w:p>
      <w:pPr>
        <w:pStyle w:val="12"/>
        <w:ind w:firstLine="600" w:firstLineChars="20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（一）基</w:t>
      </w:r>
      <w:r>
        <w:rPr>
          <w:rFonts w:ascii="Times New Roman" w:hAnsi="仿宋" w:eastAsia="仿宋" w:cs="Times New Roman"/>
          <w:color w:val="auto"/>
          <w:sz w:val="30"/>
          <w:szCs w:val="30"/>
        </w:rPr>
        <w:t>本支出：指为保障机构正常运转、完成日常工作任务而发生的各项支出，包括人员支出和公用支出。</w:t>
      </w:r>
    </w:p>
    <w:p>
      <w:pPr>
        <w:pStyle w:val="12"/>
        <w:ind w:firstLine="450" w:firstLineChars="15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（二）</w:t>
      </w:r>
      <w:r>
        <w:rPr>
          <w:rFonts w:ascii="Times New Roman" w:hAnsi="仿宋" w:eastAsia="仿宋" w:cs="Times New Roman"/>
          <w:color w:val="auto"/>
          <w:sz w:val="30"/>
          <w:szCs w:val="30"/>
        </w:rPr>
        <w:t xml:space="preserve"> 项目支出：指在基本支出以外为完成相关任务和事业发展目标所发生的各项支出。 </w:t>
      </w:r>
    </w:p>
    <w:p>
      <w:pPr>
        <w:pStyle w:val="12"/>
        <w:ind w:firstLine="450" w:firstLineChars="150"/>
        <w:rPr>
          <w:rFonts w:ascii="Times New Roman" w:hAnsi="仿宋" w:eastAsia="仿宋" w:cs="Times New Roman"/>
          <w:color w:val="auto"/>
          <w:sz w:val="30"/>
          <w:szCs w:val="30"/>
        </w:rPr>
      </w:pPr>
      <w:r>
        <w:rPr>
          <w:rFonts w:hint="eastAsia" w:ascii="Times New Roman" w:hAnsi="仿宋" w:eastAsia="仿宋" w:cs="Times New Roman"/>
          <w:color w:val="auto"/>
          <w:sz w:val="30"/>
          <w:szCs w:val="30"/>
        </w:rPr>
        <w:t>（三）</w:t>
      </w:r>
      <w:r>
        <w:rPr>
          <w:rFonts w:ascii="Times New Roman" w:hAnsi="仿宋" w:eastAsia="仿宋" w:cs="Times New Roman"/>
          <w:color w:val="auto"/>
          <w:sz w:val="30"/>
          <w:szCs w:val="30"/>
        </w:rPr>
        <w:t xml:space="preserve">“三公”经费：指通过财政拨款资金安排的因公出国（境）费、公务用车购置及运行费和公务接待费支出。 </w:t>
      </w:r>
    </w:p>
    <w:p>
      <w:pPr>
        <w:widowControl/>
        <w:ind w:firstLine="300" w:firstLineChars="100"/>
        <w:jc w:val="left"/>
        <w:rPr>
          <w:sz w:val="72"/>
          <w:szCs w:val="72"/>
        </w:rPr>
      </w:pPr>
      <w:r>
        <w:rPr>
          <w:rFonts w:hint="eastAsia" w:ascii="Times New Roman" w:hAnsi="仿宋" w:eastAsia="仿宋" w:cs="Times New Roman"/>
          <w:sz w:val="30"/>
          <w:szCs w:val="30"/>
        </w:rPr>
        <w:t>（四）</w:t>
      </w:r>
      <w:r>
        <w:rPr>
          <w:rFonts w:ascii="Times New Roman" w:hAnsi="仿宋" w:eastAsia="仿宋" w:cs="Times New Roman"/>
          <w:sz w:val="30"/>
          <w:szCs w:val="30"/>
        </w:rPr>
        <w:t>机关运行经费</w:t>
      </w:r>
      <w:r>
        <w:rPr>
          <w:rFonts w:ascii="Times New Roman" w:hAnsi="仿宋" w:eastAsia="仿宋" w:cs="Times New Roman"/>
          <w:color w:val="auto"/>
          <w:kern w:val="0"/>
          <w:sz w:val="30"/>
          <w:szCs w:val="30"/>
          <w:lang w:val="en-US" w:eastAsia="zh-CN" w:bidi="ar-SA"/>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2000000000000000000"/>
    <w:charset w:val="86"/>
    <w:family w:val="auto"/>
    <w:pitch w:val="default"/>
    <w:sig w:usb0="00000000" w:usb1="00000000" w:usb2="00000000" w:usb3="00000000" w:csb0="00000000" w:csb1="00000000"/>
  </w:font>
  <w:font w:name="仿宋_GB2312">
    <w:panose1 w:val="02010609030101010101"/>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50C1DB"/>
    <w:multiLevelType w:val="singleLevel"/>
    <w:tmpl w:val="4450C1D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xM2QyYTRhMDRjZGVlZjY4YmUzZTRkNGRlN2MwMTYifQ=="/>
  </w:docVars>
  <w:rsids>
    <w:rsidRoot w:val="00000000"/>
    <w:rsid w:val="02387EA6"/>
    <w:rsid w:val="02C227B3"/>
    <w:rsid w:val="037C3B5A"/>
    <w:rsid w:val="04A315A4"/>
    <w:rsid w:val="04F42C21"/>
    <w:rsid w:val="0995179F"/>
    <w:rsid w:val="0D136BF4"/>
    <w:rsid w:val="0F4F7A29"/>
    <w:rsid w:val="10AB5B3B"/>
    <w:rsid w:val="169B68D1"/>
    <w:rsid w:val="17D61439"/>
    <w:rsid w:val="1BF173BD"/>
    <w:rsid w:val="1D382E8E"/>
    <w:rsid w:val="1FD43167"/>
    <w:rsid w:val="21CA04DA"/>
    <w:rsid w:val="228F33E5"/>
    <w:rsid w:val="23456E9D"/>
    <w:rsid w:val="23EF7EA6"/>
    <w:rsid w:val="27374977"/>
    <w:rsid w:val="28D305B2"/>
    <w:rsid w:val="2BFD5066"/>
    <w:rsid w:val="2EBF2753"/>
    <w:rsid w:val="318411E1"/>
    <w:rsid w:val="38191965"/>
    <w:rsid w:val="3AF06490"/>
    <w:rsid w:val="3D207A6E"/>
    <w:rsid w:val="411C645D"/>
    <w:rsid w:val="423144BF"/>
    <w:rsid w:val="44200A3F"/>
    <w:rsid w:val="44242F34"/>
    <w:rsid w:val="446161E0"/>
    <w:rsid w:val="478635E2"/>
    <w:rsid w:val="4A9740ED"/>
    <w:rsid w:val="4CE96A55"/>
    <w:rsid w:val="4E96720F"/>
    <w:rsid w:val="50B14BBB"/>
    <w:rsid w:val="52DC7477"/>
    <w:rsid w:val="53C83513"/>
    <w:rsid w:val="54EE5985"/>
    <w:rsid w:val="59DC31C9"/>
    <w:rsid w:val="5BDB4013"/>
    <w:rsid w:val="5D116AF7"/>
    <w:rsid w:val="5D400050"/>
    <w:rsid w:val="5DBA3851"/>
    <w:rsid w:val="5F747440"/>
    <w:rsid w:val="60C52C00"/>
    <w:rsid w:val="618A317B"/>
    <w:rsid w:val="63AD2DC5"/>
    <w:rsid w:val="675A043F"/>
    <w:rsid w:val="67A72BE6"/>
    <w:rsid w:val="67E83121"/>
    <w:rsid w:val="6C1D5E9D"/>
    <w:rsid w:val="6D312D05"/>
    <w:rsid w:val="6D751EFD"/>
    <w:rsid w:val="6F434F8D"/>
    <w:rsid w:val="71AF7206"/>
    <w:rsid w:val="723549E3"/>
    <w:rsid w:val="748B33D5"/>
    <w:rsid w:val="7864737A"/>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60" w:lineRule="exact"/>
      <w:ind w:left="200" w:leftChars="200"/>
      <w:outlineLvl w:val="0"/>
    </w:pPr>
    <w:rPr>
      <w:rFonts w:eastAsia="黑体"/>
      <w:bCs/>
      <w:kern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qFormat/>
    <w:uiPriority w:val="99"/>
    <w:pPr>
      <w:spacing w:line="540" w:lineRule="exact"/>
      <w:ind w:firstLine="645"/>
    </w:pPr>
    <w:rPr>
      <w:rFonts w:ascii="楷体_GB2312" w:hAnsi="Times New Roman" w:eastAsia="楷体_GB2312" w:cs="Times New Roman"/>
      <w:sz w:val="32"/>
      <w:szCs w:val="24"/>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greatwall</cp:lastModifiedBy>
  <cp:revision>67</cp:revision>
  <cp:lastPrinted>2023-08-15T09:28:45Z</cp:lastPrinted>
  <dcterms:created xsi:type="dcterms:W3CDTF">2020-07-04T18:32:00Z</dcterms:created>
  <dcterms:modified xsi:type="dcterms:W3CDTF">2023-08-15T09:28:46Z</dcterms:modified>
</cp:coreProperties>
</file>

<file path=customXml/item3.xml><?xml version="1.0" encoding="utf-8"?>
<Properties xmlns:vt="http://schemas.openxmlformats.org/officeDocument/2006/docPropsVTypes" xmlns="http://schemas.openxmlformats.org/officeDocument/2006/extended-properties">
  <Template>Normal</Template>
  <TotalTime>37</TotalTime>
  <Pages>24</Pages>
  <Words>1347</Words>
  <Characters>7679</Characters>
  <Application>WPS Office_11.8.2.10125_F1E327BC-269C-435d-A152-05C5408002CA</Application>
  <DocSecurity>0</DocSecurity>
  <Lines>63</Lines>
  <Paragraphs>18</Paragraphs>
  <Company>Microsoft</Company>
  <CharactersWithSpaces>9008</CharactersWithSpaces>
  <AppVersion>14.0000</AppVersion>
</Properties>
</file>

<file path=customXml/item4.xml><?xml version="1.0" encoding="utf-8"?>
<Properties xmlns:vt="http://schemas.openxmlformats.org/officeDocument/2006/docPropsVTypes" xmlns="http://schemas.openxmlformats.org/officeDocument/2006/custom-properties">
  <property fmtid="{D5CDD505-2E9C-101B-9397-08002B2CF9AE}" pid="2" name="KSOProductBuildVer">
    <vt:lpstr>2052-11.8.2.10125</vt:lpstr>
  </property>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6.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greatwall</cp:lastModifiedBy>
  <cp:lastPrinted>2023-08-15T09:28:45Z</cp:lastPrinted>
  <dcterms:modified xsi:type="dcterms:W3CDTF">2023-08-15T09:28:46Z</dcterms:modified>
  <cp:revision>67</cp:revision>
</cp:coreProperties>
</file>

<file path=customXml/item8.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

<file path=customXml/item9.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37</TotalTime>
  <ScaleCrop>false</ScaleCrop>
  <LinksUpToDate>false</LinksUpToDate>
  <CharactersWithSpaces>9008</CharactersWithSpaces>
  <Application>WPS Office_11.8.2.10125_F1E327BC-269C-435d-A152-05C5408002CA</Application>
  <DocSecurity>0</DocSecuri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a4f96213-d7c9-44e4-900d-8f7ad3527704}">
  <ds:schemaRefs/>
</ds:datastoreItem>
</file>

<file path=customXml/itemProps2.xml><?xml version="1.0" encoding="utf-8"?>
<ds:datastoreItem xmlns:ds="http://schemas.openxmlformats.org/officeDocument/2006/customXml" ds:itemID="{58ab7cc9-2256-4894-b5b3-d20c1bfa6a18}">
  <ds:schemaRefs/>
</ds:datastoreItem>
</file>

<file path=customXml/itemProps3.xml><?xml version="1.0" encoding="utf-8"?>
<ds:datastoreItem xmlns:ds="http://schemas.openxmlformats.org/officeDocument/2006/customXml" ds:itemID="{a6b797da-989e-4bd4-923f-8861424b869e}">
  <ds:schemaRefs/>
</ds:datastoreItem>
</file>

<file path=customXml/itemProps4.xml><?xml version="1.0" encoding="utf-8"?>
<ds:datastoreItem xmlns:ds="http://schemas.openxmlformats.org/officeDocument/2006/customXml" ds:itemID="{755f4dde-9389-4beb-a38c-f6aa9bfd3740}">
  <ds:schemaRefs/>
</ds:datastoreItem>
</file>

<file path=customXml/itemProps5.xml><?xml version="1.0" encoding="utf-8"?>
<ds:datastoreItem xmlns:ds="http://schemas.openxmlformats.org/officeDocument/2006/customXml" ds:itemID="{1aec469d-1342-4b55-86a5-65030a8bbd2e}">
  <ds:schemaRefs/>
</ds:datastoreItem>
</file>

<file path=customXml/itemProps6.xml><?xml version="1.0" encoding="utf-8"?>
<ds:datastoreItem xmlns:ds="http://schemas.openxmlformats.org/officeDocument/2006/customXml" ds:itemID="{d8900751-3ba6-497d-901c-6f3dd39dc394}">
  <ds:schemaRefs/>
</ds:datastoreItem>
</file>

<file path=customXml/itemProps7.xml><?xml version="1.0" encoding="utf-8"?>
<ds:datastoreItem xmlns:ds="http://schemas.openxmlformats.org/officeDocument/2006/customXml" ds:itemID="{179980d8-474e-48e7-a471-6a1e2baea1eb}">
  <ds:schemaRefs/>
</ds:datastoreItem>
</file>

<file path=customXml/itemProps8.xml><?xml version="1.0" encoding="utf-8"?>
<ds:datastoreItem xmlns:ds="http://schemas.openxmlformats.org/officeDocument/2006/customXml" ds:itemID="{c055db81-0c45-4f8a-8eb8-fc00dfdf4cc8}">
  <ds:schemaRefs/>
</ds:datastoreItem>
</file>

<file path=customXml/itemProps9.xml><?xml version="1.0" encoding="utf-8"?>
<ds:datastoreItem xmlns:ds="http://schemas.openxmlformats.org/officeDocument/2006/customXml" ds:itemID="{204ecf2b-9d55-42b7-ad03-aef798e1a78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1347</Words>
  <Characters>7679</Characters>
  <Lines>63</Lines>
  <Paragraphs>18</Paragraphs>
  <TotalTime>0</TotalTime>
  <ScaleCrop>false</ScaleCrop>
  <LinksUpToDate>false</LinksUpToDate>
  <CharactersWithSpaces>9008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ok</cp:lastModifiedBy>
  <cp:lastPrinted>2023-08-15T09:28:00Z</cp:lastPrinted>
  <dcterms:modified xsi:type="dcterms:W3CDTF">2023-11-01T13:25:59Z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98B44C680ADC4A87A21445D3D40BBD5D_12</vt:lpwstr>
  </property>
</Properties>
</file>