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湖南省种子质量检测中心</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湖南省种子质量检测中心</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湖南省种子质量检测中心</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pStyle w:val="13"/>
        <w:numPr>
          <w:ilvl w:val="0"/>
          <w:numId w:val="0"/>
        </w:numPr>
        <w:ind w:leftChars="0"/>
        <w:jc w:val="left"/>
        <w:rPr>
          <w:rFonts w:hint="eastAsia" w:ascii="黑体" w:hAnsi="黑体" w:eastAsia="黑体" w:cs="黑体"/>
          <w:b w:val="0"/>
          <w:bCs w:val="0"/>
          <w:sz w:val="32"/>
          <w:szCs w:val="32"/>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一是承担农业农村部和省农业农村厅下达的农作物种子质量监督抽查的检验工作；二是负责农作物种子检验技术的研究和创新；三是接受司法、公安、工商等部门的委托，检验农作物种子质量，承担农作物种子纯度种植鉴定和组织种子质量纠纷田间现场鉴定工作；四是接受种子生产经营单位和个人的委托，检验农作物种子质量；六是负责培训种子检验技术人员。</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snapToGrid w:val="0"/>
        <w:spacing w:line="520" w:lineRule="exact"/>
        <w:ind w:firstLine="640" w:firstLineChars="200"/>
        <w:rPr>
          <w:rFonts w:hint="eastAsia" w:ascii="仿宋" w:hAnsi="仿宋" w:eastAsia="仿宋"/>
          <w:color w:val="auto"/>
          <w:sz w:val="32"/>
          <w:szCs w:val="32"/>
          <w:lang w:val="en-US" w:eastAsia="zh-CN"/>
        </w:rPr>
      </w:pPr>
      <w:r>
        <w:rPr>
          <w:rFonts w:hint="eastAsia" w:ascii="Times New Roman" w:hAnsi="Times New Roman" w:eastAsia="仿宋_GB2312" w:cs="仿宋_GB2312"/>
          <w:bCs/>
          <w:kern w:val="0"/>
          <w:sz w:val="32"/>
          <w:szCs w:val="32"/>
        </w:rPr>
        <w:t>（一）内设机构设置。</w:t>
      </w:r>
      <w:r>
        <w:rPr>
          <w:rFonts w:hint="eastAsia" w:ascii="仿宋" w:hAnsi="仿宋" w:eastAsia="仿宋"/>
          <w:color w:val="auto"/>
          <w:sz w:val="32"/>
          <w:szCs w:val="32"/>
          <w:lang w:val="en-US" w:eastAsia="zh-CN"/>
        </w:rPr>
        <w:t>湖南省种子质量检测中心内设机构包括：</w:t>
      </w:r>
      <w:r>
        <w:rPr>
          <w:rFonts w:hint="eastAsia" w:ascii="仿宋_GB2312" w:hAnsi="黑体" w:eastAsia="仿宋_GB2312" w:cs="Times New Roman"/>
          <w:color w:val="auto"/>
          <w:kern w:val="2"/>
          <w:sz w:val="32"/>
          <w:szCs w:val="32"/>
          <w:lang w:val="en-US" w:eastAsia="zh-CN" w:bidi="ar-SA"/>
        </w:rPr>
        <w:t>业务科、综合财务科、检验科3个内部机构。</w:t>
      </w:r>
    </w:p>
    <w:p>
      <w:pPr>
        <w:widowControl/>
        <w:spacing w:line="600" w:lineRule="exact"/>
        <w:ind w:firstLine="640" w:firstLineChars="200"/>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w:t>
      </w:r>
      <w:r>
        <w:rPr>
          <w:rFonts w:hint="eastAsia" w:ascii="仿宋" w:hAnsi="仿宋" w:eastAsia="仿宋"/>
          <w:color w:val="auto"/>
          <w:sz w:val="32"/>
          <w:szCs w:val="32"/>
          <w:lang w:val="en-US" w:eastAsia="zh-CN"/>
        </w:rPr>
        <w:t>湖南省种子质量检测中心</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仿宋" w:hAnsi="仿宋" w:eastAsia="仿宋"/>
          <w:color w:val="auto"/>
          <w:sz w:val="32"/>
          <w:szCs w:val="32"/>
          <w:lang w:val="en-US" w:eastAsia="zh-CN"/>
        </w:rPr>
        <w:t>湖南省种子质量检测中心</w:t>
      </w:r>
      <w:r>
        <w:rPr>
          <w:rFonts w:hint="eastAsia" w:ascii="Times New Roman" w:hAnsi="Times New Roman" w:eastAsia="仿宋_GB2312" w:cs="仿宋_GB2312"/>
          <w:bCs/>
          <w:kern w:val="0"/>
          <w:sz w:val="32"/>
          <w:szCs w:val="32"/>
        </w:rPr>
        <w:t>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770745" cy="6062345"/>
            <wp:effectExtent l="0" t="0" r="8255"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9770745" cy="6062345"/>
                    </a:xfrm>
                    <a:prstGeom prst="rect">
                      <a:avLst/>
                    </a:prstGeom>
                    <a:noFill/>
                    <a:ln>
                      <a:noFill/>
                    </a:ln>
                  </pic:spPr>
                </pic:pic>
              </a:graphicData>
            </a:graphic>
          </wp:inline>
        </w:drawing>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69475" cy="4392295"/>
            <wp:effectExtent l="0" t="0" r="9525"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9769475" cy="4392295"/>
                    </a:xfrm>
                    <a:prstGeom prst="rect">
                      <a:avLst/>
                    </a:prstGeom>
                    <a:noFill/>
                    <a:ln>
                      <a:noFill/>
                    </a:ln>
                  </pic:spPr>
                </pic:pic>
              </a:graphicData>
            </a:graphic>
          </wp:inline>
        </w:drawing>
      </w:r>
      <w:r>
        <w:drawing>
          <wp:inline distT="0" distB="0" distL="114300" distR="114300">
            <wp:extent cx="9150350" cy="477520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9150350" cy="4775200"/>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r>
        <w:drawing>
          <wp:inline distT="0" distB="0" distL="114300" distR="114300">
            <wp:extent cx="8453120" cy="6656705"/>
            <wp:effectExtent l="0" t="0" r="5080" b="1079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8453120" cy="6656705"/>
                    </a:xfrm>
                    <a:prstGeom prst="rect">
                      <a:avLst/>
                    </a:prstGeom>
                    <a:noFill/>
                    <a:ln>
                      <a:noFill/>
                    </a:ln>
                  </pic:spPr>
                </pic:pic>
              </a:graphicData>
            </a:graphic>
          </wp:inline>
        </w:drawing>
      </w:r>
      <w:r>
        <w:drawing>
          <wp:inline distT="0" distB="0" distL="114300" distR="114300">
            <wp:extent cx="8566150" cy="4946650"/>
            <wp:effectExtent l="0" t="0" r="635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8566150" cy="4946650"/>
                    </a:xfrm>
                    <a:prstGeom prst="rect">
                      <a:avLst/>
                    </a:prstGeom>
                    <a:noFill/>
                    <a:ln>
                      <a:noFill/>
                    </a:ln>
                  </pic:spPr>
                </pic:pic>
              </a:graphicData>
            </a:graphic>
          </wp:inline>
        </w:drawing>
      </w:r>
      <w:r>
        <w:drawing>
          <wp:inline distT="0" distB="0" distL="114300" distR="114300">
            <wp:extent cx="9776460" cy="6128385"/>
            <wp:effectExtent l="0" t="0" r="254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776460" cy="6128385"/>
                    </a:xfrm>
                    <a:prstGeom prst="rect">
                      <a:avLst/>
                    </a:prstGeom>
                    <a:noFill/>
                    <a:ln>
                      <a:noFill/>
                    </a:ln>
                  </pic:spPr>
                </pic:pic>
              </a:graphicData>
            </a:graphic>
          </wp:inline>
        </w:drawing>
      </w: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bookmarkEnd w:id="1"/>
    <w:p>
      <w:pPr>
        <w:widowControl/>
        <w:jc w:val="left"/>
        <w:rPr>
          <w:rFonts w:ascii="Times New Roman" w:hAnsi="Times New Roman" w:eastAsia="仿宋_GB2312" w:cs="Times New Roman"/>
          <w:bCs/>
          <w:kern w:val="0"/>
          <w:szCs w:val="21"/>
        </w:rPr>
      </w:pPr>
    </w:p>
    <w:tbl>
      <w:tblPr>
        <w:tblStyle w:val="7"/>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widowControl/>
              <w:jc w:val="left"/>
              <w:rPr>
                <w:rFonts w:hint="eastAsia" w:ascii="华文中宋" w:hAnsi="华文中宋" w:eastAsia="华文中宋" w:cs="华文中宋"/>
                <w:i w:val="0"/>
                <w:color w:val="000000"/>
                <w:kern w:val="0"/>
                <w:sz w:val="32"/>
                <w:szCs w:val="32"/>
                <w:u w:val="none"/>
                <w:lang w:val="en-US" w:eastAsia="zh-CN"/>
              </w:rPr>
            </w:pPr>
            <w:r>
              <w:br w:type="page"/>
            </w: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部门：湖南省种子质量检测中心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5"/>
                <w:lang w:val="en-US" w:eastAsia="zh-CN"/>
              </w:rPr>
              <w:t xml:space="preserve">   </w:t>
            </w:r>
            <w:r>
              <w:rPr>
                <w:rStyle w:val="16"/>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7"/>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部门：湖南省种子质量检测中心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7"/>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7"/>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部门：湖南省种子质量检测中心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700.82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7.30</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1.03</w:t>
      </w:r>
      <w:r>
        <w:rPr>
          <w:rFonts w:hint="eastAsia" w:ascii="Times New Roman" w:hAnsi="Times New Roman" w:eastAsia="仿宋_GB2312"/>
          <w:sz w:val="32"/>
          <w:szCs w:val="32"/>
        </w:rPr>
        <w:t>%，主要是因</w:t>
      </w:r>
      <w:r>
        <w:rPr>
          <w:rFonts w:hint="eastAsia" w:ascii="Times New Roman" w:hAnsi="Times New Roman" w:eastAsia="仿宋_GB2312"/>
          <w:sz w:val="32"/>
          <w:szCs w:val="32"/>
          <w:lang w:val="en-US" w:eastAsia="zh-CN"/>
        </w:rPr>
        <w:t>为上年结转结余减少。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637.99</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637.99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453.19</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241.36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53.26</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211.83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46.74</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700.62</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2.30</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0.33</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年中追加绩效奖金。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452.99</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99.96</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127.23</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21.93</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项目跨年实施，政府采购项目未完成，导致项目支出减少。</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452.99</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12.80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2.83</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423.39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93.47</w:t>
      </w:r>
      <w:r>
        <w:rPr>
          <w:rFonts w:hint="eastAsia" w:ascii="Times New Roman" w:hAnsi="Times New Roman" w:eastAsia="仿宋_GB2312"/>
          <w:sz w:val="32"/>
          <w:szCs w:val="32"/>
        </w:rPr>
        <w:t>%;住房保障（类）支出</w:t>
      </w:r>
      <w:r>
        <w:rPr>
          <w:rFonts w:hint="eastAsia" w:ascii="Times New Roman" w:hAnsi="Times New Roman" w:eastAsia="仿宋_GB2312"/>
          <w:sz w:val="32"/>
          <w:szCs w:val="32"/>
          <w:lang w:val="en-US" w:eastAsia="zh-CN"/>
        </w:rPr>
        <w:t>16.80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3.71</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658.74</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452.99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68.76</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12.80</w:t>
      </w:r>
      <w:r>
        <w:rPr>
          <w:rFonts w:hint="eastAsia" w:ascii="Times New Roman" w:hAnsi="Times New Roman" w:eastAsia="仿宋_GB2312"/>
          <w:sz w:val="32"/>
          <w:szCs w:val="32"/>
        </w:rPr>
        <w:t>万元，支出决算</w:t>
      </w:r>
      <w:r>
        <w:rPr>
          <w:rFonts w:hint="eastAsia" w:ascii="Times New Roman" w:hAnsi="Times New Roman" w:eastAsia="仿宋_GB2312"/>
          <w:sz w:val="32"/>
          <w:szCs w:val="32"/>
          <w:lang w:val="en-US" w:eastAsia="zh-CN"/>
        </w:rPr>
        <w:t>12.80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2、农林水（类）农业农村（款）</w:t>
      </w:r>
      <w:r>
        <w:rPr>
          <w:rFonts w:hint="eastAsia" w:ascii="Times New Roman" w:hAnsi="Times New Roman" w:eastAsia="仿宋_GB2312"/>
          <w:sz w:val="32"/>
          <w:szCs w:val="32"/>
          <w:lang w:val="en-US" w:eastAsia="zh-CN"/>
        </w:rPr>
        <w:t>行政</w:t>
      </w:r>
      <w:r>
        <w:rPr>
          <w:rFonts w:hint="eastAsia" w:ascii="Times New Roman" w:hAnsi="Times New Roman" w:eastAsia="仿宋_GB2312"/>
          <w:sz w:val="32"/>
          <w:szCs w:val="32"/>
        </w:rPr>
        <w:t>运行（项）。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5.53</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年中追加人员经费。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w:t>
      </w:r>
      <w:r>
        <w:rPr>
          <w:rFonts w:hint="eastAsia" w:ascii="Times New Roman" w:hAnsi="Times New Roman" w:eastAsia="仿宋_GB2312"/>
          <w:sz w:val="32"/>
          <w:szCs w:val="32"/>
          <w:lang w:val="en-US" w:eastAsia="zh-CN"/>
        </w:rPr>
        <w:t>机关服务</w:t>
      </w:r>
      <w:r>
        <w:rPr>
          <w:rFonts w:hint="eastAsia" w:ascii="Times New Roman" w:hAnsi="Times New Roman" w:eastAsia="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20.90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20.40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97.60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公务接待费未使用形成结余。</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农林水（类）农业农村（款）事业运行（项）。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215.31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185.83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86.30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绩效工资跨年发放。</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、农林水（类）农业农村（款）科技转化与推广服务（项）。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41.00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、农林水（类）农业农村（款）农产品质量安全（项）。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20.00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年中追加项目资金。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、农林水（类）农业农村（款）执法监管（项）。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340.63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140.63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41.28</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项目跨年实施，政府采购项目未完成。</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、农林水（类）农业农村（款）农业生产发展（项）。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10.00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、住房保障（类）住房改革支出（款）住房公积金（项）。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18.10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16.80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92.81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人员支出执行中与年初测算有一定差异。</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241.36</w:t>
      </w:r>
      <w:r>
        <w:rPr>
          <w:rFonts w:hint="eastAsia" w:ascii="Times New Roman" w:hAnsi="Times New Roman" w:eastAsia="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220.96</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91.55</w:t>
      </w:r>
      <w:r>
        <w:rPr>
          <w:rFonts w:hint="eastAsia" w:ascii="Times New Roman" w:hAnsi="Times New Roman" w:eastAsia="仿宋_GB2312"/>
          <w:sz w:val="32"/>
          <w:szCs w:val="32"/>
        </w:rPr>
        <w:t>%,主要包括基本工资、津贴补贴、伙食补助费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绩效工资</w:t>
      </w:r>
      <w:r>
        <w:rPr>
          <w:rFonts w:hint="eastAsia" w:ascii="Times New Roman" w:hAnsi="Times New Roman" w:eastAsia="仿宋_GB2312"/>
          <w:sz w:val="32"/>
          <w:szCs w:val="32"/>
          <w:lang w:eastAsia="zh-CN"/>
        </w:rPr>
        <w:t>、机关事业单位基本养老保险缴费、职工基本医疗保险缴费、其他社会保障缴费、住房公积金、抚恤金、生活补助、奖励金</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20.40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8.45</w:t>
      </w:r>
      <w:r>
        <w:rPr>
          <w:rFonts w:hint="eastAsia" w:ascii="Times New Roman" w:hAnsi="Times New Roman" w:eastAsia="仿宋_GB2312"/>
          <w:sz w:val="32"/>
          <w:szCs w:val="32"/>
        </w:rPr>
        <w:t>%，主要包括办公费、印刷费、咨询费、</w:t>
      </w:r>
      <w:r>
        <w:rPr>
          <w:rFonts w:hint="eastAsia" w:ascii="Times New Roman" w:hAnsi="Times New Roman" w:eastAsia="仿宋_GB2312"/>
          <w:sz w:val="32"/>
          <w:szCs w:val="32"/>
          <w:lang w:val="en-US" w:eastAsia="zh-CN"/>
        </w:rPr>
        <w:t>电费、邮电费、差旅费、工会经费、福利费、其他交通费用等</w:t>
      </w:r>
      <w:r>
        <w:rPr>
          <w:rFonts w:hint="eastAsia" w:ascii="Times New Roman" w:hAnsi="Times New Roman" w:eastAsia="仿宋_GB2312"/>
          <w:sz w:val="32"/>
          <w:szCs w:val="32"/>
        </w:rPr>
        <w:t>。</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0.50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0.50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val="en-US" w:eastAsia="zh-CN"/>
        </w:rPr>
        <w:t>严控公务接待费支出，本年未安排公务接待</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0.09</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严控公务接待费支出，本年未安排公务接待</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本</w:t>
      </w:r>
      <w:r>
        <w:rPr>
          <w:rFonts w:hint="eastAsia" w:ascii="Times New Roman" w:hAnsi="Times New Roman" w:eastAsia="仿宋_GB2312"/>
          <w:sz w:val="32"/>
          <w:szCs w:val="32"/>
        </w:rPr>
        <w:t>单位更新公务用车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cstheme="minorBidi"/>
          <w:color w:val="auto"/>
          <w:kern w:val="2"/>
          <w:sz w:val="32"/>
          <w:szCs w:val="32"/>
          <w:lang w:val="en-US" w:eastAsia="zh-CN" w:bidi="ar-SA"/>
        </w:rPr>
        <w:t>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w:t>
      </w:r>
      <w:r>
        <w:rPr>
          <w:rFonts w:hint="eastAsia" w:ascii="Times New Roman" w:hAnsi="Times New Roman" w:eastAsia="仿宋_GB2312"/>
          <w:sz w:val="32"/>
          <w:szCs w:val="32"/>
          <w:lang w:val="en-US" w:eastAsia="zh-CN"/>
        </w:rPr>
        <w:t>无</w:t>
      </w:r>
      <w:r>
        <w:rPr>
          <w:rFonts w:hint="eastAsia" w:ascii="Times New Roman" w:hAnsi="Times New Roman" w:eastAsia="仿宋_GB2312"/>
          <w:sz w:val="32"/>
          <w:szCs w:val="32"/>
        </w:rPr>
        <w:t>机关运行经费支出。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0.26</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val="en-US" w:eastAsia="zh-CN"/>
        </w:rPr>
        <w:t>事业单位人员</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val="en-US" w:eastAsia="zh-CN"/>
        </w:rPr>
        <w:t>事业单位人员培训</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13.35</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10.25</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3.10</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13.35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13.35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bookmarkStart w:id="2" w:name="_GoBack"/>
      <w:bookmarkEnd w:id="2"/>
      <w:r>
        <w:rPr>
          <w:rFonts w:hint="eastAsia" w:ascii="Times New Roman" w:hAnsi="Times New Roman" w:eastAsia="仿宋_GB2312"/>
          <w:sz w:val="32"/>
          <w:szCs w:val="32"/>
        </w:rPr>
        <w:t>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我单位2022年人员经费预算数268.09万元，决算数220.96万元，公用经费数20.90万元，决算数20.40万元，均控制在预算范围内。</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0.50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均控制在</w:t>
      </w:r>
      <w:r>
        <w:rPr>
          <w:rFonts w:hint="eastAsia" w:ascii="Times New Roman" w:hAnsi="Times New Roman" w:eastAsia="仿宋_GB2312"/>
          <w:color w:val="auto"/>
          <w:sz w:val="32"/>
          <w:szCs w:val="32"/>
          <w:lang w:val="en-US" w:eastAsia="zh-CN"/>
        </w:rPr>
        <w:t>预算范围内。</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会议费预算0万元，培训费预算5万元，决算0.26万元，均控制在预算范围内。</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p>
    <w:p>
      <w:pPr>
        <w:numPr>
          <w:ilvl w:val="0"/>
          <w:numId w:val="0"/>
        </w:numPr>
        <w:adjustRightInd w:val="0"/>
        <w:snapToGrid w:val="0"/>
        <w:spacing w:line="600" w:lineRule="exact"/>
        <w:ind w:left="630" w:leftChars="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一是加强思想政治学习，全面落实党风廉政建设要求</w:t>
      </w:r>
    </w:p>
    <w:p>
      <w:pPr>
        <w:adjustRightInd w:val="0"/>
        <w:snapToGrid w:val="0"/>
        <w:spacing w:line="600" w:lineRule="exact"/>
        <w:ind w:firstLine="640" w:firstLineChars="20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2022年中心认真学习习近平总书记关于加强党的建设系列重要讲话精神，以高度的政治自觉和行动自觉，严格落实党内政治生活，持续深入开展党史学习教育活动，认真组织收看收听和学习习近平在中国共产党第二十次全国代表大会报告，扎扎实实学习了《党的二十大报告学习辅导百问》、《二十大党章修正案学习问答》、《党的二十大文件汇编》、《党的二十大精神应知应会300题》，认真学习习近平总书记论“三农”工作和“谈治国理政”第四卷。二是强化安全生产工作，确保全年平安建设无虞。三是落实意识形态责任，确保中心阵地正常化。</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、履职效能</w:t>
      </w:r>
    </w:p>
    <w:p>
      <w:pPr>
        <w:spacing w:line="640" w:lineRule="exact"/>
        <w:ind w:firstLine="640" w:firstLineChars="200"/>
        <w:rPr>
          <w:rFonts w:hint="eastAsia" w:ascii="仿宋" w:hAnsi="仿宋" w:eastAsia="仿宋"/>
          <w:bCs/>
          <w:sz w:val="32"/>
          <w:szCs w:val="32"/>
        </w:rPr>
      </w:pPr>
      <w:r>
        <w:rPr>
          <w:rFonts w:hint="eastAsia" w:ascii="仿宋" w:hAnsi="仿宋" w:eastAsia="仿宋"/>
          <w:bCs/>
          <w:sz w:val="32"/>
          <w:szCs w:val="32"/>
        </w:rPr>
        <w:t>2022年，我中心按照《湖南省农业农业村办公室关于印发&lt;2022-2023年湖南省种业市场监管工作方案&gt;的通知》（湘农办发〔2022〕10号）的要求开展种子质量检验检测，全力以赴做好本职范围的工作。</w:t>
      </w:r>
    </w:p>
    <w:p>
      <w:pPr>
        <w:spacing w:line="640" w:lineRule="exact"/>
        <w:ind w:firstLine="640" w:firstLineChars="200"/>
        <w:rPr>
          <w:rFonts w:ascii="仿宋" w:hAnsi="仿宋" w:eastAsia="仿宋"/>
          <w:bCs/>
          <w:sz w:val="32"/>
          <w:szCs w:val="32"/>
        </w:rPr>
      </w:pPr>
      <w:r>
        <w:rPr>
          <w:rFonts w:hint="eastAsia" w:ascii="仿宋" w:hAnsi="仿宋" w:eastAsia="仿宋"/>
          <w:sz w:val="32"/>
          <w:szCs w:val="32"/>
          <w:lang w:eastAsia="zh-CN"/>
        </w:rPr>
        <w:t>（</w:t>
      </w:r>
      <w:r>
        <w:rPr>
          <w:rFonts w:hint="eastAsia" w:ascii="仿宋" w:hAnsi="仿宋" w:eastAsia="仿宋"/>
          <w:bCs/>
          <w:sz w:val="32"/>
          <w:szCs w:val="32"/>
        </w:rPr>
        <w:t>1</w:t>
      </w:r>
      <w:r>
        <w:rPr>
          <w:rFonts w:hint="eastAsia" w:ascii="仿宋" w:hAnsi="仿宋" w:eastAsia="仿宋"/>
          <w:bCs/>
          <w:sz w:val="32"/>
          <w:szCs w:val="32"/>
          <w:lang w:eastAsia="zh-CN"/>
        </w:rPr>
        <w:t>）</w:t>
      </w:r>
      <w:r>
        <w:rPr>
          <w:rFonts w:hint="eastAsia" w:ascii="仿宋" w:hAnsi="仿宋" w:eastAsia="仿宋"/>
          <w:bCs/>
          <w:sz w:val="32"/>
          <w:szCs w:val="32"/>
        </w:rPr>
        <w:t>完成了</w:t>
      </w:r>
      <w:r>
        <w:rPr>
          <w:rFonts w:ascii="仿宋" w:hAnsi="仿宋" w:eastAsia="仿宋"/>
          <w:bCs/>
          <w:sz w:val="32"/>
          <w:szCs w:val="32"/>
        </w:rPr>
        <w:t>20</w:t>
      </w:r>
      <w:r>
        <w:rPr>
          <w:rFonts w:hint="eastAsia" w:ascii="仿宋" w:hAnsi="仿宋" w:eastAsia="仿宋"/>
          <w:bCs/>
          <w:sz w:val="32"/>
          <w:szCs w:val="32"/>
        </w:rPr>
        <w:t>21-2022年度海南纯度种植鉴定工作</w:t>
      </w:r>
    </w:p>
    <w:p>
      <w:pPr>
        <w:spacing w:line="640" w:lineRule="exact"/>
        <w:ind w:firstLine="640" w:firstLineChars="200"/>
        <w:rPr>
          <w:rFonts w:hint="eastAsia" w:ascii="仿宋" w:hAnsi="仿宋" w:eastAsia="仿宋"/>
          <w:sz w:val="32"/>
          <w:szCs w:val="32"/>
        </w:rPr>
      </w:pPr>
      <w:r>
        <w:rPr>
          <w:rFonts w:hint="eastAsia" w:ascii="仿宋" w:hAnsi="仿宋" w:eastAsia="仿宋"/>
          <w:sz w:val="32"/>
          <w:szCs w:val="32"/>
        </w:rPr>
        <w:t>2022年1月-5月完成定期检验海南种植鉴定样品673个(其中508个杂交水稻种子样品、134个亲本种子和常规水稻种子样品、8个玉米种子样品）。水稻品种纯度比对种子样品23个。</w:t>
      </w:r>
    </w:p>
    <w:p>
      <w:pPr>
        <w:spacing w:line="640" w:lineRule="exact"/>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2</w:t>
      </w:r>
      <w:r>
        <w:rPr>
          <w:rFonts w:hint="eastAsia" w:ascii="仿宋" w:hAnsi="仿宋" w:eastAsia="仿宋"/>
          <w:bCs/>
          <w:sz w:val="32"/>
          <w:szCs w:val="32"/>
          <w:lang w:eastAsia="zh-CN"/>
        </w:rPr>
        <w:t>）</w:t>
      </w:r>
      <w:r>
        <w:rPr>
          <w:rFonts w:hint="eastAsia" w:ascii="仿宋" w:hAnsi="仿宋" w:eastAsia="仿宋"/>
          <w:sz w:val="32"/>
          <w:szCs w:val="32"/>
        </w:rPr>
        <w:t>完成了2021年冬季农作物种子企业监督抽查有关工作</w:t>
      </w:r>
    </w:p>
    <w:p>
      <w:p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rPr>
        <w:t>做好2021年冬季农作物种子企业监督抽查种子检验工作，共完成全省46家企业的306个样品的抽样，其中水稻299个，玉米4个，棉花3个； 完成了184个样品发芽率和品种纯度检测、303个样品真实性、转基因成分检测和送检工作，发芽率、品种纯度检测、和转基因成分检测结果全部合格。9月23日完成了9个种子样品的品种真实性田间种植鉴定复验工作，所有样品的检验结果都已上报省种子管理服务站。</w:t>
      </w:r>
    </w:p>
    <w:p>
      <w:pPr>
        <w:widowControl/>
        <w:spacing w:line="640" w:lineRule="exact"/>
        <w:ind w:firstLine="640" w:firstLineChars="200"/>
        <w:jc w:val="left"/>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3</w:t>
      </w:r>
      <w:r>
        <w:rPr>
          <w:rFonts w:hint="eastAsia" w:ascii="仿宋" w:hAnsi="仿宋" w:eastAsia="仿宋"/>
          <w:bCs/>
          <w:sz w:val="32"/>
          <w:szCs w:val="32"/>
          <w:lang w:eastAsia="zh-CN"/>
        </w:rPr>
        <w:t>）</w:t>
      </w:r>
      <w:r>
        <w:rPr>
          <w:rFonts w:hint="eastAsia" w:ascii="仿宋" w:hAnsi="仿宋" w:eastAsia="仿宋"/>
          <w:sz w:val="32"/>
          <w:szCs w:val="32"/>
        </w:rPr>
        <w:t>做好了2021年秋季种子市场抽查的油菜纯度种植鉴定工作</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按照《湖南省种子管理服务站关于做好2021年秋季农作物种子市场专项检查工作的通知》的要求，完成了秋季种子企业油菜抽查样品43个，种子市场抽查161个油菜样品田间纯度种植鉴定。结果已通知企业并上报给省种子管理服务站。</w:t>
      </w:r>
    </w:p>
    <w:p>
      <w:pPr>
        <w:adjustRightInd w:val="0"/>
        <w:snapToGrid w:val="0"/>
        <w:spacing w:line="600" w:lineRule="exact"/>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4</w:t>
      </w:r>
      <w:r>
        <w:rPr>
          <w:rFonts w:hint="eastAsia" w:ascii="仿宋" w:hAnsi="仿宋" w:eastAsia="仿宋"/>
          <w:bCs/>
          <w:sz w:val="32"/>
          <w:szCs w:val="32"/>
          <w:lang w:eastAsia="zh-CN"/>
        </w:rPr>
        <w:t>）</w:t>
      </w:r>
      <w:r>
        <w:rPr>
          <w:rFonts w:hint="eastAsia" w:ascii="仿宋" w:hAnsi="仿宋" w:eastAsia="仿宋"/>
          <w:sz w:val="32"/>
          <w:szCs w:val="32"/>
        </w:rPr>
        <w:t>完成了2022年国家和省级救灾备荒种子纯度检测任务</w:t>
      </w:r>
    </w:p>
    <w:p>
      <w:pPr>
        <w:spacing w:line="640" w:lineRule="exact"/>
        <w:ind w:firstLine="640" w:firstLineChars="200"/>
        <w:rPr>
          <w:rFonts w:ascii="仿宋" w:hAnsi="仿宋" w:eastAsia="仿宋"/>
          <w:sz w:val="32"/>
          <w:szCs w:val="32"/>
        </w:rPr>
      </w:pPr>
      <w:r>
        <w:rPr>
          <w:rFonts w:hint="eastAsia" w:ascii="仿宋" w:hAnsi="仿宋" w:eastAsia="仿宋"/>
          <w:sz w:val="32"/>
          <w:szCs w:val="32"/>
        </w:rPr>
        <w:t>根据《农业农村部办公厅关于落实2022年国家救灾备荒种子储备任务的通知》的要求和种业管理处的安排，中心完成了袁隆平农业高科技股份有限公司等2022年国家备荒种子、省级救灾备荒种子、补繁种子206个样品的纯度鉴定和结果上报。按照湖南省农业农村厅办公室《关于开展2022年度国家、省级救灾备荒储备种子中期检查的通知》要求，中心完成了湖南奥谱隆科技股份有限公司等5家企业128个国家备荒种子样品的抽样和检测，及时将结果报送种业管理处。</w:t>
      </w:r>
    </w:p>
    <w:p>
      <w:pPr>
        <w:spacing w:line="640" w:lineRule="exact"/>
        <w:ind w:firstLine="640" w:firstLineChars="200"/>
        <w:rPr>
          <w:rFonts w:hint="eastAsia" w:ascii="仿宋" w:hAnsi="仿宋" w:eastAsia="仿宋"/>
          <w:bCs/>
          <w:sz w:val="32"/>
          <w:szCs w:val="32"/>
        </w:rPr>
      </w:pPr>
      <w:r>
        <w:rPr>
          <w:rFonts w:hint="eastAsia" w:ascii="仿宋" w:hAnsi="仿宋" w:eastAsia="仿宋"/>
          <w:sz w:val="32"/>
          <w:szCs w:val="32"/>
          <w:lang w:eastAsia="zh-CN"/>
        </w:rPr>
        <w:t>（</w:t>
      </w:r>
      <w:r>
        <w:rPr>
          <w:rFonts w:hint="eastAsia" w:ascii="仿宋" w:hAnsi="仿宋" w:eastAsia="仿宋"/>
          <w:bCs/>
          <w:sz w:val="32"/>
          <w:szCs w:val="32"/>
        </w:rPr>
        <w:t>5</w:t>
      </w:r>
      <w:r>
        <w:rPr>
          <w:rFonts w:hint="eastAsia" w:ascii="仿宋" w:hAnsi="仿宋" w:eastAsia="仿宋"/>
          <w:bCs/>
          <w:sz w:val="32"/>
          <w:szCs w:val="32"/>
          <w:lang w:eastAsia="zh-CN"/>
        </w:rPr>
        <w:t>）</w:t>
      </w:r>
      <w:r>
        <w:rPr>
          <w:rFonts w:hint="eastAsia" w:ascii="仿宋" w:hAnsi="仿宋" w:eastAsia="仿宋"/>
          <w:bCs/>
          <w:sz w:val="32"/>
          <w:szCs w:val="32"/>
        </w:rPr>
        <w:t>完成试验环节样品检测</w:t>
      </w:r>
    </w:p>
    <w:p>
      <w:pPr>
        <w:ind w:firstLine="640" w:firstLineChars="200"/>
        <w:rPr>
          <w:rFonts w:hint="eastAsia" w:ascii="仿宋" w:hAnsi="仿宋" w:eastAsia="仿宋"/>
          <w:color w:val="000000"/>
          <w:sz w:val="32"/>
          <w:szCs w:val="32"/>
        </w:rPr>
      </w:pPr>
      <w:r>
        <w:rPr>
          <w:rFonts w:hint="eastAsia" w:ascii="仿宋" w:hAnsi="仿宋" w:eastAsia="仿宋"/>
          <w:sz w:val="32"/>
          <w:szCs w:val="32"/>
        </w:rPr>
        <w:t>按照《湖南省农业农村厅关于印发&lt;湖南省2022年农作物种子市场监管方案&gt;的通知》要求和站里的安排，中心安排了大豆17个转基因检测，玉米19个和110个水稻品种真实性和转基因检测工作。4个水稻品种、</w:t>
      </w:r>
      <w:r>
        <w:rPr>
          <w:rFonts w:hint="eastAsia" w:ascii="仿宋" w:hAnsi="仿宋" w:eastAsia="仿宋"/>
          <w:color w:val="000000"/>
          <w:sz w:val="32"/>
          <w:szCs w:val="32"/>
        </w:rPr>
        <w:t>1个玉米品种</w:t>
      </w:r>
      <w:r>
        <w:rPr>
          <w:rFonts w:hint="eastAsia" w:ascii="仿宋" w:hAnsi="仿宋" w:eastAsia="仿宋"/>
          <w:sz w:val="32"/>
          <w:szCs w:val="32"/>
        </w:rPr>
        <w:t>DNA与已知品种差异位点＜2，对5个品种作出取消试验处理。完成了潇湘、湘种两个联合体试验的112个水稻转基因、128个水稻品种真实性的检测。</w:t>
      </w:r>
    </w:p>
    <w:p>
      <w:pPr>
        <w:spacing w:line="600" w:lineRule="exact"/>
        <w:ind w:firstLine="640" w:firstLineChars="200"/>
        <w:rPr>
          <w:rFonts w:ascii="仿宋" w:hAnsi="仿宋" w:eastAsia="仿宋"/>
          <w:sz w:val="30"/>
          <w:szCs w:val="30"/>
        </w:rPr>
      </w:pPr>
      <w:r>
        <w:rPr>
          <w:rFonts w:hint="eastAsia" w:ascii="仿宋" w:hAnsi="仿宋" w:eastAsia="仿宋"/>
          <w:sz w:val="32"/>
          <w:szCs w:val="32"/>
          <w:lang w:eastAsia="zh-CN"/>
        </w:rPr>
        <w:t>（</w:t>
      </w:r>
      <w:r>
        <w:rPr>
          <w:rFonts w:hint="eastAsia" w:ascii="仿宋" w:hAnsi="仿宋" w:eastAsia="仿宋"/>
          <w:sz w:val="32"/>
          <w:szCs w:val="32"/>
        </w:rPr>
        <w:t>6</w:t>
      </w:r>
      <w:r>
        <w:rPr>
          <w:rFonts w:hint="eastAsia" w:ascii="仿宋" w:hAnsi="仿宋" w:eastAsia="仿宋"/>
          <w:bCs/>
          <w:sz w:val="32"/>
          <w:szCs w:val="32"/>
          <w:lang w:eastAsia="zh-CN"/>
        </w:rPr>
        <w:t>）</w:t>
      </w:r>
      <w:r>
        <w:rPr>
          <w:rFonts w:hint="eastAsia" w:ascii="仿宋" w:hAnsi="仿宋" w:eastAsia="仿宋"/>
          <w:sz w:val="30"/>
          <w:szCs w:val="30"/>
        </w:rPr>
        <w:t>做好2022年省级</w:t>
      </w:r>
      <w:r>
        <w:rPr>
          <w:rFonts w:hint="eastAsia" w:ascii="仿宋" w:hAnsi="仿宋" w:eastAsia="仿宋"/>
          <w:sz w:val="32"/>
          <w:szCs w:val="32"/>
        </w:rPr>
        <w:t>农作物种子</w:t>
      </w:r>
      <w:r>
        <w:rPr>
          <w:rFonts w:hint="eastAsia" w:ascii="仿宋" w:hAnsi="仿宋" w:eastAsia="仿宋"/>
          <w:sz w:val="30"/>
          <w:szCs w:val="30"/>
        </w:rPr>
        <w:t>春季市场专项检查工作</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根据湖南省农业农村厅办公室《关于开展开展2022年春季农作物种子市场检查工作的通知&gt;》的文件要求，中心派员6人完成了我省长沙市、湘潭市、怀化市、郴州市、永州市等五市省级春季种子市场专项检查，抽取了水稻种子样品28个、玉米种子样品11个、大豆种子样品1个，已完成全部样品的发芽率、转基因成分检测、品种真实性鉴定和品种纯度种植鉴定，除1个水稻品种纯度不合格外，其余样品的检测结果全部合格，结果已上报省种子管理服务站。</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7</w:t>
      </w:r>
      <w:r>
        <w:rPr>
          <w:rFonts w:hint="eastAsia" w:ascii="仿宋" w:hAnsi="仿宋" w:eastAsia="仿宋"/>
          <w:bCs/>
          <w:sz w:val="32"/>
          <w:szCs w:val="32"/>
          <w:lang w:eastAsia="zh-CN"/>
        </w:rPr>
        <w:t>）</w:t>
      </w:r>
      <w:r>
        <w:rPr>
          <w:rFonts w:hint="eastAsia" w:ascii="仿宋" w:hAnsi="仿宋" w:eastAsia="仿宋"/>
          <w:sz w:val="32"/>
          <w:szCs w:val="32"/>
        </w:rPr>
        <w:t>完成了2022年主要农作物种子生产基地专项检查的相关工作</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按照湖南省种子管理服务站《2022年湖南省主要农作物种子生产基地专项检查实施方案》的要求，中心派员赴攸县、零陵区、溆浦县、靖州县、绥宁县、武冈市六个国家级水稻制种基地县开展了水稻转基因试纸条快速检测和相关检查，圆满完成了工作任务。</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8</w:t>
      </w:r>
      <w:r>
        <w:rPr>
          <w:rFonts w:hint="eastAsia" w:ascii="仿宋" w:hAnsi="仿宋" w:eastAsia="仿宋"/>
          <w:bCs/>
          <w:sz w:val="32"/>
          <w:szCs w:val="32"/>
          <w:lang w:eastAsia="zh-CN"/>
        </w:rPr>
        <w:t>）</w:t>
      </w:r>
      <w:r>
        <w:rPr>
          <w:rFonts w:hint="eastAsia" w:ascii="仿宋" w:hAnsi="仿宋" w:eastAsia="仿宋"/>
          <w:sz w:val="32"/>
          <w:szCs w:val="32"/>
        </w:rPr>
        <w:t>做好2022年湖南省秋季农作物种子市场专项检查</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按照《2022年湖南省秋季农作物种子市场专项检查实施方案》的要求，中心在全省14个地市州种子管理部门的样品中抽取了65个油菜样品开展转基因成分检测和品种纯度种植鉴定，65个样品的转基因成分检测结果合格，品种纯度种植鉴定正在基地种植。</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9</w:t>
      </w:r>
      <w:r>
        <w:rPr>
          <w:rFonts w:hint="eastAsia" w:ascii="仿宋" w:hAnsi="仿宋" w:eastAsia="仿宋"/>
          <w:sz w:val="32"/>
          <w:szCs w:val="32"/>
          <w:lang w:eastAsia="zh-CN"/>
        </w:rPr>
        <w:t>）</w:t>
      </w:r>
      <w:r>
        <w:rPr>
          <w:rFonts w:hint="eastAsia" w:ascii="仿宋" w:hAnsi="仿宋" w:eastAsia="仿宋"/>
          <w:sz w:val="32"/>
          <w:szCs w:val="32"/>
        </w:rPr>
        <w:t>做好2022年冬季农作物种子生产经营企业监督检查工作</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完成了2022年冬季农作物种子生产经营企业监督检查工作，共抽取42家种子企业的300个（水稻295个玉米5个）包装种子样品进行种子质量检测。</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社会效应</w:t>
      </w:r>
    </w:p>
    <w:p>
      <w:pPr>
        <w:spacing w:line="600" w:lineRule="exact"/>
        <w:ind w:firstLine="600" w:firstLineChars="200"/>
        <w:rPr>
          <w:rFonts w:ascii="仿宋" w:hAnsi="仿宋" w:eastAsia="仿宋"/>
          <w:color w:val="000000"/>
          <w:sz w:val="30"/>
          <w:szCs w:val="30"/>
        </w:rPr>
      </w:pPr>
      <w:r>
        <w:rPr>
          <w:rFonts w:hint="eastAsia" w:ascii="仿宋" w:hAnsi="仿宋" w:eastAsia="仿宋"/>
          <w:color w:val="000000"/>
          <w:sz w:val="30"/>
          <w:szCs w:val="30"/>
        </w:rPr>
        <w:t>按照湖南省种子管理服务站的《湖南省农作物种业统计工作核查工作方案》要求，中心的张家清带领第三核查组对郴州市桂阳县、资兴市两县市的杂交水稻制种面积进行核查。核查组采取“四不两直”方式下行到4个村查看、落实农户的实际制种面积及登记备案记录，检查有无实际制种面积，核实是否和年初所报数据相符，圆满完成核查工作。</w:t>
      </w:r>
    </w:p>
    <w:p>
      <w:pPr>
        <w:spacing w:line="600" w:lineRule="exact"/>
        <w:ind w:firstLine="600" w:firstLineChars="200"/>
        <w:rPr>
          <w:rFonts w:hint="eastAsia" w:ascii="仿宋" w:hAnsi="仿宋" w:eastAsia="仿宋"/>
          <w:color w:val="000000"/>
          <w:sz w:val="30"/>
          <w:szCs w:val="30"/>
        </w:rPr>
      </w:pPr>
      <w:r>
        <w:rPr>
          <w:rFonts w:hint="eastAsia" w:ascii="仿宋" w:hAnsi="仿宋" w:eastAsia="仿宋"/>
          <w:color w:val="000000"/>
          <w:sz w:val="30"/>
          <w:szCs w:val="30"/>
        </w:rPr>
        <w:t>按照湖南省农业农村厅《关于开展制种基地监管调研指导的通知》，中心派员参加了株洲市攸县、永州市零陵区和祁阳市、郴州市资兴市和桂阳县等县市区国家级、省级杂交水稻制种基地的监管调研，圆满完成任务，向厅种业管理处提交了调研报告。</w:t>
      </w:r>
    </w:p>
    <w:p>
      <w:pPr>
        <w:spacing w:line="600" w:lineRule="exact"/>
        <w:ind w:firstLine="600" w:firstLineChars="200"/>
        <w:rPr>
          <w:rFonts w:hint="eastAsia" w:ascii="仿宋" w:hAnsi="仿宋" w:eastAsia="仿宋"/>
          <w:color w:val="000000"/>
          <w:sz w:val="30"/>
          <w:szCs w:val="30"/>
        </w:rPr>
      </w:pPr>
      <w:r>
        <w:rPr>
          <w:rFonts w:hint="eastAsia" w:ascii="仿宋" w:hAnsi="仿宋" w:eastAsia="仿宋"/>
          <w:color w:val="000000"/>
          <w:sz w:val="30"/>
          <w:szCs w:val="30"/>
          <w:lang w:val="en-US" w:eastAsia="zh-CN"/>
        </w:rPr>
        <w:t>按</w:t>
      </w:r>
      <w:r>
        <w:rPr>
          <w:rFonts w:hint="eastAsia" w:ascii="仿宋" w:hAnsi="仿宋" w:eastAsia="仿宋"/>
          <w:color w:val="000000"/>
          <w:sz w:val="30"/>
          <w:szCs w:val="30"/>
        </w:rPr>
        <w:t>照全国农技中心的安排，由我中心牵头起草全国农业标准《农作物品种纯度田间小区种植鉴定技术规范 油菜》已召开一次会议，工作组已完成该标准的初稿。</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可持续发展能力</w:t>
      </w:r>
    </w:p>
    <w:p>
      <w:pPr>
        <w:ind w:firstLine="640" w:firstLineChars="200"/>
        <w:rPr>
          <w:rFonts w:hint="eastAsia" w:ascii="仿宋" w:hAnsi="仿宋" w:eastAsia="仿宋" w:cs="仿宋"/>
          <w:sz w:val="32"/>
          <w:szCs w:val="32"/>
        </w:rPr>
      </w:pPr>
      <w:r>
        <w:rPr>
          <w:rFonts w:hint="eastAsia" w:ascii="仿宋" w:hAnsi="仿宋" w:eastAsia="仿宋"/>
          <w:sz w:val="32"/>
          <w:szCs w:val="32"/>
        </w:rPr>
        <w:t>长抓学习培训，确保能力持续保持</w:t>
      </w:r>
      <w:r>
        <w:rPr>
          <w:rFonts w:hint="eastAsia" w:ascii="仿宋" w:hAnsi="仿宋" w:eastAsia="仿宋"/>
          <w:sz w:val="32"/>
          <w:szCs w:val="32"/>
          <w:lang w:eastAsia="zh-CN"/>
        </w:rPr>
        <w:t>，</w:t>
      </w:r>
      <w:r>
        <w:rPr>
          <w:rFonts w:hint="eastAsia" w:ascii="仿宋" w:hAnsi="仿宋" w:eastAsia="仿宋"/>
          <w:sz w:val="32"/>
          <w:szCs w:val="32"/>
        </w:rPr>
        <w:t>中心全年年共组织学习五次，将上级的有关平安建设（综治工作）的文件及时传达每位干部职工。做好疫情防控相关工作；按要求参加各种安全生产培训讲座和培训，提升中心人员的安全生产和增强知识更新水平。在2022年全国“安全生产月”活动中，</w:t>
      </w:r>
      <w:r>
        <w:rPr>
          <w:rFonts w:hint="eastAsia" w:ascii="仿宋" w:hAnsi="仿宋" w:eastAsia="仿宋" w:cs="仿宋"/>
          <w:sz w:val="32"/>
          <w:szCs w:val="32"/>
        </w:rPr>
        <w:t>主办了一次种子管理服务站系统安全生产培训，</w:t>
      </w:r>
      <w:r>
        <w:rPr>
          <w:rFonts w:hint="eastAsia" w:ascii="仿宋" w:hAnsi="仿宋" w:eastAsia="仿宋"/>
          <w:sz w:val="32"/>
          <w:szCs w:val="32"/>
        </w:rPr>
        <w:t>邀请湖南省应急管理厅工贸处副处长卢斌荣专门讲授了《安全生产形势分析》</w:t>
      </w:r>
      <w:r>
        <w:rPr>
          <w:rFonts w:hint="eastAsia" w:ascii="仿宋" w:hAnsi="仿宋" w:eastAsia="仿宋" w:cs="仿宋"/>
          <w:sz w:val="32"/>
          <w:szCs w:val="32"/>
        </w:rPr>
        <w:t>，受到了站领导和站系统全体人员的肯定。</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2"/>
        <w:keepNext w:val="0"/>
        <w:keepLines w:val="0"/>
        <w:pageBreakBefore w:val="0"/>
        <w:widowControl w:val="0"/>
        <w:numPr>
          <w:ilvl w:val="0"/>
          <w:numId w:val="0"/>
        </w:numPr>
        <w:kinsoku/>
        <w:wordWrap/>
        <w:overflowPunct/>
        <w:topLinePunct w:val="0"/>
        <w:bidi w:val="0"/>
        <w:snapToGrid/>
        <w:spacing w:line="600" w:lineRule="exact"/>
        <w:ind w:left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通过各项工作的开展，社会公众和服务对象满意度均在90%以上。</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我单位整体支出预算执行率有待提高，我单位2022年整体预算执行率为64.66%，其中基本执行预算执行率为83.52%，项目支出全预算执行率为64.66%，主要原因为一是因为人员经费中绩效工资跨年发放，二是项目跨年实施，政府采购工作未完成。</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一是通过定期对各项财政资金的执行情况进行梳理，督促项目早启动、早规划、早实施、早验收、早结算，二是完善单位的预算编制管理，定期对项目资金的预算执行情况进行分析，作为下年预算编制的重要依据，进一步提高我单位预算的执行率。</w:t>
      </w: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基本支出：指为保障机构正常运转、完成日常工作任务而发生的各项支出，包括人员支出和公用支出。</w:t>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 xml:space="preserve">项目支出：指在基本支出以外为完成相关行政任务和事业发展目标所发生的各项支出。 </w:t>
      </w:r>
    </w:p>
    <w:p>
      <w:pPr>
        <w:pStyle w:val="12"/>
        <w:ind w:firstLine="640" w:firstLineChars="200"/>
        <w:rPr>
          <w:rFonts w:ascii="仿宋" w:hAnsi="仿宋" w:eastAsia="仿宋"/>
          <w:bCs/>
          <w:sz w:val="32"/>
          <w:szCs w:val="32"/>
        </w:rPr>
      </w:pPr>
      <w:r>
        <w:rPr>
          <w:rFonts w:hint="eastAsia" w:ascii="仿宋" w:hAnsi="仿宋" w:eastAsia="仿宋" w:cs="黑体"/>
          <w:bCs/>
          <w:color w:val="000000"/>
          <w:kern w:val="0"/>
          <w:sz w:val="32"/>
          <w:szCs w:val="32"/>
          <w:lang w:val="en-US" w:eastAsia="zh-CN" w:bidi="ar-SA"/>
        </w:rPr>
        <w:t>三、“三公”经费:纳入省财政预算管理的“三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DE2A6C"/>
    <w:multiLevelType w:val="singleLevel"/>
    <w:tmpl w:val="BCDE2A6C"/>
    <w:lvl w:ilvl="0" w:tentative="0">
      <w:start w:val="1"/>
      <w:numFmt w:val="chineseCounting"/>
      <w:suff w:val="nothing"/>
      <w:lvlText w:val="%1、"/>
      <w:lvlJc w:val="left"/>
      <w:rPr>
        <w:rFonts w:hint="eastAsia"/>
      </w:rPr>
    </w:lvl>
  </w:abstractNum>
  <w:abstractNum w:abstractNumId="1">
    <w:nsid w:val="CB21674F"/>
    <w:multiLevelType w:val="singleLevel"/>
    <w:tmpl w:val="CB21674F"/>
    <w:lvl w:ilvl="0" w:tentative="0">
      <w:start w:val="6"/>
      <w:numFmt w:val="decimal"/>
      <w:suff w:val="nothing"/>
      <w:lvlText w:val="%1、"/>
      <w:lvlJc w:val="left"/>
    </w:lvl>
  </w:abstractNum>
  <w:abstractNum w:abstractNumId="2">
    <w:nsid w:val="CF092B84"/>
    <w:multiLevelType w:val="multilevel"/>
    <w:tmpl w:val="CF092B84"/>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DC10AEE"/>
    <w:multiLevelType w:val="singleLevel"/>
    <w:tmpl w:val="5DC10AEE"/>
    <w:lvl w:ilvl="0" w:tentative="0">
      <w:start w:val="7"/>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C3534"/>
    <w:rsid w:val="0AF2711A"/>
    <w:rsid w:val="0C82271A"/>
    <w:rsid w:val="15AE3323"/>
    <w:rsid w:val="17582782"/>
    <w:rsid w:val="1BC135FF"/>
    <w:rsid w:val="26C14491"/>
    <w:rsid w:val="28601C9B"/>
    <w:rsid w:val="2ED74B8F"/>
    <w:rsid w:val="3C3D17A9"/>
    <w:rsid w:val="3FE65328"/>
    <w:rsid w:val="421639CF"/>
    <w:rsid w:val="47CE0F30"/>
    <w:rsid w:val="49303A9F"/>
    <w:rsid w:val="50BB38E4"/>
    <w:rsid w:val="533F2846"/>
    <w:rsid w:val="565A130F"/>
    <w:rsid w:val="60856D3E"/>
    <w:rsid w:val="60F8409B"/>
    <w:rsid w:val="6125278B"/>
    <w:rsid w:val="6FB36940"/>
    <w:rsid w:val="73595893"/>
    <w:rsid w:val="76EA3E66"/>
    <w:rsid w:val="7BA4168C"/>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qFormat/>
    <w:uiPriority w:val="0"/>
    <w:pPr>
      <w:ind w:firstLine="420" w:firstLineChars="200"/>
    </w:p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 w:type="paragraph" w:customStyle="1" w:styleId="18">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f23b97f-546b-4fb8-8a6d-65ec72867024}">
  <ds:schemaRefs/>
</ds:datastoreItem>
</file>

<file path=customXml/itemProps2.xml><?xml version="1.0" encoding="utf-8"?>
<ds:datastoreItem xmlns:ds="http://schemas.openxmlformats.org/officeDocument/2006/customXml" ds:itemID="{f06cae48-ef14-407d-bc15-1d1e3c71e2e8}">
  <ds:schemaRefs/>
</ds:datastoreItem>
</file>

<file path=customXml/itemProps3.xml><?xml version="1.0" encoding="utf-8"?>
<ds:datastoreItem xmlns:ds="http://schemas.openxmlformats.org/officeDocument/2006/customXml" ds:itemID="{f33af6c6-ede8-4ee7-904b-5b917de5bc7f}">
  <ds:schemaRefs/>
</ds:datastoreItem>
</file>

<file path=customXml/itemProps4.xml><?xml version="1.0" encoding="utf-8"?>
<ds:datastoreItem xmlns:ds="http://schemas.openxmlformats.org/officeDocument/2006/customXml" ds:itemID="{283d4042-4f42-4e80-8ea6-e302b06a95cb}">
  <ds:schemaRefs/>
</ds:datastoreItem>
</file>

<file path=customXml/itemProps5.xml><?xml version="1.0" encoding="utf-8"?>
<ds:datastoreItem xmlns:ds="http://schemas.openxmlformats.org/officeDocument/2006/customXml" ds:itemID="{5c383fc8-0df5-4e20-8fae-2defa60b51e8}">
  <ds:schemaRefs/>
</ds:datastoreItem>
</file>

<file path=customXml/itemProps6.xml><?xml version="1.0" encoding="utf-8"?>
<ds:datastoreItem xmlns:ds="http://schemas.openxmlformats.org/officeDocument/2006/customXml" ds:itemID="{d38d3884-f9ee-4014-9a66-b3a837df994b}">
  <ds:schemaRefs/>
</ds:datastoreItem>
</file>

<file path=customXml/itemProps7.xml><?xml version="1.0" encoding="utf-8"?>
<ds:datastoreItem xmlns:ds="http://schemas.openxmlformats.org/officeDocument/2006/customXml" ds:itemID="{7b1bab59-ac79-4e3b-8da2-64a5436b923f}">
  <ds:schemaRefs/>
</ds:datastoreItem>
</file>

<file path=customXml/itemProps8.xml><?xml version="1.0" encoding="utf-8"?>
<ds:datastoreItem xmlns:ds="http://schemas.openxmlformats.org/officeDocument/2006/customXml" ds:itemID="{00863d06-8d80-4ed2-a143-f78618c89b04}">
  <ds:schemaRefs/>
</ds:datastoreItem>
</file>

<file path=customXml/itemProps9.xml><?xml version="1.0" encoding="utf-8"?>
<ds:datastoreItem xmlns:ds="http://schemas.openxmlformats.org/officeDocument/2006/customXml" ds:itemID="{a0d3cb70-66bb-4bfa-a31b-29580e0d6a8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6441</Words>
  <Characters>7033</Characters>
  <Lines>63</Lines>
  <Paragraphs>18</Paragraphs>
  <TotalTime>0</TotalTime>
  <ScaleCrop>false</ScaleCrop>
  <LinksUpToDate>false</LinksUpToDate>
  <CharactersWithSpaces>7064</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2023-11-01T13:23:45Z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