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jc w:val="center"/>
        <w:rPr>
          <w:sz w:val="56"/>
          <w:szCs w:val="56"/>
        </w:rPr>
      </w:pPr>
    </w:p>
    <w:p>
      <w:pPr>
        <w:pStyle w:val="14"/>
        <w:jc w:val="center"/>
        <w:rPr>
          <w:sz w:val="56"/>
          <w:szCs w:val="56"/>
        </w:rPr>
      </w:pPr>
    </w:p>
    <w:p>
      <w:pPr>
        <w:pStyle w:val="14"/>
        <w:jc w:val="center"/>
        <w:rPr>
          <w:sz w:val="84"/>
          <w:szCs w:val="84"/>
        </w:rPr>
      </w:pPr>
    </w:p>
    <w:p>
      <w:pPr>
        <w:pStyle w:val="14"/>
        <w:jc w:val="center"/>
        <w:rPr>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湖南省农作物种子救灾储备中心</w:t>
      </w:r>
      <w:r>
        <w:rPr>
          <w:rFonts w:hint="eastAsia" w:ascii="方正小标宋_GBK" w:hAnsi="方正小标宋_GBK" w:eastAsia="方正小标宋_GBK" w:cs="方正小标宋_GBK"/>
          <w:sz w:val="84"/>
          <w:szCs w:val="84"/>
        </w:rPr>
        <w:t>部门决算</w:t>
      </w:r>
    </w:p>
    <w:p>
      <w:pPr>
        <w:pStyle w:val="14"/>
        <w:jc w:val="center"/>
        <w:rPr>
          <w:rFonts w:hint="eastAsia" w:ascii="方正小标宋_GBK" w:hAnsi="方正小标宋_GBK" w:eastAsia="方正小标宋_GBK" w:cs="方正小标宋_GBK"/>
          <w:sz w:val="56"/>
          <w:szCs w:val="56"/>
        </w:rPr>
      </w:pPr>
    </w:p>
    <w:p>
      <w:pPr>
        <w:pStyle w:val="14"/>
        <w:jc w:val="center"/>
        <w:rPr>
          <w:sz w:val="56"/>
          <w:szCs w:val="56"/>
        </w:rPr>
      </w:pPr>
    </w:p>
    <w:p>
      <w:pPr>
        <w:pStyle w:val="14"/>
        <w:jc w:val="center"/>
        <w:rPr>
          <w:sz w:val="56"/>
          <w:szCs w:val="56"/>
        </w:rPr>
      </w:pPr>
    </w:p>
    <w:p>
      <w:pPr>
        <w:pStyle w:val="14"/>
        <w:jc w:val="center"/>
        <w:rPr>
          <w:sz w:val="56"/>
          <w:szCs w:val="56"/>
        </w:rPr>
      </w:pPr>
    </w:p>
    <w:p>
      <w:pPr>
        <w:pStyle w:val="14"/>
        <w:jc w:val="center"/>
        <w:rPr>
          <w:sz w:val="32"/>
          <w:szCs w:val="32"/>
        </w:rPr>
      </w:pPr>
    </w:p>
    <w:p>
      <w:pPr>
        <w:pStyle w:val="14"/>
        <w:jc w:val="center"/>
        <w:rPr>
          <w:sz w:val="32"/>
          <w:szCs w:val="32"/>
        </w:rPr>
      </w:pPr>
    </w:p>
    <w:p>
      <w:pPr>
        <w:pStyle w:val="14"/>
        <w:jc w:val="center"/>
        <w:rPr>
          <w:sz w:val="32"/>
          <w:szCs w:val="32"/>
        </w:rPr>
      </w:pPr>
    </w:p>
    <w:p>
      <w:pPr>
        <w:pStyle w:val="14"/>
        <w:spacing w:line="500" w:lineRule="exact"/>
        <w:jc w:val="center"/>
        <w:rPr>
          <w:b/>
          <w:sz w:val="36"/>
          <w:szCs w:val="28"/>
        </w:rPr>
      </w:pPr>
      <w:r>
        <w:rPr>
          <w:rFonts w:hint="eastAsia"/>
          <w:b/>
          <w:sz w:val="36"/>
          <w:szCs w:val="28"/>
        </w:rPr>
        <w:t>目录</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湖南省农作物种子救灾储备中心</w:t>
      </w:r>
      <w:r>
        <w:rPr>
          <w:rFonts w:hint="eastAsia" w:ascii="黑体" w:hAnsi="黑体" w:eastAsia="黑体" w:cs="黑体"/>
          <w:b w:val="0"/>
          <w:bCs/>
          <w:sz w:val="28"/>
          <w:szCs w:val="28"/>
        </w:rPr>
        <w:t>概况</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4"/>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4"/>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湖南省农作物种子救灾储备中心</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21"/>
          <w:szCs w:val="21"/>
        </w:rPr>
      </w:pPr>
    </w:p>
    <w:p>
      <w:pPr>
        <w:pStyle w:val="15"/>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pStyle w:val="15"/>
        <w:numPr>
          <w:ilvl w:val="0"/>
          <w:numId w:val="0"/>
        </w:numPr>
        <w:ind w:leftChars="0"/>
        <w:jc w:val="left"/>
        <w:rPr>
          <w:rFonts w:hint="default" w:ascii="仿宋" w:hAnsi="仿宋" w:eastAsia="仿宋" w:cstheme="minorBidi"/>
          <w:kern w:val="2"/>
          <w:sz w:val="32"/>
          <w:szCs w:val="32"/>
          <w:highlight w:val="none"/>
          <w:lang w:val="en-US" w:eastAsia="zh-CN" w:bidi="ar-SA"/>
        </w:rPr>
      </w:pPr>
      <w:r>
        <w:rPr>
          <w:rFonts w:hint="eastAsia" w:ascii="黑体" w:hAnsi="黑体" w:eastAsia="黑体"/>
          <w:color w:val="auto"/>
          <w:sz w:val="32"/>
          <w:szCs w:val="32"/>
          <w:lang w:val="en-US" w:eastAsia="zh-CN"/>
        </w:rPr>
        <w:t xml:space="preserve">  </w:t>
      </w:r>
      <w:r>
        <w:rPr>
          <w:rFonts w:hint="eastAsia" w:ascii="仿宋" w:hAnsi="仿宋" w:eastAsia="仿宋" w:cstheme="minorBidi"/>
          <w:kern w:val="2"/>
          <w:sz w:val="32"/>
          <w:szCs w:val="32"/>
          <w:highlight w:val="none"/>
          <w:lang w:val="en-US" w:eastAsia="zh-CN" w:bidi="ar-SA"/>
        </w:rPr>
        <w:t>承担国家和省级农业行政主管部门下达的农作物种子救灾备荒储备任务，对储备种子定期检验和更新。</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spacing w:line="620" w:lineRule="exact"/>
        <w:ind w:firstLine="640" w:firstLineChars="200"/>
        <w:rPr>
          <w:rFonts w:ascii="仿宋" w:hAnsi="仿宋" w:eastAsia="仿宋"/>
          <w:sz w:val="32"/>
          <w:szCs w:val="32"/>
        </w:rPr>
      </w:pPr>
      <w:r>
        <w:rPr>
          <w:rFonts w:hint="eastAsia" w:ascii="Times New Roman" w:hAnsi="Times New Roman" w:eastAsia="仿宋_GB2312" w:cs="仿宋_GB2312"/>
          <w:bCs/>
          <w:kern w:val="0"/>
          <w:sz w:val="32"/>
          <w:szCs w:val="32"/>
        </w:rPr>
        <w:t>（一）内设机构设置。</w:t>
      </w:r>
      <w:r>
        <w:rPr>
          <w:rFonts w:hint="eastAsia" w:ascii="仿宋" w:hAnsi="仿宋" w:eastAsia="仿宋"/>
          <w:sz w:val="32"/>
          <w:szCs w:val="32"/>
          <w:lang w:eastAsia="zh-CN"/>
        </w:rPr>
        <w:t>湖南省农作物种子救灾储备中心</w:t>
      </w:r>
      <w:r>
        <w:rPr>
          <w:rFonts w:hint="eastAsia" w:ascii="仿宋" w:hAnsi="仿宋" w:eastAsia="仿宋"/>
          <w:sz w:val="32"/>
          <w:szCs w:val="32"/>
        </w:rPr>
        <w:t>内设机构包括：财务科、储备科</w:t>
      </w:r>
    </w:p>
    <w:p>
      <w:pPr>
        <w:widowControl/>
        <w:spacing w:line="600" w:lineRule="exact"/>
        <w:ind w:firstLine="640" w:firstLineChars="200"/>
        <w:rPr>
          <w:rFonts w:hint="eastAsia" w:ascii="仿宋_GB2312" w:eastAsia="仿宋_GB2312" w:hAnsiTheme="minorEastAsia"/>
          <w:sz w:val="28"/>
          <w:szCs w:val="32"/>
          <w:lang w:eastAsia="zh-CN"/>
        </w:rPr>
      </w:pPr>
      <w:r>
        <w:rPr>
          <w:rFonts w:hint="eastAsia" w:ascii="Times New Roman" w:hAnsi="Times New Roman" w:eastAsia="仿宋_GB2312" w:cs="仿宋_GB2312"/>
          <w:bCs/>
          <w:kern w:val="0"/>
          <w:sz w:val="32"/>
          <w:szCs w:val="32"/>
        </w:rPr>
        <w:t>（二）决算单位构成。</w:t>
      </w:r>
      <w:r>
        <w:rPr>
          <w:rFonts w:hint="eastAsia" w:ascii="仿宋" w:hAnsi="仿宋" w:eastAsia="仿宋"/>
          <w:sz w:val="32"/>
          <w:szCs w:val="32"/>
          <w:lang w:eastAsia="zh-CN"/>
        </w:rPr>
        <w:t>湖南省农作物种子救灾储备中心</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年部门决算汇总公开单位构成包括：</w:t>
      </w:r>
      <w:r>
        <w:rPr>
          <w:rFonts w:hint="eastAsia" w:ascii="仿宋" w:hAnsi="仿宋" w:eastAsia="仿宋"/>
          <w:sz w:val="32"/>
          <w:szCs w:val="32"/>
          <w:lang w:eastAsia="zh-CN"/>
        </w:rPr>
        <w:t>湖南省农作物种子救灾储备中心</w:t>
      </w:r>
      <w:r>
        <w:rPr>
          <w:rFonts w:hint="eastAsia" w:ascii="Times New Roman" w:hAnsi="Times New Roman" w:eastAsia="仿宋_GB2312" w:cs="仿宋_GB2312"/>
          <w:bCs/>
          <w:kern w:val="0"/>
          <w:sz w:val="32"/>
          <w:szCs w:val="32"/>
        </w:rPr>
        <w:t>本级</w:t>
      </w:r>
      <w:r>
        <w:rPr>
          <w:rFonts w:hint="eastAsia" w:ascii="Times New Roman" w:hAnsi="Times New Roman" w:eastAsia="仿宋_GB2312" w:cs="仿宋_GB2312"/>
          <w:bCs/>
          <w:kern w:val="0"/>
          <w:sz w:val="32"/>
          <w:szCs w:val="32"/>
          <w:lang w:eastAsia="zh-CN"/>
        </w:rPr>
        <w:t>。</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4"/>
        <w:jc w:val="center"/>
        <w:rPr>
          <w:rFonts w:hint="eastAsia" w:ascii="方正小标宋_GBK" w:hAnsi="方正小标宋_GBK" w:eastAsia="方正小标宋_GBK" w:cs="方正小标宋_GBK"/>
          <w:sz w:val="84"/>
          <w:szCs w:val="84"/>
        </w:rPr>
      </w:pPr>
    </w:p>
    <w:p>
      <w:pPr>
        <w:pStyle w:val="14"/>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drawing>
          <wp:inline distT="0" distB="0" distL="114300" distR="114300">
            <wp:extent cx="9515475" cy="6487160"/>
            <wp:effectExtent l="0" t="0" r="9525" b="254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4"/>
                    <a:stretch>
                      <a:fillRect/>
                    </a:stretch>
                  </pic:blipFill>
                  <pic:spPr>
                    <a:xfrm>
                      <a:off x="0" y="0"/>
                      <a:ext cx="9515475" cy="6487160"/>
                    </a:xfrm>
                    <a:prstGeom prst="rect">
                      <a:avLst/>
                    </a:prstGeom>
                    <a:noFill/>
                    <a:ln>
                      <a:noFill/>
                    </a:ln>
                  </pic:spPr>
                </pic:pic>
              </a:graphicData>
            </a:graphic>
          </wp:inline>
        </w:drawing>
      </w:r>
      <w:r>
        <w:br w:type="page"/>
      </w:r>
    </w:p>
    <w:p>
      <w:pPr>
        <w:widowControl/>
        <w:rPr>
          <w:rFonts w:ascii="Times New Roman" w:hAnsi="Times New Roman" w:eastAsia="方正小标宋_GBK" w:cs="Times New Roman"/>
          <w:color w:val="000000"/>
          <w:kern w:val="0"/>
          <w:sz w:val="36"/>
          <w:szCs w:val="36"/>
        </w:rPr>
      </w:pPr>
      <w:r>
        <w:drawing>
          <wp:inline distT="0" distB="0" distL="114300" distR="114300">
            <wp:extent cx="9769475" cy="4209415"/>
            <wp:effectExtent l="0" t="0" r="952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769475" cy="4209415"/>
                    </a:xfrm>
                    <a:prstGeom prst="rect">
                      <a:avLst/>
                    </a:prstGeom>
                    <a:noFill/>
                    <a:ln>
                      <a:noFill/>
                    </a:ln>
                  </pic:spPr>
                </pic:pic>
              </a:graphicData>
            </a:graphic>
          </wp:inline>
        </w:drawing>
      </w:r>
    </w:p>
    <w:p>
      <w:pPr>
        <w:widowControl/>
        <w:jc w:val="both"/>
        <w:rPr>
          <w:rFonts w:ascii="Times New Roman" w:hAnsi="Times New Roman" w:eastAsia="方正小标宋_GBK" w:cs="Times New Roman"/>
          <w:color w:val="000000"/>
          <w:kern w:val="0"/>
          <w:sz w:val="36"/>
          <w:szCs w:val="21"/>
        </w:rPr>
      </w:pP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p>
    <w:bookmarkEnd w:id="1"/>
    <w:p>
      <w:pPr>
        <w:widowControl/>
        <w:jc w:val="left"/>
        <w:rPr>
          <w:rFonts w:ascii="Times New Roman" w:hAnsi="Times New Roman" w:eastAsia="仿宋_GB2312" w:cs="Times New Roman"/>
          <w:bCs/>
          <w:kern w:val="0"/>
          <w:szCs w:val="21"/>
        </w:rPr>
      </w:pPr>
    </w:p>
    <w:p>
      <w:pPr>
        <w:widowControl/>
        <w:jc w:val="left"/>
      </w:pPr>
      <w:r>
        <w:br w:type="page"/>
      </w:r>
      <w:r>
        <w:drawing>
          <wp:inline distT="0" distB="0" distL="114300" distR="114300">
            <wp:extent cx="9239250" cy="439420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239250" cy="4394200"/>
                    </a:xfrm>
                    <a:prstGeom prst="rect">
                      <a:avLst/>
                    </a:prstGeom>
                    <a:noFill/>
                    <a:ln>
                      <a:noFill/>
                    </a:ln>
                  </pic:spPr>
                </pic:pic>
              </a:graphicData>
            </a:graphic>
          </wp:inline>
        </w:drawing>
      </w:r>
      <w:r>
        <w:drawing>
          <wp:inline distT="0" distB="0" distL="114300" distR="114300">
            <wp:extent cx="8734425" cy="6660515"/>
            <wp:effectExtent l="0" t="0" r="3175"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8734425" cy="6660515"/>
                    </a:xfrm>
                    <a:prstGeom prst="rect">
                      <a:avLst/>
                    </a:prstGeom>
                    <a:noFill/>
                    <a:ln>
                      <a:noFill/>
                    </a:ln>
                  </pic:spPr>
                </pic:pic>
              </a:graphicData>
            </a:graphic>
          </wp:inline>
        </w:drawing>
      </w:r>
      <w:r>
        <w:drawing>
          <wp:inline distT="0" distB="0" distL="114300" distR="114300">
            <wp:extent cx="8413750" cy="4565650"/>
            <wp:effectExtent l="0" t="0" r="635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8413750" cy="4565650"/>
                    </a:xfrm>
                    <a:prstGeom prst="rect">
                      <a:avLst/>
                    </a:prstGeom>
                    <a:noFill/>
                    <a:ln>
                      <a:noFill/>
                    </a:ln>
                  </pic:spPr>
                </pic:pic>
              </a:graphicData>
            </a:graphic>
          </wp:inline>
        </w:drawing>
      </w: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jc w:val="left"/>
      </w:pPr>
      <w:r>
        <w:drawing>
          <wp:inline distT="0" distB="0" distL="114300" distR="114300">
            <wp:extent cx="9766935" cy="6092825"/>
            <wp:effectExtent l="0" t="0" r="12065" b="317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9"/>
                    <a:stretch>
                      <a:fillRect/>
                    </a:stretch>
                  </pic:blipFill>
                  <pic:spPr>
                    <a:xfrm>
                      <a:off x="0" y="0"/>
                      <a:ext cx="9766935" cy="6092825"/>
                    </a:xfrm>
                    <a:prstGeom prst="rect">
                      <a:avLst/>
                    </a:prstGeom>
                    <a:noFill/>
                    <a:ln>
                      <a:noFill/>
                    </a:ln>
                  </pic:spPr>
                </pic:pic>
              </a:graphicData>
            </a:graphic>
          </wp:inline>
        </w:drawing>
      </w:r>
    </w:p>
    <w:p>
      <w:pPr>
        <w:widowControl/>
        <w:jc w:val="left"/>
      </w:pPr>
    </w:p>
    <w:tbl>
      <w:tblPr>
        <w:tblStyle w:val="9"/>
        <w:tblW w:w="15614" w:type="dxa"/>
        <w:tblInd w:w="0" w:type="dxa"/>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gridCol w:w="254"/>
      </w:tblGrid>
      <w:tr>
        <w:tblPrEx>
          <w:tblLayout w:type="fixed"/>
          <w:tblCellMar>
            <w:top w:w="0" w:type="dxa"/>
            <w:left w:w="108" w:type="dxa"/>
            <w:bottom w:w="0" w:type="dxa"/>
            <w:right w:w="108" w:type="dxa"/>
          </w:tblCellMar>
        </w:tblPrEx>
        <w:trPr>
          <w:trHeight w:val="113" w:hRule="atLeast"/>
        </w:trPr>
        <w:tc>
          <w:tcPr>
            <w:tcW w:w="15614" w:type="dxa"/>
            <w:gridSpan w:val="10"/>
            <w:tcBorders>
              <w:top w:val="nil"/>
              <w:left w:val="nil"/>
              <w:bottom w:val="nil"/>
              <w:right w:val="nil"/>
            </w:tcBorders>
            <w:shd w:val="clear" w:color="auto" w:fill="auto"/>
            <w:noWrap/>
            <w:vAlign w:val="center"/>
          </w:tcPr>
          <w:p>
            <w:pPr>
              <w:widowControl/>
              <w:jc w:val="right"/>
              <w:rPr>
                <w:rFonts w:ascii="华文中宋" w:hAnsi="华文中宋" w:eastAsia="华文中宋" w:cs="宋体"/>
                <w:color w:val="000000"/>
                <w:kern w:val="0"/>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15360" w:type="dxa"/>
            <w:gridSpan w:val="9"/>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4764"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部门：湖南省农作物种子救灾储备中心</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7"/>
                <w:lang w:val="en-US" w:eastAsia="zh-CN"/>
              </w:rPr>
              <w:t xml:space="preserve">   </w:t>
            </w:r>
            <w:r>
              <w:rPr>
                <w:rStyle w:val="18"/>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tbl>
      <w:tblPr>
        <w:tblStyle w:val="9"/>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部门：湖南省农作物种子救灾储备中心</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9"/>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9"/>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部门：湖南省农作物种子救灾储备中心</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说明：我单位没有财政拨款“三公“经费预算安排的支出，故本表无数据。</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4"/>
        <w:rPr>
          <w:sz w:val="72"/>
          <w:szCs w:val="72"/>
        </w:rPr>
      </w:pPr>
    </w:p>
    <w:p>
      <w:pPr>
        <w:pStyle w:val="14"/>
        <w:rPr>
          <w:sz w:val="72"/>
          <w:szCs w:val="72"/>
        </w:rPr>
      </w:pPr>
    </w:p>
    <w:p>
      <w:pPr>
        <w:pStyle w:val="14"/>
        <w:rPr>
          <w:sz w:val="72"/>
          <w:szCs w:val="72"/>
        </w:rPr>
      </w:pPr>
    </w:p>
    <w:p>
      <w:pPr>
        <w:pStyle w:val="14"/>
        <w:rPr>
          <w:sz w:val="72"/>
          <w:szCs w:val="72"/>
        </w:rPr>
      </w:pPr>
    </w:p>
    <w:p>
      <w:pPr>
        <w:pStyle w:val="14"/>
        <w:jc w:val="center"/>
        <w:rPr>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4"/>
        <w:jc w:val="center"/>
        <w:rPr>
          <w:rFonts w:hint="eastAsia" w:ascii="方正小标宋_GBK" w:hAnsi="方正小标宋_GBK" w:eastAsia="方正小标宋_GBK" w:cs="方正小标宋_GBK"/>
          <w:sz w:val="70"/>
          <w:szCs w:val="70"/>
        </w:rPr>
      </w:pPr>
    </w:p>
    <w:p>
      <w:pPr>
        <w:pStyle w:val="14"/>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182.62</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4.05</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2.17</w:t>
      </w:r>
      <w:r>
        <w:rPr>
          <w:rFonts w:hint="eastAsia" w:ascii="Times New Roman" w:hAnsi="Times New Roman" w:eastAsia="仿宋_GB2312"/>
          <w:sz w:val="32"/>
          <w:szCs w:val="32"/>
        </w:rPr>
        <w:t>%，主要是因为使用非财政拨款结余</w:t>
      </w:r>
      <w:r>
        <w:rPr>
          <w:rFonts w:hint="eastAsia" w:ascii="Times New Roman" w:hAnsi="Times New Roman" w:eastAsia="仿宋_GB2312"/>
          <w:sz w:val="32"/>
          <w:szCs w:val="32"/>
          <w:lang w:val="en-US" w:eastAsia="zh-CN"/>
        </w:rPr>
        <w:t>减少。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177.14</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177.17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151.40</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127.55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84.25</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23.85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15.75</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182.62</w:t>
      </w:r>
      <w:r>
        <w:rPr>
          <w:rFonts w:hint="eastAsia" w:ascii="Times New Roman" w:hAnsi="Times New Roman" w:eastAsia="仿宋_GB2312"/>
          <w:sz w:val="32"/>
          <w:szCs w:val="32"/>
        </w:rPr>
        <w:t>万元，与上年相比，</w:t>
      </w:r>
      <w:r>
        <w:rPr>
          <w:rFonts w:hint="eastAsia" w:ascii="Times New Roman" w:hAnsi="Times New Roman" w:eastAsia="仿宋_GB2312"/>
          <w:sz w:val="32"/>
          <w:szCs w:val="32"/>
          <w:lang w:val="en-US" w:eastAsia="zh-CN"/>
        </w:rPr>
        <w:t>增加11.94</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增长7.00</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增加了绩效奖金和农作物、畜禽种业安全监管项目资金。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151.40</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%，与上年相比，财政拨款支出增加</w:t>
      </w:r>
      <w:r>
        <w:rPr>
          <w:rFonts w:hint="eastAsia" w:ascii="Times New Roman" w:hAnsi="Times New Roman" w:eastAsia="仿宋_GB2312"/>
          <w:sz w:val="32"/>
          <w:szCs w:val="32"/>
          <w:lang w:val="en-US" w:eastAsia="zh-CN"/>
        </w:rPr>
        <w:t>22.46</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17.42</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增加了绩效奖金和农作物、畜禽种业安全监管项目资金。</w:t>
      </w:r>
    </w:p>
    <w:p>
      <w:pPr>
        <w:pStyle w:val="14"/>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151.40</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18.25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12.05</w:t>
      </w:r>
      <w:r>
        <w:rPr>
          <w:rFonts w:hint="eastAsia" w:ascii="Times New Roman" w:hAnsi="Times New Roman" w:eastAsia="仿宋_GB2312"/>
          <w:sz w:val="32"/>
          <w:szCs w:val="32"/>
        </w:rPr>
        <w:t>%；农林水（类）支出</w:t>
      </w:r>
      <w:r>
        <w:rPr>
          <w:rFonts w:hint="eastAsia" w:ascii="Times New Roman" w:hAnsi="Times New Roman" w:eastAsia="仿宋_GB2312"/>
          <w:sz w:val="32"/>
          <w:szCs w:val="32"/>
          <w:lang w:val="en-US" w:eastAsia="zh-CN"/>
        </w:rPr>
        <w:t>121.15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80.02</w:t>
      </w:r>
      <w:r>
        <w:rPr>
          <w:rFonts w:hint="eastAsia" w:ascii="Times New Roman" w:hAnsi="Times New Roman" w:eastAsia="仿宋_GB2312"/>
          <w:sz w:val="32"/>
          <w:szCs w:val="32"/>
        </w:rPr>
        <w:t>%;（类）支出</w:t>
      </w:r>
      <w:r>
        <w:rPr>
          <w:rFonts w:hint="eastAsia" w:ascii="Times New Roman" w:hAnsi="Times New Roman" w:eastAsia="仿宋_GB2312"/>
          <w:sz w:val="32"/>
          <w:szCs w:val="32"/>
          <w:lang w:val="en-US" w:eastAsia="zh-CN"/>
        </w:rPr>
        <w:t>12.00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7.93</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150.88</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151.40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100.34</w:t>
      </w:r>
      <w:r>
        <w:rPr>
          <w:rFonts w:hint="eastAsia" w:ascii="Times New Roman" w:hAnsi="Times New Roman" w:eastAsia="仿宋_GB2312"/>
          <w:sz w:val="32"/>
          <w:szCs w:val="32"/>
        </w:rPr>
        <w:t>%，其中：</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1、社会保障和就业（类）人力资源和社会保障管理事务（款）社会保险业务管理事务（项）。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20.80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18.25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87.74</w:t>
      </w:r>
      <w:r>
        <w:rPr>
          <w:rFonts w:hint="eastAsia" w:ascii="Times New Roman" w:hAnsi="Times New Roman" w:eastAsia="仿宋_GB2312"/>
          <w:sz w:val="32"/>
          <w:szCs w:val="32"/>
        </w:rPr>
        <w:t>%，决算数小于年初预算数的主要原因是：社会保险业务管理事务</w:t>
      </w:r>
      <w:r>
        <w:rPr>
          <w:rFonts w:hint="eastAsia" w:ascii="Times New Roman" w:hAnsi="Times New Roman" w:eastAsia="仿宋_GB2312"/>
          <w:sz w:val="32"/>
          <w:szCs w:val="32"/>
          <w:lang w:val="en-US" w:eastAsia="zh-CN"/>
        </w:rPr>
        <w:t>支出年底有结余。</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2、农林水（类）农业农村（款）事业运行（项）。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93.80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87.50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93.28</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绩效奖金跨年发放。</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、农林水（类）农业农村（款）（科技转化与推广服务项）。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4.00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4.00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、农林水（类）农业农村（款）农产品质量安全（项）。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14.37</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年中追加农作物、畜禽种业安全监管项目资金。</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、农林水（类）农业农村（款）防灾救灾（项）。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11.80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9.80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83.05</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跨年退款。</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、农林水（类）农业农村（款）农业生产发展（项）。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5.48</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5.48</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rPr>
        <w:t>、住房保障（类）住房改革支出（款）住房公积金（项）。</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12.00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12.00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127.55</w:t>
      </w:r>
      <w:r>
        <w:rPr>
          <w:rFonts w:hint="eastAsia" w:ascii="Times New Roman" w:hAnsi="Times New Roman" w:eastAsia="仿宋_GB2312"/>
          <w:sz w:val="32"/>
          <w:szCs w:val="32"/>
        </w:rPr>
        <w:t>万元，其中：</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117.75</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92.32</w:t>
      </w:r>
      <w:r>
        <w:rPr>
          <w:rFonts w:hint="eastAsia" w:ascii="Times New Roman" w:hAnsi="Times New Roman" w:eastAsia="仿宋_GB2312"/>
          <w:sz w:val="32"/>
          <w:szCs w:val="32"/>
        </w:rPr>
        <w:t>%,主要包括基本工资、津贴补贴、伙食补助费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绩效工资、机关事业单位基本养老保险缴费、职工基本医疗保险缴费、其他社会保障缴费、住房公积金、其他工资福利支出、生活补助、奖励金。</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9.80</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7.68</w:t>
      </w:r>
      <w:r>
        <w:rPr>
          <w:rFonts w:hint="eastAsia" w:ascii="Times New Roman" w:hAnsi="Times New Roman" w:eastAsia="仿宋_GB2312"/>
          <w:sz w:val="32"/>
          <w:szCs w:val="32"/>
        </w:rPr>
        <w:t>%，主要包括办公费、印刷费、咨询费、差旅费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福利费</w:t>
      </w:r>
      <w:r>
        <w:rPr>
          <w:rFonts w:hint="eastAsia" w:ascii="Times New Roman" w:hAnsi="Times New Roman" w:eastAsia="仿宋_GB2312"/>
          <w:sz w:val="32"/>
          <w:szCs w:val="32"/>
          <w:lang w:eastAsia="zh-CN"/>
        </w:rPr>
        <w:t>、其他交通费用其他商品和服务支出。</w:t>
      </w:r>
    </w:p>
    <w:p>
      <w:pPr>
        <w:pStyle w:val="14"/>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pStyle w:val="14"/>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“三公”经费财政拨款支出预算为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因公出国（境）费支出预算为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p>
    <w:p>
      <w:pPr>
        <w:keepNext w:val="0"/>
        <w:keepLines w:val="0"/>
        <w:pageBreakBefore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公务接待费支出预算为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公务用车购置费支出预算为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p>
    <w:p>
      <w:pPr>
        <w:pStyle w:val="14"/>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公务用车运行维护费支出预算为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万元，无开支。</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年度“三公”经费财政拨款支出决算中，公务接待费支出决算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万元,因公出国（境）费支出决算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万元，公务用车购置费及运行维护费支出决算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sz w:val="32"/>
          <w:szCs w:val="32"/>
        </w:rPr>
        <w:t>其中：</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4"/>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val="en-US" w:eastAsia="zh-CN"/>
        </w:rPr>
        <w:t>本</w:t>
      </w:r>
      <w:r>
        <w:rPr>
          <w:rFonts w:hint="eastAsia" w:ascii="Times New Roman" w:hAnsi="Times New Roman" w:eastAsia="仿宋_GB2312"/>
          <w:sz w:val="32"/>
          <w:szCs w:val="32"/>
        </w:rPr>
        <w:t>单位更新公务用车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4"/>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 xml:space="preserve">     </w:t>
      </w:r>
      <w:r>
        <w:rPr>
          <w:rFonts w:hint="eastAsia" w:ascii="楷体" w:hAnsi="楷体" w:eastAsia="楷体" w:cs="楷体"/>
          <w:b w:val="0"/>
          <w:bCs w:val="0"/>
          <w:i w:val="0"/>
          <w:iCs/>
          <w:color w:val="auto"/>
          <w:kern w:val="0"/>
          <w:sz w:val="32"/>
          <w:szCs w:val="32"/>
          <w:lang w:val="en-US" w:eastAsia="zh-CN" w:bidi="ar-SA"/>
        </w:rPr>
        <w:t>本单位无政府性基金收支。</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上年度</w:t>
      </w:r>
      <w:r>
        <w:rPr>
          <w:rFonts w:hint="eastAsia" w:ascii="Times New Roman" w:hAnsi="Times New Roman" w:eastAsia="仿宋_GB2312"/>
          <w:sz w:val="32"/>
          <w:szCs w:val="32"/>
        </w:rPr>
        <w:t>机关运行经费支出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万元，开支培训费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2.86</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2.01</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0.85</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2.86</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2.86</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color w:val="auto"/>
          <w:sz w:val="32"/>
          <w:szCs w:val="32"/>
        </w:rPr>
        <w:t>，</w:t>
      </w:r>
      <w:bookmarkStart w:id="2" w:name="_GoBack"/>
      <w:r>
        <w:rPr>
          <w:rFonts w:hint="eastAsia" w:ascii="Times New Roman" w:hAnsi="Times New Roman" w:eastAsia="仿宋_GB2312"/>
          <w:sz w:val="32"/>
          <w:szCs w:val="32"/>
        </w:rPr>
        <w:t>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bookmarkEnd w:id="2"/>
      <w:r>
        <w:rPr>
          <w:rFonts w:hint="eastAsia" w:ascii="Times New Roman" w:hAnsi="Times New Roman" w:eastAsia="仿宋_GB2312"/>
          <w:sz w:val="32"/>
          <w:szCs w:val="32"/>
        </w:rPr>
        <w:t>；单位价值50万元以上通用设备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4"/>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运行成本</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我单位2022年人员经费预算数141.34万元，决算数117.75万元，公用经费数118.80万元，决算数9.80万元，均控制在预算范围内。</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color w:val="auto"/>
          <w:sz w:val="32"/>
          <w:szCs w:val="32"/>
          <w:lang w:val="en-US" w:eastAsia="zh-CN"/>
        </w:rPr>
        <w:t>会议费预算0万元</w:t>
      </w:r>
      <w:r>
        <w:rPr>
          <w:rFonts w:hint="eastAsia" w:ascii="Times New Roman" w:hAnsi="Times New Roman" w:eastAsia="仿宋_GB2312"/>
          <w:sz w:val="32"/>
          <w:szCs w:val="32"/>
        </w:rPr>
        <w:t>，支出决算为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color w:val="auto"/>
          <w:sz w:val="32"/>
          <w:szCs w:val="32"/>
          <w:lang w:val="en-US" w:eastAsia="zh-CN"/>
        </w:rPr>
        <w:t>，培训费预算0万元</w:t>
      </w:r>
      <w:r>
        <w:rPr>
          <w:rFonts w:hint="eastAsia" w:ascii="Times New Roman" w:hAnsi="Times New Roman" w:eastAsia="仿宋_GB2312"/>
          <w:sz w:val="32"/>
          <w:szCs w:val="32"/>
        </w:rPr>
        <w:t>，支出决算为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color w:val="auto"/>
          <w:sz w:val="32"/>
          <w:szCs w:val="32"/>
          <w:lang w:val="en-US" w:eastAsia="zh-CN"/>
        </w:rPr>
        <w:t>。</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、管理效率</w:t>
      </w:r>
    </w:p>
    <w:p>
      <w:pPr>
        <w:widowControl/>
        <w:spacing w:line="620" w:lineRule="exact"/>
        <w:ind w:firstLine="640" w:firstLineChars="200"/>
        <w:rPr>
          <w:rFonts w:ascii="黑体" w:hAnsi="黑体" w:eastAsia="黑体" w:cs="宋体"/>
          <w:sz w:val="32"/>
          <w:szCs w:val="32"/>
        </w:rPr>
      </w:pPr>
      <w:r>
        <w:rPr>
          <w:rFonts w:hint="eastAsia" w:ascii="仿宋" w:hAnsi="仿宋" w:eastAsia="仿宋" w:cs="宋体"/>
          <w:b/>
          <w:sz w:val="32"/>
          <w:szCs w:val="32"/>
        </w:rPr>
        <w:t>一是加强支部组织建设，制定全年计划。</w:t>
      </w:r>
      <w:r>
        <w:rPr>
          <w:rFonts w:hint="eastAsia" w:ascii="仿宋" w:hAnsi="仿宋" w:eastAsia="仿宋" w:cs="宋体"/>
          <w:sz w:val="32"/>
          <w:szCs w:val="32"/>
        </w:rPr>
        <w:t>积极完成支部的换届选举，推举出新支部书记，加强党组织对中心工作的指导。</w:t>
      </w:r>
      <w:r>
        <w:rPr>
          <w:rFonts w:hint="eastAsia" w:ascii="仿宋" w:hAnsi="仿宋" w:eastAsia="仿宋"/>
          <w:sz w:val="32"/>
          <w:szCs w:val="32"/>
        </w:rPr>
        <w:t>年初制订了全年党建工作计划，相关工作严格按计划实施，</w:t>
      </w:r>
      <w:r>
        <w:rPr>
          <w:rFonts w:hint="eastAsia" w:ascii="仿宋" w:hAnsi="仿宋" w:eastAsia="仿宋"/>
          <w:bCs/>
          <w:sz w:val="32"/>
          <w:szCs w:val="32"/>
        </w:rPr>
        <w:t>认真落实党的组织</w:t>
      </w:r>
      <w:r>
        <w:rPr>
          <w:rFonts w:hint="eastAsia" w:ascii="仿宋" w:hAnsi="仿宋" w:eastAsia="仿宋"/>
          <w:sz w:val="32"/>
          <w:szCs w:val="32"/>
        </w:rPr>
        <w:t>生活制度，切实增强党内政治生活的政治性、原则性</w:t>
      </w:r>
      <w:r>
        <w:rPr>
          <w:rFonts w:hint="eastAsia" w:ascii="仿宋" w:hAnsi="仿宋" w:eastAsia="仿宋" w:cs="宋体"/>
          <w:kern w:val="0"/>
          <w:sz w:val="32"/>
          <w:szCs w:val="32"/>
        </w:rPr>
        <w:t>，</w:t>
      </w:r>
      <w:r>
        <w:rPr>
          <w:rFonts w:hint="eastAsia" w:ascii="仿宋" w:hAnsi="仿宋" w:eastAsia="仿宋"/>
          <w:sz w:val="32"/>
          <w:szCs w:val="32"/>
        </w:rPr>
        <w:t>做到了事前有计划、事中有反馈、事后有总结。</w:t>
      </w:r>
    </w:p>
    <w:p>
      <w:pPr>
        <w:spacing w:line="620" w:lineRule="exact"/>
        <w:ind w:firstLine="640" w:firstLineChars="200"/>
        <w:rPr>
          <w:rFonts w:ascii="仿宋" w:hAnsi="仿宋" w:eastAsia="仿宋" w:cs="宋体"/>
          <w:kern w:val="0"/>
          <w:sz w:val="32"/>
          <w:szCs w:val="32"/>
        </w:rPr>
      </w:pPr>
      <w:r>
        <w:rPr>
          <w:rFonts w:hint="eastAsia" w:ascii="仿宋" w:hAnsi="仿宋" w:eastAsia="仿宋"/>
          <w:b/>
          <w:sz w:val="32"/>
          <w:szCs w:val="32"/>
        </w:rPr>
        <w:t>二是全面加强政治理论学习</w:t>
      </w:r>
      <w:r>
        <w:rPr>
          <w:rFonts w:hint="eastAsia" w:ascii="仿宋" w:hAnsi="仿宋" w:eastAsia="仿宋"/>
          <w:sz w:val="32"/>
          <w:szCs w:val="32"/>
        </w:rPr>
        <w:t>。坚持以习近平新时代中国特色社会主义思想为指导，务实认真学习《党章》《准则》和《条例》，认真学习党的二十大精神，认真学习习近平重要讲话精神，读原文学原著悟真理，扎实学透，进一步增强了我们对党的自觉性和坚定性，为我省</w:t>
      </w:r>
      <w:r>
        <w:rPr>
          <w:rFonts w:hint="eastAsia" w:ascii="仿宋" w:hAnsi="仿宋" w:eastAsia="仿宋" w:cs="仿宋"/>
          <w:sz w:val="32"/>
          <w:szCs w:val="32"/>
        </w:rPr>
        <w:t>农作物种业的建设发展</w:t>
      </w:r>
      <w:r>
        <w:rPr>
          <w:rFonts w:hint="eastAsia" w:ascii="仿宋" w:hAnsi="仿宋" w:eastAsia="仿宋"/>
          <w:sz w:val="32"/>
          <w:szCs w:val="32"/>
        </w:rPr>
        <w:t>增添力量。</w:t>
      </w:r>
    </w:p>
    <w:p>
      <w:pPr>
        <w:pStyle w:val="7"/>
        <w:spacing w:before="0" w:beforeAutospacing="0" w:after="0" w:afterAutospacing="0" w:line="620" w:lineRule="exact"/>
        <w:ind w:firstLine="640" w:firstLineChars="200"/>
        <w:jc w:val="both"/>
        <w:rPr>
          <w:rFonts w:ascii="仿宋" w:hAnsi="仿宋" w:eastAsia="仿宋"/>
          <w:sz w:val="32"/>
          <w:szCs w:val="32"/>
        </w:rPr>
      </w:pPr>
      <w:r>
        <w:rPr>
          <w:rFonts w:hint="eastAsia" w:ascii="仿宋" w:hAnsi="仿宋" w:eastAsia="仿宋"/>
          <w:b/>
          <w:sz w:val="32"/>
          <w:szCs w:val="32"/>
        </w:rPr>
        <w:t>三是扎扎实实开展主题党日活动</w:t>
      </w:r>
      <w:r>
        <w:rPr>
          <w:rFonts w:hint="eastAsia" w:ascii="仿宋" w:hAnsi="仿宋" w:eastAsia="仿宋"/>
          <w:sz w:val="32"/>
          <w:szCs w:val="32"/>
        </w:rPr>
        <w:t>。</w:t>
      </w:r>
      <w:r>
        <w:rPr>
          <w:rFonts w:hint="eastAsia" w:ascii="仿宋" w:hAnsi="仿宋" w:eastAsia="仿宋"/>
          <w:spacing w:val="2"/>
          <w:sz w:val="32"/>
          <w:szCs w:val="32"/>
        </w:rPr>
        <w:t>制订了详实的活动实施方案，开展多形式的主题活动，如开展扎实的学习党章研讨会；组织收看党的二十大会议；</w:t>
      </w:r>
      <w:r>
        <w:rPr>
          <w:rFonts w:hint="eastAsia" w:ascii="仿宋" w:hAnsi="仿宋" w:eastAsia="仿宋"/>
          <w:sz w:val="32"/>
          <w:szCs w:val="32"/>
          <w:shd w:val="clear" w:color="auto" w:fill="FFFFFF"/>
        </w:rPr>
        <w:t>认真收集听取承储企业在储备具体操作的建议，</w:t>
      </w:r>
      <w:r>
        <w:rPr>
          <w:rFonts w:hint="eastAsia" w:ascii="仿宋" w:hAnsi="仿宋" w:eastAsia="仿宋"/>
          <w:sz w:val="32"/>
          <w:szCs w:val="32"/>
        </w:rPr>
        <w:t>及时向种业处进行</w:t>
      </w:r>
      <w:r>
        <w:rPr>
          <w:rFonts w:hint="eastAsia" w:ascii="仿宋" w:hAnsi="仿宋" w:eastAsia="仿宋"/>
          <w:sz w:val="32"/>
          <w:szCs w:val="32"/>
          <w:shd w:val="clear" w:color="auto" w:fill="FFFFFF"/>
        </w:rPr>
        <w:t>反馈</w:t>
      </w:r>
      <w:r>
        <w:rPr>
          <w:rFonts w:hint="eastAsia" w:ascii="仿宋" w:hAnsi="仿宋" w:eastAsia="仿宋"/>
          <w:sz w:val="32"/>
          <w:szCs w:val="32"/>
        </w:rPr>
        <w:t>。将学习内容结合到工作实践中去，认真践行我们的初心使命。</w:t>
      </w:r>
    </w:p>
    <w:p>
      <w:pPr>
        <w:widowControl/>
        <w:shd w:val="clear" w:color="auto" w:fill="FFFFFF"/>
        <w:spacing w:line="620" w:lineRule="exact"/>
        <w:ind w:firstLine="640" w:firstLineChars="200"/>
        <w:textAlignment w:val="baseline"/>
        <w:rPr>
          <w:rFonts w:ascii="仿宋" w:hAnsi="仿宋" w:eastAsia="仿宋"/>
          <w:b/>
          <w:sz w:val="32"/>
          <w:szCs w:val="32"/>
        </w:rPr>
      </w:pPr>
      <w:r>
        <w:rPr>
          <w:rFonts w:hint="eastAsia" w:ascii="仿宋" w:hAnsi="仿宋" w:eastAsia="仿宋"/>
          <w:b/>
          <w:sz w:val="32"/>
          <w:szCs w:val="32"/>
        </w:rPr>
        <w:t>四是严格规范推进党风廉政建设。</w:t>
      </w:r>
      <w:r>
        <w:rPr>
          <w:rFonts w:hint="eastAsia" w:ascii="仿宋" w:hAnsi="仿宋" w:eastAsia="仿宋"/>
          <w:sz w:val="32"/>
          <w:szCs w:val="32"/>
        </w:rPr>
        <w:t>根据站系统实际，与站机关签订了《党风廉政建设责任状》，同时也要求中心职工严守廉政纪律，层层落实廉政建设责任。特别是在出差检查前都会对检查人员做出重点针对性的警示性提醒，及时防范苗头性问题。严格贯彻中央八项规定精神，始终把纪律和规矩挺在前面，以高度的政治责任感严肃认真落实关于廉洁自律的各项规定。</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、履职效能</w:t>
      </w:r>
    </w:p>
    <w:p>
      <w:pPr>
        <w:spacing w:line="620" w:lineRule="exact"/>
        <w:ind w:firstLine="640" w:firstLineChars="200"/>
        <w:rPr>
          <w:rFonts w:ascii="仿宋" w:hAnsi="仿宋" w:eastAsia="仿宋"/>
          <w:sz w:val="32"/>
          <w:szCs w:val="32"/>
        </w:rPr>
      </w:pPr>
      <w:r>
        <w:rPr>
          <w:rFonts w:hint="eastAsia" w:ascii="仿宋" w:hAnsi="仿宋" w:eastAsia="仿宋"/>
          <w:sz w:val="32"/>
          <w:szCs w:val="32"/>
        </w:rPr>
        <w:t>一是协同厅种业管理处开展</w:t>
      </w:r>
      <w:r>
        <w:rPr>
          <w:rFonts w:ascii="仿宋" w:hAnsi="仿宋" w:eastAsia="仿宋"/>
          <w:sz w:val="32"/>
          <w:szCs w:val="32"/>
        </w:rPr>
        <w:t>2022</w:t>
      </w:r>
      <w:r>
        <w:rPr>
          <w:rFonts w:hint="eastAsia" w:ascii="仿宋" w:hAnsi="仿宋" w:eastAsia="仿宋"/>
          <w:sz w:val="32"/>
          <w:szCs w:val="32"/>
        </w:rPr>
        <w:t>年度储备种子春季抽查，对</w:t>
      </w:r>
      <w:r>
        <w:rPr>
          <w:rFonts w:ascii="仿宋" w:hAnsi="仿宋" w:eastAsia="仿宋"/>
          <w:sz w:val="32"/>
          <w:szCs w:val="32"/>
        </w:rPr>
        <w:t>350</w:t>
      </w:r>
      <w:r>
        <w:rPr>
          <w:rFonts w:hint="eastAsia" w:ascii="仿宋" w:hAnsi="仿宋" w:eastAsia="仿宋"/>
          <w:sz w:val="32"/>
          <w:szCs w:val="32"/>
        </w:rPr>
        <w:t>万公斤省级储备种子以及</w:t>
      </w:r>
      <w:r>
        <w:rPr>
          <w:rFonts w:hint="eastAsia" w:ascii="仿宋" w:hAnsi="仿宋" w:eastAsia="仿宋"/>
          <w:sz w:val="32"/>
          <w:szCs w:val="32"/>
          <w:lang w:val="en-US" w:eastAsia="zh-CN"/>
        </w:rPr>
        <w:t>429万公斤</w:t>
      </w:r>
      <w:r>
        <w:rPr>
          <w:rFonts w:hint="eastAsia" w:ascii="仿宋" w:hAnsi="仿宋" w:eastAsia="仿宋"/>
          <w:sz w:val="32"/>
          <w:szCs w:val="32"/>
        </w:rPr>
        <w:t>国家级救灾备荒种子进行数量核查、仓储管理、档案建设等方面的检查，确保各项储备管理措施落实到位，为救灾应急调拨种子做好准备。</w:t>
      </w:r>
    </w:p>
    <w:p>
      <w:pPr>
        <w:spacing w:line="620" w:lineRule="exact"/>
        <w:ind w:firstLine="640" w:firstLineChars="200"/>
        <w:rPr>
          <w:rFonts w:ascii="仿宋" w:hAnsi="仿宋" w:eastAsia="仿宋"/>
          <w:sz w:val="32"/>
          <w:szCs w:val="32"/>
        </w:rPr>
      </w:pPr>
      <w:r>
        <w:rPr>
          <w:rFonts w:hint="eastAsia" w:ascii="仿宋" w:hAnsi="仿宋" w:eastAsia="仿宋"/>
          <w:sz w:val="32"/>
          <w:szCs w:val="32"/>
        </w:rPr>
        <w:t>二是在种业处的部署下，对</w:t>
      </w:r>
      <w:r>
        <w:rPr>
          <w:rFonts w:ascii="仿宋" w:hAnsi="仿宋" w:eastAsia="仿宋"/>
          <w:sz w:val="32"/>
          <w:szCs w:val="32"/>
        </w:rPr>
        <w:t>2022</w:t>
      </w:r>
      <w:r>
        <w:rPr>
          <w:rFonts w:hint="eastAsia" w:ascii="仿宋" w:hAnsi="仿宋" w:eastAsia="仿宋"/>
          <w:sz w:val="32"/>
          <w:szCs w:val="32"/>
        </w:rPr>
        <w:t>年省级储备种子又进行了终期检查，确保承储企业都能按储备协议要求完成储备任务，并根据检查结果完成了这一年度储备任务的总结报告。</w:t>
      </w:r>
    </w:p>
    <w:p>
      <w:pPr>
        <w:spacing w:line="620" w:lineRule="exact"/>
        <w:ind w:firstLine="640" w:firstLineChars="200"/>
        <w:rPr>
          <w:rFonts w:ascii="仿宋" w:hAnsi="仿宋" w:eastAsia="仿宋"/>
          <w:sz w:val="32"/>
          <w:szCs w:val="32"/>
        </w:rPr>
      </w:pPr>
      <w:r>
        <w:rPr>
          <w:rFonts w:hint="eastAsia" w:ascii="仿宋" w:hAnsi="仿宋" w:eastAsia="仿宋"/>
          <w:sz w:val="32"/>
          <w:szCs w:val="32"/>
        </w:rPr>
        <w:t>三是在厅种业管理处统一安排下，严格做好</w:t>
      </w:r>
      <w:r>
        <w:rPr>
          <w:rFonts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年省级储备种子入库验收检查工作，各项检查项目严格按照《湖南省救灾备荒种子储备管理操作细则》规定，具体到每一包种子悬挂的专用标签、内部质检档案、仓储温度、堆码和垛牌的标准等，</w:t>
      </w:r>
      <w:r>
        <w:rPr>
          <w:rFonts w:ascii="仿宋" w:hAnsi="仿宋" w:eastAsia="仿宋"/>
          <w:sz w:val="32"/>
          <w:szCs w:val="32"/>
        </w:rPr>
        <w:t>3</w:t>
      </w:r>
      <w:r>
        <w:rPr>
          <w:rFonts w:hint="eastAsia" w:ascii="仿宋" w:hAnsi="仿宋" w:eastAsia="仿宋"/>
          <w:sz w:val="32"/>
          <w:szCs w:val="32"/>
          <w:lang w:val="en-US" w:eastAsia="zh-CN"/>
        </w:rPr>
        <w:t>5</w:t>
      </w:r>
      <w:r>
        <w:rPr>
          <w:rFonts w:ascii="仿宋" w:hAnsi="仿宋" w:eastAsia="仿宋"/>
          <w:sz w:val="32"/>
          <w:szCs w:val="32"/>
        </w:rPr>
        <w:t>5</w:t>
      </w:r>
      <w:r>
        <w:rPr>
          <w:rFonts w:hint="eastAsia" w:ascii="仿宋" w:hAnsi="仿宋" w:eastAsia="仿宋"/>
          <w:sz w:val="32"/>
          <w:szCs w:val="32"/>
        </w:rPr>
        <w:t>万公斤储备种子顺利入库、安全存放，确保了救灾种子储得进、用得上、调得出的目标。</w:t>
      </w:r>
    </w:p>
    <w:p>
      <w:pPr>
        <w:spacing w:line="620" w:lineRule="exact"/>
        <w:ind w:firstLine="640" w:firstLineChars="200"/>
        <w:rPr>
          <w:rFonts w:ascii="仿宋" w:hAnsi="仿宋" w:eastAsia="仿宋"/>
          <w:sz w:val="32"/>
          <w:szCs w:val="32"/>
        </w:rPr>
      </w:pPr>
      <w:r>
        <w:rPr>
          <w:rFonts w:hint="eastAsia" w:ascii="仿宋" w:hAnsi="仿宋" w:eastAsia="仿宋"/>
          <w:sz w:val="32"/>
          <w:szCs w:val="32"/>
        </w:rPr>
        <w:t>四是设计制</w:t>
      </w:r>
      <w:r>
        <w:rPr>
          <w:rFonts w:hint="eastAsia" w:ascii="仿宋" w:hAnsi="仿宋" w:eastAsia="仿宋"/>
          <w:sz w:val="32"/>
          <w:szCs w:val="32"/>
          <w:lang w:val="en-US" w:eastAsia="zh-CN"/>
        </w:rPr>
        <w:t>作</w:t>
      </w:r>
      <w:r>
        <w:rPr>
          <w:rFonts w:hint="eastAsia" w:ascii="仿宋" w:hAnsi="仿宋" w:eastAsia="仿宋"/>
          <w:sz w:val="32"/>
          <w:szCs w:val="32"/>
        </w:rPr>
        <w:t>储备专用标签，并严格控制发放数量，按编号发放给各承储企业，确保每家承储企业按时按质完成承储加工包装任务。</w:t>
      </w:r>
    </w:p>
    <w:p>
      <w:pPr>
        <w:pStyle w:val="14"/>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社会效应</w:t>
      </w:r>
    </w:p>
    <w:p>
      <w:pPr>
        <w:spacing w:line="620" w:lineRule="exact"/>
        <w:ind w:firstLine="640" w:firstLineChars="200"/>
        <w:rPr>
          <w:rFonts w:ascii="仿宋" w:hAnsi="仿宋" w:eastAsia="仿宋"/>
          <w:sz w:val="32"/>
          <w:szCs w:val="32"/>
        </w:rPr>
      </w:pPr>
      <w:r>
        <w:rPr>
          <w:rFonts w:hint="eastAsia" w:ascii="仿宋" w:hAnsi="仿宋" w:eastAsia="仿宋"/>
          <w:sz w:val="32"/>
          <w:szCs w:val="32"/>
        </w:rPr>
        <w:t>配合种业处完成郴州、永州、张家界、常德等地的秋季种子市场检查工作，深入门店摸清种子市场销售和质量情况，</w:t>
      </w:r>
      <w:r>
        <w:rPr>
          <w:rFonts w:hint="eastAsia" w:ascii="仿宋" w:hAnsi="仿宋" w:eastAsia="仿宋"/>
          <w:sz w:val="32"/>
          <w:szCs w:val="32"/>
          <w:lang w:val="en-US" w:eastAsia="zh-CN"/>
        </w:rPr>
        <w:t>为领导决策提供依据</w:t>
      </w:r>
      <w:r>
        <w:rPr>
          <w:rFonts w:hint="eastAsia" w:ascii="仿宋" w:hAnsi="仿宋" w:eastAsia="仿宋"/>
          <w:sz w:val="32"/>
          <w:szCs w:val="32"/>
        </w:rPr>
        <w:t>。</w:t>
      </w:r>
    </w:p>
    <w:p>
      <w:pPr>
        <w:pStyle w:val="14"/>
        <w:keepNext w:val="0"/>
        <w:keepLines w:val="0"/>
        <w:pageBreakBefore w:val="0"/>
        <w:widowControl w:val="0"/>
        <w:numPr>
          <w:ilvl w:val="0"/>
          <w:numId w:val="3"/>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可持续发展能力</w:t>
      </w:r>
    </w:p>
    <w:p>
      <w:pPr>
        <w:spacing w:line="62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参加厅种植业处安排的在涟源、零陵区早稻集中育秧和长沙县、桃源、武陵区生产面积核查，以及永兴、安仁等地晚稻面积核查，精准进行面积测量，认真核查生产面积</w:t>
      </w:r>
      <w:r>
        <w:rPr>
          <w:rFonts w:hint="eastAsia" w:ascii="仿宋" w:hAnsi="仿宋" w:eastAsia="仿宋"/>
          <w:sz w:val="32"/>
          <w:szCs w:val="32"/>
          <w:lang w:eastAsia="zh-CN"/>
        </w:rPr>
        <w:t>，</w:t>
      </w:r>
      <w:r>
        <w:rPr>
          <w:rFonts w:hint="eastAsia" w:ascii="仿宋" w:hAnsi="仿宋" w:eastAsia="仿宋"/>
          <w:sz w:val="32"/>
          <w:szCs w:val="32"/>
          <w:lang w:val="en-US" w:eastAsia="zh-CN"/>
        </w:rPr>
        <w:t>为粮食安全生产保驾护航。</w:t>
      </w:r>
    </w:p>
    <w:p>
      <w:pPr>
        <w:pStyle w:val="14"/>
        <w:keepNext w:val="0"/>
        <w:keepLines w:val="0"/>
        <w:pageBreakBefore w:val="0"/>
        <w:widowControl w:val="0"/>
        <w:numPr>
          <w:ilvl w:val="0"/>
          <w:numId w:val="3"/>
        </w:numPr>
        <w:kinsoku/>
        <w:wordWrap/>
        <w:overflowPunct/>
        <w:topLinePunct w:val="0"/>
        <w:bidi w:val="0"/>
        <w:snapToGrid/>
        <w:spacing w:line="600" w:lineRule="exact"/>
        <w:ind w:left="0" w:leftChars="0"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服务对象满意度</w:t>
      </w:r>
    </w:p>
    <w:p>
      <w:pPr>
        <w:pStyle w:val="14"/>
        <w:keepNext w:val="0"/>
        <w:keepLines w:val="0"/>
        <w:pageBreakBefore w:val="0"/>
        <w:widowControl w:val="0"/>
        <w:numPr>
          <w:ilvl w:val="0"/>
          <w:numId w:val="0"/>
        </w:numPr>
        <w:kinsoku/>
        <w:wordWrap/>
        <w:overflowPunct/>
        <w:topLinePunct w:val="0"/>
        <w:bidi w:val="0"/>
        <w:snapToGrid/>
        <w:spacing w:line="600" w:lineRule="exact"/>
        <w:ind w:left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通过各项工作的开展，社会公众和服务对象满意度均在90%以上。</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我单位整体支出预算执行率有待提高，我单位2022年整体预算执行率为82.91%，其中基本执行预算执行率为83.39%，项目支出预算执行率为80.91%，主要原因一是绩效工资跨年支付，二是项目资金年末支付时因账号与户名不一致退回。</w:t>
      </w:r>
    </w:p>
    <w:p>
      <w:pPr>
        <w:pStyle w:val="14"/>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下一步改进措施：一是项目验收通过后及早支付资金；二是财务人员加强学习和沟通，避免工作失误。</w:t>
      </w: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both"/>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p>
    <w:p>
      <w:pPr>
        <w:pStyle w:val="14"/>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numPr>
          <w:ilvl w:val="0"/>
          <w:numId w:val="4"/>
        </w:numPr>
        <w:ind w:firstLine="640" w:firstLineChars="200"/>
        <w:jc w:val="left"/>
        <w:rPr>
          <w:rFonts w:hint="eastAsia" w:ascii="仿宋" w:hAnsi="仿宋" w:eastAsia="仿宋" w:cs="黑体"/>
          <w:bCs/>
          <w:color w:val="000000"/>
          <w:kern w:val="0"/>
          <w:sz w:val="32"/>
          <w:szCs w:val="32"/>
          <w:lang w:val="en-US" w:eastAsia="zh-CN" w:bidi="ar-SA"/>
        </w:rPr>
      </w:pPr>
      <w:r>
        <w:rPr>
          <w:rFonts w:hint="eastAsia" w:ascii="仿宋" w:hAnsi="仿宋" w:eastAsia="仿宋" w:cs="黑体"/>
          <w:bCs/>
          <w:color w:val="000000"/>
          <w:kern w:val="0"/>
          <w:sz w:val="32"/>
          <w:szCs w:val="32"/>
          <w:lang w:val="en-US" w:eastAsia="zh-CN" w:bidi="ar-SA"/>
        </w:rPr>
        <w:t>基本支出：指为保障机构正常运转、完成日常工作任务而发生的各项支出，包括人员支出和公用支出。</w:t>
      </w:r>
    </w:p>
    <w:p>
      <w:pPr>
        <w:numPr>
          <w:ilvl w:val="0"/>
          <w:numId w:val="4"/>
        </w:numPr>
        <w:ind w:firstLine="640" w:firstLineChars="200"/>
        <w:jc w:val="left"/>
        <w:rPr>
          <w:rFonts w:hint="eastAsia" w:ascii="仿宋" w:hAnsi="仿宋" w:eastAsia="仿宋" w:cs="黑体"/>
          <w:bCs/>
          <w:color w:val="000000"/>
          <w:kern w:val="0"/>
          <w:sz w:val="32"/>
          <w:szCs w:val="32"/>
          <w:lang w:val="en-US" w:eastAsia="zh-CN" w:bidi="ar-SA"/>
        </w:rPr>
      </w:pPr>
      <w:r>
        <w:rPr>
          <w:rFonts w:hint="eastAsia" w:ascii="仿宋" w:hAnsi="仿宋" w:eastAsia="仿宋" w:cs="黑体"/>
          <w:bCs/>
          <w:color w:val="000000"/>
          <w:kern w:val="0"/>
          <w:sz w:val="32"/>
          <w:szCs w:val="32"/>
          <w:lang w:val="en-US" w:eastAsia="zh-CN" w:bidi="ar-SA"/>
        </w:rPr>
        <w:t xml:space="preserve">项目支出：指在基本支出以外为完成相关行政任务和事业发展目标所发生的各项支出。 </w:t>
      </w:r>
    </w:p>
    <w:p>
      <w:pPr>
        <w:pStyle w:val="14"/>
        <w:ind w:firstLine="640" w:firstLineChars="200"/>
        <w:rPr>
          <w:rFonts w:ascii="仿宋" w:hAnsi="仿宋" w:eastAsia="仿宋"/>
          <w:bCs/>
          <w:sz w:val="32"/>
          <w:szCs w:val="32"/>
        </w:rPr>
      </w:pPr>
      <w:r>
        <w:rPr>
          <w:rFonts w:hint="eastAsia" w:ascii="仿宋" w:hAnsi="仿宋" w:eastAsia="仿宋" w:cs="黑体"/>
          <w:bCs/>
          <w:color w:val="000000"/>
          <w:kern w:val="0"/>
          <w:sz w:val="32"/>
          <w:szCs w:val="32"/>
          <w:lang w:val="en-US" w:eastAsia="zh-CN" w:bidi="ar-SA"/>
        </w:rPr>
        <w:t>三、“三公”经费:纳入省财政预算管理的“三</w:t>
      </w:r>
      <w:r>
        <w:rPr>
          <w:rFonts w:hint="eastAsia" w:ascii="仿宋" w:hAnsi="仿宋" w:eastAsia="仿宋"/>
          <w:bCs/>
          <w:sz w:val="32"/>
          <w:szCs w:val="32"/>
        </w:rPr>
        <w:t>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pStyle w:val="14"/>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DE2A6C"/>
    <w:multiLevelType w:val="singleLevel"/>
    <w:tmpl w:val="BCDE2A6C"/>
    <w:lvl w:ilvl="0" w:tentative="0">
      <w:start w:val="1"/>
      <w:numFmt w:val="chineseCounting"/>
      <w:suff w:val="nothing"/>
      <w:lvlText w:val="%1、"/>
      <w:lvlJc w:val="left"/>
      <w:rPr>
        <w:rFonts w:hint="eastAsia"/>
      </w:rPr>
    </w:lvl>
  </w:abstractNum>
  <w:abstractNum w:abstractNumId="1">
    <w:nsid w:val="D4E20636"/>
    <w:multiLevelType w:val="singleLevel"/>
    <w:tmpl w:val="D4E20636"/>
    <w:lvl w:ilvl="0" w:tentative="0">
      <w:start w:val="7"/>
      <w:numFmt w:val="chineseCounting"/>
      <w:suff w:val="nothing"/>
      <w:lvlText w:val="%1、"/>
      <w:lvlJc w:val="left"/>
      <w:rPr>
        <w:rFonts w:hint="eastAsia"/>
      </w:rPr>
    </w:lvl>
  </w:abstractNum>
  <w:abstractNum w:abstractNumId="2">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3396EA4"/>
    <w:multiLevelType w:val="singleLevel"/>
    <w:tmpl w:val="33396EA4"/>
    <w:lvl w:ilvl="0" w:tentative="0">
      <w:start w:val="4"/>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C41CF"/>
    <w:rsid w:val="09EA78BE"/>
    <w:rsid w:val="0B4F31A0"/>
    <w:rsid w:val="0E2C15E0"/>
    <w:rsid w:val="0E916B53"/>
    <w:rsid w:val="18403756"/>
    <w:rsid w:val="2F5A1D36"/>
    <w:rsid w:val="2F8141E2"/>
    <w:rsid w:val="32F12976"/>
    <w:rsid w:val="3DDC4613"/>
    <w:rsid w:val="3ED25BF4"/>
    <w:rsid w:val="3F302042"/>
    <w:rsid w:val="453C4276"/>
    <w:rsid w:val="46443B43"/>
    <w:rsid w:val="52491328"/>
    <w:rsid w:val="624F663B"/>
    <w:rsid w:val="65757372"/>
    <w:rsid w:val="68D551EB"/>
    <w:rsid w:val="713B43DA"/>
    <w:rsid w:val="7F6F6D9B"/>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index 6"/>
    <w:basedOn w:val="1"/>
    <w:next w:val="1"/>
    <w:qFormat/>
    <w:uiPriority w:val="0"/>
    <w:pPr>
      <w:widowControl w:val="0"/>
      <w:ind w:left="2100"/>
      <w:jc w:val="both"/>
    </w:pPr>
    <w:rPr>
      <w:rFonts w:ascii="Calibri" w:hAnsi="Calibri" w:eastAsia="宋体" w:cs="Times New Roman"/>
      <w:kern w:val="2"/>
      <w:sz w:val="21"/>
      <w:lang w:val="en-US" w:eastAsia="zh-CN" w:bidi="ar-SA"/>
    </w:rPr>
  </w:style>
  <w:style w:type="paragraph" w:styleId="3">
    <w:name w:val="Body Text Indent"/>
    <w:basedOn w:val="1"/>
    <w:qFormat/>
    <w:uiPriority w:val="0"/>
    <w:pPr>
      <w:spacing w:after="120"/>
      <w:ind w:left="420" w:leftChars="200"/>
    </w:pPr>
  </w:style>
  <w:style w:type="paragraph" w:styleId="4">
    <w:name w:val="Balloon Text"/>
    <w:basedOn w:val="1"/>
    <w:link w:val="16"/>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3"/>
    <w:next w:val="2"/>
    <w:qFormat/>
    <w:uiPriority w:val="0"/>
    <w:pPr>
      <w:ind w:firstLine="420" w:firstLineChars="200"/>
    </w:pPr>
  </w:style>
  <w:style w:type="table" w:styleId="10">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2">
    <w:name w:val="页眉 Char"/>
    <w:basedOn w:val="11"/>
    <w:link w:val="6"/>
    <w:qFormat/>
    <w:uiPriority w:val="99"/>
    <w:rPr>
      <w:sz w:val="18"/>
      <w:szCs w:val="18"/>
    </w:rPr>
  </w:style>
  <w:style w:type="character" w:customStyle="1" w:styleId="13">
    <w:name w:val="页脚 Char"/>
    <w:basedOn w:val="11"/>
    <w:link w:val="5"/>
    <w:qFormat/>
    <w:uiPriority w:val="99"/>
    <w:rPr>
      <w:sz w:val="18"/>
      <w:szCs w:val="18"/>
    </w:rPr>
  </w:style>
  <w:style w:type="paragraph" w:customStyle="1" w:styleId="14">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5">
    <w:name w:val="List Paragraph"/>
    <w:basedOn w:val="1"/>
    <w:qFormat/>
    <w:uiPriority w:val="34"/>
    <w:pPr>
      <w:ind w:firstLine="420" w:firstLineChars="200"/>
    </w:pPr>
  </w:style>
  <w:style w:type="character" w:customStyle="1" w:styleId="16">
    <w:name w:val="批注框文本 Char"/>
    <w:basedOn w:val="11"/>
    <w:link w:val="4"/>
    <w:semiHidden/>
    <w:qFormat/>
    <w:uiPriority w:val="99"/>
    <w:rPr>
      <w:sz w:val="18"/>
      <w:szCs w:val="18"/>
    </w:rPr>
  </w:style>
  <w:style w:type="character" w:customStyle="1" w:styleId="17">
    <w:name w:val="font01"/>
    <w:basedOn w:val="11"/>
    <w:qFormat/>
    <w:uiPriority w:val="0"/>
    <w:rPr>
      <w:rFonts w:hint="eastAsia" w:ascii="宋体" w:hAnsi="宋体" w:eastAsia="宋体" w:cs="宋体"/>
      <w:color w:val="000000"/>
      <w:sz w:val="22"/>
      <w:szCs w:val="22"/>
      <w:u w:val="none"/>
    </w:rPr>
  </w:style>
  <w:style w:type="character" w:customStyle="1" w:styleId="18">
    <w:name w:val="font21"/>
    <w:basedOn w:val="11"/>
    <w:qFormat/>
    <w:uiPriority w:val="0"/>
    <w:rPr>
      <w:rFonts w:hint="eastAsia" w:ascii="宋体" w:hAnsi="宋体" w:eastAsia="宋体" w:cs="宋体"/>
      <w:color w:val="000000"/>
      <w:sz w:val="24"/>
      <w:szCs w:val="24"/>
      <w:u w:val="none"/>
    </w:rPr>
  </w:style>
  <w:style w:type="character" w:customStyle="1" w:styleId="19">
    <w:name w:val="font11"/>
    <w:basedOn w:val="1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2.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5.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8.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9.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f5c53a87-aa90-4869-bc6d-6c84f2127df3}">
  <ds:schemaRefs/>
</ds:datastoreItem>
</file>

<file path=customXml/itemProps2.xml><?xml version="1.0" encoding="utf-8"?>
<ds:datastoreItem xmlns:ds="http://schemas.openxmlformats.org/officeDocument/2006/customXml" ds:itemID="{64557e26-b766-4b52-8a37-e0735bc52964}">
  <ds:schemaRefs/>
</ds:datastoreItem>
</file>

<file path=customXml/itemProps3.xml><?xml version="1.0" encoding="utf-8"?>
<ds:datastoreItem xmlns:ds="http://schemas.openxmlformats.org/officeDocument/2006/customXml" ds:itemID="{94adf443-07e0-401a-b435-17a5a12bb257}">
  <ds:schemaRefs/>
</ds:datastoreItem>
</file>

<file path=customXml/itemProps4.xml><?xml version="1.0" encoding="utf-8"?>
<ds:datastoreItem xmlns:ds="http://schemas.openxmlformats.org/officeDocument/2006/customXml" ds:itemID="{76833b55-b5fe-44ae-bebd-675a2a1ef9f2}">
  <ds:schemaRefs/>
</ds:datastoreItem>
</file>

<file path=customXml/itemProps5.xml><?xml version="1.0" encoding="utf-8"?>
<ds:datastoreItem xmlns:ds="http://schemas.openxmlformats.org/officeDocument/2006/customXml" ds:itemID="{efa48161-cd51-41fb-a805-ec0436422efa}">
  <ds:schemaRefs/>
</ds:datastoreItem>
</file>

<file path=customXml/itemProps6.xml><?xml version="1.0" encoding="utf-8"?>
<ds:datastoreItem xmlns:ds="http://schemas.openxmlformats.org/officeDocument/2006/customXml" ds:itemID="{d7530c85-ba5d-4e9a-a09c-68d9fb698768}">
  <ds:schemaRefs/>
</ds:datastoreItem>
</file>

<file path=customXml/itemProps7.xml><?xml version="1.0" encoding="utf-8"?>
<ds:datastoreItem xmlns:ds="http://schemas.openxmlformats.org/officeDocument/2006/customXml" ds:itemID="{540ea3dc-7b0e-4c46-8286-b6a71c799da1}">
  <ds:schemaRefs/>
</ds:datastoreItem>
</file>

<file path=customXml/itemProps8.xml><?xml version="1.0" encoding="utf-8"?>
<ds:datastoreItem xmlns:ds="http://schemas.openxmlformats.org/officeDocument/2006/customXml" ds:itemID="{5dfc190e-6d9c-43ab-9942-bf5f12869e44}">
  <ds:schemaRefs/>
</ds:datastoreItem>
</file>

<file path=customXml/itemProps9.xml><?xml version="1.0" encoding="utf-8"?>
<ds:datastoreItem xmlns:ds="http://schemas.openxmlformats.org/officeDocument/2006/customXml" ds:itemID="{a88b5705-57a8-4c14-86ef-a7b94f51b5d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4989</Words>
  <Characters>5400</Characters>
  <Lines>63</Lines>
  <Paragraphs>18</Paragraphs>
  <TotalTime>4</TotalTime>
  <ScaleCrop>false</ScaleCrop>
  <LinksUpToDate>false</LinksUpToDate>
  <CharactersWithSpaces>5426</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2023-11-01T13:27:27Z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