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jc w:val="both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年</w:t>
      </w:r>
      <w:r>
        <w:rPr>
          <w:rFonts w:hint="eastAsia" w:eastAsia="方正小标宋_GBK"/>
          <w:bCs/>
          <w:kern w:val="0"/>
          <w:sz w:val="44"/>
          <w:szCs w:val="44"/>
          <w:lang w:val="en-US" w:eastAsia="zh-CN"/>
        </w:rPr>
        <w:t>湖南省人力资源服务中心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</w:rPr>
        <w:t>部门预算</w:t>
      </w:r>
    </w:p>
    <w:p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第一部分 </w:t>
      </w:r>
      <w:r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年部门预算说明</w:t>
      </w: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 xml:space="preserve">第二部分 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年部门预算表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注：以上部门预算报表中，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如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本部门无相关收支情况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，也需公开空表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第一部分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年部门预算说明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一、部门基本概况</w:t>
      </w:r>
    </w:p>
    <w:p>
      <w:pPr>
        <w:widowControl/>
        <w:spacing w:line="600" w:lineRule="exact"/>
        <w:ind w:firstLine="629" w:firstLineChars="196"/>
        <w:jc w:val="left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（一）职能职责。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组织各类公益性求职招聘活动，开展高校毕业生等重点群体公益性人才交流活动，提供网络人才交流服务，为企事业单位提供人才引进等公共服务，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参与提供职业指导、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人力资源培训与测评等相关服务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开展全省人力资源市场职业供求动态监测和短缺职业工种发布工作，定期编印《湖南省人力资源市场动态与分析报告》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为企事业单位、流动人员提供人事档案管理和人事代理服务，组织实施流动人员人事档案信息化建设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受委托承担流动人员部分系列（专业）中初级职称认定、中高级职称申报和评审工作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开展流动人才党员管理服务工作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受厅委托履行湖南人才市场有限公司、湖南人才就业社保信息报社有限责任公司出资人监管职责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参与拟订人力资源服务地方标准并具体组织实施。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承担厅及有关部门委托的其他公共服务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承办厅党组交办的其他工作。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2" w:firstLineChars="200"/>
        <w:textAlignment w:val="auto"/>
        <w:rPr>
          <w:rFonts w:hint="default" w:ascii="Times New Roman" w:hAnsi="Times New Roman" w:eastAsia="楷体_GB2312" w:cs="Times New Roman"/>
          <w:b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kern w:val="2"/>
          <w:sz w:val="32"/>
          <w:szCs w:val="32"/>
          <w:lang w:val="en-US" w:eastAsia="zh-CN" w:bidi="ar-SA"/>
        </w:rPr>
        <w:t>机构设置。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根据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职能职责及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工作实际，中心内设综合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管理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部、财务部、党群工作部、人事档案管理部、人才交流部和资产管理部等6个部门。</w:t>
      </w:r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二、部门预算单位构成</w:t>
      </w:r>
    </w:p>
    <w:p>
      <w:pPr>
        <w:widowControl/>
        <w:spacing w:line="600" w:lineRule="exact"/>
        <w:ind w:firstLine="627" w:firstLineChars="19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湖南省人力资源服务中心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只有本级，没有其他预算单位，因此本部门预算仅含本级预算。</w:t>
      </w:r>
      <w:bookmarkStart w:id="0" w:name="_GoBack"/>
      <w:bookmarkEnd w:id="0"/>
    </w:p>
    <w:p>
      <w:pPr>
        <w:widowControl/>
        <w:spacing w:line="600" w:lineRule="exact"/>
        <w:ind w:firstLine="627" w:firstLineChars="196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</w:rPr>
        <w:t>三、部门收支总体情况</w:t>
      </w:r>
    </w:p>
    <w:p>
      <w:pPr>
        <w:widowControl/>
        <w:spacing w:line="600" w:lineRule="exact"/>
        <w:ind w:firstLine="629" w:firstLineChars="196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年本部门收入预算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1712.08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1269.95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万元，上年结转结余442.1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收入较去年增加</w:t>
      </w:r>
      <w:r>
        <w:rPr>
          <w:rFonts w:hint="eastAsia" w:eastAsia="仿宋_GB2312" w:cs="Times New Roman"/>
          <w:b/>
          <w:sz w:val="32"/>
          <w:szCs w:val="32"/>
          <w:u w:val="single"/>
          <w:lang w:val="en-US" w:eastAsia="zh-CN"/>
        </w:rPr>
        <w:t>321.59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万元，主要是</w:t>
      </w:r>
      <w:r>
        <w:rPr>
          <w:rFonts w:hint="eastAsia" w:eastAsia="仿宋_GB2312" w:cs="Times New Roman"/>
          <w:b/>
          <w:sz w:val="32"/>
          <w:szCs w:val="32"/>
          <w:lang w:val="en-US" w:eastAsia="zh-CN"/>
        </w:rPr>
        <w:t>上年结转结余增加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29" w:firstLineChars="196"/>
        <w:jc w:val="left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（二）支出预算：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1712.08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</w:t>
      </w:r>
      <w:r>
        <w:rPr>
          <w:rFonts w:eastAsia="仿宋_GB2312"/>
          <w:sz w:val="32"/>
          <w:szCs w:val="32"/>
        </w:rPr>
        <w:t>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1712.08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b/>
          <w:sz w:val="32"/>
          <w:szCs w:val="32"/>
        </w:rPr>
        <w:t>支出较去年增加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321.59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  <w:t>主要是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  <w:t>流动人员人事档案项目支出、其他就业补助支出增加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四、一般公共预算拨款支出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年本部门一般公共预算拨款支出预算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1712.08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1712.08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万元，占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</w:t>
      </w:r>
      <w:r>
        <w:rPr>
          <w:rFonts w:hint="eastAsia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（一）基本支出：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年本部门基本支出预算数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383.68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万元，主要是为保障部门正常运转、完成日常工作任务而发生的各项支出，包括用于基本工资、津贴补贴等人员经费以及办公费、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差旅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费等公用经费。</w:t>
      </w:r>
    </w:p>
    <w:p>
      <w:pPr>
        <w:widowControl/>
        <w:spacing w:line="600" w:lineRule="exact"/>
        <w:ind w:firstLine="660"/>
        <w:jc w:val="left"/>
        <w:rPr>
          <w:rFonts w:hint="default" w:eastAsia="仿宋_GB2312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年本部门项目支出预算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1328.4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万元，主要是部门为完成特定行政工作任务或事业发展目标而发生的支出，包括有关事业发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展专项、专项业务费等，其中：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业务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工作经费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（上年结余）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202.13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万元，主要用于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流动人员人事档案管理基本公共服务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专项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、民营企业招聘周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等方面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支出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其他事业发展资金997.27万元（其中，当年其他事业发展资金预算757.27万元，上年结余省级补助资金240万元），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主要用于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流动人员人事档案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经费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eastAsia="zh-CN"/>
        </w:rPr>
        <w:t>、就业补助专项（省级）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支出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eastAsia="zh-CN"/>
        </w:rPr>
        <w:t>；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其他运转类资金129万元，主要用于大院运维支出。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本部门无政府性基金安排的支出</w:t>
      </w:r>
      <w:r>
        <w:rPr>
          <w:rFonts w:hint="eastAsia" w:eastAsia="仿宋_GB2312" w:cs="Times New Roman"/>
          <w:b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六、其他重要事项的情况说明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（一）机关运行经费：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年本部门本级机关运行经费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67.41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万元，比上年预算减少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21.19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万元，下降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23.92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%，主要是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工会经费、会议费减少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（二）“三公”经费预算：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年本部门本级“三公”经费预算数为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万元，公务用车购置及运行费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万元（其中，公务用车运行费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万元），因公出国（境）费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年“三公”经费预算较202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年减少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0.8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万元，主要是公务用车运行费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预算减少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（三）一般性支出情况：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2023年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本部门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会议费预算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3.5万元，拟召开全省人力资源服务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市州主任座谈会议，人数1</w:t>
      </w: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人，内容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贯彻落实全省人力资源和社会保障工作会议精神，认真分析当前形势，研究部署下阶段工作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拟召开工程系列中级职称评审会议，人数150人，内容为完成工程系列中级职称材料评审认定工作</w:t>
      </w:r>
      <w:r>
        <w:rPr>
          <w:rFonts w:hint="eastAsia" w:eastAsia="仿宋_GB2312" w:cs="Times New Roman"/>
          <w:color w:val="auto"/>
          <w:kern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培训费预算</w:t>
      </w:r>
      <w:r>
        <w:rPr>
          <w:rFonts w:hint="eastAsia" w:eastAsia="仿宋_GB2312" w:cs="Times New Roman"/>
          <w:color w:val="auto"/>
          <w:sz w:val="32"/>
          <w:szCs w:val="32"/>
          <w:u w:val="single"/>
          <w:lang w:val="en-US" w:eastAsia="zh-CN"/>
        </w:rPr>
        <w:t>24.79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万元，拟开展2023年全省流动人员人事档案管理业务培训班，人数185人，内容为流动人员人事档案管理服务政策解读。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（四）政府采购情况：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color w:val="FF0000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截至2022年12月底，本部门共有公务用车1辆，其中，机要通信用车1辆，单位价值50万元以上通用设备2台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单位价值100万元以上专用设备0台。2023年拟新增配置公务用车0辆；新增配备单位价值50万元以上通用设备0台，单位价值100万元以上专用设备0台。</w:t>
      </w:r>
    </w:p>
    <w:p>
      <w:pPr>
        <w:widowControl/>
        <w:spacing w:line="600" w:lineRule="exact"/>
        <w:ind w:firstLine="660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本部门所有支出实行绩效目标管理。纳入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2023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年部门整体支出绩效目标的金额为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1712.08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383.68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万元，项目支出</w:t>
      </w:r>
      <w:r>
        <w:rPr>
          <w:rFonts w:hint="eastAsia" w:eastAsia="仿宋_GB2312" w:cs="Times New Roman"/>
          <w:sz w:val="32"/>
          <w:szCs w:val="32"/>
          <w:u w:val="single"/>
          <w:lang w:val="en-US" w:eastAsia="zh-CN"/>
        </w:rPr>
        <w:t>1328.4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七、名词解释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2" w:firstLineChars="200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 xml:space="preserve">第二部分 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lang w:eastAsia="zh-CN"/>
        </w:rPr>
        <w:t>2023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</w:rPr>
        <w:t>年部门预算表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8C891"/>
    <w:multiLevelType w:val="singleLevel"/>
    <w:tmpl w:val="FFF8C89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2OTkyOGVhNTU1N2EzN2UwYWNkNTdiNTI1ZDI2NTUifQ=="/>
  </w:docVars>
  <w:rsids>
    <w:rsidRoot w:val="00E43B21"/>
    <w:rsid w:val="00D074CA"/>
    <w:rsid w:val="00E43B21"/>
    <w:rsid w:val="04D26186"/>
    <w:rsid w:val="07D653C6"/>
    <w:rsid w:val="11423ACC"/>
    <w:rsid w:val="195425EF"/>
    <w:rsid w:val="19F85670"/>
    <w:rsid w:val="1A501FC4"/>
    <w:rsid w:val="1FCD30FB"/>
    <w:rsid w:val="25B91847"/>
    <w:rsid w:val="26E23E65"/>
    <w:rsid w:val="2B0D0850"/>
    <w:rsid w:val="2C2916B9"/>
    <w:rsid w:val="2CAE61C6"/>
    <w:rsid w:val="33705E1F"/>
    <w:rsid w:val="33A1422B"/>
    <w:rsid w:val="35B91D00"/>
    <w:rsid w:val="3DC56D68"/>
    <w:rsid w:val="3E08692F"/>
    <w:rsid w:val="40136F95"/>
    <w:rsid w:val="40416B7A"/>
    <w:rsid w:val="452F29BF"/>
    <w:rsid w:val="4A653DAC"/>
    <w:rsid w:val="4E4B5067"/>
    <w:rsid w:val="4E872543"/>
    <w:rsid w:val="4F0E056F"/>
    <w:rsid w:val="53283BC9"/>
    <w:rsid w:val="58BF4B95"/>
    <w:rsid w:val="59943D66"/>
    <w:rsid w:val="5F2636B2"/>
    <w:rsid w:val="6AAD2A16"/>
    <w:rsid w:val="FDEE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qFormat/>
    <w:uiPriority w:val="0"/>
    <w:pPr>
      <w:snapToGrid w:val="0"/>
      <w:jc w:val="left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2599</Words>
  <Characters>2810</Characters>
  <Lines>0</Lines>
  <Paragraphs>0</Paragraphs>
  <TotalTime>25</TotalTime>
  <ScaleCrop>false</ScaleCrop>
  <LinksUpToDate>false</LinksUpToDate>
  <CharactersWithSpaces>2821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2023-02-24T08:51:00Z</dcterms:created>
  <dc:creator>Coconut</dc:creator>
  <cp:lastModifiedBy>greatwall</cp:lastModifiedBy>
  <cp:lastPrinted>2023-02-28T10:04:00Z</cp:lastPrinted>
  <dcterms:modified xsi:type="dcterms:W3CDTF">2023-03-04T12:39:19Z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F1C02E0977664318BB9379303A92A023</vt:lpwstr>
  </property>
</Properties>
</file>