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1"/>
        <w:rPr>
          <w:rFonts w:ascii="方正小标宋简体" w:hAnsi="黑体" w:eastAsia="方正小标宋简体" w:cs="Arial"/>
          <w:bCs/>
          <w:kern w:val="0"/>
          <w:sz w:val="44"/>
          <w:szCs w:val="44"/>
        </w:rPr>
      </w:pPr>
      <w:r>
        <w:rPr>
          <w:rFonts w:hint="eastAsia" w:ascii="方正小标宋简体" w:hAnsi="黑体" w:eastAsia="方正小标宋简体" w:cs="Arial"/>
          <w:bCs/>
          <w:kern w:val="0"/>
          <w:sz w:val="44"/>
          <w:szCs w:val="44"/>
        </w:rPr>
        <w:t>2022年湖南省人民检察院部门预算</w:t>
      </w:r>
    </w:p>
    <w:p>
      <w:pPr>
        <w:widowControl/>
        <w:shd w:val="clear" w:color="auto" w:fill="FFFFFF"/>
        <w:jc w:val="center"/>
        <w:outlineLvl w:val="1"/>
        <w:rPr>
          <w:rFonts w:ascii="黑体" w:hAnsi="黑体" w:eastAsia="黑体" w:cs="Arial"/>
          <w:b/>
          <w:bCs/>
          <w:kern w:val="0"/>
          <w:sz w:val="48"/>
          <w:szCs w:val="48"/>
        </w:rPr>
      </w:pPr>
    </w:p>
    <w:p>
      <w:pPr>
        <w:widowControl/>
        <w:shd w:val="clear" w:color="auto" w:fill="FFFFFF"/>
        <w:wordWrap w:val="0"/>
        <w:spacing w:line="600" w:lineRule="atLeast"/>
        <w:jc w:val="center"/>
        <w:rPr>
          <w:rFonts w:ascii="黑体" w:hAnsi="黑体" w:eastAsia="黑体" w:cs="宋体"/>
          <w:color w:val="353535"/>
          <w:spacing w:val="8"/>
          <w:kern w:val="0"/>
          <w:sz w:val="32"/>
          <w:szCs w:val="32"/>
        </w:rPr>
      </w:pPr>
      <w:r>
        <w:rPr>
          <w:rFonts w:hint="eastAsia" w:ascii="黑体" w:hAnsi="黑体" w:eastAsia="黑体" w:cs="宋体"/>
          <w:color w:val="353535"/>
          <w:spacing w:val="8"/>
          <w:kern w:val="0"/>
          <w:sz w:val="32"/>
          <w:szCs w:val="32"/>
        </w:rPr>
        <w:t>目 录</w:t>
      </w:r>
    </w:p>
    <w:p>
      <w:pPr>
        <w:widowControl/>
        <w:shd w:val="clear" w:color="auto" w:fill="FFFFFF"/>
        <w:wordWrap w:val="0"/>
        <w:spacing w:line="600" w:lineRule="atLeast"/>
        <w:jc w:val="center"/>
        <w:rPr>
          <w:rFonts w:ascii="黑体" w:hAnsi="黑体" w:eastAsia="黑体" w:cs="宋体"/>
          <w:color w:val="353535"/>
          <w:spacing w:val="8"/>
          <w:kern w:val="0"/>
          <w:sz w:val="32"/>
          <w:szCs w:val="32"/>
        </w:rPr>
      </w:pPr>
    </w:p>
    <w:p>
      <w:pPr>
        <w:widowControl/>
        <w:shd w:val="clear" w:color="auto" w:fill="FFFFFF"/>
        <w:wordWrap w:val="0"/>
        <w:adjustRightInd w:val="0"/>
        <w:snapToGrid w:val="0"/>
        <w:spacing w:line="600" w:lineRule="atLeast"/>
        <w:ind w:firstLine="672" w:firstLineChars="200"/>
        <w:jc w:val="left"/>
        <w:rPr>
          <w:rFonts w:ascii="黑体" w:hAnsi="宋体" w:eastAsia="黑体" w:cs="宋体"/>
          <w:color w:val="353535"/>
          <w:spacing w:val="8"/>
          <w:kern w:val="0"/>
          <w:sz w:val="32"/>
          <w:szCs w:val="32"/>
        </w:rPr>
      </w:pPr>
      <w:r>
        <w:rPr>
          <w:rFonts w:hint="eastAsia" w:ascii="黑体" w:eastAsia="黑体"/>
          <w:bCs/>
          <w:color w:val="353535"/>
          <w:spacing w:val="8"/>
          <w:kern w:val="0"/>
          <w:sz w:val="32"/>
          <w:szCs w:val="32"/>
        </w:rPr>
        <w:t xml:space="preserve">第一部分 </w:t>
      </w:r>
      <w:r>
        <w:rPr>
          <w:rFonts w:hint="eastAsia" w:eastAsia="黑体"/>
          <w:bCs/>
          <w:color w:val="353535"/>
          <w:spacing w:val="8"/>
          <w:kern w:val="0"/>
          <w:sz w:val="32"/>
          <w:szCs w:val="32"/>
        </w:rPr>
        <w:t> </w:t>
      </w:r>
      <w:r>
        <w:rPr>
          <w:rFonts w:hint="eastAsia" w:ascii="黑体" w:hAnsi="宋体" w:eastAsia="黑体" w:cs="宋体"/>
          <w:color w:val="353535"/>
          <w:spacing w:val="8"/>
          <w:kern w:val="0"/>
          <w:sz w:val="32"/>
          <w:szCs w:val="32"/>
        </w:rPr>
        <w:t>2022</w:t>
      </w:r>
      <w:r>
        <w:rPr>
          <w:rFonts w:hint="eastAsia" w:ascii="黑体" w:hAnsi="宋体" w:eastAsia="黑体" w:cs="宋体"/>
          <w:bCs/>
          <w:color w:val="353535"/>
          <w:spacing w:val="8"/>
          <w:kern w:val="0"/>
          <w:sz w:val="32"/>
          <w:szCs w:val="32"/>
        </w:rPr>
        <w:t>年部门预算说明</w:t>
      </w:r>
    </w:p>
    <w:p>
      <w:pPr>
        <w:widowControl/>
        <w:shd w:val="clear" w:color="auto" w:fill="FFFFFF"/>
        <w:wordWrap w:val="0"/>
        <w:adjustRightInd w:val="0"/>
        <w:snapToGrid w:val="0"/>
        <w:spacing w:line="600" w:lineRule="atLeast"/>
        <w:ind w:firstLine="672" w:firstLineChars="200"/>
        <w:jc w:val="left"/>
        <w:rPr>
          <w:rFonts w:ascii="黑体" w:hAnsi="宋体" w:eastAsia="黑体" w:cs="宋体"/>
          <w:color w:val="353535"/>
          <w:spacing w:val="8"/>
          <w:kern w:val="0"/>
          <w:sz w:val="32"/>
          <w:szCs w:val="32"/>
        </w:rPr>
      </w:pPr>
      <w:r>
        <w:rPr>
          <w:rFonts w:hint="eastAsia" w:ascii="黑体" w:eastAsia="黑体"/>
          <w:bCs/>
          <w:color w:val="353535"/>
          <w:spacing w:val="8"/>
          <w:kern w:val="0"/>
          <w:sz w:val="32"/>
          <w:szCs w:val="32"/>
        </w:rPr>
        <w:t>第二部分</w:t>
      </w:r>
      <w:r>
        <w:rPr>
          <w:rFonts w:hint="eastAsia" w:eastAsia="黑体"/>
          <w:bCs/>
          <w:color w:val="353535"/>
          <w:spacing w:val="8"/>
          <w:kern w:val="0"/>
          <w:sz w:val="32"/>
          <w:szCs w:val="32"/>
        </w:rPr>
        <w:t> </w:t>
      </w:r>
      <w:r>
        <w:rPr>
          <w:rFonts w:hint="eastAsia" w:ascii="黑体" w:eastAsia="黑体"/>
          <w:bCs/>
          <w:color w:val="353535"/>
          <w:spacing w:val="8"/>
          <w:kern w:val="0"/>
          <w:sz w:val="32"/>
          <w:szCs w:val="32"/>
        </w:rPr>
        <w:t xml:space="preserve"> </w:t>
      </w:r>
      <w:r>
        <w:rPr>
          <w:rFonts w:hint="eastAsia" w:ascii="黑体" w:hAnsi="宋体" w:eastAsia="黑体" w:cs="宋体"/>
          <w:bCs/>
          <w:color w:val="353535"/>
          <w:spacing w:val="8"/>
          <w:kern w:val="0"/>
          <w:sz w:val="32"/>
          <w:szCs w:val="32"/>
        </w:rPr>
        <w:t>2022</w:t>
      </w:r>
      <w:r>
        <w:rPr>
          <w:rFonts w:hint="eastAsia" w:ascii="黑体" w:eastAsia="黑体"/>
          <w:bCs/>
          <w:color w:val="353535"/>
          <w:spacing w:val="8"/>
          <w:kern w:val="0"/>
          <w:sz w:val="32"/>
          <w:szCs w:val="32"/>
        </w:rPr>
        <w:t>年部门预算表</w:t>
      </w:r>
    </w:p>
    <w:p>
      <w:pPr>
        <w:widowControl/>
        <w:shd w:val="clear" w:color="auto" w:fill="FFFFFF"/>
        <w:wordWrap w:val="0"/>
        <w:adjustRightInd w:val="0"/>
        <w:snapToGrid w:val="0"/>
        <w:spacing w:line="600" w:lineRule="atLeast"/>
        <w:ind w:firstLine="672" w:firstLineChars="200"/>
        <w:jc w:val="left"/>
        <w:rPr>
          <w:rFonts w:ascii="宋体" w:hAnsi="宋体" w:cs="宋体"/>
          <w:color w:val="353535"/>
          <w:spacing w:val="8"/>
          <w:kern w:val="0"/>
          <w:sz w:val="32"/>
          <w:szCs w:val="32"/>
        </w:rPr>
      </w:pPr>
      <w:r>
        <w:rPr>
          <w:color w:val="353535"/>
          <w:spacing w:val="8"/>
          <w:kern w:val="0"/>
          <w:sz w:val="32"/>
          <w:szCs w:val="32"/>
        </w:rPr>
        <w:t>1</w:t>
      </w:r>
      <w:r>
        <w:rPr>
          <w:rFonts w:hint="eastAsia" w:ascii="仿宋_GB2312" w:eastAsia="仿宋_GB2312"/>
          <w:color w:val="353535"/>
          <w:spacing w:val="8"/>
          <w:kern w:val="0"/>
          <w:sz w:val="32"/>
          <w:szCs w:val="32"/>
        </w:rPr>
        <w:t>.</w:t>
      </w:r>
      <w:r>
        <w:rPr>
          <w:rFonts w:ascii="仿宋_GB2312" w:eastAsia="仿宋_GB2312"/>
          <w:color w:val="353535"/>
          <w:spacing w:val="8"/>
          <w:kern w:val="0"/>
          <w:sz w:val="32"/>
          <w:szCs w:val="32"/>
        </w:rPr>
        <w:t>收支总表</w:t>
      </w:r>
    </w:p>
    <w:p>
      <w:pPr>
        <w:widowControl/>
        <w:shd w:val="clear" w:color="auto" w:fill="FFFFFF"/>
        <w:wordWrap w:val="0"/>
        <w:adjustRightInd w:val="0"/>
        <w:snapToGrid w:val="0"/>
        <w:spacing w:line="600" w:lineRule="atLeast"/>
        <w:ind w:firstLine="672" w:firstLineChars="200"/>
        <w:jc w:val="left"/>
        <w:rPr>
          <w:rFonts w:ascii="宋体" w:hAnsi="宋体" w:cs="宋体"/>
          <w:color w:val="353535"/>
          <w:spacing w:val="8"/>
          <w:kern w:val="0"/>
          <w:sz w:val="32"/>
          <w:szCs w:val="32"/>
        </w:rPr>
      </w:pPr>
      <w:r>
        <w:rPr>
          <w:color w:val="353535"/>
          <w:spacing w:val="8"/>
          <w:kern w:val="0"/>
          <w:sz w:val="32"/>
          <w:szCs w:val="32"/>
        </w:rPr>
        <w:t>2</w:t>
      </w:r>
      <w:r>
        <w:rPr>
          <w:rFonts w:hint="eastAsia" w:ascii="仿宋_GB2312" w:eastAsia="仿宋_GB2312"/>
          <w:color w:val="353535"/>
          <w:spacing w:val="8"/>
          <w:kern w:val="0"/>
          <w:sz w:val="32"/>
          <w:szCs w:val="32"/>
        </w:rPr>
        <w:t>.</w:t>
      </w:r>
      <w:r>
        <w:rPr>
          <w:rFonts w:ascii="仿宋_GB2312" w:eastAsia="仿宋_GB2312"/>
          <w:color w:val="353535"/>
          <w:spacing w:val="8"/>
          <w:kern w:val="0"/>
          <w:sz w:val="32"/>
          <w:szCs w:val="32"/>
        </w:rPr>
        <w:t>收入总表</w:t>
      </w:r>
    </w:p>
    <w:p>
      <w:pPr>
        <w:widowControl/>
        <w:shd w:val="clear" w:color="auto" w:fill="FFFFFF"/>
        <w:wordWrap w:val="0"/>
        <w:adjustRightInd w:val="0"/>
        <w:snapToGrid w:val="0"/>
        <w:spacing w:line="600" w:lineRule="atLeast"/>
        <w:ind w:firstLine="672" w:firstLineChars="200"/>
        <w:jc w:val="left"/>
        <w:rPr>
          <w:rFonts w:ascii="宋体" w:hAnsi="宋体" w:cs="宋体"/>
          <w:color w:val="353535"/>
          <w:spacing w:val="8"/>
          <w:kern w:val="0"/>
          <w:sz w:val="32"/>
          <w:szCs w:val="32"/>
        </w:rPr>
      </w:pPr>
      <w:r>
        <w:rPr>
          <w:color w:val="353535"/>
          <w:spacing w:val="8"/>
          <w:kern w:val="0"/>
          <w:sz w:val="32"/>
          <w:szCs w:val="32"/>
        </w:rPr>
        <w:t>3</w:t>
      </w:r>
      <w:r>
        <w:rPr>
          <w:rFonts w:hint="eastAsia" w:ascii="仿宋_GB2312" w:eastAsia="仿宋_GB2312"/>
          <w:color w:val="353535"/>
          <w:spacing w:val="8"/>
          <w:kern w:val="0"/>
          <w:sz w:val="32"/>
          <w:szCs w:val="32"/>
        </w:rPr>
        <w:t>.</w:t>
      </w:r>
      <w:r>
        <w:rPr>
          <w:rFonts w:ascii="仿宋_GB2312" w:eastAsia="仿宋_GB2312"/>
          <w:color w:val="353535"/>
          <w:spacing w:val="8"/>
          <w:kern w:val="0"/>
          <w:sz w:val="32"/>
          <w:szCs w:val="32"/>
        </w:rPr>
        <w:t>支出总表</w:t>
      </w:r>
    </w:p>
    <w:p>
      <w:pPr>
        <w:widowControl/>
        <w:shd w:val="clear" w:color="auto" w:fill="FFFFFF"/>
        <w:wordWrap w:val="0"/>
        <w:adjustRightInd w:val="0"/>
        <w:snapToGrid w:val="0"/>
        <w:spacing w:line="600" w:lineRule="atLeast"/>
        <w:ind w:firstLine="672" w:firstLineChars="200"/>
        <w:jc w:val="left"/>
        <w:rPr>
          <w:rFonts w:ascii="宋体" w:hAnsi="宋体" w:cs="宋体"/>
          <w:color w:val="353535"/>
          <w:spacing w:val="8"/>
          <w:kern w:val="0"/>
          <w:sz w:val="32"/>
          <w:szCs w:val="32"/>
        </w:rPr>
      </w:pPr>
      <w:r>
        <w:rPr>
          <w:color w:val="353535"/>
          <w:spacing w:val="8"/>
          <w:kern w:val="0"/>
          <w:sz w:val="32"/>
          <w:szCs w:val="32"/>
        </w:rPr>
        <w:t>4</w:t>
      </w:r>
      <w:r>
        <w:rPr>
          <w:rFonts w:hint="eastAsia" w:ascii="仿宋_GB2312" w:eastAsia="仿宋_GB2312"/>
          <w:color w:val="353535"/>
          <w:spacing w:val="8"/>
          <w:kern w:val="0"/>
          <w:sz w:val="32"/>
          <w:szCs w:val="32"/>
        </w:rPr>
        <w:t>.</w:t>
      </w:r>
      <w:r>
        <w:rPr>
          <w:rFonts w:hint="eastAsia" w:ascii="仿宋_GB2312" w:hAnsi="宋体" w:eastAsia="仿宋_GB2312" w:cs="宋体"/>
          <w:color w:val="353535"/>
          <w:spacing w:val="8"/>
          <w:kern w:val="0"/>
          <w:sz w:val="32"/>
          <w:szCs w:val="32"/>
        </w:rPr>
        <w:t>支出预算分类汇总表</w:t>
      </w:r>
      <w:r>
        <w:rPr>
          <w:rFonts w:ascii="仿宋_GB2312" w:eastAsia="仿宋_GB2312"/>
          <w:color w:val="353535"/>
          <w:spacing w:val="8"/>
          <w:kern w:val="0"/>
          <w:sz w:val="32"/>
          <w:szCs w:val="32"/>
        </w:rPr>
        <w:t>（按</w:t>
      </w:r>
      <w:r>
        <w:rPr>
          <w:rFonts w:hint="eastAsia" w:ascii="仿宋_GB2312" w:hAnsi="宋体" w:eastAsia="仿宋_GB2312" w:cs="宋体"/>
          <w:color w:val="353535"/>
          <w:spacing w:val="8"/>
          <w:kern w:val="0"/>
          <w:sz w:val="32"/>
          <w:szCs w:val="32"/>
        </w:rPr>
        <w:t>政府</w:t>
      </w:r>
      <w:r>
        <w:rPr>
          <w:rFonts w:ascii="仿宋_GB2312" w:eastAsia="仿宋_GB2312"/>
          <w:color w:val="353535"/>
          <w:spacing w:val="8"/>
          <w:kern w:val="0"/>
          <w:sz w:val="32"/>
          <w:szCs w:val="32"/>
        </w:rPr>
        <w:t>预算经济分类）</w:t>
      </w:r>
    </w:p>
    <w:p>
      <w:pPr>
        <w:widowControl/>
        <w:shd w:val="clear" w:color="auto" w:fill="FFFFFF"/>
        <w:wordWrap w:val="0"/>
        <w:adjustRightInd w:val="0"/>
        <w:snapToGrid w:val="0"/>
        <w:spacing w:line="600" w:lineRule="atLeast"/>
        <w:ind w:firstLine="672" w:firstLineChars="200"/>
        <w:jc w:val="left"/>
        <w:rPr>
          <w:rFonts w:ascii="宋体" w:hAnsi="宋体" w:cs="宋体"/>
          <w:color w:val="353535"/>
          <w:spacing w:val="8"/>
          <w:kern w:val="0"/>
          <w:sz w:val="32"/>
          <w:szCs w:val="32"/>
        </w:rPr>
      </w:pPr>
      <w:r>
        <w:rPr>
          <w:color w:val="353535"/>
          <w:spacing w:val="8"/>
          <w:kern w:val="0"/>
          <w:sz w:val="32"/>
          <w:szCs w:val="32"/>
        </w:rPr>
        <w:t>5</w:t>
      </w:r>
      <w:r>
        <w:rPr>
          <w:rFonts w:hint="eastAsia" w:ascii="仿宋_GB2312" w:eastAsia="仿宋_GB2312"/>
          <w:color w:val="353535"/>
          <w:spacing w:val="8"/>
          <w:kern w:val="0"/>
          <w:sz w:val="32"/>
          <w:szCs w:val="32"/>
        </w:rPr>
        <w:t>.</w:t>
      </w:r>
      <w:r>
        <w:rPr>
          <w:rFonts w:ascii="仿宋_GB2312" w:eastAsia="仿宋_GB2312"/>
          <w:color w:val="353535"/>
          <w:spacing w:val="8"/>
          <w:kern w:val="0"/>
          <w:sz w:val="32"/>
          <w:szCs w:val="32"/>
        </w:rPr>
        <w:t>支出</w:t>
      </w:r>
      <w:r>
        <w:rPr>
          <w:rFonts w:hint="eastAsia" w:ascii="仿宋_GB2312" w:hAnsi="宋体" w:eastAsia="仿宋_GB2312" w:cs="宋体"/>
          <w:color w:val="353535"/>
          <w:spacing w:val="8"/>
          <w:kern w:val="0"/>
          <w:sz w:val="32"/>
          <w:szCs w:val="32"/>
        </w:rPr>
        <w:t>预算分类汇总</w:t>
      </w:r>
      <w:r>
        <w:rPr>
          <w:rFonts w:ascii="仿宋_GB2312" w:eastAsia="仿宋_GB2312"/>
          <w:color w:val="353535"/>
          <w:spacing w:val="8"/>
          <w:kern w:val="0"/>
          <w:sz w:val="32"/>
          <w:szCs w:val="32"/>
        </w:rPr>
        <w:t>表（按</w:t>
      </w:r>
      <w:r>
        <w:rPr>
          <w:rFonts w:hint="eastAsia" w:ascii="仿宋_GB2312" w:hAnsi="宋体" w:eastAsia="仿宋_GB2312" w:cs="宋体"/>
          <w:color w:val="353535"/>
          <w:spacing w:val="8"/>
          <w:kern w:val="0"/>
          <w:sz w:val="32"/>
          <w:szCs w:val="32"/>
        </w:rPr>
        <w:t>部门</w:t>
      </w:r>
      <w:r>
        <w:rPr>
          <w:rFonts w:ascii="仿宋_GB2312" w:eastAsia="仿宋_GB2312"/>
          <w:color w:val="353535"/>
          <w:spacing w:val="8"/>
          <w:kern w:val="0"/>
          <w:sz w:val="32"/>
          <w:szCs w:val="32"/>
        </w:rPr>
        <w:t>预算经济分类）</w:t>
      </w:r>
    </w:p>
    <w:p>
      <w:pPr>
        <w:widowControl/>
        <w:shd w:val="clear" w:color="auto" w:fill="FFFFFF"/>
        <w:wordWrap w:val="0"/>
        <w:adjustRightInd w:val="0"/>
        <w:snapToGrid w:val="0"/>
        <w:spacing w:line="600" w:lineRule="atLeast"/>
        <w:ind w:firstLine="672" w:firstLineChars="200"/>
        <w:jc w:val="left"/>
        <w:rPr>
          <w:rFonts w:ascii="宋体" w:hAnsi="宋体" w:cs="宋体"/>
          <w:color w:val="353535"/>
          <w:spacing w:val="8"/>
          <w:kern w:val="0"/>
          <w:sz w:val="32"/>
          <w:szCs w:val="32"/>
        </w:rPr>
      </w:pPr>
      <w:r>
        <w:rPr>
          <w:color w:val="353535"/>
          <w:spacing w:val="8"/>
          <w:kern w:val="0"/>
          <w:sz w:val="32"/>
          <w:szCs w:val="32"/>
        </w:rPr>
        <w:t>6</w:t>
      </w:r>
      <w:r>
        <w:rPr>
          <w:rFonts w:hint="eastAsia" w:ascii="仿宋_GB2312" w:eastAsia="仿宋_GB2312"/>
          <w:color w:val="353535"/>
          <w:spacing w:val="8"/>
          <w:kern w:val="0"/>
          <w:sz w:val="32"/>
          <w:szCs w:val="32"/>
        </w:rPr>
        <w:t>.</w:t>
      </w:r>
      <w:r>
        <w:rPr>
          <w:rFonts w:hint="eastAsia" w:ascii="仿宋_GB2312" w:hAnsi="宋体" w:eastAsia="仿宋_GB2312" w:cs="宋体"/>
          <w:color w:val="353535"/>
          <w:spacing w:val="8"/>
          <w:kern w:val="0"/>
          <w:sz w:val="32"/>
          <w:szCs w:val="32"/>
        </w:rPr>
        <w:t>财政拨款收支总表</w:t>
      </w:r>
    </w:p>
    <w:p>
      <w:pPr>
        <w:widowControl/>
        <w:shd w:val="clear" w:color="auto" w:fill="FFFFFF"/>
        <w:wordWrap w:val="0"/>
        <w:adjustRightInd w:val="0"/>
        <w:snapToGrid w:val="0"/>
        <w:spacing w:line="600" w:lineRule="atLeast"/>
        <w:ind w:firstLine="672" w:firstLineChars="200"/>
        <w:jc w:val="left"/>
        <w:rPr>
          <w:rFonts w:ascii="宋体" w:hAnsi="宋体" w:cs="宋体"/>
          <w:color w:val="353535"/>
          <w:spacing w:val="8"/>
          <w:kern w:val="0"/>
          <w:sz w:val="32"/>
          <w:szCs w:val="32"/>
        </w:rPr>
      </w:pPr>
      <w:r>
        <w:rPr>
          <w:color w:val="353535"/>
          <w:spacing w:val="8"/>
          <w:kern w:val="0"/>
          <w:sz w:val="32"/>
          <w:szCs w:val="32"/>
        </w:rPr>
        <w:t>7</w:t>
      </w:r>
      <w:r>
        <w:rPr>
          <w:rFonts w:hint="eastAsia" w:ascii="仿宋_GB2312" w:eastAsia="仿宋_GB2312"/>
          <w:color w:val="353535"/>
          <w:spacing w:val="8"/>
          <w:kern w:val="0"/>
          <w:sz w:val="32"/>
          <w:szCs w:val="32"/>
        </w:rPr>
        <w:t>.</w:t>
      </w:r>
      <w:r>
        <w:rPr>
          <w:rFonts w:hint="eastAsia" w:ascii="仿宋_GB2312" w:hAnsi="宋体" w:eastAsia="仿宋_GB2312" w:cs="宋体"/>
          <w:color w:val="353535"/>
          <w:spacing w:val="8"/>
          <w:kern w:val="0"/>
          <w:sz w:val="32"/>
          <w:szCs w:val="32"/>
        </w:rPr>
        <w:t>一般公共预算支出表</w:t>
      </w:r>
    </w:p>
    <w:p>
      <w:pPr>
        <w:widowControl/>
        <w:shd w:val="clear" w:color="auto" w:fill="FFFFFF"/>
        <w:wordWrap w:val="0"/>
        <w:adjustRightInd w:val="0"/>
        <w:snapToGrid w:val="0"/>
        <w:spacing w:line="600" w:lineRule="atLeast"/>
        <w:ind w:firstLine="672" w:firstLineChars="200"/>
        <w:jc w:val="left"/>
        <w:rPr>
          <w:rFonts w:ascii="宋体" w:hAnsi="宋体" w:cs="宋体"/>
          <w:color w:val="353535"/>
          <w:spacing w:val="8"/>
          <w:kern w:val="0"/>
          <w:sz w:val="32"/>
          <w:szCs w:val="32"/>
        </w:rPr>
      </w:pPr>
      <w:r>
        <w:rPr>
          <w:color w:val="353535"/>
          <w:spacing w:val="8"/>
          <w:kern w:val="0"/>
          <w:sz w:val="32"/>
          <w:szCs w:val="32"/>
        </w:rPr>
        <w:t>8</w:t>
      </w:r>
      <w:r>
        <w:rPr>
          <w:rFonts w:hint="eastAsia" w:ascii="仿宋_GB2312" w:eastAsia="仿宋_GB2312"/>
          <w:color w:val="353535"/>
          <w:spacing w:val="8"/>
          <w:kern w:val="0"/>
          <w:sz w:val="32"/>
          <w:szCs w:val="32"/>
        </w:rPr>
        <w:t>.</w:t>
      </w:r>
      <w:r>
        <w:rPr>
          <w:rFonts w:hint="eastAsia" w:ascii="仿宋_GB2312" w:hAnsi="宋体" w:eastAsia="仿宋_GB2312" w:cs="宋体"/>
          <w:color w:val="353535"/>
          <w:spacing w:val="8"/>
          <w:kern w:val="0"/>
          <w:sz w:val="32"/>
          <w:szCs w:val="32"/>
        </w:rPr>
        <w:t>一般公共预算基本支出表-人员经费（工资福利支出）（按政府预算经济分类）</w:t>
      </w:r>
    </w:p>
    <w:p>
      <w:pPr>
        <w:widowControl/>
        <w:shd w:val="clear" w:color="auto" w:fill="FFFFFF"/>
        <w:wordWrap w:val="0"/>
        <w:adjustRightInd w:val="0"/>
        <w:snapToGrid w:val="0"/>
        <w:spacing w:line="600" w:lineRule="atLeast"/>
        <w:ind w:firstLine="672" w:firstLineChars="200"/>
        <w:jc w:val="left"/>
        <w:rPr>
          <w:rFonts w:ascii="宋体" w:hAnsi="宋体" w:cs="宋体"/>
          <w:color w:val="353535"/>
          <w:spacing w:val="8"/>
          <w:kern w:val="0"/>
          <w:sz w:val="32"/>
          <w:szCs w:val="32"/>
        </w:rPr>
      </w:pPr>
      <w:r>
        <w:rPr>
          <w:rFonts w:hint="eastAsia" w:ascii="仿宋_GB2312" w:hAnsi="宋体" w:eastAsia="仿宋_GB2312" w:cs="宋体"/>
          <w:color w:val="353535"/>
          <w:spacing w:val="8"/>
          <w:kern w:val="0"/>
          <w:sz w:val="32"/>
          <w:szCs w:val="32"/>
        </w:rPr>
        <w:t>9.一般公共预算基本支出表-人员经费（工资福利支出）（按部门预算经济分类）</w:t>
      </w:r>
    </w:p>
    <w:p>
      <w:pPr>
        <w:widowControl/>
        <w:shd w:val="clear" w:color="auto" w:fill="FFFFFF"/>
        <w:wordWrap w:val="0"/>
        <w:adjustRightInd w:val="0"/>
        <w:snapToGrid w:val="0"/>
        <w:spacing w:line="600" w:lineRule="atLeast"/>
        <w:ind w:firstLine="672" w:firstLineChars="200"/>
        <w:jc w:val="left"/>
        <w:rPr>
          <w:rFonts w:ascii="宋体" w:hAnsi="宋体" w:cs="宋体"/>
          <w:color w:val="353535"/>
          <w:spacing w:val="8"/>
          <w:kern w:val="0"/>
          <w:sz w:val="32"/>
          <w:szCs w:val="32"/>
        </w:rPr>
      </w:pPr>
      <w:r>
        <w:rPr>
          <w:rFonts w:hint="eastAsia" w:ascii="仿宋_GB2312" w:hAnsi="宋体" w:eastAsia="仿宋_GB2312" w:cs="宋体"/>
          <w:color w:val="353535"/>
          <w:spacing w:val="8"/>
          <w:kern w:val="0"/>
          <w:sz w:val="32"/>
          <w:szCs w:val="32"/>
        </w:rPr>
        <w:t>10.一般公共预算基本支出表-人员经费（对个人和家庭的补助）（按政府预算经济分类）</w:t>
      </w:r>
    </w:p>
    <w:p>
      <w:pPr>
        <w:widowControl/>
        <w:shd w:val="clear" w:color="auto" w:fill="FFFFFF"/>
        <w:wordWrap w:val="0"/>
        <w:adjustRightInd w:val="0"/>
        <w:snapToGrid w:val="0"/>
        <w:spacing w:line="600" w:lineRule="atLeast"/>
        <w:ind w:firstLine="672" w:firstLineChars="200"/>
        <w:jc w:val="left"/>
        <w:rPr>
          <w:rFonts w:ascii="宋体" w:hAnsi="宋体" w:cs="宋体"/>
          <w:color w:val="353535"/>
          <w:spacing w:val="8"/>
          <w:kern w:val="0"/>
          <w:sz w:val="32"/>
          <w:szCs w:val="32"/>
        </w:rPr>
      </w:pPr>
      <w:r>
        <w:rPr>
          <w:rFonts w:hint="eastAsia" w:ascii="仿宋_GB2312" w:hAnsi="宋体" w:eastAsia="仿宋_GB2312" w:cs="宋体"/>
          <w:color w:val="353535"/>
          <w:spacing w:val="8"/>
          <w:kern w:val="0"/>
          <w:sz w:val="32"/>
          <w:szCs w:val="32"/>
        </w:rPr>
        <w:t>11.一般公共预算基本支出表-人员经费（对个人和家庭的补助）（按部门预算经济分类）</w:t>
      </w:r>
      <w:r>
        <w:rPr>
          <w:rFonts w:ascii="宋体" w:hAnsi="宋体" w:cs="宋体"/>
          <w:color w:val="353535"/>
          <w:spacing w:val="8"/>
          <w:kern w:val="0"/>
          <w:sz w:val="32"/>
          <w:szCs w:val="32"/>
        </w:rPr>
        <w:t> </w:t>
      </w:r>
    </w:p>
    <w:p>
      <w:pPr>
        <w:widowControl/>
        <w:shd w:val="clear" w:color="auto" w:fill="FFFFFF"/>
        <w:wordWrap w:val="0"/>
        <w:adjustRightInd w:val="0"/>
        <w:snapToGrid w:val="0"/>
        <w:spacing w:line="600" w:lineRule="atLeast"/>
        <w:ind w:firstLine="672" w:firstLineChars="200"/>
        <w:jc w:val="left"/>
        <w:rPr>
          <w:rFonts w:ascii="宋体" w:hAnsi="宋体" w:cs="宋体"/>
          <w:color w:val="353535"/>
          <w:spacing w:val="8"/>
          <w:kern w:val="0"/>
          <w:sz w:val="32"/>
          <w:szCs w:val="32"/>
        </w:rPr>
      </w:pPr>
      <w:r>
        <w:rPr>
          <w:rFonts w:hint="eastAsia" w:ascii="仿宋_GB2312" w:hAnsi="宋体" w:eastAsia="仿宋_GB2312" w:cs="宋体"/>
          <w:color w:val="353535"/>
          <w:spacing w:val="8"/>
          <w:kern w:val="0"/>
          <w:sz w:val="32"/>
          <w:szCs w:val="32"/>
        </w:rPr>
        <w:t>12.一般公共预算基本支出表-公用经费（</w:t>
      </w:r>
      <w:r>
        <w:rPr>
          <w:rFonts w:ascii="仿宋_GB2312" w:eastAsia="仿宋_GB2312"/>
          <w:color w:val="353535"/>
          <w:spacing w:val="8"/>
          <w:kern w:val="0"/>
          <w:sz w:val="32"/>
          <w:szCs w:val="32"/>
        </w:rPr>
        <w:t>商品和服务支出</w:t>
      </w:r>
      <w:r>
        <w:rPr>
          <w:rFonts w:hint="eastAsia" w:ascii="仿宋_GB2312" w:hAnsi="宋体" w:eastAsia="仿宋_GB2312" w:cs="宋体"/>
          <w:color w:val="353535"/>
          <w:spacing w:val="8"/>
          <w:kern w:val="0"/>
          <w:sz w:val="32"/>
          <w:szCs w:val="32"/>
        </w:rPr>
        <w:t>）</w:t>
      </w:r>
      <w:r>
        <w:rPr>
          <w:rFonts w:ascii="仿宋_GB2312" w:eastAsia="仿宋_GB2312"/>
          <w:color w:val="353535"/>
          <w:spacing w:val="8"/>
          <w:kern w:val="0"/>
          <w:sz w:val="32"/>
          <w:szCs w:val="32"/>
        </w:rPr>
        <w:t>（按</w:t>
      </w:r>
      <w:r>
        <w:rPr>
          <w:rFonts w:hint="eastAsia" w:ascii="仿宋_GB2312" w:hAnsi="宋体" w:eastAsia="仿宋_GB2312" w:cs="宋体"/>
          <w:color w:val="353535"/>
          <w:spacing w:val="8"/>
          <w:kern w:val="0"/>
          <w:sz w:val="32"/>
          <w:szCs w:val="32"/>
        </w:rPr>
        <w:t>政府</w:t>
      </w:r>
      <w:r>
        <w:rPr>
          <w:rFonts w:ascii="仿宋_GB2312" w:eastAsia="仿宋_GB2312"/>
          <w:color w:val="353535"/>
          <w:spacing w:val="8"/>
          <w:kern w:val="0"/>
          <w:sz w:val="32"/>
          <w:szCs w:val="32"/>
        </w:rPr>
        <w:t>预算经济分类）</w:t>
      </w:r>
    </w:p>
    <w:p>
      <w:pPr>
        <w:widowControl/>
        <w:shd w:val="clear" w:color="auto" w:fill="FFFFFF"/>
        <w:wordWrap w:val="0"/>
        <w:adjustRightInd w:val="0"/>
        <w:snapToGrid w:val="0"/>
        <w:spacing w:line="600" w:lineRule="atLeast"/>
        <w:ind w:firstLine="672" w:firstLineChars="200"/>
        <w:jc w:val="left"/>
        <w:rPr>
          <w:rFonts w:ascii="宋体" w:hAnsi="宋体" w:cs="宋体"/>
          <w:color w:val="353535"/>
          <w:spacing w:val="8"/>
          <w:kern w:val="0"/>
          <w:sz w:val="32"/>
          <w:szCs w:val="32"/>
        </w:rPr>
      </w:pPr>
      <w:r>
        <w:rPr>
          <w:rFonts w:hint="eastAsia" w:ascii="仿宋_GB2312" w:hAnsi="宋体" w:eastAsia="仿宋_GB2312" w:cs="宋体"/>
          <w:color w:val="353535"/>
          <w:spacing w:val="8"/>
          <w:kern w:val="0"/>
          <w:sz w:val="32"/>
          <w:szCs w:val="32"/>
        </w:rPr>
        <w:t>13</w:t>
      </w:r>
      <w:r>
        <w:rPr>
          <w:rFonts w:hint="eastAsia" w:ascii="仿宋_GB2312" w:eastAsia="仿宋_GB2312"/>
          <w:color w:val="353535"/>
          <w:spacing w:val="8"/>
          <w:kern w:val="0"/>
          <w:sz w:val="32"/>
          <w:szCs w:val="32"/>
        </w:rPr>
        <w:t>.</w:t>
      </w:r>
      <w:r>
        <w:rPr>
          <w:rFonts w:hint="eastAsia" w:ascii="仿宋_GB2312" w:hAnsi="宋体" w:eastAsia="仿宋_GB2312" w:cs="宋体"/>
          <w:color w:val="353535"/>
          <w:spacing w:val="8"/>
          <w:kern w:val="0"/>
          <w:sz w:val="32"/>
          <w:szCs w:val="32"/>
        </w:rPr>
        <w:t>一般公共预算基本支出表-公用经费（</w:t>
      </w:r>
      <w:r>
        <w:rPr>
          <w:rFonts w:ascii="仿宋_GB2312" w:eastAsia="仿宋_GB2312"/>
          <w:color w:val="353535"/>
          <w:spacing w:val="8"/>
          <w:kern w:val="0"/>
          <w:sz w:val="32"/>
          <w:szCs w:val="32"/>
        </w:rPr>
        <w:t>商品和服务支出</w:t>
      </w:r>
      <w:r>
        <w:rPr>
          <w:rFonts w:hint="eastAsia" w:ascii="仿宋_GB2312" w:hAnsi="宋体" w:eastAsia="仿宋_GB2312" w:cs="宋体"/>
          <w:color w:val="353535"/>
          <w:spacing w:val="8"/>
          <w:kern w:val="0"/>
          <w:sz w:val="32"/>
          <w:szCs w:val="32"/>
        </w:rPr>
        <w:t>）</w:t>
      </w:r>
      <w:r>
        <w:rPr>
          <w:rFonts w:ascii="仿宋_GB2312" w:eastAsia="仿宋_GB2312"/>
          <w:color w:val="353535"/>
          <w:spacing w:val="8"/>
          <w:kern w:val="0"/>
          <w:sz w:val="32"/>
          <w:szCs w:val="32"/>
        </w:rPr>
        <w:t>（按</w:t>
      </w:r>
      <w:r>
        <w:rPr>
          <w:rFonts w:hint="eastAsia" w:ascii="仿宋_GB2312" w:hAnsi="宋体" w:eastAsia="仿宋_GB2312" w:cs="宋体"/>
          <w:color w:val="353535"/>
          <w:spacing w:val="8"/>
          <w:kern w:val="0"/>
          <w:sz w:val="32"/>
          <w:szCs w:val="32"/>
        </w:rPr>
        <w:t>部门</w:t>
      </w:r>
      <w:r>
        <w:rPr>
          <w:rFonts w:ascii="仿宋_GB2312" w:eastAsia="仿宋_GB2312"/>
          <w:color w:val="353535"/>
          <w:spacing w:val="8"/>
          <w:kern w:val="0"/>
          <w:sz w:val="32"/>
          <w:szCs w:val="32"/>
        </w:rPr>
        <w:t>预算经济分类）</w:t>
      </w:r>
    </w:p>
    <w:p>
      <w:pPr>
        <w:widowControl/>
        <w:shd w:val="clear" w:color="auto" w:fill="FFFFFF"/>
        <w:wordWrap w:val="0"/>
        <w:adjustRightInd w:val="0"/>
        <w:snapToGrid w:val="0"/>
        <w:spacing w:line="600" w:lineRule="atLeast"/>
        <w:ind w:firstLine="672" w:firstLineChars="200"/>
        <w:jc w:val="left"/>
        <w:rPr>
          <w:rFonts w:ascii="宋体" w:hAnsi="宋体" w:cs="宋体"/>
          <w:color w:val="353535"/>
          <w:spacing w:val="8"/>
          <w:kern w:val="0"/>
          <w:sz w:val="32"/>
          <w:szCs w:val="32"/>
        </w:rPr>
      </w:pPr>
      <w:r>
        <w:rPr>
          <w:rFonts w:hint="eastAsia" w:ascii="仿宋_GB2312" w:hAnsi="宋体" w:eastAsia="仿宋_GB2312" w:cs="宋体"/>
          <w:color w:val="353535"/>
          <w:spacing w:val="8"/>
          <w:kern w:val="0"/>
          <w:sz w:val="32"/>
          <w:szCs w:val="32"/>
        </w:rPr>
        <w:t>14.一般公共预算“三公”经费支出表</w:t>
      </w:r>
    </w:p>
    <w:p>
      <w:pPr>
        <w:widowControl/>
        <w:shd w:val="clear" w:color="auto" w:fill="FFFFFF"/>
        <w:wordWrap w:val="0"/>
        <w:adjustRightInd w:val="0"/>
        <w:snapToGrid w:val="0"/>
        <w:spacing w:line="600" w:lineRule="atLeast"/>
        <w:ind w:firstLine="672" w:firstLineChars="200"/>
        <w:jc w:val="left"/>
        <w:rPr>
          <w:rFonts w:ascii="宋体" w:hAnsi="宋体" w:cs="宋体"/>
          <w:color w:val="353535"/>
          <w:spacing w:val="8"/>
          <w:kern w:val="0"/>
          <w:sz w:val="32"/>
          <w:szCs w:val="32"/>
        </w:rPr>
      </w:pPr>
      <w:r>
        <w:rPr>
          <w:rFonts w:hint="eastAsia" w:ascii="仿宋_GB2312" w:hAnsi="宋体" w:eastAsia="仿宋_GB2312" w:cs="宋体"/>
          <w:color w:val="353535"/>
          <w:spacing w:val="8"/>
          <w:kern w:val="0"/>
          <w:sz w:val="32"/>
          <w:szCs w:val="32"/>
        </w:rPr>
        <w:t>15.政府性基金预算支出表</w:t>
      </w:r>
    </w:p>
    <w:p>
      <w:pPr>
        <w:widowControl/>
        <w:shd w:val="clear" w:color="auto" w:fill="FFFFFF"/>
        <w:wordWrap w:val="0"/>
        <w:adjustRightInd w:val="0"/>
        <w:snapToGrid w:val="0"/>
        <w:spacing w:line="600" w:lineRule="atLeast"/>
        <w:ind w:firstLine="672" w:firstLineChars="200"/>
        <w:jc w:val="left"/>
        <w:rPr>
          <w:rFonts w:ascii="宋体" w:hAnsi="宋体" w:cs="宋体"/>
          <w:color w:val="353535"/>
          <w:spacing w:val="8"/>
          <w:kern w:val="0"/>
          <w:sz w:val="32"/>
          <w:szCs w:val="32"/>
        </w:rPr>
      </w:pPr>
      <w:r>
        <w:rPr>
          <w:rFonts w:hint="eastAsia" w:ascii="仿宋_GB2312" w:hAnsi="宋体" w:eastAsia="仿宋_GB2312" w:cs="宋体"/>
          <w:color w:val="353535"/>
          <w:spacing w:val="8"/>
          <w:kern w:val="0"/>
          <w:sz w:val="32"/>
          <w:szCs w:val="32"/>
        </w:rPr>
        <w:t>16.政府性基金预算支出分类汇总表（按政府预算经济分类）</w:t>
      </w:r>
    </w:p>
    <w:p>
      <w:pPr>
        <w:widowControl/>
        <w:shd w:val="clear" w:color="auto" w:fill="FFFFFF"/>
        <w:wordWrap w:val="0"/>
        <w:adjustRightInd w:val="0"/>
        <w:snapToGrid w:val="0"/>
        <w:spacing w:line="600" w:lineRule="atLeast"/>
        <w:ind w:firstLine="672" w:firstLineChars="200"/>
        <w:jc w:val="left"/>
        <w:rPr>
          <w:rFonts w:ascii="宋体" w:hAnsi="宋体" w:cs="宋体"/>
          <w:color w:val="353535"/>
          <w:spacing w:val="8"/>
          <w:kern w:val="0"/>
          <w:sz w:val="32"/>
          <w:szCs w:val="32"/>
        </w:rPr>
      </w:pPr>
      <w:r>
        <w:rPr>
          <w:rFonts w:hint="eastAsia" w:ascii="仿宋_GB2312" w:hAnsi="宋体" w:eastAsia="仿宋_GB2312" w:cs="宋体"/>
          <w:color w:val="353535"/>
          <w:spacing w:val="8"/>
          <w:kern w:val="0"/>
          <w:sz w:val="32"/>
          <w:szCs w:val="32"/>
        </w:rPr>
        <w:t>17.政府性基金预算支出分类汇总表（按部门预算经济分类）</w:t>
      </w:r>
    </w:p>
    <w:p>
      <w:pPr>
        <w:widowControl/>
        <w:shd w:val="clear" w:color="auto" w:fill="FFFFFF"/>
        <w:wordWrap w:val="0"/>
        <w:adjustRightInd w:val="0"/>
        <w:snapToGrid w:val="0"/>
        <w:spacing w:line="600" w:lineRule="atLeast"/>
        <w:ind w:firstLine="672" w:firstLineChars="200"/>
        <w:jc w:val="left"/>
        <w:rPr>
          <w:rFonts w:ascii="宋体" w:hAnsi="宋体" w:cs="宋体"/>
          <w:color w:val="353535"/>
          <w:spacing w:val="8"/>
          <w:kern w:val="0"/>
          <w:sz w:val="32"/>
          <w:szCs w:val="32"/>
        </w:rPr>
      </w:pPr>
      <w:r>
        <w:rPr>
          <w:rFonts w:hint="eastAsia" w:ascii="仿宋_GB2312" w:hAnsi="宋体" w:eastAsia="仿宋_GB2312" w:cs="宋体"/>
          <w:color w:val="353535"/>
          <w:spacing w:val="8"/>
          <w:kern w:val="0"/>
          <w:sz w:val="32"/>
          <w:szCs w:val="32"/>
        </w:rPr>
        <w:t>18.国有资本经营预算支出表</w:t>
      </w:r>
    </w:p>
    <w:p>
      <w:pPr>
        <w:widowControl/>
        <w:shd w:val="clear" w:color="auto" w:fill="FFFFFF"/>
        <w:wordWrap w:val="0"/>
        <w:adjustRightInd w:val="0"/>
        <w:snapToGrid w:val="0"/>
        <w:spacing w:line="600" w:lineRule="atLeast"/>
        <w:ind w:firstLine="672" w:firstLineChars="200"/>
        <w:jc w:val="left"/>
        <w:rPr>
          <w:rFonts w:ascii="宋体" w:hAnsi="宋体" w:cs="宋体"/>
          <w:color w:val="353535"/>
          <w:spacing w:val="8"/>
          <w:kern w:val="0"/>
          <w:sz w:val="32"/>
          <w:szCs w:val="32"/>
        </w:rPr>
      </w:pPr>
      <w:r>
        <w:rPr>
          <w:rFonts w:hint="eastAsia" w:ascii="仿宋_GB2312" w:hAnsi="宋体" w:eastAsia="仿宋_GB2312" w:cs="宋体"/>
          <w:color w:val="353535"/>
          <w:spacing w:val="8"/>
          <w:kern w:val="0"/>
          <w:sz w:val="32"/>
          <w:szCs w:val="32"/>
        </w:rPr>
        <w:t>19.财政专户管理资金预算支出表</w:t>
      </w:r>
    </w:p>
    <w:p>
      <w:pPr>
        <w:widowControl/>
        <w:shd w:val="clear" w:color="auto" w:fill="FFFFFF"/>
        <w:wordWrap w:val="0"/>
        <w:adjustRightInd w:val="0"/>
        <w:snapToGrid w:val="0"/>
        <w:spacing w:line="600" w:lineRule="atLeast"/>
        <w:ind w:firstLine="672" w:firstLineChars="200"/>
        <w:jc w:val="left"/>
        <w:rPr>
          <w:rFonts w:ascii="宋体" w:hAnsi="宋体" w:cs="宋体"/>
          <w:color w:val="353535"/>
          <w:spacing w:val="8"/>
          <w:kern w:val="0"/>
          <w:sz w:val="32"/>
          <w:szCs w:val="32"/>
        </w:rPr>
      </w:pPr>
      <w:r>
        <w:rPr>
          <w:rFonts w:hint="eastAsia" w:ascii="仿宋_GB2312" w:hAnsi="宋体" w:eastAsia="仿宋_GB2312" w:cs="宋体"/>
          <w:color w:val="353535"/>
          <w:spacing w:val="8"/>
          <w:kern w:val="0"/>
          <w:sz w:val="32"/>
          <w:szCs w:val="32"/>
        </w:rPr>
        <w:t>20.省级专项资金预算汇总表</w:t>
      </w:r>
    </w:p>
    <w:p>
      <w:pPr>
        <w:widowControl/>
        <w:shd w:val="clear" w:color="auto" w:fill="FFFFFF"/>
        <w:wordWrap w:val="0"/>
        <w:adjustRightInd w:val="0"/>
        <w:snapToGrid w:val="0"/>
        <w:spacing w:line="600" w:lineRule="atLeast"/>
        <w:ind w:firstLine="672" w:firstLineChars="200"/>
        <w:jc w:val="left"/>
        <w:rPr>
          <w:rFonts w:ascii="宋体" w:hAnsi="宋体" w:cs="宋体"/>
          <w:color w:val="353535"/>
          <w:spacing w:val="8"/>
          <w:kern w:val="0"/>
          <w:sz w:val="32"/>
          <w:szCs w:val="32"/>
        </w:rPr>
      </w:pPr>
      <w:r>
        <w:rPr>
          <w:rFonts w:hint="eastAsia" w:ascii="仿宋_GB2312" w:hAnsi="宋体" w:eastAsia="仿宋_GB2312" w:cs="宋体"/>
          <w:color w:val="353535"/>
          <w:spacing w:val="8"/>
          <w:kern w:val="0"/>
          <w:sz w:val="32"/>
          <w:szCs w:val="32"/>
        </w:rPr>
        <w:t>21.省级专项资金绩效目标表</w:t>
      </w:r>
    </w:p>
    <w:p>
      <w:pPr>
        <w:widowControl/>
        <w:shd w:val="clear" w:color="auto" w:fill="FFFFFF"/>
        <w:wordWrap w:val="0"/>
        <w:adjustRightInd w:val="0"/>
        <w:snapToGrid w:val="0"/>
        <w:spacing w:line="600" w:lineRule="atLeast"/>
        <w:ind w:firstLine="672" w:firstLineChars="200"/>
        <w:jc w:val="left"/>
        <w:rPr>
          <w:rFonts w:ascii="宋体" w:hAnsi="宋体" w:cs="宋体"/>
          <w:color w:val="353535"/>
          <w:spacing w:val="8"/>
          <w:kern w:val="0"/>
          <w:sz w:val="32"/>
          <w:szCs w:val="32"/>
        </w:rPr>
      </w:pPr>
      <w:r>
        <w:rPr>
          <w:rFonts w:hint="eastAsia" w:ascii="仿宋_GB2312" w:hAnsi="宋体" w:eastAsia="仿宋_GB2312" w:cs="宋体"/>
          <w:color w:val="353535"/>
          <w:spacing w:val="8"/>
          <w:kern w:val="0"/>
          <w:sz w:val="32"/>
          <w:szCs w:val="32"/>
        </w:rPr>
        <w:t>22.其他项目支出绩效目标表</w:t>
      </w:r>
    </w:p>
    <w:p>
      <w:pPr>
        <w:widowControl/>
        <w:shd w:val="clear" w:color="auto" w:fill="FFFFFF"/>
        <w:wordWrap w:val="0"/>
        <w:adjustRightInd w:val="0"/>
        <w:snapToGrid w:val="0"/>
        <w:spacing w:line="600" w:lineRule="atLeast"/>
        <w:ind w:firstLine="672" w:firstLineChars="200"/>
        <w:jc w:val="left"/>
        <w:rPr>
          <w:rFonts w:ascii="宋体" w:hAnsi="宋体" w:cs="宋体"/>
          <w:color w:val="353535"/>
          <w:spacing w:val="8"/>
          <w:kern w:val="0"/>
          <w:sz w:val="32"/>
          <w:szCs w:val="32"/>
        </w:rPr>
      </w:pPr>
      <w:r>
        <w:rPr>
          <w:rFonts w:hint="eastAsia" w:ascii="仿宋_GB2312" w:hAnsi="宋体" w:eastAsia="仿宋_GB2312" w:cs="宋体"/>
          <w:color w:val="353535"/>
          <w:spacing w:val="8"/>
          <w:kern w:val="0"/>
          <w:sz w:val="32"/>
          <w:szCs w:val="32"/>
        </w:rPr>
        <w:t>23.部门整体支出绩效目标表</w:t>
      </w:r>
    </w:p>
    <w:p>
      <w:pPr>
        <w:widowControl/>
        <w:shd w:val="clear" w:color="auto" w:fill="FFFFFF"/>
        <w:wordWrap w:val="0"/>
        <w:adjustRightInd w:val="0"/>
        <w:snapToGrid w:val="0"/>
        <w:spacing w:line="600" w:lineRule="atLeast"/>
        <w:ind w:firstLine="672" w:firstLineChars="200"/>
        <w:jc w:val="left"/>
        <w:rPr>
          <w:rFonts w:ascii="宋体" w:hAnsi="宋体" w:cs="宋体"/>
          <w:color w:val="353535"/>
          <w:spacing w:val="8"/>
          <w:kern w:val="0"/>
          <w:sz w:val="32"/>
          <w:szCs w:val="32"/>
        </w:rPr>
      </w:pPr>
      <w:r>
        <w:rPr>
          <w:rFonts w:ascii="仿宋_GB2312" w:hAnsi="宋体" w:eastAsia="仿宋_GB2312" w:cs="宋体"/>
          <w:color w:val="353535"/>
          <w:spacing w:val="8"/>
          <w:kern w:val="0"/>
          <w:sz w:val="32"/>
          <w:szCs w:val="32"/>
        </w:rPr>
        <w:t>注：以上部门预算报表中，空表表示本部门无相关收支情况。</w:t>
      </w:r>
    </w:p>
    <w:p>
      <w:pPr>
        <w:widowControl/>
        <w:shd w:val="clear" w:color="auto" w:fill="FFFFFF"/>
        <w:wordWrap w:val="0"/>
        <w:spacing w:line="600" w:lineRule="atLeast"/>
        <w:ind w:firstLine="640"/>
        <w:jc w:val="left"/>
        <w:rPr>
          <w:rFonts w:ascii="宋体" w:hAnsi="宋体" w:cs="宋体"/>
          <w:color w:val="353535"/>
          <w:spacing w:val="8"/>
          <w:kern w:val="0"/>
          <w:sz w:val="24"/>
        </w:rPr>
      </w:pPr>
    </w:p>
    <w:p>
      <w:pPr>
        <w:widowControl/>
        <w:shd w:val="clear" w:color="auto" w:fill="FFFFFF"/>
        <w:wordWrap w:val="0"/>
        <w:spacing w:line="600" w:lineRule="atLeast"/>
        <w:rPr>
          <w:rFonts w:ascii="宋体" w:hAnsi="宋体" w:cs="宋体"/>
          <w:color w:val="353535"/>
          <w:spacing w:val="8"/>
          <w:kern w:val="0"/>
          <w:sz w:val="24"/>
        </w:rPr>
      </w:pPr>
      <w:r>
        <w:rPr>
          <w:rFonts w:ascii="宋体" w:hAnsi="宋体" w:cs="宋体"/>
          <w:color w:val="353535"/>
          <w:spacing w:val="8"/>
          <w:kern w:val="0"/>
          <w:sz w:val="24"/>
        </w:rPr>
        <w:t> </w:t>
      </w:r>
    </w:p>
    <w:p>
      <w:pPr>
        <w:widowControl/>
        <w:jc w:val="left"/>
        <w:rPr>
          <w:rFonts w:ascii="仿宋_GB2312" w:hAnsi="宋体" w:eastAsia="仿宋_GB2312" w:cs="宋体"/>
          <w:b/>
          <w:bCs/>
          <w:color w:val="353535"/>
          <w:spacing w:val="8"/>
          <w:kern w:val="0"/>
          <w:sz w:val="36"/>
          <w:szCs w:val="36"/>
        </w:rPr>
      </w:pPr>
      <w:r>
        <w:rPr>
          <w:rFonts w:ascii="仿宋_GB2312" w:hAnsi="宋体" w:eastAsia="仿宋_GB2312" w:cs="宋体"/>
          <w:b/>
          <w:bCs/>
          <w:color w:val="353535"/>
          <w:spacing w:val="8"/>
          <w:kern w:val="0"/>
          <w:sz w:val="36"/>
          <w:szCs w:val="36"/>
        </w:rPr>
        <w:br w:type="page"/>
      </w:r>
    </w:p>
    <w:p>
      <w:pPr>
        <w:widowControl/>
        <w:shd w:val="clear" w:color="auto" w:fill="FFFFFF"/>
        <w:wordWrap w:val="0"/>
        <w:spacing w:line="600" w:lineRule="atLeast"/>
        <w:jc w:val="center"/>
        <w:rPr>
          <w:rFonts w:ascii="方正小标宋简体" w:hAnsi="宋体" w:eastAsia="方正小标宋简体" w:cs="宋体"/>
          <w:color w:val="353535"/>
          <w:spacing w:val="8"/>
          <w:kern w:val="0"/>
          <w:sz w:val="36"/>
          <w:szCs w:val="36"/>
        </w:rPr>
      </w:pPr>
      <w:r>
        <w:rPr>
          <w:rFonts w:hint="eastAsia" w:ascii="方正小标宋简体" w:hAnsi="宋体" w:eastAsia="方正小标宋简体" w:cs="宋体"/>
          <w:bCs/>
          <w:color w:val="353535"/>
          <w:spacing w:val="8"/>
          <w:kern w:val="0"/>
          <w:sz w:val="36"/>
          <w:szCs w:val="36"/>
        </w:rPr>
        <w:t>第一部分</w:t>
      </w:r>
      <w:r>
        <w:rPr>
          <w:rFonts w:hint="eastAsia" w:ascii="宋体" w:hAnsi="宋体" w:eastAsia="方正小标宋简体" w:cs="宋体"/>
          <w:bCs/>
          <w:color w:val="353535"/>
          <w:spacing w:val="8"/>
          <w:kern w:val="0"/>
          <w:sz w:val="36"/>
          <w:szCs w:val="36"/>
        </w:rPr>
        <w:t> </w:t>
      </w:r>
      <w:r>
        <w:rPr>
          <w:rFonts w:hint="eastAsia" w:ascii="方正小标宋简体" w:hAnsi="宋体" w:eastAsia="方正小标宋简体" w:cs="宋体"/>
          <w:bCs/>
          <w:color w:val="353535"/>
          <w:spacing w:val="8"/>
          <w:kern w:val="0"/>
          <w:sz w:val="36"/>
          <w:szCs w:val="36"/>
        </w:rPr>
        <w:t>2022</w:t>
      </w:r>
      <w:r>
        <w:rPr>
          <w:rFonts w:hint="eastAsia" w:ascii="方正小标宋简体" w:hAnsi="宋体" w:eastAsia="方正小标宋简体"/>
          <w:bCs/>
          <w:color w:val="353535"/>
          <w:spacing w:val="8"/>
          <w:kern w:val="0"/>
          <w:sz w:val="36"/>
          <w:szCs w:val="36"/>
        </w:rPr>
        <w:t>年部门预算说明</w:t>
      </w:r>
    </w:p>
    <w:p>
      <w:pPr>
        <w:widowControl/>
        <w:shd w:val="clear" w:color="auto" w:fill="FFFFFF"/>
        <w:wordWrap w:val="0"/>
        <w:spacing w:line="600" w:lineRule="atLeast"/>
        <w:jc w:val="left"/>
        <w:rPr>
          <w:rFonts w:ascii="宋体" w:hAnsi="宋体" w:cs="宋体"/>
          <w:color w:val="353535"/>
          <w:spacing w:val="8"/>
          <w:kern w:val="0"/>
          <w:sz w:val="32"/>
          <w:szCs w:val="32"/>
        </w:rPr>
      </w:pPr>
      <w:r>
        <w:rPr>
          <w:rFonts w:ascii="宋体" w:hAnsi="宋体" w:cs="宋体"/>
          <w:color w:val="353535"/>
          <w:spacing w:val="8"/>
          <w:kern w:val="0"/>
          <w:sz w:val="32"/>
          <w:szCs w:val="32"/>
        </w:rPr>
        <w:t> </w:t>
      </w:r>
    </w:p>
    <w:p>
      <w:pPr>
        <w:widowControl/>
        <w:shd w:val="clear" w:color="auto" w:fill="FFFFFF"/>
        <w:wordWrap w:val="0"/>
        <w:spacing w:line="580" w:lineRule="exact"/>
        <w:ind w:firstLine="672" w:firstLineChars="200"/>
        <w:jc w:val="left"/>
        <w:rPr>
          <w:rFonts w:ascii="宋体" w:hAnsi="宋体" w:cs="宋体"/>
          <w:color w:val="353535"/>
          <w:spacing w:val="8"/>
          <w:kern w:val="0"/>
          <w:sz w:val="32"/>
          <w:szCs w:val="32"/>
        </w:rPr>
      </w:pPr>
      <w:r>
        <w:rPr>
          <w:rFonts w:ascii="黑体" w:hAnsi="黑体" w:eastAsia="黑体"/>
          <w:color w:val="353535"/>
          <w:spacing w:val="8"/>
          <w:kern w:val="0"/>
          <w:sz w:val="32"/>
          <w:szCs w:val="32"/>
        </w:rPr>
        <w:t>一、部门基本概况</w:t>
      </w:r>
    </w:p>
    <w:p>
      <w:pPr>
        <w:widowControl/>
        <w:shd w:val="clear" w:color="auto" w:fill="FFFFFF"/>
        <w:wordWrap w:val="0"/>
        <w:spacing w:line="580" w:lineRule="exact"/>
        <w:ind w:firstLine="672" w:firstLineChars="200"/>
        <w:jc w:val="left"/>
        <w:rPr>
          <w:rFonts w:ascii="楷体_GB2312" w:hAnsi="楷体" w:eastAsia="楷体_GB2312" w:cs="宋体"/>
          <w:color w:val="353535"/>
          <w:spacing w:val="8"/>
          <w:kern w:val="0"/>
          <w:sz w:val="32"/>
          <w:szCs w:val="32"/>
        </w:rPr>
      </w:pPr>
      <w:r>
        <w:rPr>
          <w:rFonts w:hint="eastAsia" w:ascii="楷体_GB2312" w:hAnsi="楷体" w:eastAsia="楷体_GB2312" w:cs="宋体"/>
          <w:bCs/>
          <w:color w:val="353535"/>
          <w:spacing w:val="8"/>
          <w:kern w:val="0"/>
          <w:sz w:val="32"/>
          <w:szCs w:val="32"/>
        </w:rPr>
        <w:t>（一）职能职责</w:t>
      </w:r>
    </w:p>
    <w:p>
      <w:pPr>
        <w:widowControl/>
        <w:shd w:val="clear" w:color="auto" w:fill="FFFFFF"/>
        <w:wordWrap w:val="0"/>
        <w:spacing w:line="580" w:lineRule="exact"/>
        <w:ind w:firstLine="672" w:firstLineChars="200"/>
        <w:jc w:val="left"/>
        <w:rPr>
          <w:rFonts w:ascii="宋体" w:hAnsi="宋体" w:cs="宋体"/>
          <w:color w:val="353535"/>
          <w:spacing w:val="8"/>
          <w:kern w:val="0"/>
          <w:sz w:val="32"/>
          <w:szCs w:val="32"/>
        </w:rPr>
      </w:pPr>
      <w:r>
        <w:rPr>
          <w:rFonts w:hint="eastAsia" w:ascii="仿宋_GB2312" w:hAnsi="宋体" w:eastAsia="仿宋_GB2312" w:cs="宋体"/>
          <w:color w:val="000000"/>
          <w:spacing w:val="8"/>
          <w:kern w:val="0"/>
          <w:sz w:val="32"/>
          <w:szCs w:val="32"/>
        </w:rPr>
        <w:t>1.</w:t>
      </w:r>
      <w:r>
        <w:rPr>
          <w:rFonts w:ascii="仿宋_GB2312" w:eastAsia="仿宋_GB2312"/>
          <w:color w:val="353535"/>
          <w:spacing w:val="8"/>
          <w:kern w:val="0"/>
          <w:sz w:val="32"/>
          <w:szCs w:val="32"/>
        </w:rPr>
        <w:t>深入贯彻习近平新时代中国特色社会主义思想，深入贯彻党的路线方针政策和决策部署，统一全省检察机关思想和行动，坚持党对检察工作的绝对领导，坚决维护习近平总书记的核心地位，坚决维护党中央权威和集中统一领导。</w:t>
      </w:r>
    </w:p>
    <w:p>
      <w:pPr>
        <w:widowControl/>
        <w:shd w:val="clear" w:color="auto" w:fill="FFFFFF"/>
        <w:wordWrap w:val="0"/>
        <w:spacing w:line="580" w:lineRule="exact"/>
        <w:ind w:firstLine="672" w:firstLineChars="200"/>
        <w:jc w:val="left"/>
        <w:rPr>
          <w:rFonts w:ascii="宋体" w:hAnsi="宋体" w:cs="宋体"/>
          <w:color w:val="353535"/>
          <w:spacing w:val="8"/>
          <w:kern w:val="0"/>
          <w:sz w:val="32"/>
          <w:szCs w:val="32"/>
        </w:rPr>
      </w:pPr>
      <w:r>
        <w:rPr>
          <w:rFonts w:hint="eastAsia" w:ascii="仿宋_GB2312" w:hAnsi="宋体" w:eastAsia="仿宋_GB2312" w:cs="宋体"/>
          <w:color w:val="000000"/>
          <w:spacing w:val="8"/>
          <w:kern w:val="0"/>
          <w:sz w:val="32"/>
          <w:szCs w:val="32"/>
        </w:rPr>
        <w:t>2.</w:t>
      </w:r>
      <w:r>
        <w:rPr>
          <w:rFonts w:ascii="仿宋_GB2312" w:eastAsia="仿宋_GB2312"/>
          <w:color w:val="353535"/>
          <w:spacing w:val="8"/>
          <w:kern w:val="0"/>
          <w:sz w:val="32"/>
          <w:szCs w:val="32"/>
        </w:rPr>
        <w:t>领导全省各级人民检察院工作。对下级检察院相关业务进行指导，研究制定全省检察工作的总体规划，部署检察工作任务。</w:t>
      </w:r>
    </w:p>
    <w:p>
      <w:pPr>
        <w:widowControl/>
        <w:shd w:val="clear" w:color="auto" w:fill="FFFFFF"/>
        <w:wordWrap w:val="0"/>
        <w:spacing w:line="580" w:lineRule="exact"/>
        <w:ind w:firstLine="672" w:firstLineChars="200"/>
        <w:jc w:val="left"/>
        <w:rPr>
          <w:rFonts w:ascii="宋体" w:hAnsi="宋体" w:cs="宋体"/>
          <w:color w:val="353535"/>
          <w:spacing w:val="8"/>
          <w:kern w:val="0"/>
          <w:sz w:val="32"/>
          <w:szCs w:val="32"/>
        </w:rPr>
      </w:pPr>
      <w:r>
        <w:rPr>
          <w:rFonts w:hint="eastAsia" w:ascii="仿宋_GB2312" w:hAnsi="宋体" w:eastAsia="仿宋_GB2312" w:cs="宋体"/>
          <w:color w:val="000000"/>
          <w:spacing w:val="8"/>
          <w:kern w:val="0"/>
          <w:sz w:val="32"/>
          <w:szCs w:val="32"/>
        </w:rPr>
        <w:t>3.</w:t>
      </w:r>
      <w:r>
        <w:rPr>
          <w:rFonts w:ascii="仿宋_GB2312" w:eastAsia="仿宋_GB2312"/>
          <w:color w:val="353535"/>
          <w:spacing w:val="8"/>
          <w:kern w:val="0"/>
          <w:sz w:val="32"/>
          <w:szCs w:val="32"/>
        </w:rPr>
        <w:t>依照法律规定对由省人民检察院直接受理的刑事案件行使侦查权，领导全省各级人民检察院开展对依照法律规定由人民检察院直接受理的刑事案件的侦查工作。</w:t>
      </w:r>
    </w:p>
    <w:p>
      <w:pPr>
        <w:widowControl/>
        <w:shd w:val="clear" w:color="auto" w:fill="FFFFFF"/>
        <w:wordWrap w:val="0"/>
        <w:spacing w:line="580" w:lineRule="exact"/>
        <w:ind w:firstLine="672" w:firstLineChars="200"/>
        <w:jc w:val="left"/>
        <w:rPr>
          <w:rFonts w:ascii="宋体" w:hAnsi="宋体" w:cs="宋体"/>
          <w:color w:val="353535"/>
          <w:spacing w:val="8"/>
          <w:kern w:val="0"/>
          <w:sz w:val="32"/>
          <w:szCs w:val="32"/>
        </w:rPr>
      </w:pPr>
      <w:r>
        <w:rPr>
          <w:rFonts w:hint="eastAsia" w:ascii="仿宋_GB2312" w:hAnsi="宋体" w:eastAsia="仿宋_GB2312" w:cs="宋体"/>
          <w:color w:val="000000"/>
          <w:spacing w:val="8"/>
          <w:kern w:val="0"/>
          <w:sz w:val="32"/>
          <w:szCs w:val="32"/>
        </w:rPr>
        <w:t>4.</w:t>
      </w:r>
      <w:r>
        <w:rPr>
          <w:rFonts w:ascii="仿宋_GB2312" w:eastAsia="仿宋_GB2312"/>
          <w:color w:val="353535"/>
          <w:spacing w:val="8"/>
          <w:kern w:val="0"/>
          <w:sz w:val="32"/>
          <w:szCs w:val="32"/>
        </w:rPr>
        <w:t>对全省性的重大刑事案件依法审查批准逮捕、决定逮捕、提起公诉，领导全省各级人民检察院开展对刑事犯罪案件的审查批准逮捕、决定逮捕、提起公诉工作。</w:t>
      </w:r>
    </w:p>
    <w:p>
      <w:pPr>
        <w:widowControl/>
        <w:shd w:val="clear" w:color="auto" w:fill="FFFFFF"/>
        <w:wordWrap w:val="0"/>
        <w:spacing w:line="580" w:lineRule="exact"/>
        <w:ind w:firstLine="672" w:firstLineChars="200"/>
        <w:jc w:val="left"/>
        <w:rPr>
          <w:rFonts w:ascii="宋体" w:hAnsi="宋体" w:cs="宋体"/>
          <w:color w:val="353535"/>
          <w:spacing w:val="8"/>
          <w:kern w:val="0"/>
          <w:sz w:val="32"/>
          <w:szCs w:val="32"/>
        </w:rPr>
      </w:pPr>
      <w:r>
        <w:rPr>
          <w:rFonts w:hint="eastAsia" w:ascii="仿宋_GB2312" w:hAnsi="宋体" w:eastAsia="仿宋_GB2312" w:cs="宋体"/>
          <w:color w:val="000000"/>
          <w:spacing w:val="8"/>
          <w:kern w:val="0"/>
          <w:sz w:val="32"/>
          <w:szCs w:val="32"/>
        </w:rPr>
        <w:t>5.</w:t>
      </w:r>
      <w:r>
        <w:rPr>
          <w:rFonts w:ascii="仿宋_GB2312" w:eastAsia="仿宋_GB2312"/>
          <w:color w:val="353535"/>
          <w:spacing w:val="8"/>
          <w:kern w:val="0"/>
          <w:sz w:val="32"/>
          <w:szCs w:val="32"/>
        </w:rPr>
        <w:t>负责应由省人民检察院承办的刑事、民事、行政诉讼活动及刑事、民事、行政判决和裁定等生效法律文书执行的法律监督工作，领导全省各级人民检察院对刑事、民事、行政诉讼活动及判决和裁定等生效法律文书执行的法律监督工作。</w:t>
      </w:r>
    </w:p>
    <w:p>
      <w:pPr>
        <w:widowControl/>
        <w:shd w:val="clear" w:color="auto" w:fill="FFFFFF"/>
        <w:wordWrap w:val="0"/>
        <w:spacing w:line="580" w:lineRule="exact"/>
        <w:ind w:firstLine="672" w:firstLineChars="200"/>
        <w:jc w:val="left"/>
        <w:rPr>
          <w:rFonts w:ascii="宋体" w:hAnsi="宋体" w:cs="宋体"/>
          <w:color w:val="353535"/>
          <w:spacing w:val="8"/>
          <w:kern w:val="0"/>
          <w:sz w:val="32"/>
          <w:szCs w:val="32"/>
        </w:rPr>
      </w:pPr>
      <w:r>
        <w:rPr>
          <w:rFonts w:hint="eastAsia" w:ascii="仿宋_GB2312" w:hAnsi="宋体" w:eastAsia="仿宋_GB2312" w:cs="宋体"/>
          <w:color w:val="000000"/>
          <w:spacing w:val="8"/>
          <w:kern w:val="0"/>
          <w:sz w:val="32"/>
          <w:szCs w:val="32"/>
        </w:rPr>
        <w:t>6.</w:t>
      </w:r>
      <w:r>
        <w:rPr>
          <w:rFonts w:ascii="仿宋_GB2312" w:eastAsia="仿宋_GB2312"/>
          <w:color w:val="353535"/>
          <w:spacing w:val="8"/>
          <w:kern w:val="0"/>
          <w:sz w:val="32"/>
          <w:szCs w:val="32"/>
        </w:rPr>
        <w:t>负责应由省人民检察院承办的提起公益诉讼工作，领导全省各级人民检察院开展提起公益诉讼工作。</w:t>
      </w:r>
    </w:p>
    <w:p>
      <w:pPr>
        <w:widowControl/>
        <w:shd w:val="clear" w:color="auto" w:fill="FFFFFF"/>
        <w:wordWrap w:val="0"/>
        <w:spacing w:line="580" w:lineRule="exact"/>
        <w:ind w:firstLine="672" w:firstLineChars="200"/>
        <w:jc w:val="left"/>
        <w:rPr>
          <w:rFonts w:ascii="宋体" w:hAnsi="宋体" w:cs="宋体"/>
          <w:color w:val="353535"/>
          <w:spacing w:val="8"/>
          <w:kern w:val="0"/>
          <w:sz w:val="32"/>
          <w:szCs w:val="32"/>
        </w:rPr>
      </w:pPr>
      <w:r>
        <w:rPr>
          <w:rFonts w:hint="eastAsia" w:ascii="仿宋_GB2312" w:hAnsi="宋体" w:eastAsia="仿宋_GB2312" w:cs="宋体"/>
          <w:color w:val="000000"/>
          <w:spacing w:val="8"/>
          <w:kern w:val="0"/>
          <w:sz w:val="32"/>
          <w:szCs w:val="32"/>
        </w:rPr>
        <w:t>7.</w:t>
      </w:r>
      <w:r>
        <w:rPr>
          <w:rFonts w:ascii="仿宋_GB2312" w:eastAsia="仿宋_GB2312"/>
          <w:color w:val="353535"/>
          <w:spacing w:val="8"/>
          <w:kern w:val="0"/>
          <w:sz w:val="32"/>
          <w:szCs w:val="32"/>
        </w:rPr>
        <w:t>对市州人民检察院报请核准追诉的案件进行审查，决定是否报最高人民检察院核准追诉。</w:t>
      </w:r>
    </w:p>
    <w:p>
      <w:pPr>
        <w:widowControl/>
        <w:shd w:val="clear" w:color="auto" w:fill="FFFFFF"/>
        <w:wordWrap w:val="0"/>
        <w:spacing w:line="580" w:lineRule="exact"/>
        <w:ind w:firstLine="672" w:firstLineChars="200"/>
        <w:jc w:val="left"/>
        <w:rPr>
          <w:rFonts w:ascii="宋体" w:hAnsi="宋体" w:cs="宋体"/>
          <w:color w:val="353535"/>
          <w:spacing w:val="8"/>
          <w:kern w:val="0"/>
          <w:sz w:val="32"/>
          <w:szCs w:val="32"/>
        </w:rPr>
      </w:pPr>
      <w:r>
        <w:rPr>
          <w:rFonts w:hint="eastAsia" w:ascii="仿宋_GB2312" w:hAnsi="宋体" w:eastAsia="仿宋_GB2312" w:cs="宋体"/>
          <w:color w:val="000000"/>
          <w:spacing w:val="8"/>
          <w:kern w:val="0"/>
          <w:sz w:val="32"/>
          <w:szCs w:val="32"/>
        </w:rPr>
        <w:t>8.</w:t>
      </w:r>
      <w:r>
        <w:rPr>
          <w:rFonts w:ascii="仿宋_GB2312" w:eastAsia="仿宋_GB2312"/>
          <w:color w:val="353535"/>
          <w:spacing w:val="8"/>
          <w:kern w:val="0"/>
          <w:sz w:val="32"/>
          <w:szCs w:val="32"/>
        </w:rPr>
        <w:t>负责应由省人民检察院承办的对监狱、看守所等执法活动的法律监督工作，领导全省各级人民检察院开展对监狱、看守所等执法活动的法律监督工作。</w:t>
      </w:r>
    </w:p>
    <w:p>
      <w:pPr>
        <w:widowControl/>
        <w:shd w:val="clear" w:color="auto" w:fill="FFFFFF"/>
        <w:wordWrap w:val="0"/>
        <w:spacing w:line="580" w:lineRule="exact"/>
        <w:ind w:firstLine="672" w:firstLineChars="200"/>
        <w:jc w:val="left"/>
        <w:rPr>
          <w:rFonts w:ascii="宋体" w:hAnsi="宋体" w:cs="宋体"/>
          <w:color w:val="353535"/>
          <w:spacing w:val="8"/>
          <w:kern w:val="0"/>
          <w:sz w:val="32"/>
          <w:szCs w:val="32"/>
        </w:rPr>
      </w:pPr>
      <w:r>
        <w:rPr>
          <w:rFonts w:hint="eastAsia" w:ascii="仿宋_GB2312" w:hAnsi="宋体" w:eastAsia="仿宋_GB2312" w:cs="宋体"/>
          <w:color w:val="000000"/>
          <w:spacing w:val="8"/>
          <w:kern w:val="0"/>
          <w:sz w:val="32"/>
          <w:szCs w:val="32"/>
        </w:rPr>
        <w:t>9.</w:t>
      </w:r>
      <w:r>
        <w:rPr>
          <w:rFonts w:ascii="仿宋_GB2312" w:eastAsia="仿宋_GB2312"/>
          <w:color w:val="353535"/>
          <w:spacing w:val="8"/>
          <w:kern w:val="0"/>
          <w:sz w:val="32"/>
          <w:szCs w:val="32"/>
        </w:rPr>
        <w:t>受理向省人民检察院的控告申诉，领导全省各级人民检察院的控告申诉检察工作。</w:t>
      </w:r>
    </w:p>
    <w:p>
      <w:pPr>
        <w:widowControl/>
        <w:shd w:val="clear" w:color="auto" w:fill="FFFFFF"/>
        <w:wordWrap w:val="0"/>
        <w:spacing w:line="580" w:lineRule="exact"/>
        <w:ind w:firstLine="672" w:firstLineChars="200"/>
        <w:jc w:val="left"/>
        <w:rPr>
          <w:rFonts w:ascii="宋体" w:hAnsi="宋体" w:cs="宋体"/>
          <w:color w:val="353535"/>
          <w:spacing w:val="8"/>
          <w:kern w:val="0"/>
          <w:sz w:val="32"/>
          <w:szCs w:val="32"/>
        </w:rPr>
      </w:pPr>
      <w:r>
        <w:rPr>
          <w:rFonts w:hint="eastAsia" w:ascii="仿宋_GB2312" w:hAnsi="宋体" w:eastAsia="仿宋_GB2312" w:cs="宋体"/>
          <w:color w:val="000000"/>
          <w:spacing w:val="8"/>
          <w:kern w:val="0"/>
          <w:sz w:val="32"/>
          <w:szCs w:val="32"/>
        </w:rPr>
        <w:t>10.</w:t>
      </w:r>
      <w:r>
        <w:rPr>
          <w:rFonts w:ascii="仿宋_GB2312" w:eastAsia="仿宋_GB2312"/>
          <w:color w:val="353535"/>
          <w:spacing w:val="8"/>
          <w:kern w:val="0"/>
          <w:sz w:val="32"/>
          <w:szCs w:val="32"/>
        </w:rPr>
        <w:t>对下级人民检察院在行使检察权中作出的决定进行审查，纠正错误决定。</w:t>
      </w:r>
    </w:p>
    <w:p>
      <w:pPr>
        <w:widowControl/>
        <w:shd w:val="clear" w:color="auto" w:fill="FFFFFF"/>
        <w:wordWrap w:val="0"/>
        <w:spacing w:line="580" w:lineRule="exact"/>
        <w:ind w:firstLine="672" w:firstLineChars="200"/>
        <w:jc w:val="left"/>
        <w:rPr>
          <w:rFonts w:ascii="宋体" w:hAnsi="宋体" w:cs="宋体"/>
          <w:color w:val="353535"/>
          <w:spacing w:val="8"/>
          <w:kern w:val="0"/>
          <w:sz w:val="32"/>
          <w:szCs w:val="32"/>
        </w:rPr>
      </w:pPr>
      <w:r>
        <w:rPr>
          <w:rFonts w:hint="eastAsia" w:ascii="仿宋_GB2312" w:hAnsi="宋体" w:eastAsia="仿宋_GB2312" w:cs="宋体"/>
          <w:color w:val="000000"/>
          <w:spacing w:val="8"/>
          <w:kern w:val="0"/>
          <w:sz w:val="32"/>
          <w:szCs w:val="32"/>
        </w:rPr>
        <w:t>11.</w:t>
      </w:r>
      <w:r>
        <w:rPr>
          <w:rFonts w:ascii="仿宋_GB2312" w:eastAsia="仿宋_GB2312"/>
          <w:color w:val="353535"/>
          <w:spacing w:val="8"/>
          <w:kern w:val="0"/>
          <w:sz w:val="32"/>
          <w:szCs w:val="32"/>
        </w:rPr>
        <w:t>指导全省检察机关的理论研究工作。</w:t>
      </w:r>
    </w:p>
    <w:p>
      <w:pPr>
        <w:widowControl/>
        <w:shd w:val="clear" w:color="auto" w:fill="FFFFFF"/>
        <w:wordWrap w:val="0"/>
        <w:spacing w:line="580" w:lineRule="exact"/>
        <w:ind w:firstLine="672" w:firstLineChars="200"/>
        <w:jc w:val="left"/>
        <w:rPr>
          <w:rFonts w:ascii="宋体" w:hAnsi="宋体" w:cs="宋体"/>
          <w:color w:val="353535"/>
          <w:spacing w:val="8"/>
          <w:kern w:val="0"/>
          <w:sz w:val="32"/>
          <w:szCs w:val="32"/>
        </w:rPr>
      </w:pPr>
      <w:r>
        <w:rPr>
          <w:rFonts w:hint="eastAsia" w:ascii="仿宋_GB2312" w:hAnsi="宋体" w:eastAsia="仿宋_GB2312" w:cs="宋体"/>
          <w:color w:val="000000"/>
          <w:spacing w:val="8"/>
          <w:kern w:val="0"/>
          <w:sz w:val="32"/>
          <w:szCs w:val="32"/>
        </w:rPr>
        <w:t>12.</w:t>
      </w:r>
      <w:r>
        <w:rPr>
          <w:rFonts w:ascii="仿宋_GB2312" w:eastAsia="仿宋_GB2312"/>
          <w:color w:val="353535"/>
          <w:spacing w:val="8"/>
          <w:kern w:val="0"/>
          <w:sz w:val="32"/>
          <w:szCs w:val="32"/>
        </w:rPr>
        <w:t>负责全省检察机关队伍建设和思想政治工作。领导全省各级人民检察院依法管理检察官及其他检察人员的工作，协同省级主管部门管理人民检察院的机构设置及人员编制，制定相关人员管理办法，组织指导全省检察机关教育培训工作。</w:t>
      </w:r>
    </w:p>
    <w:p>
      <w:pPr>
        <w:widowControl/>
        <w:shd w:val="clear" w:color="auto" w:fill="FFFFFF"/>
        <w:wordWrap w:val="0"/>
        <w:spacing w:line="580" w:lineRule="exact"/>
        <w:ind w:firstLine="672" w:firstLineChars="200"/>
        <w:jc w:val="left"/>
        <w:rPr>
          <w:rFonts w:ascii="宋体" w:hAnsi="宋体" w:cs="宋体"/>
          <w:color w:val="353535"/>
          <w:spacing w:val="8"/>
          <w:kern w:val="0"/>
          <w:sz w:val="32"/>
          <w:szCs w:val="32"/>
        </w:rPr>
      </w:pPr>
      <w:r>
        <w:rPr>
          <w:rFonts w:hint="eastAsia" w:ascii="仿宋_GB2312" w:hAnsi="宋体" w:eastAsia="仿宋_GB2312" w:cs="宋体"/>
          <w:color w:val="000000"/>
          <w:spacing w:val="8"/>
          <w:kern w:val="0"/>
          <w:sz w:val="32"/>
          <w:szCs w:val="32"/>
        </w:rPr>
        <w:t>13.</w:t>
      </w:r>
      <w:r>
        <w:rPr>
          <w:rFonts w:ascii="仿宋_GB2312" w:eastAsia="仿宋_GB2312"/>
          <w:color w:val="353535"/>
          <w:spacing w:val="8"/>
          <w:kern w:val="0"/>
          <w:sz w:val="32"/>
          <w:szCs w:val="32"/>
        </w:rPr>
        <w:t>协同省委主管部门管理和考核全省市、县两级人民检察院的检察长，协同市州党委管理和考核市州人民检察院的副检察长。</w:t>
      </w:r>
    </w:p>
    <w:p>
      <w:pPr>
        <w:widowControl/>
        <w:shd w:val="clear" w:color="auto" w:fill="FFFFFF"/>
        <w:wordWrap w:val="0"/>
        <w:spacing w:line="580" w:lineRule="exact"/>
        <w:ind w:firstLine="672" w:firstLineChars="200"/>
        <w:jc w:val="left"/>
        <w:rPr>
          <w:rFonts w:ascii="宋体" w:hAnsi="宋体" w:cs="宋体"/>
          <w:color w:val="353535"/>
          <w:spacing w:val="8"/>
          <w:kern w:val="0"/>
          <w:sz w:val="32"/>
          <w:szCs w:val="32"/>
        </w:rPr>
      </w:pPr>
      <w:r>
        <w:rPr>
          <w:rFonts w:hint="eastAsia" w:ascii="仿宋_GB2312" w:hAnsi="宋体" w:eastAsia="仿宋_GB2312" w:cs="宋体"/>
          <w:color w:val="000000"/>
          <w:spacing w:val="8"/>
          <w:kern w:val="0"/>
          <w:sz w:val="32"/>
          <w:szCs w:val="32"/>
        </w:rPr>
        <w:t>14.</w:t>
      </w:r>
      <w:r>
        <w:rPr>
          <w:rFonts w:ascii="仿宋_GB2312" w:eastAsia="仿宋_GB2312"/>
          <w:color w:val="353535"/>
          <w:spacing w:val="8"/>
          <w:kern w:val="0"/>
          <w:sz w:val="32"/>
          <w:szCs w:val="32"/>
        </w:rPr>
        <w:t>领导全省各级人民检察院的检务督察工作。</w:t>
      </w:r>
    </w:p>
    <w:p>
      <w:pPr>
        <w:widowControl/>
        <w:shd w:val="clear" w:color="auto" w:fill="FFFFFF"/>
        <w:wordWrap w:val="0"/>
        <w:spacing w:line="580" w:lineRule="exact"/>
        <w:ind w:firstLine="672" w:firstLineChars="200"/>
        <w:jc w:val="left"/>
        <w:rPr>
          <w:rFonts w:ascii="宋体" w:hAnsi="宋体" w:cs="宋体"/>
          <w:color w:val="353535"/>
          <w:spacing w:val="8"/>
          <w:kern w:val="0"/>
          <w:sz w:val="32"/>
          <w:szCs w:val="32"/>
        </w:rPr>
      </w:pPr>
      <w:r>
        <w:rPr>
          <w:rFonts w:hint="eastAsia" w:ascii="仿宋_GB2312" w:hAnsi="宋体" w:eastAsia="仿宋_GB2312" w:cs="宋体"/>
          <w:color w:val="000000"/>
          <w:spacing w:val="8"/>
          <w:kern w:val="0"/>
          <w:sz w:val="32"/>
          <w:szCs w:val="32"/>
        </w:rPr>
        <w:t>15.</w:t>
      </w:r>
      <w:r>
        <w:rPr>
          <w:rFonts w:ascii="仿宋_GB2312" w:eastAsia="仿宋_GB2312"/>
          <w:color w:val="353535"/>
          <w:spacing w:val="8"/>
          <w:kern w:val="0"/>
          <w:sz w:val="32"/>
          <w:szCs w:val="32"/>
        </w:rPr>
        <w:t>规划和指导全省检察机关的财务装备工作，指导全省检察机关的检察技术信息工作。</w:t>
      </w:r>
    </w:p>
    <w:p>
      <w:pPr>
        <w:widowControl/>
        <w:shd w:val="clear" w:color="auto" w:fill="FFFFFF"/>
        <w:wordWrap w:val="0"/>
        <w:spacing w:line="580" w:lineRule="exact"/>
        <w:ind w:firstLine="672" w:firstLineChars="200"/>
        <w:jc w:val="left"/>
        <w:rPr>
          <w:rFonts w:ascii="宋体" w:hAnsi="宋体" w:cs="宋体"/>
          <w:color w:val="353535"/>
          <w:spacing w:val="8"/>
          <w:kern w:val="0"/>
          <w:sz w:val="32"/>
          <w:szCs w:val="32"/>
        </w:rPr>
      </w:pPr>
      <w:r>
        <w:rPr>
          <w:rFonts w:hint="eastAsia" w:ascii="仿宋_GB2312" w:hAnsi="宋体" w:eastAsia="仿宋_GB2312" w:cs="宋体"/>
          <w:color w:val="000000"/>
          <w:spacing w:val="8"/>
          <w:kern w:val="0"/>
          <w:sz w:val="32"/>
          <w:szCs w:val="32"/>
        </w:rPr>
        <w:t>16.</w:t>
      </w:r>
      <w:r>
        <w:rPr>
          <w:rFonts w:ascii="仿宋_GB2312" w:eastAsia="仿宋_GB2312"/>
          <w:color w:val="353535"/>
          <w:spacing w:val="8"/>
          <w:kern w:val="0"/>
          <w:sz w:val="32"/>
          <w:szCs w:val="32"/>
        </w:rPr>
        <w:t>组织全省检察机关的对外交流合作，开展有关国际司法协助工作。</w:t>
      </w:r>
    </w:p>
    <w:p>
      <w:pPr>
        <w:widowControl/>
        <w:shd w:val="clear" w:color="auto" w:fill="FFFFFF"/>
        <w:wordWrap w:val="0"/>
        <w:spacing w:line="580" w:lineRule="exact"/>
        <w:ind w:firstLine="672" w:firstLineChars="200"/>
        <w:jc w:val="left"/>
        <w:rPr>
          <w:rFonts w:ascii="宋体" w:hAnsi="宋体" w:cs="宋体"/>
          <w:color w:val="353535"/>
          <w:spacing w:val="8"/>
          <w:kern w:val="0"/>
          <w:sz w:val="32"/>
          <w:szCs w:val="32"/>
        </w:rPr>
      </w:pPr>
      <w:r>
        <w:rPr>
          <w:rFonts w:hint="eastAsia" w:ascii="仿宋_GB2312" w:hAnsi="宋体" w:eastAsia="仿宋_GB2312" w:cs="宋体"/>
          <w:color w:val="000000"/>
          <w:spacing w:val="8"/>
          <w:kern w:val="0"/>
          <w:sz w:val="32"/>
          <w:szCs w:val="32"/>
        </w:rPr>
        <w:t>17.</w:t>
      </w:r>
      <w:r>
        <w:rPr>
          <w:rFonts w:ascii="仿宋_GB2312" w:eastAsia="仿宋_GB2312"/>
          <w:color w:val="353535"/>
          <w:spacing w:val="8"/>
          <w:kern w:val="0"/>
          <w:sz w:val="32"/>
          <w:szCs w:val="32"/>
        </w:rPr>
        <w:t>负责其他应当由省人民检察院承办的事项。</w:t>
      </w:r>
    </w:p>
    <w:p>
      <w:pPr>
        <w:widowControl/>
        <w:shd w:val="clear" w:color="auto" w:fill="FFFFFF"/>
        <w:wordWrap w:val="0"/>
        <w:spacing w:line="580" w:lineRule="exact"/>
        <w:ind w:firstLine="630"/>
        <w:jc w:val="left"/>
        <w:rPr>
          <w:rFonts w:ascii="楷体_GB2312" w:hAnsi="楷体" w:eastAsia="楷体_GB2312" w:cs="宋体"/>
          <w:color w:val="353535"/>
          <w:spacing w:val="8"/>
          <w:kern w:val="0"/>
          <w:sz w:val="32"/>
          <w:szCs w:val="32"/>
        </w:rPr>
      </w:pPr>
      <w:r>
        <w:rPr>
          <w:rFonts w:hint="eastAsia" w:ascii="楷体_GB2312" w:hAnsi="楷体" w:eastAsia="楷体_GB2312" w:cs="宋体"/>
          <w:bCs/>
          <w:color w:val="353535"/>
          <w:spacing w:val="8"/>
          <w:kern w:val="0"/>
          <w:sz w:val="32"/>
          <w:szCs w:val="32"/>
        </w:rPr>
        <w:t>（二）机构设置</w:t>
      </w:r>
    </w:p>
    <w:p>
      <w:pPr>
        <w:widowControl/>
        <w:shd w:val="clear" w:color="auto" w:fill="FFFFFF"/>
        <w:wordWrap w:val="0"/>
        <w:spacing w:line="580" w:lineRule="exact"/>
        <w:rPr>
          <w:rFonts w:ascii="Arial" w:hAnsi="Arial" w:cs="Arial"/>
          <w:color w:val="353535"/>
          <w:spacing w:val="8"/>
          <w:kern w:val="0"/>
          <w:sz w:val="32"/>
          <w:szCs w:val="32"/>
        </w:rPr>
      </w:pPr>
      <w:r>
        <w:rPr>
          <w:rFonts w:hint="eastAsia" w:ascii="仿宋_GB2312" w:hAnsi="Arial" w:eastAsia="仿宋_GB2312" w:cs="Arial"/>
          <w:color w:val="353535"/>
          <w:spacing w:val="8"/>
          <w:kern w:val="0"/>
          <w:sz w:val="32"/>
          <w:szCs w:val="32"/>
        </w:rPr>
        <w:t>　　湖南省人民检察院机关本级现有22个内设机构，分别为：办公室（新闻办公室）、第一检察部、第二检察部、第三检察部、第四检察部、第五检察部、第六检察部、第七检察部、第八检察部、第九检察部、第十检察部、第十一检察部、第十二检察部、法律政策研究室、案件管理办公室、检务督察部、检察技术部、警务部（司法警察总队）、计划财务装备部、政治部、机关党委、离退休人员管理服务处。</w:t>
      </w:r>
    </w:p>
    <w:p>
      <w:pPr>
        <w:widowControl/>
        <w:shd w:val="clear" w:color="auto" w:fill="FFFFFF"/>
        <w:wordWrap w:val="0"/>
        <w:spacing w:line="600" w:lineRule="atLeast"/>
        <w:ind w:firstLine="627"/>
        <w:jc w:val="left"/>
        <w:rPr>
          <w:rFonts w:ascii="黑体" w:hAnsi="宋体" w:eastAsia="黑体" w:cs="宋体"/>
          <w:color w:val="353535"/>
          <w:spacing w:val="8"/>
          <w:kern w:val="0"/>
          <w:sz w:val="32"/>
          <w:szCs w:val="32"/>
        </w:rPr>
      </w:pPr>
      <w:r>
        <w:rPr>
          <w:rFonts w:hint="eastAsia" w:ascii="黑体" w:hAnsi="黑体" w:eastAsia="黑体"/>
          <w:color w:val="353535"/>
          <w:spacing w:val="8"/>
          <w:kern w:val="0"/>
          <w:sz w:val="32"/>
          <w:szCs w:val="32"/>
        </w:rPr>
        <w:t>二、部门预算单位构成</w:t>
      </w:r>
    </w:p>
    <w:p>
      <w:pPr>
        <w:widowControl/>
        <w:shd w:val="clear" w:color="auto" w:fill="FFFFFF"/>
        <w:wordWrap w:val="0"/>
        <w:spacing w:line="580" w:lineRule="exact"/>
        <w:ind w:firstLine="629"/>
        <w:jc w:val="left"/>
        <w:rPr>
          <w:rFonts w:ascii="仿宋_GB2312" w:hAnsi="宋体" w:eastAsia="仿宋_GB2312" w:cs="宋体"/>
          <w:color w:val="353535"/>
          <w:spacing w:val="8"/>
          <w:kern w:val="0"/>
          <w:sz w:val="32"/>
          <w:szCs w:val="32"/>
        </w:rPr>
      </w:pPr>
      <w:r>
        <w:rPr>
          <w:rFonts w:hint="eastAsia" w:ascii="仿宋_GB2312" w:hAnsi="宋体" w:eastAsia="仿宋_GB2312" w:cs="宋体"/>
          <w:color w:val="353535"/>
          <w:spacing w:val="8"/>
          <w:kern w:val="0"/>
          <w:sz w:val="32"/>
          <w:szCs w:val="32"/>
        </w:rPr>
        <w:t>本部门预算为汇总预算，纳入编制范围的预算单位包括：机关本级和所属二级机构以及省以下检察机关，具体包括：</w:t>
      </w:r>
    </w:p>
    <w:tbl>
      <w:tblPr>
        <w:tblStyle w:val="5"/>
        <w:tblW w:w="0" w:type="auto"/>
        <w:tblInd w:w="0" w:type="dxa"/>
        <w:tblLayout w:type="fixed"/>
        <w:tblCellMar>
          <w:top w:w="0" w:type="dxa"/>
          <w:left w:w="108" w:type="dxa"/>
          <w:bottom w:w="0" w:type="dxa"/>
          <w:right w:w="108" w:type="dxa"/>
        </w:tblCellMar>
      </w:tblPr>
      <w:tblGrid>
        <w:gridCol w:w="840"/>
        <w:gridCol w:w="3255"/>
        <w:gridCol w:w="840"/>
        <w:gridCol w:w="3240"/>
      </w:tblGrid>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sz w:val="22"/>
              </w:rPr>
            </w:pPr>
            <w:r>
              <w:rPr>
                <w:rFonts w:ascii="宋体" w:hAnsi="宋体"/>
                <w:sz w:val="22"/>
              </w:rPr>
              <w:t>序号</w:t>
            </w:r>
          </w:p>
        </w:tc>
        <w:tc>
          <w:tcPr>
            <w:tcW w:w="32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sz w:val="22"/>
              </w:rPr>
            </w:pPr>
            <w:r>
              <w:rPr>
                <w:rFonts w:ascii="宋体" w:hAnsi="宋体"/>
                <w:sz w:val="22"/>
              </w:rPr>
              <w:t>单位名称</w:t>
            </w:r>
          </w:p>
        </w:tc>
        <w:tc>
          <w:tcPr>
            <w:tcW w:w="8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sz w:val="22"/>
              </w:rPr>
            </w:pPr>
            <w:r>
              <w:rPr>
                <w:rFonts w:ascii="宋体" w:hAnsi="宋体"/>
                <w:sz w:val="22"/>
              </w:rPr>
              <w:t>序号</w:t>
            </w:r>
          </w:p>
        </w:tc>
        <w:tc>
          <w:tcPr>
            <w:tcW w:w="32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sz w:val="22"/>
              </w:rPr>
            </w:pPr>
            <w:r>
              <w:rPr>
                <w:rFonts w:ascii="宋体" w:hAnsi="宋体"/>
                <w:sz w:val="22"/>
              </w:rPr>
              <w:t>单位名称</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湖南省人民检察院本级</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76</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汉寿县人民检察院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2</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国家检察官学院湖南分院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77</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桃源县人民检察院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3</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长沙铁路运输检察院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78</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临澧县人民检察院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4</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衡阳铁路运输检察院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79</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石门县人民检察院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5</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怀化铁路运输检察院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80</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澧县人民检察院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6</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长沙市人民检察院本级</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81</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安乡县人民检察院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7</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长沙市芙蓉区人民检察院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82</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津市市人民检察院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8</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长沙市天心区人民检察院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83</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常德市白洋堤地区人民检察院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9</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长沙市岳麓区人民检察院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84</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张家界市人民检察院本级</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10</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长沙市开福区人民检察院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85</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张家界市永定区人民检察院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11</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长沙市雨花区人民检察院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86</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张家界市武陵源区人民检察院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12</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长沙县人民检察院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87</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慈利县人民检察院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13</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长沙市望城区人民检察院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88</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桑植县人民检察院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14</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浏阳市人民检察院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89</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益阳市人民检察院本级</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15</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宁乡县人民检察院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90</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益阳市赫山区人民检察院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16</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长沙市星城地区人民检察院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91</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益阳市资阳区人民检察院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17</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衡阳市人民检察院本级</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92</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桃江县人民检察院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18</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衡阳市雁峰区人民检察院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93</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安化县人民检察院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19</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衡阳市石鼓区人民检察院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94</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沅江市人民检察院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20</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衡阳市珠晖区人民检察院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95</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南县人民检察院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21</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衡阳市蒸湘区人民检察院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96</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益阳市大通湖区人民检察院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22</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衡阳市南岳区人民检察院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97</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郴州市人民检察院本级</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23</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衡南县人民检察院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98</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郴州市北湖区人民检察院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24</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衡阳县人民检察院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99</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郴州市苏仙区人民检察院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25</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衡山县人民检察院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100</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资兴市人民检察院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26</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衡东县人民检察院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101</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桂阳县人民检察院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27</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祁东县人民检察院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102</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宜章县人民检察院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28</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常宁市人民检察院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103</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永兴县人民检察院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29</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耒阳市人民检察院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104</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嘉禾县人民检察院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30</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衡阳市华新地区人民检察院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105</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临武县人民检察院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31</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株洲市人民检察院本级</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106</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汝城县人民检察院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32</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株洲市</w:t>
            </w:r>
            <w:r>
              <w:rPr>
                <w:rFonts w:hint="eastAsia" w:ascii="宋体" w:hAnsi="宋体"/>
                <w:sz w:val="20"/>
                <w:shd w:val="clear" w:color="auto" w:fill="FFFFFF"/>
              </w:rPr>
              <w:t>云龙地</w:t>
            </w:r>
            <w:r>
              <w:rPr>
                <w:rFonts w:ascii="宋体" w:hAnsi="宋体"/>
                <w:sz w:val="20"/>
                <w:shd w:val="clear" w:color="auto" w:fill="FFFFFF"/>
              </w:rPr>
              <w:t>区人民检察院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107</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安仁县人民检察院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33</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株洲市荷塘区人民检察院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108</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桂东县人民检察院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34</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株洲市芦淞区人民检察院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109</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永州市人民检察院本级</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35</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株洲市天元区人民检察院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110</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永州市冷水滩区人民检察院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36</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株洲市石峰区人民检察院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111</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永州市零陵区人民检察院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37</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醴陵市人民检察院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112</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祁阳县人民检察院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38</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w:t>
            </w:r>
            <w:r>
              <w:rPr>
                <w:rFonts w:hint="eastAsia" w:ascii="宋体" w:hAnsi="宋体"/>
                <w:sz w:val="20"/>
                <w:shd w:val="clear" w:color="auto" w:fill="FFFFFF"/>
              </w:rPr>
              <w:t>渌口区</w:t>
            </w:r>
            <w:r>
              <w:rPr>
                <w:rFonts w:ascii="宋体" w:hAnsi="宋体"/>
                <w:sz w:val="20"/>
                <w:shd w:val="clear" w:color="auto" w:fill="FFFFFF"/>
              </w:rPr>
              <w:t>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113</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东安县人民检察院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39</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攸县人民检察院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114</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双牌县人民检察院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40</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茶陵县人民检察院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115</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道县人民检察院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41</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炎陵县人民检察院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116</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江永县人民检察院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42</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湘潭市人民检察院本级</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117</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江华瑶族自治县人民检察院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43</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湘潭市岳塘区人民检察院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118</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宁远县人民检察院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44</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湘潭市雨湖区人民检察院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119</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新田县人民检察院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45</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湘潭县人民检察院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120</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蓝山县人民检察院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46</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湘乡市人民检察院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121</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怀化市人民检察院本级</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47</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韶山市人民检察院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122</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怀化市鹤城区人民检察院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48</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邵阳市人民检察院本级</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123</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沅陵县人民检察院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49</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邵阳市双清区人民检察院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124</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辰溪县人民检察院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50</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邵阳市大祥区人民检察院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125</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溆浦县人民检察院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51</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邵阳市北塔区人民检察院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126</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芷江侗族自治县人民检察院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52</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邵东县人民检察院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127</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麻阳苗族自治县人民检察院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53</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新邵县人民检察院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128</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中方县人民检察院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54</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隆回县人民检察院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129</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洪江市人民检察院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55</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洞口县人民检察院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130</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怀化市洪江人民检察院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56</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绥宁县人民检察院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131</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新晃侗族自治县人民检察院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57</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城步苗族自治县人民检察院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132</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会同县人民检察院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58</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武冈市人民检察院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133</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靖州苗族侗族自治县人民检察院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59</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新宁县人民检察院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134</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通道侗族自治县人民检察院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60</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邵阳县人民检察院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135</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娄底市人民检察院本级</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61</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岳阳市人民检察院本级</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136</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娄底市娄星区人民检察院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62</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岳阳市岳阳楼区人民检察院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137</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冷水江市人民检察院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63</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岳阳市云溪区人民检察院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138</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涟源市人民检察院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64</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岳阳市君山区人民检察院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139</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双峰县人民检察院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65</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岳阳市屈原管理区人民检察院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140</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新化县人民检察院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66</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平江县人民检察院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141</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湘西自治州人民检察院本级</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67</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岳阳县人民检察院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142</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吉首市人民检察院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68</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华容县人民检察院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143</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泸溪县人民检察院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69</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湘阴县人民检察院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144</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凤凰县人民检察院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70</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临湘市人民检察院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145</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古丈县人民检察院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71</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汨罗市人民检察院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146</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花垣县人民检察院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72</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岳阳市荆剑地区人民检察院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147</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保靖县人民检察院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73</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常德市人民检察院本级</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148</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永顺县人民检察院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74</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常德市武陵区人民检察院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149</w:t>
            </w:r>
          </w:p>
        </w:tc>
        <w:tc>
          <w:tcPr>
            <w:tcW w:w="3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龙山县人民检察院</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sz w:val="24"/>
              </w:rPr>
            </w:pPr>
            <w:r>
              <w:rPr>
                <w:rFonts w:ascii="宋体" w:hAnsi="宋体"/>
                <w:sz w:val="24"/>
              </w:rPr>
              <w:t>75</w:t>
            </w:r>
          </w:p>
        </w:tc>
        <w:tc>
          <w:tcPr>
            <w:tcW w:w="32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常德市鼎城区人民检察院</w:t>
            </w:r>
          </w:p>
        </w:tc>
        <w:tc>
          <w:tcPr>
            <w:tcW w:w="8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sz w:val="24"/>
              </w:rPr>
            </w:pPr>
          </w:p>
        </w:tc>
        <w:tc>
          <w:tcPr>
            <w:tcW w:w="32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sz w:val="24"/>
              </w:rPr>
            </w:pPr>
          </w:p>
        </w:tc>
      </w:tr>
    </w:tbl>
    <w:p>
      <w:pPr>
        <w:widowControl/>
        <w:shd w:val="clear" w:color="auto" w:fill="FFFFFF"/>
        <w:wordWrap w:val="0"/>
        <w:spacing w:line="580" w:lineRule="exact"/>
        <w:ind w:firstLine="629"/>
        <w:jc w:val="left"/>
        <w:rPr>
          <w:rFonts w:ascii="宋体" w:hAnsi="宋体" w:cs="宋体"/>
          <w:color w:val="353535"/>
          <w:spacing w:val="8"/>
          <w:kern w:val="0"/>
          <w:sz w:val="32"/>
          <w:szCs w:val="32"/>
        </w:rPr>
      </w:pPr>
    </w:p>
    <w:p>
      <w:pPr>
        <w:widowControl/>
        <w:shd w:val="clear" w:color="auto" w:fill="FFFFFF"/>
        <w:wordWrap w:val="0"/>
        <w:spacing w:line="600" w:lineRule="atLeast"/>
        <w:ind w:firstLine="627"/>
        <w:jc w:val="left"/>
        <w:rPr>
          <w:rFonts w:ascii="仿宋_GB2312" w:hAnsi="宋体" w:eastAsia="仿宋_GB2312" w:cs="宋体"/>
          <w:color w:val="353535"/>
          <w:spacing w:val="8"/>
          <w:kern w:val="0"/>
          <w:sz w:val="32"/>
          <w:szCs w:val="32"/>
        </w:rPr>
      </w:pPr>
      <w:r>
        <w:rPr>
          <w:rFonts w:ascii="黑体" w:hAnsi="黑体" w:eastAsia="黑体"/>
          <w:color w:val="353535"/>
          <w:spacing w:val="8"/>
          <w:kern w:val="0"/>
          <w:sz w:val="32"/>
          <w:szCs w:val="32"/>
        </w:rPr>
        <w:t>三、部门收支总体情况</w:t>
      </w:r>
    </w:p>
    <w:p>
      <w:pPr>
        <w:widowControl/>
        <w:shd w:val="clear" w:color="auto" w:fill="FFFFFF"/>
        <w:wordWrap w:val="0"/>
        <w:spacing w:line="600" w:lineRule="atLeast"/>
        <w:ind w:firstLine="627"/>
        <w:jc w:val="left"/>
        <w:rPr>
          <w:rFonts w:ascii="宋体" w:hAnsi="宋体" w:cs="宋体"/>
          <w:color w:val="353535"/>
          <w:spacing w:val="8"/>
          <w:kern w:val="0"/>
          <w:sz w:val="32"/>
          <w:szCs w:val="32"/>
        </w:rPr>
      </w:pPr>
      <w:r>
        <w:rPr>
          <w:rFonts w:hint="eastAsia" w:ascii="楷体_GB2312" w:hAnsi="楷体" w:eastAsia="楷体_GB2312" w:cs="宋体"/>
          <w:bCs/>
          <w:color w:val="353535"/>
          <w:spacing w:val="8"/>
          <w:kern w:val="0"/>
          <w:sz w:val="32"/>
          <w:szCs w:val="32"/>
        </w:rPr>
        <w:t>（一）收入预算：</w:t>
      </w:r>
      <w:r>
        <w:rPr>
          <w:rFonts w:hint="eastAsia" w:ascii="仿宋_GB2312" w:hAnsi="宋体" w:eastAsia="仿宋_GB2312" w:cs="宋体"/>
          <w:color w:val="353535"/>
          <w:spacing w:val="8"/>
          <w:kern w:val="0"/>
          <w:sz w:val="32"/>
          <w:szCs w:val="32"/>
        </w:rPr>
        <w:t>包括一般公共预算、中央财政补助和上年结余结转资金。2022年本部门收入预算264120.82万元，其中，一般公共预算拨款195757.12万元，中央财政补助52982.94万元，上年结余结转15380.76万元，无政府性基金、国有资本经营预算拨款和纳入专户管理的非税收入。收入较去年增加314.62万元，主要是一般公共预算拨款增加14613.06万元，中央财政补助减少1200万元,上年结转结余减少13098.44万元。</w:t>
      </w:r>
    </w:p>
    <w:p>
      <w:pPr>
        <w:widowControl/>
        <w:shd w:val="clear" w:color="auto" w:fill="FFFFFF"/>
        <w:wordWrap w:val="0"/>
        <w:spacing w:line="600" w:lineRule="atLeast"/>
        <w:ind w:firstLine="627"/>
        <w:jc w:val="left"/>
        <w:rPr>
          <w:rFonts w:ascii="宋体" w:hAnsi="宋体" w:cs="宋体"/>
          <w:color w:val="353535"/>
          <w:spacing w:val="8"/>
          <w:kern w:val="0"/>
          <w:sz w:val="32"/>
          <w:szCs w:val="32"/>
        </w:rPr>
      </w:pPr>
      <w:r>
        <w:rPr>
          <w:rFonts w:hint="eastAsia" w:ascii="楷体_GB2312" w:hAnsi="楷体" w:eastAsia="楷体_GB2312" w:cs="宋体"/>
          <w:bCs/>
          <w:color w:val="353535"/>
          <w:spacing w:val="8"/>
          <w:kern w:val="0"/>
          <w:sz w:val="32"/>
          <w:szCs w:val="32"/>
        </w:rPr>
        <w:t>（二）支出预算：</w:t>
      </w:r>
      <w:r>
        <w:rPr>
          <w:rFonts w:hint="eastAsia" w:ascii="仿宋_GB2312" w:hAnsi="宋体" w:eastAsia="仿宋_GB2312" w:cs="宋体"/>
          <w:color w:val="353535"/>
          <w:spacing w:val="8"/>
          <w:kern w:val="0"/>
          <w:sz w:val="32"/>
          <w:szCs w:val="32"/>
        </w:rPr>
        <w:t>2022年本部门支出预算264120.82万元，其中，一般公共服务520.99万元，公共安全223861.63万元，教育支出1265.43万元，社会保障和就业支出12694.99万元，卫生健康支出9940.37万元，住房保障支出15837.41万元。支出较去年增加314.62万元，主要是一般公共服务支出增加520.99万元，公共安全支出减少8.36万元，教育支出减少82.07万元，社会保障和就业支出增加141.8万元，卫生健康支出减少916.98万元，住房保障支出增加659.24万元。</w:t>
      </w:r>
    </w:p>
    <w:p>
      <w:pPr>
        <w:widowControl/>
        <w:shd w:val="clear" w:color="auto" w:fill="FFFFFF"/>
        <w:adjustRightInd w:val="0"/>
        <w:snapToGrid w:val="0"/>
        <w:spacing w:line="580" w:lineRule="exact"/>
        <w:ind w:firstLine="672" w:firstLineChars="200"/>
        <w:jc w:val="left"/>
        <w:rPr>
          <w:rFonts w:ascii="宋体" w:hAnsi="宋体" w:cs="宋体"/>
          <w:color w:val="353535"/>
          <w:spacing w:val="8"/>
          <w:kern w:val="0"/>
          <w:sz w:val="32"/>
          <w:szCs w:val="32"/>
        </w:rPr>
      </w:pPr>
      <w:r>
        <w:rPr>
          <w:rFonts w:hint="eastAsia" w:ascii="黑体" w:hAnsi="黑体" w:eastAsia="黑体" w:cs="宋体"/>
          <w:color w:val="353535"/>
          <w:spacing w:val="8"/>
          <w:kern w:val="0"/>
          <w:sz w:val="32"/>
          <w:szCs w:val="32"/>
        </w:rPr>
        <w:t>四、</w:t>
      </w:r>
      <w:r>
        <w:rPr>
          <w:rFonts w:ascii="黑体" w:hAnsi="黑体" w:eastAsia="黑体"/>
          <w:color w:val="353535"/>
          <w:spacing w:val="8"/>
          <w:kern w:val="0"/>
          <w:sz w:val="32"/>
          <w:szCs w:val="32"/>
        </w:rPr>
        <w:t>一般公共预算拨款支出</w:t>
      </w:r>
    </w:p>
    <w:p>
      <w:pPr>
        <w:widowControl/>
        <w:shd w:val="clear" w:color="auto" w:fill="FFFFFF"/>
        <w:adjustRightInd w:val="0"/>
        <w:snapToGrid w:val="0"/>
        <w:spacing w:line="580" w:lineRule="exact"/>
        <w:ind w:firstLine="672" w:firstLineChars="200"/>
        <w:jc w:val="left"/>
        <w:rPr>
          <w:rFonts w:ascii="宋体" w:hAnsi="宋体" w:cs="宋体"/>
          <w:color w:val="353535"/>
          <w:spacing w:val="8"/>
          <w:kern w:val="0"/>
          <w:sz w:val="32"/>
          <w:szCs w:val="32"/>
        </w:rPr>
      </w:pPr>
      <w:r>
        <w:rPr>
          <w:rFonts w:hint="eastAsia" w:ascii="仿宋_GB2312" w:hAnsi="宋体" w:eastAsia="仿宋_GB2312" w:cs="宋体"/>
          <w:color w:val="353535"/>
          <w:spacing w:val="8"/>
          <w:kern w:val="0"/>
          <w:sz w:val="32"/>
          <w:szCs w:val="32"/>
        </w:rPr>
        <w:t>2022年一般公共预算拨款支出预算264120.82万元，其中，一般公共服务520.99万元，占0.2%；公共安全支出223861.63万元，占84.76%；教育支出1265.43万元，占0.48%；社会保障和就业支出12694.99万元，占4.81%；卫生健康支出9940.37万元，占3.76%；住房保障支出15837.41万元，占5.99%。具体安排情况如下：</w:t>
      </w:r>
    </w:p>
    <w:p>
      <w:pPr>
        <w:widowControl/>
        <w:shd w:val="clear" w:color="auto" w:fill="FFFFFF"/>
        <w:adjustRightInd w:val="0"/>
        <w:snapToGrid w:val="0"/>
        <w:spacing w:line="580" w:lineRule="exact"/>
        <w:ind w:firstLine="672" w:firstLineChars="200"/>
        <w:jc w:val="left"/>
        <w:rPr>
          <w:rFonts w:ascii="宋体" w:hAnsi="宋体" w:cs="宋体"/>
          <w:color w:val="353535"/>
          <w:spacing w:val="8"/>
          <w:kern w:val="0"/>
          <w:sz w:val="32"/>
          <w:szCs w:val="32"/>
        </w:rPr>
      </w:pPr>
      <w:r>
        <w:rPr>
          <w:rFonts w:hint="eastAsia" w:ascii="楷体_GB2312" w:hAnsi="楷体" w:eastAsia="楷体_GB2312" w:cs="宋体"/>
          <w:bCs/>
          <w:color w:val="353535"/>
          <w:spacing w:val="8"/>
          <w:kern w:val="0"/>
          <w:sz w:val="32"/>
          <w:szCs w:val="32"/>
        </w:rPr>
        <w:t>（一）基本支出：</w:t>
      </w:r>
      <w:r>
        <w:rPr>
          <w:rFonts w:hint="eastAsia" w:ascii="仿宋_GB2312" w:hAnsi="宋体" w:eastAsia="仿宋_GB2312" w:cs="宋体"/>
          <w:color w:val="353535"/>
          <w:spacing w:val="8"/>
          <w:kern w:val="0"/>
          <w:sz w:val="32"/>
          <w:szCs w:val="32"/>
        </w:rPr>
        <w:t>2022年本部门基本支出预算数234107.24万元，主要是为保障部门正常运转、完成日常工作任务而发生的各项支出，包括用于基本工资、津贴补贴等人员经费以及办公费、印刷费、水电费、办公设备购置等公用经费。</w:t>
      </w:r>
    </w:p>
    <w:p>
      <w:pPr>
        <w:widowControl/>
        <w:shd w:val="clear" w:color="auto" w:fill="FFFFFF"/>
        <w:adjustRightInd w:val="0"/>
        <w:snapToGrid w:val="0"/>
        <w:spacing w:line="580" w:lineRule="exact"/>
        <w:ind w:firstLine="672" w:firstLineChars="200"/>
        <w:jc w:val="left"/>
        <w:rPr>
          <w:rFonts w:ascii="宋体" w:hAnsi="宋体" w:cs="宋体"/>
          <w:color w:val="353535"/>
          <w:spacing w:val="8"/>
          <w:kern w:val="0"/>
          <w:sz w:val="32"/>
          <w:szCs w:val="32"/>
        </w:rPr>
      </w:pPr>
      <w:r>
        <w:rPr>
          <w:rFonts w:hint="eastAsia" w:ascii="楷体_GB2312" w:hAnsi="楷体" w:eastAsia="楷体_GB2312" w:cs="宋体"/>
          <w:bCs/>
          <w:color w:val="353535"/>
          <w:spacing w:val="8"/>
          <w:kern w:val="0"/>
          <w:sz w:val="32"/>
          <w:szCs w:val="32"/>
        </w:rPr>
        <w:t>（二）项目支出：</w:t>
      </w:r>
      <w:r>
        <w:rPr>
          <w:rFonts w:hint="eastAsia" w:ascii="仿宋_GB2312" w:hAnsi="宋体" w:eastAsia="仿宋_GB2312" w:cs="宋体"/>
          <w:color w:val="353535"/>
          <w:spacing w:val="8"/>
          <w:kern w:val="0"/>
          <w:sz w:val="32"/>
          <w:szCs w:val="32"/>
        </w:rPr>
        <w:t>2022年本部门项目支出预算30013.58万元，主要是部门为完成特定行政工作任务或事业发展目标而发生的支出，包括有关事业发展专项、专项业务费、基本建设支出等，其中：业务工作专项支出9617.27万元，主要用于法律监督办案、派出机构业务工作、人民监督员经费、扶贫与援疆援藏工作经费等方面；运行维护专项支出13981万元，主要用于办公设备的更新以及业务应用软件运行维护等方面，其他事业发展资金6415.31万元，主要用于办案、防疫及基建项目资金等方面。</w:t>
      </w:r>
    </w:p>
    <w:p>
      <w:pPr>
        <w:widowControl/>
        <w:shd w:val="clear" w:color="auto" w:fill="FFFFFF"/>
        <w:adjustRightInd w:val="0"/>
        <w:snapToGrid w:val="0"/>
        <w:spacing w:line="580" w:lineRule="exact"/>
        <w:ind w:firstLine="672" w:firstLineChars="200"/>
        <w:jc w:val="left"/>
        <w:rPr>
          <w:rFonts w:ascii="宋体" w:hAnsi="宋体" w:cs="宋体"/>
          <w:color w:val="353535"/>
          <w:spacing w:val="8"/>
          <w:kern w:val="0"/>
          <w:sz w:val="32"/>
          <w:szCs w:val="32"/>
        </w:rPr>
      </w:pPr>
      <w:r>
        <w:rPr>
          <w:rFonts w:hint="eastAsia" w:ascii="黑体" w:hAnsi="黑体" w:eastAsia="黑体" w:cs="宋体"/>
          <w:color w:val="353535"/>
          <w:spacing w:val="8"/>
          <w:kern w:val="0"/>
          <w:sz w:val="32"/>
          <w:szCs w:val="32"/>
        </w:rPr>
        <w:t>五、政府性基金预算支出</w:t>
      </w:r>
    </w:p>
    <w:p>
      <w:pPr>
        <w:widowControl/>
        <w:shd w:val="clear" w:color="auto" w:fill="FFFFFF"/>
        <w:adjustRightInd w:val="0"/>
        <w:snapToGrid w:val="0"/>
        <w:spacing w:line="580" w:lineRule="exact"/>
        <w:ind w:firstLine="672" w:firstLineChars="200"/>
        <w:jc w:val="left"/>
        <w:rPr>
          <w:rFonts w:ascii="宋体" w:hAnsi="宋体" w:cs="宋体"/>
          <w:color w:val="353535"/>
          <w:spacing w:val="8"/>
          <w:kern w:val="0"/>
          <w:sz w:val="32"/>
          <w:szCs w:val="32"/>
        </w:rPr>
      </w:pPr>
      <w:r>
        <w:rPr>
          <w:rFonts w:hint="eastAsia" w:ascii="仿宋_GB2312" w:hAnsi="宋体" w:eastAsia="仿宋_GB2312" w:cs="宋体"/>
          <w:color w:val="353535"/>
          <w:spacing w:val="8"/>
          <w:kern w:val="0"/>
          <w:sz w:val="32"/>
          <w:szCs w:val="32"/>
        </w:rPr>
        <w:t>2022年本部门无政府性基金安排的支出。</w:t>
      </w:r>
    </w:p>
    <w:p>
      <w:pPr>
        <w:widowControl/>
        <w:shd w:val="clear" w:color="auto" w:fill="FFFFFF"/>
        <w:adjustRightInd w:val="0"/>
        <w:snapToGrid w:val="0"/>
        <w:spacing w:line="580" w:lineRule="exact"/>
        <w:ind w:firstLine="672" w:firstLineChars="200"/>
        <w:jc w:val="left"/>
        <w:rPr>
          <w:rFonts w:ascii="宋体" w:hAnsi="宋体" w:cs="宋体"/>
          <w:color w:val="353535"/>
          <w:spacing w:val="8"/>
          <w:kern w:val="0"/>
          <w:sz w:val="32"/>
          <w:szCs w:val="32"/>
        </w:rPr>
      </w:pPr>
      <w:r>
        <w:rPr>
          <w:rFonts w:hint="eastAsia" w:ascii="黑体" w:hAnsi="黑体" w:eastAsia="黑体" w:cs="宋体"/>
          <w:color w:val="353535"/>
          <w:spacing w:val="8"/>
          <w:kern w:val="0"/>
          <w:sz w:val="32"/>
          <w:szCs w:val="32"/>
        </w:rPr>
        <w:t>六</w:t>
      </w:r>
      <w:r>
        <w:rPr>
          <w:rFonts w:ascii="黑体" w:hAnsi="黑体" w:eastAsia="黑体"/>
          <w:color w:val="353535"/>
          <w:spacing w:val="8"/>
          <w:kern w:val="0"/>
          <w:sz w:val="32"/>
          <w:szCs w:val="32"/>
        </w:rPr>
        <w:t>、其他重要事项的情况说明</w:t>
      </w:r>
    </w:p>
    <w:p>
      <w:pPr>
        <w:widowControl/>
        <w:shd w:val="clear" w:color="auto" w:fill="FFFFFF"/>
        <w:adjustRightInd w:val="0"/>
        <w:snapToGrid w:val="0"/>
        <w:spacing w:line="580" w:lineRule="exact"/>
        <w:ind w:firstLine="672" w:firstLineChars="200"/>
        <w:jc w:val="left"/>
        <w:rPr>
          <w:rFonts w:ascii="宋体" w:hAnsi="宋体" w:cs="宋体"/>
          <w:color w:val="353535"/>
          <w:spacing w:val="8"/>
          <w:kern w:val="0"/>
          <w:sz w:val="32"/>
          <w:szCs w:val="32"/>
        </w:rPr>
      </w:pPr>
      <w:r>
        <w:rPr>
          <w:rFonts w:hint="eastAsia" w:ascii="楷体_GB2312" w:hAnsi="楷体" w:eastAsia="楷体_GB2312" w:cs="宋体"/>
          <w:bCs/>
          <w:color w:val="353535"/>
          <w:spacing w:val="8"/>
          <w:kern w:val="0"/>
          <w:sz w:val="32"/>
          <w:szCs w:val="32"/>
        </w:rPr>
        <w:t>（一）机关运行经费：</w:t>
      </w:r>
      <w:r>
        <w:rPr>
          <w:rFonts w:hint="eastAsia" w:ascii="仿宋_GB2312" w:hAnsi="宋体" w:eastAsia="仿宋_GB2312" w:cs="宋体"/>
          <w:color w:val="353535"/>
          <w:spacing w:val="8"/>
          <w:kern w:val="0"/>
          <w:sz w:val="32"/>
          <w:szCs w:val="32"/>
        </w:rPr>
        <w:t>2022年本部门机关本级、国家检察官学院湖南分院、长沙铁路运输检察院、衡阳铁路运输检察院、怀化铁路运输检察院以及省以下检察机关等共149家行政事业单位的机关运行经费81487.9万元，比2021年增加6065.38万元，上升8.04%，主要是基本办案</w:t>
      </w:r>
      <w:r>
        <w:rPr>
          <w:rFonts w:hint="eastAsia" w:ascii="仿宋_GB2312" w:hAnsi="宋体" w:eastAsia="仿宋_GB2312" w:cs="宋体"/>
          <w:color w:val="353535"/>
          <w:spacing w:val="8"/>
          <w:kern w:val="0"/>
          <w:sz w:val="32"/>
          <w:szCs w:val="32"/>
          <w:lang w:eastAsia="zh-CN"/>
        </w:rPr>
        <w:t>业务</w:t>
      </w:r>
      <w:r>
        <w:rPr>
          <w:rFonts w:hint="eastAsia" w:ascii="仿宋_GB2312" w:hAnsi="宋体" w:eastAsia="仿宋_GB2312" w:cs="宋体"/>
          <w:color w:val="353535"/>
          <w:spacing w:val="8"/>
          <w:kern w:val="0"/>
          <w:sz w:val="32"/>
          <w:szCs w:val="32"/>
        </w:rPr>
        <w:t>经费预算增加。</w:t>
      </w:r>
      <w:bookmarkStart w:id="0" w:name="_GoBack"/>
      <w:bookmarkEnd w:id="0"/>
    </w:p>
    <w:p>
      <w:pPr>
        <w:widowControl/>
        <w:shd w:val="clear" w:color="auto" w:fill="FFFFFF"/>
        <w:adjustRightInd w:val="0"/>
        <w:snapToGrid w:val="0"/>
        <w:spacing w:line="580" w:lineRule="exact"/>
        <w:ind w:firstLine="672" w:firstLineChars="200"/>
        <w:jc w:val="left"/>
        <w:rPr>
          <w:rFonts w:ascii="宋体" w:hAnsi="宋体" w:cs="宋体"/>
          <w:color w:val="353535"/>
          <w:spacing w:val="8"/>
          <w:kern w:val="0"/>
          <w:sz w:val="32"/>
          <w:szCs w:val="32"/>
        </w:rPr>
      </w:pPr>
      <w:r>
        <w:rPr>
          <w:rFonts w:hint="eastAsia" w:ascii="楷体_GB2312" w:hAnsi="楷体" w:eastAsia="楷体_GB2312" w:cs="宋体"/>
          <w:bCs/>
          <w:color w:val="353535"/>
          <w:spacing w:val="8"/>
          <w:kern w:val="0"/>
          <w:sz w:val="32"/>
          <w:szCs w:val="32"/>
        </w:rPr>
        <w:t>（二）“三公”经费预算：</w:t>
      </w:r>
      <w:r>
        <w:rPr>
          <w:rFonts w:hint="eastAsia" w:ascii="仿宋_GB2312" w:hAnsi="宋体" w:eastAsia="仿宋_GB2312" w:cs="宋体"/>
          <w:color w:val="353535"/>
          <w:spacing w:val="8"/>
          <w:kern w:val="0"/>
          <w:sz w:val="32"/>
          <w:szCs w:val="32"/>
        </w:rPr>
        <w:t>2022年本部门机关本级、国家检察官学院湖南分院、长沙铁路运输检察院、衡阳铁路运输检察院、怀化铁路运输检察院以及省以下检察机关等共149家行政事业单位“三公”经费预算数为7055.16万元，其中，公务接待费1274.22万元，公务用车购置及运行费5780.94万元（其中，公务用车购置费2048.11万元，公务用车运行费3732.83万元），无因公出国（境）费。2022年“三公”经费预算较2021年减少86.1万元，减少的原因是按要求严格控制“三公”经费预算。</w:t>
      </w:r>
    </w:p>
    <w:p>
      <w:pPr>
        <w:widowControl/>
        <w:shd w:val="clear" w:color="auto" w:fill="FFFFFF"/>
        <w:adjustRightInd w:val="0"/>
        <w:snapToGrid w:val="0"/>
        <w:spacing w:line="580" w:lineRule="exact"/>
        <w:ind w:firstLine="672" w:firstLineChars="200"/>
        <w:jc w:val="left"/>
        <w:rPr>
          <w:rFonts w:ascii="宋体" w:hAnsi="宋体" w:cs="宋体"/>
          <w:color w:val="353535"/>
          <w:spacing w:val="8"/>
          <w:kern w:val="0"/>
          <w:sz w:val="32"/>
          <w:szCs w:val="32"/>
        </w:rPr>
      </w:pPr>
      <w:r>
        <w:rPr>
          <w:rFonts w:hint="eastAsia" w:ascii="楷体_GB2312" w:hAnsi="楷体" w:eastAsia="楷体_GB2312" w:cs="宋体"/>
          <w:bCs/>
          <w:color w:val="353535"/>
          <w:spacing w:val="8"/>
          <w:kern w:val="0"/>
          <w:sz w:val="32"/>
          <w:szCs w:val="32"/>
        </w:rPr>
        <w:t>（三）一般性支出情况：</w:t>
      </w:r>
      <w:r>
        <w:rPr>
          <w:rFonts w:hint="eastAsia" w:ascii="仿宋_GB2312" w:hAnsi="宋体" w:eastAsia="仿宋_GB2312" w:cs="宋体"/>
          <w:color w:val="353535"/>
          <w:spacing w:val="8"/>
          <w:kern w:val="0"/>
          <w:sz w:val="32"/>
          <w:szCs w:val="32"/>
        </w:rPr>
        <w:t>2022年本部门会议费预算183.4万元，拟召开全省检察长会议1次，人数150人，内容为全省年度检察工作总结及布置，预算9万元；其他会议92次，人数8205人，预算174.4万元，内容为全省各级检察机关组织的单位会议和部门会议。培训费预算1265.43万元，拟开展121次培训，人数8935人，内容为全省各级检察机关组织举办的业务及素能培训和参加上级单位组织的业务培训。其中：全省各级检察机关组织的业务培训109次，人数8328人，内容为刑事检察业务培训、职务犯罪检察业务培训、公益诉讼业务培训、司法警察业务培训、控告申诉业务培训、检察监督业务培训、案管业务培训、保密培训、新进人员入职培训、书记员培训、全省财物统管业务培训、政工业务培训等；检察官素能培训12次，人数607人。</w:t>
      </w:r>
    </w:p>
    <w:p>
      <w:pPr>
        <w:widowControl/>
        <w:shd w:val="clear" w:color="auto" w:fill="FFFFFF"/>
        <w:adjustRightInd w:val="0"/>
        <w:snapToGrid w:val="0"/>
        <w:spacing w:line="580" w:lineRule="exact"/>
        <w:ind w:firstLine="672" w:firstLineChars="200"/>
        <w:jc w:val="left"/>
        <w:rPr>
          <w:rFonts w:ascii="宋体" w:hAnsi="宋体" w:cs="宋体"/>
          <w:color w:val="353535"/>
          <w:spacing w:val="8"/>
          <w:kern w:val="0"/>
          <w:sz w:val="32"/>
          <w:szCs w:val="32"/>
        </w:rPr>
      </w:pPr>
      <w:r>
        <w:rPr>
          <w:rFonts w:hint="eastAsia" w:ascii="楷体_GB2312" w:hAnsi="楷体" w:eastAsia="楷体_GB2312" w:cs="宋体"/>
          <w:bCs/>
          <w:color w:val="353535"/>
          <w:spacing w:val="8"/>
          <w:kern w:val="0"/>
          <w:sz w:val="32"/>
          <w:szCs w:val="32"/>
        </w:rPr>
        <w:t>（四）政府采购情况：</w:t>
      </w:r>
      <w:r>
        <w:rPr>
          <w:rFonts w:hint="eastAsia" w:ascii="仿宋_GB2312" w:hAnsi="宋体" w:eastAsia="仿宋_GB2312" w:cs="宋体"/>
          <w:color w:val="353535"/>
          <w:spacing w:val="8"/>
          <w:kern w:val="0"/>
          <w:sz w:val="32"/>
          <w:szCs w:val="32"/>
        </w:rPr>
        <w:t>2022年本部门政府采购预算总额1856.52万元，其中，政府采购货物预算737.09万元；政府采购服务预算1119.43万元；工程采购预算0万元。</w:t>
      </w:r>
    </w:p>
    <w:p>
      <w:pPr>
        <w:widowControl/>
        <w:shd w:val="clear" w:color="auto" w:fill="FFFFFF"/>
        <w:adjustRightInd w:val="0"/>
        <w:snapToGrid w:val="0"/>
        <w:spacing w:line="580" w:lineRule="exact"/>
        <w:ind w:firstLine="672" w:firstLineChars="200"/>
        <w:jc w:val="left"/>
        <w:rPr>
          <w:rFonts w:ascii="宋体" w:hAnsi="宋体" w:cs="宋体"/>
          <w:color w:val="353535"/>
          <w:spacing w:val="8"/>
          <w:kern w:val="0"/>
          <w:sz w:val="32"/>
          <w:szCs w:val="32"/>
        </w:rPr>
      </w:pPr>
      <w:r>
        <w:rPr>
          <w:rFonts w:hint="eastAsia" w:ascii="楷体_GB2312" w:hAnsi="楷体" w:eastAsia="楷体_GB2312" w:cs="宋体"/>
          <w:bCs/>
          <w:color w:val="353535"/>
          <w:spacing w:val="8"/>
          <w:kern w:val="0"/>
          <w:sz w:val="32"/>
          <w:szCs w:val="32"/>
        </w:rPr>
        <w:t>（五）国有资产占用使用及新增资产配置情况：</w:t>
      </w:r>
      <w:r>
        <w:rPr>
          <w:rFonts w:hint="eastAsia" w:ascii="仿宋_GB2312" w:hAnsi="宋体" w:eastAsia="仿宋_GB2312" w:cs="宋体"/>
          <w:color w:val="353535"/>
          <w:spacing w:val="8"/>
          <w:kern w:val="0"/>
          <w:sz w:val="32"/>
          <w:szCs w:val="32"/>
          <w:shd w:val="clear" w:color="auto" w:fill="FFFFFF"/>
        </w:rPr>
        <w:t>截至2021年12月31日，本部门共有车辆1015台，其中，机要通信用车28辆，应急保障用车16辆，执法执勤用车858辆，特种专业技术用车96辆，其他按照规定配备的公务用车17辆；单位价值50万元以上通用设备44台，单位价值100万元以上专用设备7台。2022年拟新增配置公务用车97辆，其中机要通信用车3辆，应急保障用车1辆，执法执勤用车82辆，特种专业技术用车11辆。</w:t>
      </w:r>
    </w:p>
    <w:p>
      <w:pPr>
        <w:widowControl/>
        <w:shd w:val="clear" w:color="auto" w:fill="FFFFFF"/>
        <w:adjustRightInd w:val="0"/>
        <w:snapToGrid w:val="0"/>
        <w:spacing w:line="580" w:lineRule="exact"/>
        <w:ind w:firstLine="672" w:firstLineChars="200"/>
        <w:jc w:val="left"/>
        <w:rPr>
          <w:rFonts w:ascii="宋体" w:hAnsi="宋体" w:cs="宋体"/>
          <w:color w:val="353535"/>
          <w:spacing w:val="8"/>
          <w:kern w:val="0"/>
          <w:sz w:val="32"/>
          <w:szCs w:val="32"/>
        </w:rPr>
      </w:pPr>
      <w:r>
        <w:rPr>
          <w:rFonts w:hint="eastAsia" w:ascii="楷体_GB2312" w:hAnsi="楷体" w:eastAsia="楷体_GB2312" w:cs="宋体"/>
          <w:bCs/>
          <w:color w:val="353535"/>
          <w:spacing w:val="8"/>
          <w:kern w:val="0"/>
          <w:sz w:val="32"/>
          <w:szCs w:val="32"/>
        </w:rPr>
        <w:t>（六）预算绩效目标说明：</w:t>
      </w:r>
      <w:r>
        <w:rPr>
          <w:rFonts w:hint="eastAsia" w:ascii="仿宋_GB2312" w:hAnsi="宋体" w:eastAsia="仿宋_GB2312" w:cs="宋体"/>
          <w:color w:val="353535"/>
          <w:spacing w:val="8"/>
          <w:kern w:val="0"/>
          <w:sz w:val="32"/>
          <w:szCs w:val="32"/>
        </w:rPr>
        <w:t>本部门所有支出实行绩效目标管理。纳入2022年部门整体支出绩效目标的金额为</w:t>
      </w:r>
      <w:r>
        <w:rPr>
          <w:rFonts w:hint="eastAsia" w:ascii="仿宋_GB2312" w:hAnsi="宋体" w:eastAsia="仿宋_GB2312" w:cs="宋体"/>
          <w:color w:val="000000"/>
          <w:spacing w:val="8"/>
          <w:kern w:val="0"/>
          <w:sz w:val="32"/>
          <w:szCs w:val="32"/>
        </w:rPr>
        <w:t>264120.82</w:t>
      </w:r>
      <w:r>
        <w:rPr>
          <w:rFonts w:hint="eastAsia" w:ascii="仿宋_GB2312" w:hAnsi="宋体" w:eastAsia="仿宋_GB2312" w:cs="宋体"/>
          <w:color w:val="353535"/>
          <w:spacing w:val="8"/>
          <w:kern w:val="0"/>
          <w:sz w:val="32"/>
          <w:szCs w:val="32"/>
        </w:rPr>
        <w:t>万元，其中，基本支出</w:t>
      </w:r>
      <w:r>
        <w:rPr>
          <w:rFonts w:hint="eastAsia" w:ascii="仿宋_GB2312" w:hAnsi="宋体" w:eastAsia="仿宋_GB2312" w:cs="宋体"/>
          <w:color w:val="000000"/>
          <w:spacing w:val="8"/>
          <w:kern w:val="0"/>
          <w:sz w:val="32"/>
          <w:szCs w:val="32"/>
        </w:rPr>
        <w:t>234107.24</w:t>
      </w:r>
      <w:r>
        <w:rPr>
          <w:rFonts w:hint="eastAsia" w:ascii="仿宋_GB2312" w:hAnsi="宋体" w:eastAsia="仿宋_GB2312" w:cs="宋体"/>
          <w:color w:val="353535"/>
          <w:spacing w:val="8"/>
          <w:kern w:val="0"/>
          <w:sz w:val="32"/>
          <w:szCs w:val="32"/>
        </w:rPr>
        <w:t>万元，项目支出</w:t>
      </w:r>
      <w:r>
        <w:rPr>
          <w:rFonts w:hint="eastAsia" w:ascii="仿宋_GB2312" w:hAnsi="宋体" w:eastAsia="仿宋_GB2312" w:cs="宋体"/>
          <w:color w:val="000000"/>
          <w:spacing w:val="8"/>
          <w:kern w:val="0"/>
          <w:sz w:val="32"/>
          <w:szCs w:val="32"/>
        </w:rPr>
        <w:t>30013.58</w:t>
      </w:r>
      <w:r>
        <w:rPr>
          <w:rFonts w:hint="eastAsia" w:ascii="仿宋_GB2312" w:hAnsi="宋体" w:eastAsia="仿宋_GB2312" w:cs="宋体"/>
          <w:color w:val="353535"/>
          <w:spacing w:val="8"/>
          <w:kern w:val="0"/>
          <w:sz w:val="32"/>
          <w:szCs w:val="32"/>
        </w:rPr>
        <w:t>万元，具体绩效目标详见报表。</w:t>
      </w:r>
    </w:p>
    <w:p>
      <w:pPr>
        <w:widowControl/>
        <w:shd w:val="clear" w:color="auto" w:fill="FFFFFF"/>
        <w:adjustRightInd w:val="0"/>
        <w:snapToGrid w:val="0"/>
        <w:spacing w:line="580" w:lineRule="exact"/>
        <w:ind w:firstLine="672" w:firstLineChars="200"/>
        <w:jc w:val="left"/>
        <w:rPr>
          <w:rFonts w:ascii="宋体" w:hAnsi="宋体" w:cs="宋体"/>
          <w:color w:val="353535"/>
          <w:spacing w:val="8"/>
          <w:kern w:val="0"/>
          <w:sz w:val="32"/>
          <w:szCs w:val="32"/>
        </w:rPr>
      </w:pPr>
      <w:r>
        <w:rPr>
          <w:rFonts w:hint="eastAsia" w:ascii="楷体_GB2312" w:hAnsi="楷体" w:eastAsia="楷体_GB2312" w:cs="宋体"/>
          <w:bCs/>
          <w:color w:val="353535"/>
          <w:spacing w:val="8"/>
          <w:kern w:val="0"/>
          <w:sz w:val="32"/>
          <w:szCs w:val="32"/>
        </w:rPr>
        <w:t>（七）其他问题说明：</w:t>
      </w:r>
      <w:r>
        <w:rPr>
          <w:rFonts w:hint="eastAsia" w:ascii="仿宋_GB2312" w:hAnsi="宋体" w:eastAsia="仿宋_GB2312" w:cs="宋体"/>
          <w:color w:val="353535"/>
          <w:spacing w:val="8"/>
          <w:kern w:val="0"/>
          <w:sz w:val="32"/>
          <w:szCs w:val="32"/>
        </w:rPr>
        <w:t>2022年湖南省人民检察院无政府性基金预算支出、国有资本经营预算支出、财政专户管理资金预算支出和省级专项资金预算，所以表15、16、17、18、19、20、21无数据。</w:t>
      </w:r>
    </w:p>
    <w:p>
      <w:pPr>
        <w:widowControl/>
        <w:shd w:val="clear" w:color="auto" w:fill="FFFFFF"/>
        <w:adjustRightInd w:val="0"/>
        <w:snapToGrid w:val="0"/>
        <w:spacing w:line="580" w:lineRule="exact"/>
        <w:ind w:firstLine="672" w:firstLineChars="200"/>
        <w:jc w:val="left"/>
        <w:rPr>
          <w:rFonts w:ascii="宋体" w:hAnsi="宋体" w:cs="宋体"/>
          <w:color w:val="353535"/>
          <w:spacing w:val="8"/>
          <w:kern w:val="0"/>
          <w:sz w:val="32"/>
          <w:szCs w:val="32"/>
        </w:rPr>
      </w:pPr>
      <w:r>
        <w:rPr>
          <w:rFonts w:hint="eastAsia" w:ascii="黑体" w:hAnsi="黑体" w:eastAsia="黑体" w:cs="宋体"/>
          <w:color w:val="353535"/>
          <w:spacing w:val="8"/>
          <w:kern w:val="0"/>
          <w:sz w:val="32"/>
          <w:szCs w:val="32"/>
        </w:rPr>
        <w:t>七、</w:t>
      </w:r>
      <w:r>
        <w:rPr>
          <w:rFonts w:ascii="黑体" w:hAnsi="黑体" w:eastAsia="黑体"/>
          <w:color w:val="353535"/>
          <w:spacing w:val="8"/>
          <w:kern w:val="0"/>
          <w:sz w:val="32"/>
          <w:szCs w:val="32"/>
        </w:rPr>
        <w:t>名词解释</w:t>
      </w:r>
    </w:p>
    <w:p>
      <w:pPr>
        <w:widowControl/>
        <w:shd w:val="clear" w:color="auto" w:fill="FFFFFF"/>
        <w:adjustRightInd w:val="0"/>
        <w:snapToGrid w:val="0"/>
        <w:spacing w:line="580" w:lineRule="exact"/>
        <w:ind w:firstLine="672" w:firstLineChars="200"/>
        <w:jc w:val="left"/>
        <w:rPr>
          <w:rFonts w:ascii="宋体" w:hAnsi="宋体" w:cs="宋体"/>
          <w:color w:val="353535"/>
          <w:spacing w:val="8"/>
          <w:kern w:val="0"/>
          <w:sz w:val="32"/>
          <w:szCs w:val="32"/>
        </w:rPr>
      </w:pPr>
      <w:r>
        <w:rPr>
          <w:rFonts w:hint="eastAsia" w:ascii="楷体_GB2312" w:hAnsi="宋体" w:eastAsia="楷体_GB2312" w:cs="宋体"/>
          <w:color w:val="353535"/>
          <w:spacing w:val="8"/>
          <w:kern w:val="0"/>
          <w:sz w:val="32"/>
          <w:szCs w:val="32"/>
        </w:rPr>
        <w:t>（一）机关运行经费：</w:t>
      </w:r>
      <w:r>
        <w:rPr>
          <w:rFonts w:hint="eastAsia" w:ascii="仿宋_GB2312" w:hAnsi="宋体" w:eastAsia="仿宋_GB2312" w:cs="宋体"/>
          <w:color w:val="353535"/>
          <w:spacing w:val="8"/>
          <w:kern w:val="0"/>
          <w:sz w:val="32"/>
          <w:szCs w:val="32"/>
        </w:rPr>
        <w:t>是指各部门的公用经费，包括办公及印刷费、邮电费、差旅费、会议费、福利费、日常维修费、专用资料及一般设备购置费、办公用房水电费、办公用房取暖费、办公用房物业管理费、公务用车运行维护费以及其他费用。</w:t>
      </w:r>
    </w:p>
    <w:p>
      <w:pPr>
        <w:widowControl/>
        <w:shd w:val="clear" w:color="auto" w:fill="FFFFFF"/>
        <w:adjustRightInd w:val="0"/>
        <w:snapToGrid w:val="0"/>
        <w:spacing w:line="580" w:lineRule="exact"/>
        <w:ind w:firstLine="672" w:firstLineChars="200"/>
        <w:jc w:val="left"/>
        <w:rPr>
          <w:sz w:val="32"/>
          <w:szCs w:val="32"/>
        </w:rPr>
      </w:pPr>
      <w:r>
        <w:rPr>
          <w:rFonts w:hint="eastAsia" w:ascii="楷体_GB2312" w:hAnsi="宋体" w:eastAsia="楷体_GB2312" w:cs="宋体"/>
          <w:color w:val="353535"/>
          <w:spacing w:val="8"/>
          <w:kern w:val="0"/>
          <w:sz w:val="32"/>
          <w:szCs w:val="32"/>
        </w:rPr>
        <w:t>（二）“三公”经费：</w:t>
      </w:r>
      <w:r>
        <w:rPr>
          <w:rFonts w:hint="eastAsia" w:ascii="仿宋_GB2312" w:hAnsi="宋体" w:eastAsia="仿宋_GB2312" w:cs="宋体"/>
          <w:color w:val="353535"/>
          <w:spacing w:val="8"/>
          <w:kern w:val="0"/>
          <w:sz w:val="32"/>
          <w:szCs w:val="32"/>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支出。</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Arial">
    <w:altName w:val="Times New Roman"/>
    <w:panose1 w:val="020B0604020202020204"/>
    <w:charset w:val="00"/>
    <w:family w:val="swiss"/>
    <w:pitch w:val="default"/>
    <w:sig w:usb0="00000000" w:usb1="00000000" w:usb2="00000008" w:usb3="00000000" w:csb0="0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429563"/>
      <w:docPartObj>
        <w:docPartGallery w:val="AutoText"/>
      </w:docPartObj>
    </w:sdtPr>
    <w:sdtContent>
      <w:p>
        <w:pPr>
          <w:pStyle w:val="3"/>
          <w:jc w:val="right"/>
        </w:pPr>
        <w:r>
          <w:fldChar w:fldCharType="begin"/>
        </w:r>
        <w:r>
          <w:instrText xml:space="preserve"> PAGE   \* MERGEFORMAT </w:instrText>
        </w:r>
        <w:r>
          <w:fldChar w:fldCharType="separate"/>
        </w:r>
        <w:r>
          <w:rPr>
            <w:lang w:val="zh-CN"/>
          </w:rPr>
          <w:t>3</w:t>
        </w:r>
        <w:r>
          <w:rPr>
            <w:lang w:val="zh-CN"/>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429564"/>
      <w:docPartObj>
        <w:docPartGallery w:val="AutoText"/>
      </w:docPartObj>
    </w:sdtPr>
    <w:sdtContent>
      <w:p>
        <w:pPr>
          <w:pStyle w:val="3"/>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C7754"/>
    <w:rsid w:val="000051A8"/>
    <w:rsid w:val="00021C4D"/>
    <w:rsid w:val="00077BC7"/>
    <w:rsid w:val="0009111E"/>
    <w:rsid w:val="000A53AF"/>
    <w:rsid w:val="000D32D1"/>
    <w:rsid w:val="000E2CDE"/>
    <w:rsid w:val="00171F38"/>
    <w:rsid w:val="00181DCE"/>
    <w:rsid w:val="001824EE"/>
    <w:rsid w:val="001A4F4A"/>
    <w:rsid w:val="001E218B"/>
    <w:rsid w:val="001E32DF"/>
    <w:rsid w:val="00241838"/>
    <w:rsid w:val="00265841"/>
    <w:rsid w:val="002B36CD"/>
    <w:rsid w:val="002D78B8"/>
    <w:rsid w:val="002E2CBE"/>
    <w:rsid w:val="003079D9"/>
    <w:rsid w:val="00332A44"/>
    <w:rsid w:val="00351143"/>
    <w:rsid w:val="00406129"/>
    <w:rsid w:val="00417299"/>
    <w:rsid w:val="00441D65"/>
    <w:rsid w:val="004B5D86"/>
    <w:rsid w:val="004E47D4"/>
    <w:rsid w:val="00507FBE"/>
    <w:rsid w:val="005552BE"/>
    <w:rsid w:val="005D41C4"/>
    <w:rsid w:val="00671AF3"/>
    <w:rsid w:val="006C2027"/>
    <w:rsid w:val="006D7506"/>
    <w:rsid w:val="007336DE"/>
    <w:rsid w:val="00734AFC"/>
    <w:rsid w:val="00760F63"/>
    <w:rsid w:val="00777833"/>
    <w:rsid w:val="00782FAC"/>
    <w:rsid w:val="00791DFA"/>
    <w:rsid w:val="007B2655"/>
    <w:rsid w:val="007E5848"/>
    <w:rsid w:val="00804635"/>
    <w:rsid w:val="0080551F"/>
    <w:rsid w:val="00805DC8"/>
    <w:rsid w:val="00814B3D"/>
    <w:rsid w:val="0082373B"/>
    <w:rsid w:val="00862C92"/>
    <w:rsid w:val="008645A8"/>
    <w:rsid w:val="008671BA"/>
    <w:rsid w:val="008769C4"/>
    <w:rsid w:val="008828B1"/>
    <w:rsid w:val="008B37E2"/>
    <w:rsid w:val="008C2F89"/>
    <w:rsid w:val="008E3969"/>
    <w:rsid w:val="00971723"/>
    <w:rsid w:val="00996C0A"/>
    <w:rsid w:val="00A53B88"/>
    <w:rsid w:val="00A721E4"/>
    <w:rsid w:val="00AC5ACD"/>
    <w:rsid w:val="00B20B4F"/>
    <w:rsid w:val="00B24793"/>
    <w:rsid w:val="00B9506C"/>
    <w:rsid w:val="00BD47BC"/>
    <w:rsid w:val="00BF277C"/>
    <w:rsid w:val="00C061D9"/>
    <w:rsid w:val="00C065EC"/>
    <w:rsid w:val="00C1794D"/>
    <w:rsid w:val="00C40609"/>
    <w:rsid w:val="00C43443"/>
    <w:rsid w:val="00C91E13"/>
    <w:rsid w:val="00C92367"/>
    <w:rsid w:val="00CB6B69"/>
    <w:rsid w:val="00D5746D"/>
    <w:rsid w:val="00D647DE"/>
    <w:rsid w:val="00DB6365"/>
    <w:rsid w:val="00DC22E7"/>
    <w:rsid w:val="00E04935"/>
    <w:rsid w:val="00E40EDB"/>
    <w:rsid w:val="00E65DB6"/>
    <w:rsid w:val="00ED04F1"/>
    <w:rsid w:val="00EE6D79"/>
    <w:rsid w:val="00F4191C"/>
    <w:rsid w:val="00F46397"/>
    <w:rsid w:val="00F52F96"/>
    <w:rsid w:val="00F55343"/>
    <w:rsid w:val="00F856D7"/>
    <w:rsid w:val="00FB13B4"/>
    <w:rsid w:val="00FC7754"/>
    <w:rsid w:val="00FF1568"/>
    <w:rsid w:val="44FF5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kern w:val="2"/>
      <w:sz w:val="18"/>
      <w:szCs w:val="18"/>
    </w:rPr>
  </w:style>
  <w:style w:type="character" w:customStyle="1" w:styleId="8">
    <w:name w:val="页脚 Char"/>
    <w:basedOn w:val="6"/>
    <w:link w:val="3"/>
    <w:uiPriority w:val="99"/>
    <w:rPr>
      <w:kern w:val="2"/>
      <w:sz w:val="18"/>
      <w:szCs w:val="18"/>
    </w:rPr>
  </w:style>
  <w:style w:type="character" w:customStyle="1" w:styleId="9">
    <w:name w:val="标题 2 Char"/>
    <w:basedOn w:val="6"/>
    <w:link w:val="2"/>
    <w:uiPriority w:val="9"/>
    <w:rPr>
      <w:rFonts w:ascii="宋体" w:hAnsi="宋体" w:cs="宋体"/>
      <w:b/>
      <w:bCs/>
      <w:sz w:val="36"/>
      <w:szCs w:val="36"/>
    </w:rPr>
  </w:style>
  <w:style w:type="character" w:customStyle="1" w:styleId="10">
    <w:name w:val="edit"/>
    <w:basedOn w:val="6"/>
    <w:uiPriority w:val="0"/>
  </w:style>
  <w:style w:type="character" w:customStyle="1" w:styleId="11">
    <w:name w:val="zh01"/>
    <w:basedOn w:val="6"/>
    <w:uiPriority w:val="0"/>
  </w:style>
  <w:style w:type="character" w:customStyle="1" w:styleId="12">
    <w:name w:val="zh02"/>
    <w:basedOn w:val="6"/>
    <w:uiPriority w:val="0"/>
  </w:style>
  <w:style w:type="character" w:customStyle="1" w:styleId="13">
    <w:name w:val="zh03"/>
    <w:basedOn w:val="6"/>
    <w:qFormat/>
    <w:uiPriority w:val="0"/>
  </w:style>
  <w:style w:type="paragraph" w:customStyle="1" w:styleId="14">
    <w:name w:val="16"/>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5429</Words>
  <Characters>6128</Characters>
  <Lines>48</Lines>
  <Paragraphs>13</Paragraphs>
  <TotalTime>140</TotalTime>
  <ScaleCrop>false</ScaleCrop>
  <LinksUpToDate>false</LinksUpToDate>
  <CharactersWithSpaces>6437</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2022-02-17T09:29:00Z</dcterms:created>
  <dc:creator>cwk</dc:creator>
  <cp:lastModifiedBy>greatwall</cp:lastModifiedBy>
  <cp:lastPrinted>2022-02-16T08:53:00Z</cp:lastPrinted>
  <dcterms:modified xsi:type="dcterms:W3CDTF">2022-02-17T14:46:49Z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