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89B83"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eastAsia="zh-CN"/>
        </w:rPr>
        <w:t>年</w:t>
      </w:r>
      <w:r>
        <w:rPr>
          <w:rFonts w:hint="eastAsia" w:eastAsia="方正小标宋_GBK" w:cs="Times New Roman"/>
          <w:bCs/>
          <w:kern w:val="0"/>
          <w:sz w:val="44"/>
          <w:szCs w:val="44"/>
          <w:lang w:eastAsia="zh-CN"/>
        </w:rPr>
        <w:t>安仁县人民检察院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  <w:t>预算</w:t>
      </w:r>
    </w:p>
    <w:p w14:paraId="7045C416"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</w:rPr>
      </w:pPr>
    </w:p>
    <w:p w14:paraId="79C469E0"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</w:rPr>
      </w:pPr>
    </w:p>
    <w:p w14:paraId="14E1B0B0"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目录</w:t>
      </w:r>
    </w:p>
    <w:p w14:paraId="5C361DA3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</w:p>
    <w:p w14:paraId="426486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第一部分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单位预算说明</w:t>
      </w:r>
    </w:p>
    <w:p w14:paraId="630EA2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第二部分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单位预算表</w:t>
      </w:r>
    </w:p>
    <w:p w14:paraId="7A4CC8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1、收支总表</w:t>
      </w:r>
    </w:p>
    <w:p w14:paraId="57FA22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2、收入总表</w:t>
      </w:r>
    </w:p>
    <w:p w14:paraId="365E9A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3、支出总表</w:t>
      </w:r>
    </w:p>
    <w:p w14:paraId="77093E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4、支出预算分类汇总表（按政府预算经济分类）</w:t>
      </w:r>
    </w:p>
    <w:p w14:paraId="6D31ED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5、支出预算分类汇总表（按部门预算经济分类）</w:t>
      </w:r>
    </w:p>
    <w:p w14:paraId="70443F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6、财政拨款收支总表</w:t>
      </w:r>
    </w:p>
    <w:p w14:paraId="3A22A2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7、一般公共预算支出表</w:t>
      </w:r>
    </w:p>
    <w:p w14:paraId="37B86B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8、一般公共预算基本支出表-人员经费（工资福利支出）（按政府预算经济分类）</w:t>
      </w:r>
    </w:p>
    <w:p w14:paraId="0153F4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9、一般公共预算基本支出表-人员经费（工资福利支出）（按部门预算经济分类）</w:t>
      </w:r>
    </w:p>
    <w:p w14:paraId="34C909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10、一般公共预算基本支出表-人员经费（对个人和家庭的补助）（按政府预算经济分类）</w:t>
      </w:r>
    </w:p>
    <w:p w14:paraId="5B9F92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11、一般公共预算基本支出表-人员经费（对个人和家庭的补助）（按部门预算经济分类）</w:t>
      </w:r>
    </w:p>
    <w:p w14:paraId="0AFBE2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12、一般公共预算基本支出表-公用经费（商品和服务支出）（按政府预算经济分类）</w:t>
      </w:r>
    </w:p>
    <w:p w14:paraId="46F3B0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13、一般公共预算基本支出表-公用经费（商品和服务支出）（按部门预算经济分类）</w:t>
      </w:r>
    </w:p>
    <w:p w14:paraId="0138F3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14、一般公共预算“三公”经费支出表</w:t>
      </w:r>
    </w:p>
    <w:p w14:paraId="17DF99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15、政府性基金预算支出表</w:t>
      </w:r>
    </w:p>
    <w:p w14:paraId="45FD2F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2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16、政府性基金预算支出分类汇总表（按政府预算经济分类）</w:t>
      </w:r>
    </w:p>
    <w:p w14:paraId="5EE05D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2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17、政府性基金预算支出分类汇总表（按部门预算经济分类）</w:t>
      </w:r>
    </w:p>
    <w:p w14:paraId="6BA5DD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18、国有资本经营预算支出表</w:t>
      </w:r>
    </w:p>
    <w:p w14:paraId="1C0C42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19、财政专户管理资金预算支出表</w:t>
      </w:r>
    </w:p>
    <w:p w14:paraId="761D33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20、省级专项资金预算汇总表</w:t>
      </w:r>
    </w:p>
    <w:p w14:paraId="3C0B39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21、省级专项资金绩效目标表</w:t>
      </w:r>
    </w:p>
    <w:p w14:paraId="051E8A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22、其他项目支出绩效目标表</w:t>
      </w:r>
    </w:p>
    <w:p w14:paraId="63AAF4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23、部门整体支出绩效目标表</w:t>
      </w:r>
    </w:p>
    <w:p w14:paraId="5E6981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b/>
          <w:bCs w:val="0"/>
          <w:kern w:val="0"/>
          <w:sz w:val="32"/>
          <w:szCs w:val="32"/>
          <w:lang w:val="en-US" w:eastAsia="zh-CN"/>
        </w:rPr>
      </w:pPr>
    </w:p>
    <w:p w14:paraId="31BBCE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仿宋_GB2312" w:cs="Times New Roman"/>
          <w:b/>
          <w:bCs w:val="0"/>
          <w:kern w:val="0"/>
          <w:sz w:val="32"/>
          <w:szCs w:val="32"/>
          <w:lang w:val="en-US" w:eastAsia="zh-CN"/>
        </w:rPr>
        <w:sectPr>
          <w:footerReference r:id="rId3" w:type="even"/>
          <w:pgSz w:w="11907" w:h="16840"/>
          <w:pgMar w:top="1134" w:right="1797" w:bottom="1304" w:left="1797" w:header="851" w:footer="992" w:gutter="0"/>
          <w:cols w:space="720" w:num="1"/>
          <w:docGrid w:type="linesAndChars" w:linePitch="495" w:charSpace="-594"/>
        </w:sectPr>
      </w:pPr>
      <w:r>
        <w:rPr>
          <w:rFonts w:hint="eastAsia" w:eastAsia="仿宋_GB2312" w:cs="Times New Roman"/>
          <w:b/>
          <w:bCs w:val="0"/>
          <w:kern w:val="0"/>
          <w:sz w:val="32"/>
          <w:szCs w:val="32"/>
          <w:lang w:val="en-US" w:eastAsia="zh-CN"/>
        </w:rPr>
        <w:t>注：以上单位预算报表中，空表表示本单位无相关收支情况。</w:t>
      </w:r>
    </w:p>
    <w:p w14:paraId="55A446A1"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第一部分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val="en-US" w:eastAsia="zh-CN"/>
        </w:rPr>
        <w:t>6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年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单位预算说明</w:t>
      </w:r>
    </w:p>
    <w:p w14:paraId="4D9AD899"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</w:p>
    <w:p w14:paraId="529E7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一、单位基本概况</w:t>
      </w:r>
    </w:p>
    <w:p w14:paraId="7FE70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（一）职能职责。</w:t>
      </w:r>
    </w:p>
    <w:p w14:paraId="44CC2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安仁县人民检察院是国家的法律监督机关，接受上级人民检察院的领导，对县人民代表大会及其常务委员会负责并报告工作。其主要职责是：</w:t>
      </w:r>
    </w:p>
    <w:p w14:paraId="1E302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1.深入贯彻习近平新时代中国特色社会主义思想，深入</w:t>
      </w:r>
    </w:p>
    <w:p w14:paraId="5C6B6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贯彻党的路线方针政策和决策部署，坚持党对检察工作的绝对领导，坚决维护习近平总书记的核心地位，坚决维护党中央权威和集中统一领导。</w:t>
      </w:r>
    </w:p>
    <w:p w14:paraId="1A3B3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2.贯彻落实上级人民检察院的各项工作部署，研究制定检察工作规划，部署检察工作任务。</w:t>
      </w:r>
    </w:p>
    <w:p w14:paraId="30E80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3.依照法律规定对由县人民检察院直接受理的刑事案件行使侦查权。</w:t>
      </w:r>
    </w:p>
    <w:p w14:paraId="64911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4.对刑事案件依法审查批准逮捕、决定逮捕、提起公诉。</w:t>
      </w:r>
    </w:p>
    <w:p w14:paraId="70EA1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5.负责应由县人民检察院承办的刑事、民事、行政诉讼</w:t>
      </w:r>
    </w:p>
    <w:p w14:paraId="31C451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活动及刑事、民事、行政判决和裁定等生效法律文书执行的法律监督工作。</w:t>
      </w:r>
    </w:p>
    <w:p w14:paraId="4FA40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6.负责应由县人民检察院承办的提起公益诉讼工作。</w:t>
      </w:r>
    </w:p>
    <w:p w14:paraId="0A295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7.负责应由县人民检察院承办的对看守所、社区矫正机构等执法活动的法律监督工作。</w:t>
      </w:r>
    </w:p>
    <w:p w14:paraId="77481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8.受理向县人民检察院的控告申诉。</w:t>
      </w:r>
    </w:p>
    <w:p w14:paraId="2E2F9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9.负责检察机关的理论研究工作。</w:t>
      </w:r>
    </w:p>
    <w:p w14:paraId="6DF76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10.负责检察机关队伍建设和思想政治工作。</w:t>
      </w:r>
    </w:p>
    <w:p w14:paraId="50382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11.负责检务督察工作。</w:t>
      </w:r>
    </w:p>
    <w:p w14:paraId="54858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12.负责检察机关财物装备和检察技术信息工作。</w:t>
      </w:r>
    </w:p>
    <w:p w14:paraId="48C5E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b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13.负责其他应当由县人民检察院承办的事项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。</w:t>
      </w:r>
    </w:p>
    <w:p w14:paraId="56015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（二）机构设置。</w:t>
      </w:r>
    </w:p>
    <w:p w14:paraId="57A9C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楷体_GB2312" w:cs="Times New Roman"/>
          <w:b w:val="0"/>
          <w:bCs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依据湘编办发〔2020〕9号文件有关规定，根据上述主要职责，安仁县人民检察院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现有六个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内设机构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:办公室、第一检察部、第二检察部、第三检察部、政治部（司法警察大队）、驻所检察室。</w:t>
      </w:r>
    </w:p>
    <w:p w14:paraId="335FB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二、预算单位构成</w:t>
      </w:r>
    </w:p>
    <w:p w14:paraId="71E9B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安仁县人民检察院无下属预算单位，纳入编制范围的预算单位仅包括安仁县人民检察院本级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 w14:paraId="093A6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、单位收支总体情况</w:t>
      </w:r>
    </w:p>
    <w:p w14:paraId="1A0F0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（一）收入预算：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包括一般公共预算、政府性基金、国有资本经营预算等财政拨款收入，以及经营收入、事业收入等单位资金。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本单位收入预算1100.26万元，其中，一般公共预算拨款997.19万元，政府性基金预算拨款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万元，国有资本经营预算拨款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万元，纳入专户管理的非税收入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</w:t>
      </w:r>
      <w:r>
        <w:rPr>
          <w:rFonts w:hint="eastAsia" w:eastAsia="仿宋_GB2312" w:cs="Times New Roman"/>
          <w:sz w:val="32"/>
          <w:szCs w:val="32"/>
          <w:highlight w:val="none"/>
          <w:u w:val="none"/>
          <w:lang w:eastAsia="zh-CN"/>
        </w:rPr>
        <w:t>上级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财政补助收入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10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3万元，上年结余结转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0.07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收入较去年增加</w:t>
      </w:r>
      <w:r>
        <w:rPr>
          <w:rFonts w:hint="eastAsia" w:eastAsia="仿宋_GB2312" w:cs="Times New Roman"/>
          <w:b w:val="0"/>
          <w:bCs/>
          <w:sz w:val="32"/>
          <w:szCs w:val="32"/>
          <w:u w:val="none"/>
          <w:lang w:val="en-US" w:eastAsia="zh-CN"/>
        </w:rPr>
        <w:t>18.47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万元，主要是</w:t>
      </w:r>
      <w:r>
        <w:rPr>
          <w:rFonts w:hint="eastAsia" w:eastAsia="仿宋_GB2312" w:cs="Times New Roman"/>
          <w:b w:val="0"/>
          <w:bCs/>
          <w:sz w:val="32"/>
          <w:szCs w:val="32"/>
          <w:u w:val="none"/>
          <w:lang w:eastAsia="zh-CN"/>
        </w:rPr>
        <w:t>基数核定后预算增加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。</w:t>
      </w:r>
    </w:p>
    <w:p w14:paraId="47932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（二）支出预算：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本单位支出预算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1100.26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万元，其中，一般公共服务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万元，公共安全888.17万元，教育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万元，科学技术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万元，社会保障和就业80.93万元，卫生健康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73.86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万元，住房保障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57.3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万元。支出较去年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增加</w:t>
      </w:r>
      <w:r>
        <w:rPr>
          <w:rFonts w:hint="eastAsia" w:eastAsia="仿宋_GB2312" w:cs="Times New Roman"/>
          <w:b w:val="0"/>
          <w:bCs/>
          <w:sz w:val="32"/>
          <w:szCs w:val="32"/>
          <w:u w:val="none"/>
          <w:lang w:val="en-US" w:eastAsia="zh-CN"/>
        </w:rPr>
        <w:t>18.47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万元，主要是一般公共服务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减少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29.64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万元，社会保障和就业支出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增加22.25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万元，卫生健康支出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18.06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none"/>
        </w:rPr>
        <w:t>。</w:t>
      </w:r>
    </w:p>
    <w:p w14:paraId="5A32D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u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、一般公共预算拨款支出</w:t>
      </w:r>
    </w:p>
    <w:p w14:paraId="0D527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本单位一般公共预算拨款支出预算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1100.26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万元，其中，一般公共服务支出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万元，占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%；公共安全支出888.17万元，占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80.72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%；社会保障和就业支出80.93万元，占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7.36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%；卫生健康支出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73.86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万元，占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6.71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%；住房保障支出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57.3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万元，占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5.21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%。具体安排情况如下：</w:t>
      </w:r>
    </w:p>
    <w:p w14:paraId="05BC0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具体安排情况如下：</w:t>
      </w:r>
    </w:p>
    <w:p w14:paraId="5FB0F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（一）基本支出：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本单位基本支出预算数983.33万元，主要是为保障单位机构正常运转、完成日常工作任务而发生的各项支出，包括用于基本工资、津贴补贴等人员经费以及办公费、印刷费、水电费、办公设备购置等公用经费。</w:t>
      </w:r>
    </w:p>
    <w:p w14:paraId="0C9A1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（二）项目支出：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本单位项目支出预算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116.93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万元，主要是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为完成特定行政工作任务或事业发展目标而发生的支出，包括有关事业发展专项、专项业务费、基本建设支出等，其中：其他事业发展资金支出70.8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万元，主要用于检察干警基金捐款、援疆经费、办案差旅费等方面；业务工作经费支出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46.05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万元，主要用于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办公设备购置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等方面。</w:t>
      </w:r>
    </w:p>
    <w:p w14:paraId="7E380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u w:val="none"/>
          <w:lang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、政府性基金预算支出</w:t>
      </w:r>
    </w:p>
    <w:p w14:paraId="6ADBA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本单位政府性基金支出预算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万元，其中，科学技术支出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万元，占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%；文化旅游体育与传媒支出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万元，占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%。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具体安排如下：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202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无政府性基金安排的支出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。</w:t>
      </w:r>
    </w:p>
    <w:p w14:paraId="01451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u w:val="none"/>
          <w:lang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、其他重要事项的情况说明</w:t>
      </w:r>
    </w:p>
    <w:p w14:paraId="64BDB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（一）运行经费：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本单位运行经费354.18万元，比上年预算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减少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21.05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万元，下降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5.6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%，主要是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厉行节约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。</w:t>
      </w:r>
    </w:p>
    <w:p w14:paraId="3DA39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（二）“三公”经费预算：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本单位“三公”经费预算数为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39.80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万元，其中，公务接待费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万元，公务用车购置及运行费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39.80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万元（其中，公务用车购置费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万元，公务用车运行费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39.8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万元），因公出国（境）费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万元。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“三公”经费预算较上年减少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万元，主要是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上年购置了公车一台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。</w:t>
      </w:r>
    </w:p>
    <w:p w14:paraId="23A34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（三）一般性支出情况：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u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none"/>
        </w:rPr>
        <w:t>本单位会议费预算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none"/>
        </w:rPr>
        <w:t>万元，拟召开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none"/>
        </w:rPr>
        <w:t>会议，人数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none"/>
        </w:rPr>
        <w:t>人，内容为</w:t>
      </w:r>
      <w:r>
        <w:rPr>
          <w:rFonts w:hint="eastAsia" w:eastAsia="仿宋_GB2312" w:cs="Times New Roman"/>
          <w:kern w:val="0"/>
          <w:sz w:val="32"/>
          <w:szCs w:val="32"/>
          <w:u w:val="none"/>
          <w:lang w:eastAsia="zh-CN"/>
        </w:rPr>
        <w:t>无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none"/>
        </w:rPr>
        <w:t>；培训费预算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none"/>
        </w:rPr>
        <w:t>万元，拟开展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none"/>
        </w:rPr>
        <w:t>培训，人数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none"/>
        </w:rPr>
        <w:t>人，内容为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none"/>
        </w:rPr>
        <w:t>；拟举办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0次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none"/>
        </w:rPr>
        <w:t>节庆、晚会、论坛、赛事活动，经费预算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none"/>
        </w:rPr>
        <w:t>万元。</w:t>
      </w:r>
    </w:p>
    <w:p w14:paraId="4EA4E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（四）政府采购情况：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本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政府采购预算总额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7.84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万元，其中，货物类采购预算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7.84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万元；工程类采购预算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万元；服务类采购预算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万元。</w:t>
      </w:r>
    </w:p>
    <w:p w14:paraId="3DE49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u w:val="none"/>
          <w:lang w:eastAsia="zh-CN"/>
        </w:rPr>
        <w:t>（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u w:val="none"/>
          <w:lang w:val="en-US" w:eastAsia="zh-CN"/>
        </w:rPr>
        <w:t>五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u w:val="none"/>
          <w:lang w:eastAsia="zh-CN"/>
        </w:rPr>
        <w:t>）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u w:val="none"/>
          <w:lang w:val="en-US" w:eastAsia="zh-CN"/>
        </w:rPr>
        <w:t>委托业务费情况：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本</w:t>
      </w:r>
      <w:r>
        <w:rPr>
          <w:rFonts w:hint="eastAsia" w:eastAsia="仿宋_GB2312" w:cs="Times New Roman"/>
          <w:color w:val="auto"/>
          <w:sz w:val="32"/>
          <w:szCs w:val="32"/>
          <w:u w:val="none"/>
          <w:lang w:eastAsia="zh-CN"/>
        </w:rPr>
        <w:t>单位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委托业务费</w:t>
      </w:r>
      <w:r>
        <w:rPr>
          <w:rFonts w:hint="eastAsia" w:eastAsia="仿宋_GB2312" w:cs="Times New Roman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万元，比上年预算增加</w:t>
      </w:r>
      <w:r>
        <w:rPr>
          <w:rFonts w:hint="eastAsia" w:eastAsia="仿宋_GB2312" w:cs="Times New Roman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万元，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变化百分比无法计算</w:t>
      </w:r>
      <w:r>
        <w:rPr>
          <w:rFonts w:hint="eastAsia" w:eastAsia="仿宋_GB2312" w:cs="Times New Roman"/>
          <w:color w:val="auto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主要是</w:t>
      </w:r>
      <w:r>
        <w:rPr>
          <w:rFonts w:hint="eastAsia" w:eastAsia="仿宋_GB2312" w:cs="Times New Roman"/>
          <w:color w:val="auto"/>
          <w:sz w:val="32"/>
          <w:szCs w:val="32"/>
          <w:u w:val="none"/>
          <w:lang w:eastAsia="zh-CN"/>
        </w:rPr>
        <w:t>用于档案数字化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。</w:t>
      </w:r>
    </w:p>
    <w:p w14:paraId="3F045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u w:val="none"/>
          <w:lang w:val="en-US" w:eastAsia="zh-CN"/>
        </w:rPr>
        <w:t>六</w:t>
      </w: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）国有资产占用使用及新增资产配置情况：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截至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年12月底，本单位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共有公务用车</w:t>
      </w:r>
      <w:r>
        <w:rPr>
          <w:rFonts w:hint="eastAsia" w:eastAsia="仿宋_GB2312" w:cs="Times New Roman"/>
          <w:bCs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辆，其中，机要通信用车</w:t>
      </w:r>
      <w:r>
        <w:rPr>
          <w:rFonts w:hint="eastAsia" w:eastAsia="仿宋_GB2312" w:cs="Times New Roman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辆，应急保障用车</w:t>
      </w:r>
      <w:r>
        <w:rPr>
          <w:rFonts w:hint="eastAsia" w:eastAsia="仿宋_GB2312" w:cs="Times New Roman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辆，执法执勤用车</w:t>
      </w:r>
      <w:r>
        <w:rPr>
          <w:rFonts w:hint="eastAsia" w:eastAsia="仿宋_GB2312" w:cs="Times New Roman"/>
          <w:bCs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辆，特种专业技术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辆；单位价值100万元以上设备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。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202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年拟新增配置公务用车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辆，其中，机要通信用车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辆，应急保障用车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辆；新增配备单位价值100万元以上设备</w:t>
      </w:r>
      <w:r>
        <w:rPr>
          <w:rFonts w:hint="eastAsia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。</w:t>
      </w:r>
    </w:p>
    <w:p w14:paraId="76757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u w:val="none"/>
        </w:rPr>
        <w:t>（</w:t>
      </w:r>
      <w:r>
        <w:rPr>
          <w:rFonts w:hint="eastAsia" w:ascii="Times New Roman" w:hAnsi="Times New Roman" w:eastAsia="楷体_GB2312" w:cs="Times New Roman"/>
          <w:b/>
          <w:bCs/>
          <w:kern w:val="0"/>
          <w:sz w:val="32"/>
          <w:szCs w:val="32"/>
          <w:u w:val="none"/>
          <w:lang w:val="en-US" w:eastAsia="zh-CN"/>
        </w:rPr>
        <w:t>七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u w:val="none"/>
        </w:rPr>
        <w:t>）预算绩效目标说明：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本单位所有支出实行绩效目标管理。纳入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单位整体支出绩效目标的金额为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1100.26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万元，其中，基本支出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983.33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万元，项目支出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116.93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万元，具体绩效目标详见报表。</w:t>
      </w:r>
    </w:p>
    <w:p w14:paraId="6CB177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u w:val="none"/>
          <w:lang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、名词解释</w:t>
      </w:r>
    </w:p>
    <w:p w14:paraId="27EAE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、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35AA21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 w14:paraId="60DD6B2D">
      <w:pPr>
        <w:widowControl/>
        <w:spacing w:line="600" w:lineRule="exact"/>
        <w:ind w:firstLine="720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</w:pPr>
      <w:bookmarkStart w:id="0" w:name="_GoBack"/>
      <w:bookmarkEnd w:id="0"/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第二部分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2026年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单位预算表</w:t>
      </w:r>
    </w:p>
    <w:p w14:paraId="21043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见附表</w:t>
      </w:r>
    </w:p>
    <w:p w14:paraId="175F0749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3829F352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52CC4BFD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3217D917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3ACE92A9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5ED3E938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45C6989E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15A2A57C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1D7DBBD8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7C5CF258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21689EAD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6A4A5DD6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6E1BE54F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2B7CDD69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5D5D38BF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42359256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230F00D0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36D76C5B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07C88E00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08CBEB90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4474BBF8"/>
    <w:sectPr>
      <w:pgSz w:w="11906" w:h="16838"/>
      <w:pgMar w:top="1417" w:right="1474" w:bottom="1361" w:left="1587" w:header="851" w:footer="1247" w:gutter="0"/>
      <w:pgNumType w:fmt="numberInDash" w:start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DB5AA"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3C3A4D60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xZDc5YjdlMTllOWRlOWQxYmIzYTRhODMwMjhhMTcifQ=="/>
  </w:docVars>
  <w:rsids>
    <w:rsidRoot w:val="00000000"/>
    <w:rsid w:val="2FEB6A93"/>
    <w:rsid w:val="3BFF06B0"/>
    <w:rsid w:val="3F4BB5FA"/>
    <w:rsid w:val="4B39229E"/>
    <w:rsid w:val="567FD3E6"/>
    <w:rsid w:val="5AFBBB21"/>
    <w:rsid w:val="675F3CD8"/>
    <w:rsid w:val="7BD70FAF"/>
    <w:rsid w:val="7BFE7AF8"/>
    <w:rsid w:val="7DDF280B"/>
    <w:rsid w:val="7ED910C8"/>
    <w:rsid w:val="7F6707B6"/>
    <w:rsid w:val="7FFFF6A4"/>
    <w:rsid w:val="9B71A7DB"/>
    <w:rsid w:val="BA8FB9A2"/>
    <w:rsid w:val="DE7FE8F6"/>
    <w:rsid w:val="DFFA06CA"/>
    <w:rsid w:val="F7FF13DB"/>
    <w:rsid w:val="FBCE09CB"/>
    <w:rsid w:val="FBFFF7A9"/>
    <w:rsid w:val="FF777E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Emphasis"/>
    <w:basedOn w:val="5"/>
    <w:qFormat/>
    <w:uiPriority w:val="0"/>
    <w:rPr>
      <w:i/>
    </w:rPr>
  </w:style>
  <w:style w:type="paragraph" w:customStyle="1" w:styleId="8">
    <w:name w:val="页码1"/>
    <w:basedOn w:val="3"/>
    <w:next w:val="3"/>
    <w:qFormat/>
    <w:uiPriority w:val="0"/>
    <w:pPr>
      <w:jc w:val="center"/>
    </w:pPr>
    <w:rPr>
      <w:rFonts w:ascii="Calibri" w:hAnsi="Calibri" w:eastAsia="宋体" w:cs="宋体"/>
      <w:sz w:val="28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2025-09-04T17:22:00Z</dcterms:created>
  <dc:creator>kylin</dc:creator>
  <cp:lastModifiedBy>greatwall</cp:lastModifiedBy>
  <dcterms:modified xsi:type="dcterms:W3CDTF">2026-03-20T10:40:42Z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ICV">
    <vt:lpwstr>0453B99EA445B0D485DCB06994F58640</vt:lpwstr>
  </property>
</Properties>
</file>