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val="0"/>
        <w:kinsoku/>
        <w:overflowPunct/>
        <w:topLinePunct w:val="0"/>
        <w:bidi w:val="0"/>
        <w:jc w:val="center"/>
        <w:textAlignment w:val="auto"/>
        <w:rPr>
          <w:sz w:val="56"/>
          <w:szCs w:val="56"/>
        </w:rPr>
      </w:pPr>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502" name="文本框 1"/>
                <wp:cNvGraphicFramePr/>
                <a:graphic xmlns:a="http://schemas.openxmlformats.org/drawingml/2006/main">
                  <a:graphicData uri="http://schemas.microsoft.com/office/word/2010/wordprocessingShape">
                    <wps:wsp>
                      <wps:cNvSpPr/>
                      <wps:spPr>
                        <a:xfrm>
                          <a:off x="0" y="0"/>
                          <a:ext cx="1523365" cy="517525"/>
                        </a:xfrm>
                        <a:prstGeom prst="rect">
                          <a:avLst/>
                        </a:prstGeom>
                        <a:solidFill>
                          <a:srgbClr val="FFFFFF"/>
                        </a:solidFill>
                        <a:ln>
                          <a:noFill/>
                        </a:ln>
                        <a:effectLst/>
                      </wps:spPr>
                      <wps:txbx>
                        <w:txbxContent>
                          <w:p>
                            <w:pPr>
                              <w:rPr>
                                <w:rFonts w:ascii="楷体" w:hAnsi="楷体" w:eastAsia="楷体" w:cs="楷体"/>
                                <w:sz w:val="30"/>
                                <w:szCs w:val="30"/>
                              </w:rPr>
                            </w:pPr>
                          </w:p>
                        </w:txbxContent>
                      </wps:txbx>
                      <wps:bodyPr rot="0" spcFirstLastPara="0" vertOverflow="overflow" horzOverflow="overflow" vert="horz" wrap="square" lIns="91440" tIns="45720" rIns="91440" bIns="45720" numCol="1" rtlCol="0" anchor="t" upright="0">
                        <a:noAutofit/>
                      </wps:bodyPr>
                    </wps:wsp>
                  </a:graphicData>
                </a:graphic>
              </wp:anchor>
            </w:drawing>
          </mc:Choice>
          <mc:Fallback>
            <w:pict>
              <v:rect id="文本框 1" o:spid="_x0000_s1026" o:spt="1" style="position:absolute;left:0pt;margin-left:-18.6pt;margin-top:-23.4pt;height:40.75pt;width:119.95pt;z-index:251659264;mso-width-relative:page;mso-height-relative:page;" fillcolor="#FFFFFF" filled="t" stroked="f" coordsize="21600,21600" o:gfxdata="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lx64HYAAAACgEAAA8AAAAAAAAAAQAgAAAAIgAAAGRycy9kb3ducmV2LnhtbFBLAQIU&#10;ABQAAAAIAIdO4kA9KhYyLAIAAFMEAAAOAAAAAAAAAAEAIAAAACcBAABkcnMvZTJvRG9jLnhtbFBL&#10;BQYAAAAABgAGAFkBAADFBQAAAAA=&#10;">
                <v:fill on="t" focussize="0,0"/>
                <v:stroke on="f"/>
                <v:imagedata o:title=""/>
                <o:lock v:ext="edit" aspectratio="f"/>
                <v:textbox>
                  <w:txbxContent>
                    <w:p>
                      <w:pPr>
                        <w:rPr>
                          <w:rFonts w:ascii="楷体" w:hAnsi="楷体" w:eastAsia="楷体" w:cs="楷体"/>
                          <w:sz w:val="30"/>
                          <w:szCs w:val="30"/>
                        </w:rPr>
                      </w:pPr>
                    </w:p>
                  </w:txbxContent>
                </v:textbox>
              </v:rect>
            </w:pict>
          </mc:Fallback>
        </mc:AlternateContent>
      </w:r>
    </w:p>
    <w:p>
      <w:pPr>
        <w:pStyle w:val="13"/>
        <w:keepNext w:val="0"/>
        <w:keepLines w:val="0"/>
        <w:pageBreakBefore w:val="0"/>
        <w:widowControl w:val="0"/>
        <w:kinsoku/>
        <w:overflowPunct/>
        <w:topLinePunct w:val="0"/>
        <w:bidi w:val="0"/>
        <w:jc w:val="center"/>
        <w:textAlignment w:val="auto"/>
        <w:rPr>
          <w:sz w:val="56"/>
          <w:szCs w:val="56"/>
        </w:rPr>
      </w:pPr>
    </w:p>
    <w:p>
      <w:pPr>
        <w:pStyle w:val="13"/>
        <w:keepNext w:val="0"/>
        <w:keepLines w:val="0"/>
        <w:pageBreakBefore w:val="0"/>
        <w:widowControl w:val="0"/>
        <w:kinsoku/>
        <w:overflowPunct/>
        <w:topLinePunct w:val="0"/>
        <w:bidi w:val="0"/>
        <w:jc w:val="center"/>
        <w:textAlignment w:val="auto"/>
        <w:rPr>
          <w:sz w:val="84"/>
          <w:szCs w:val="84"/>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湖南省社会科学院（湖南省人民政府发展研究中心）</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56"/>
          <w:szCs w:val="56"/>
        </w:rPr>
      </w:pPr>
    </w:p>
    <w:p>
      <w:pPr>
        <w:pStyle w:val="13"/>
        <w:keepNext w:val="0"/>
        <w:keepLines w:val="0"/>
        <w:pageBreakBefore w:val="0"/>
        <w:widowControl w:val="0"/>
        <w:kinsoku/>
        <w:overflowPunct/>
        <w:topLinePunct w:val="0"/>
        <w:bidi w:val="0"/>
        <w:jc w:val="center"/>
        <w:textAlignment w:val="auto"/>
        <w:rPr>
          <w:sz w:val="56"/>
          <w:szCs w:val="56"/>
        </w:rPr>
      </w:pPr>
    </w:p>
    <w:p>
      <w:pPr>
        <w:pStyle w:val="13"/>
        <w:keepNext w:val="0"/>
        <w:keepLines w:val="0"/>
        <w:pageBreakBefore w:val="0"/>
        <w:widowControl w:val="0"/>
        <w:kinsoku/>
        <w:overflowPunct/>
        <w:topLinePunct w:val="0"/>
        <w:bidi w:val="0"/>
        <w:jc w:val="center"/>
        <w:textAlignment w:val="auto"/>
        <w:rPr>
          <w:sz w:val="56"/>
          <w:szCs w:val="56"/>
        </w:rPr>
      </w:pPr>
    </w:p>
    <w:p>
      <w:pPr>
        <w:pStyle w:val="13"/>
        <w:keepNext w:val="0"/>
        <w:keepLines w:val="0"/>
        <w:pageBreakBefore w:val="0"/>
        <w:widowControl w:val="0"/>
        <w:kinsoku/>
        <w:overflowPunct/>
        <w:topLinePunct w:val="0"/>
        <w:bidi w:val="0"/>
        <w:jc w:val="center"/>
        <w:textAlignment w:val="auto"/>
        <w:rPr>
          <w:sz w:val="56"/>
          <w:szCs w:val="56"/>
        </w:rPr>
      </w:pPr>
    </w:p>
    <w:p>
      <w:pPr>
        <w:pStyle w:val="13"/>
        <w:keepNext w:val="0"/>
        <w:keepLines w:val="0"/>
        <w:pageBreakBefore w:val="0"/>
        <w:widowControl w:val="0"/>
        <w:kinsoku/>
        <w:overflowPunct/>
        <w:topLinePunct w:val="0"/>
        <w:bidi w:val="0"/>
        <w:spacing w:line="540" w:lineRule="exact"/>
        <w:jc w:val="both"/>
        <w:textAlignment w:val="auto"/>
        <w:rPr>
          <w:sz w:val="56"/>
          <w:szCs w:val="56"/>
        </w:rPr>
        <w:sectPr>
          <w:pgSz w:w="11906" w:h="16838"/>
          <w:pgMar w:top="720" w:right="720" w:bottom="720" w:left="720" w:header="851" w:footer="992" w:gutter="0"/>
          <w:pgNumType w:fmt="numberInDash"/>
          <w:cols w:space="425" w:num="1"/>
          <w:docGrid w:type="lines" w:linePitch="312" w:charSpace="0"/>
        </w:sectPr>
      </w:pPr>
    </w:p>
    <w:p>
      <w:pPr>
        <w:pStyle w:val="13"/>
        <w:keepNext w:val="0"/>
        <w:keepLines w:val="0"/>
        <w:pageBreakBefore w:val="0"/>
        <w:widowControl w:val="0"/>
        <w:kinsoku/>
        <w:overflowPunct/>
        <w:topLinePunct w:val="0"/>
        <w:bidi w:val="0"/>
        <w:spacing w:line="500" w:lineRule="exact"/>
        <w:jc w:val="center"/>
        <w:textAlignment w:val="auto"/>
        <w:rPr>
          <w:rFonts w:hint="eastAsia"/>
          <w:b/>
          <w:sz w:val="36"/>
          <w:szCs w:val="28"/>
        </w:rPr>
      </w:pPr>
    </w:p>
    <w:p>
      <w:pPr>
        <w:pStyle w:val="13"/>
        <w:keepNext w:val="0"/>
        <w:keepLines w:val="0"/>
        <w:pageBreakBefore w:val="0"/>
        <w:widowControl w:val="0"/>
        <w:kinsoku/>
        <w:overflowPunct/>
        <w:topLinePunct w:val="0"/>
        <w:bidi w:val="0"/>
        <w:spacing w:line="500" w:lineRule="exact"/>
        <w:jc w:val="center"/>
        <w:textAlignment w:val="auto"/>
        <w:rPr>
          <w:b/>
          <w:sz w:val="36"/>
          <w:szCs w:val="28"/>
        </w:rPr>
      </w:pPr>
      <w:r>
        <w:rPr>
          <w:rFonts w:hint="eastAsia"/>
          <w:b/>
          <w:sz w:val="36"/>
          <w:szCs w:val="28"/>
        </w:rPr>
        <w:t>目 录</w:t>
      </w:r>
    </w:p>
    <w:p>
      <w:pPr>
        <w:pStyle w:val="13"/>
        <w:keepNext w:val="0"/>
        <w:keepLines w:val="0"/>
        <w:pageBreakBefore w:val="0"/>
        <w:widowControl w:val="0"/>
        <w:kinsoku/>
        <w:overflowPunct/>
        <w:topLinePunct w:val="0"/>
        <w:bidi w:val="0"/>
        <w:spacing w:line="500" w:lineRule="exact"/>
        <w:textAlignment w:val="auto"/>
        <w:rPr>
          <w:rFonts w:hAnsi="黑体"/>
          <w:bCs/>
          <w:sz w:val="28"/>
          <w:szCs w:val="28"/>
        </w:rPr>
      </w:pPr>
      <w:r>
        <w:rPr>
          <w:rFonts w:hint="eastAsia" w:hAnsi="黑体"/>
          <w:bCs/>
          <w:sz w:val="28"/>
          <w:szCs w:val="28"/>
        </w:rPr>
        <w:t>第一部分 湖南省社会科学院（湖南省人民政府发展研究中心）概况</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keepNext w:val="0"/>
        <w:keepLines w:val="0"/>
        <w:pageBreakBefore w:val="0"/>
        <w:widowControl w:val="0"/>
        <w:kinsoku/>
        <w:overflowPunct/>
        <w:topLinePunct w:val="0"/>
        <w:bidi w:val="0"/>
        <w:spacing w:line="500" w:lineRule="exact"/>
        <w:textAlignment w:val="auto"/>
        <w:rPr>
          <w:rFonts w:hAnsi="黑体"/>
          <w:bCs/>
          <w:sz w:val="28"/>
          <w:szCs w:val="28"/>
        </w:rPr>
      </w:pPr>
      <w:r>
        <w:rPr>
          <w:rFonts w:hint="eastAsia" w:hAnsi="黑体"/>
          <w:bCs/>
          <w:sz w:val="28"/>
          <w:szCs w:val="28"/>
        </w:rPr>
        <w:t>第二部分 部门决算表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keepNext w:val="0"/>
        <w:keepLines w:val="0"/>
        <w:pageBreakBefore w:val="0"/>
        <w:widowControl w:val="0"/>
        <w:kinsoku/>
        <w:overflowPunct/>
        <w:topLinePunct w:val="0"/>
        <w:bidi w:val="0"/>
        <w:spacing w:line="500" w:lineRule="exact"/>
        <w:textAlignment w:val="auto"/>
        <w:rPr>
          <w:rFonts w:hAnsi="黑体"/>
          <w:bCs/>
          <w:sz w:val="28"/>
          <w:szCs w:val="28"/>
        </w:rPr>
      </w:pPr>
      <w:r>
        <w:rPr>
          <w:rFonts w:hint="eastAsia" w:hAnsi="黑体"/>
          <w:bCs/>
          <w:sz w:val="28"/>
          <w:szCs w:val="28"/>
        </w:rPr>
        <w:t>第三部分 部门决算情况说明</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keepNext w:val="0"/>
        <w:keepLines w:val="0"/>
        <w:pageBreakBefore w:val="0"/>
        <w:widowControl w:val="0"/>
        <w:kinsoku/>
        <w:overflowPunct/>
        <w:topLinePunct w:val="0"/>
        <w:bidi w:val="0"/>
        <w:spacing w:line="500" w:lineRule="exact"/>
        <w:ind w:firstLine="700" w:firstLineChars="25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keepNext w:val="0"/>
        <w:keepLines w:val="0"/>
        <w:pageBreakBefore w:val="0"/>
        <w:widowControl w:val="0"/>
        <w:kinsoku/>
        <w:overflowPunct/>
        <w:topLinePunct w:val="0"/>
        <w:autoSpaceDE w:val="0"/>
        <w:autoSpaceDN w:val="0"/>
        <w:bidi w:val="0"/>
        <w:adjustRightInd w:val="0"/>
        <w:spacing w:line="500" w:lineRule="exact"/>
        <w:ind w:firstLine="700" w:firstLineChars="250"/>
        <w:jc w:val="left"/>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keepNext w:val="0"/>
        <w:keepLines w:val="0"/>
        <w:pageBreakBefore w:val="0"/>
        <w:widowControl w:val="0"/>
        <w:kinsoku/>
        <w:overflowPunct/>
        <w:topLinePunct w:val="0"/>
        <w:bidi w:val="0"/>
        <w:spacing w:line="500" w:lineRule="exact"/>
        <w:ind w:firstLine="700" w:firstLineChars="25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keepNext w:val="0"/>
        <w:keepLines w:val="0"/>
        <w:pageBreakBefore w:val="0"/>
        <w:widowControl w:val="0"/>
        <w:kinsoku/>
        <w:overflowPunct/>
        <w:topLinePunct w:val="0"/>
        <w:bidi w:val="0"/>
        <w:spacing w:line="500" w:lineRule="exact"/>
        <w:ind w:firstLine="700" w:firstLineChars="2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3"/>
        <w:keepNext w:val="0"/>
        <w:keepLines w:val="0"/>
        <w:pageBreakBefore w:val="0"/>
        <w:widowControl w:val="0"/>
        <w:kinsoku/>
        <w:overflowPunct/>
        <w:topLinePunct w:val="0"/>
        <w:bidi w:val="0"/>
        <w:spacing w:line="500" w:lineRule="exact"/>
        <w:textAlignment w:val="auto"/>
        <w:rPr>
          <w:rFonts w:hint="eastAsia" w:hAnsi="黑体"/>
          <w:bCs/>
          <w:sz w:val="28"/>
          <w:szCs w:val="28"/>
        </w:rPr>
      </w:pPr>
      <w:r>
        <w:rPr>
          <w:rFonts w:hint="eastAsia" w:hAnsi="黑体"/>
          <w:bCs/>
          <w:sz w:val="28"/>
          <w:szCs w:val="28"/>
        </w:rPr>
        <w:t>第四部分 名词解释</w:t>
      </w:r>
    </w:p>
    <w:p>
      <w:pPr>
        <w:pStyle w:val="13"/>
        <w:keepNext w:val="0"/>
        <w:keepLines w:val="0"/>
        <w:pageBreakBefore w:val="0"/>
        <w:widowControl w:val="0"/>
        <w:kinsoku/>
        <w:overflowPunct/>
        <w:topLinePunct w:val="0"/>
        <w:bidi w:val="0"/>
        <w:spacing w:line="500" w:lineRule="exact"/>
        <w:textAlignment w:val="auto"/>
        <w:rPr>
          <w:rFonts w:hint="default" w:hAnsi="黑体" w:eastAsia="黑体"/>
          <w:bCs/>
          <w:sz w:val="28"/>
          <w:szCs w:val="28"/>
          <w:lang w:val="en-US" w:eastAsia="zh-CN"/>
        </w:rPr>
      </w:pPr>
      <w:r>
        <w:rPr>
          <w:rFonts w:hint="eastAsia" w:hAnsi="黑体"/>
          <w:bCs/>
          <w:sz w:val="28"/>
          <w:szCs w:val="28"/>
          <w:lang w:eastAsia="zh-CN"/>
        </w:rPr>
        <w:t>第五部分</w:t>
      </w:r>
      <w:r>
        <w:rPr>
          <w:rFonts w:hint="eastAsia" w:hAnsi="黑体"/>
          <w:bCs/>
          <w:sz w:val="28"/>
          <w:szCs w:val="28"/>
          <w:lang w:val="en-US" w:eastAsia="zh-CN"/>
        </w:rPr>
        <w:t xml:space="preserve"> 附件</w:t>
      </w:r>
    </w:p>
    <w:p>
      <w:pPr>
        <w:keepNext w:val="0"/>
        <w:keepLines w:val="0"/>
        <w:pageBreakBefore w:val="0"/>
        <w:widowControl w:val="0"/>
        <w:kinsoku/>
        <w:overflowPunct/>
        <w:topLinePunct w:val="0"/>
        <w:bidi w:val="0"/>
        <w:jc w:val="center"/>
        <w:textAlignment w:val="auto"/>
        <w:rPr>
          <w:sz w:val="72"/>
          <w:szCs w:val="72"/>
        </w:rPr>
      </w:pPr>
    </w:p>
    <w:p>
      <w:pPr>
        <w:keepNext w:val="0"/>
        <w:keepLines w:val="0"/>
        <w:pageBreakBefore w:val="0"/>
        <w:widowControl w:val="0"/>
        <w:kinsoku/>
        <w:overflowPunct/>
        <w:topLinePunct w:val="0"/>
        <w:bidi w:val="0"/>
        <w:textAlignment w:val="auto"/>
        <w:rPr>
          <w:rFonts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湖南省社会科学院（湖南省人民政府发展研究中心）</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keepNext w:val="0"/>
        <w:keepLines w:val="0"/>
        <w:pageBreakBefore w:val="0"/>
        <w:widowControl w:val="0"/>
        <w:kinsoku/>
        <w:overflowPunct/>
        <w:topLinePunct w:val="0"/>
        <w:bidi w:val="0"/>
        <w:textAlignment w:val="auto"/>
        <w:rPr>
          <w:sz w:val="72"/>
          <w:szCs w:val="72"/>
        </w:rPr>
      </w:pPr>
    </w:p>
    <w:p>
      <w:pPr>
        <w:keepNext w:val="0"/>
        <w:keepLines w:val="0"/>
        <w:pageBreakBefore w:val="0"/>
        <w:widowControl w:val="0"/>
        <w:kinsoku/>
        <w:overflowPunct/>
        <w:topLinePunct w:val="0"/>
        <w:bidi w:val="0"/>
        <w:textAlignment w:val="auto"/>
        <w:rPr>
          <w:sz w:val="72"/>
          <w:szCs w:val="72"/>
        </w:rPr>
      </w:pPr>
    </w:p>
    <w:p>
      <w:pPr>
        <w:keepNext w:val="0"/>
        <w:keepLines w:val="0"/>
        <w:pageBreakBefore w:val="0"/>
        <w:widowControl w:val="0"/>
        <w:kinsoku/>
        <w:overflowPunct/>
        <w:topLinePunct w:val="0"/>
        <w:bidi w:val="0"/>
        <w:textAlignment w:val="auto"/>
        <w:rPr>
          <w:sz w:val="72"/>
          <w:szCs w:val="72"/>
        </w:rPr>
      </w:pPr>
    </w:p>
    <w:p>
      <w:pPr>
        <w:pStyle w:val="14"/>
        <w:keepNext w:val="0"/>
        <w:keepLines w:val="0"/>
        <w:pageBreakBefore w:val="0"/>
        <w:widowControl w:val="0"/>
        <w:kinsoku/>
        <w:overflowPunct/>
        <w:topLinePunct w:val="0"/>
        <w:bidi w:val="0"/>
        <w:ind w:left="0" w:leftChars="0" w:firstLine="0" w:firstLineChars="0"/>
        <w:jc w:val="left"/>
        <w:textAlignment w:val="auto"/>
        <w:rPr>
          <w:rFonts w:ascii="黑体" w:hAnsi="黑体" w:eastAsia="黑体" w:cs="黑体"/>
          <w:sz w:val="32"/>
          <w:szCs w:val="32"/>
        </w:rPr>
      </w:pPr>
    </w:p>
    <w:p>
      <w:pPr>
        <w:keepNext w:val="0"/>
        <w:keepLines w:val="0"/>
        <w:pageBreakBefore w:val="0"/>
        <w:widowControl w:val="0"/>
        <w:kinsoku/>
        <w:overflowPunct/>
        <w:topLinePunct w:val="0"/>
        <w:bidi w:val="0"/>
        <w:ind w:firstLine="800" w:firstLineChars="250"/>
        <w:jc w:val="left"/>
        <w:textAlignment w:val="auto"/>
        <w:rPr>
          <w:rFonts w:ascii="黑体" w:hAnsi="黑体" w:eastAsia="黑体" w:cs="黑体"/>
          <w:sz w:val="32"/>
          <w:szCs w:val="32"/>
        </w:rPr>
      </w:pPr>
      <w:r>
        <w:rPr>
          <w:rFonts w:hint="eastAsia" w:ascii="黑体" w:hAnsi="黑体" w:eastAsia="黑体" w:cs="黑体"/>
          <w:sz w:val="32"/>
          <w:szCs w:val="32"/>
        </w:rPr>
        <w:t>一、部门职责</w:t>
      </w:r>
    </w:p>
    <w:p>
      <w:pPr>
        <w:keepNext w:val="0"/>
        <w:keepLines w:val="0"/>
        <w:pageBreakBefore w:val="0"/>
        <w:widowControl w:val="0"/>
        <w:kinsoku/>
        <w:overflowPunct/>
        <w:topLinePunct w:val="0"/>
        <w:bidi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湖南省社会科学院（湖南省人民政府发展研究中心）是进行社会科学研究，承担国家、省社科规划课题和党政部门的研究任务的专门机构。承担的主要职能、职责及业务范围有：</w:t>
      </w:r>
    </w:p>
    <w:p>
      <w:pPr>
        <w:keepNext w:val="0"/>
        <w:keepLines w:val="0"/>
        <w:pageBreakBefore w:val="0"/>
        <w:widowControl w:val="0"/>
        <w:kinsoku/>
        <w:overflowPunct/>
        <w:topLinePunct w:val="0"/>
        <w:bidi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①</w:t>
      </w:r>
      <w:r>
        <w:rPr>
          <w:rFonts w:hint="eastAsia" w:ascii="Times New Roman" w:hAnsi="Times New Roman" w:eastAsia="仿宋_GB2312" w:cs="Times New Roman"/>
          <w:sz w:val="32"/>
          <w:szCs w:val="32"/>
        </w:rPr>
        <w:t>当好思想库、智囊团，为省委省政府决策服务；</w:t>
      </w:r>
    </w:p>
    <w:p>
      <w:pPr>
        <w:keepNext w:val="0"/>
        <w:keepLines w:val="0"/>
        <w:pageBreakBefore w:val="0"/>
        <w:widowControl w:val="0"/>
        <w:kinsoku/>
        <w:overflowPunct/>
        <w:topLinePunct w:val="0"/>
        <w:bidi w:val="0"/>
        <w:snapToGrid w:val="0"/>
        <w:spacing w:line="56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②</w:t>
      </w:r>
      <w:r>
        <w:rPr>
          <w:rFonts w:hint="eastAsia" w:ascii="Times New Roman" w:hAnsi="Times New Roman" w:eastAsia="仿宋_GB2312" w:cs="Times New Roman"/>
          <w:sz w:val="32"/>
          <w:szCs w:val="32"/>
        </w:rPr>
        <w:t>开展哲学社会科学研究，促进哲学社会科学繁荣发展；</w:t>
      </w:r>
    </w:p>
    <w:p>
      <w:pPr>
        <w:keepNext w:val="0"/>
        <w:keepLines w:val="0"/>
        <w:pageBreakBefore w:val="0"/>
        <w:widowControl w:val="0"/>
        <w:kinsoku/>
        <w:overflowPunct/>
        <w:topLinePunct w:val="0"/>
        <w:bidi w:val="0"/>
        <w:snapToGrid w:val="0"/>
        <w:spacing w:line="56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③</w:t>
      </w:r>
      <w:r>
        <w:rPr>
          <w:rFonts w:hint="eastAsia" w:ascii="Times New Roman" w:hAnsi="Times New Roman" w:eastAsia="仿宋_GB2312" w:cs="Times New Roman"/>
          <w:sz w:val="32"/>
          <w:szCs w:val="32"/>
        </w:rPr>
        <w:t>承担各级党委政府和相关部办委厅局、企事业单位委托研究项目，服务经济社会发展；</w:t>
      </w:r>
    </w:p>
    <w:p>
      <w:pPr>
        <w:pStyle w:val="7"/>
        <w:keepNext w:val="0"/>
        <w:keepLines w:val="0"/>
        <w:pageBreakBefore w:val="0"/>
        <w:widowControl w:val="0"/>
        <w:shd w:val="clear" w:color="auto" w:fill="FFFFFF"/>
        <w:kinsoku/>
        <w:wordWrap w:val="0"/>
        <w:overflowPunct/>
        <w:topLinePunct w:val="0"/>
        <w:bidi w:val="0"/>
        <w:snapToGrid w:val="0"/>
        <w:spacing w:before="0" w:beforeAutospacing="0" w:after="0" w:afterAutospacing="0" w:line="560" w:lineRule="exact"/>
        <w:ind w:firstLine="640" w:firstLineChars="200"/>
        <w:jc w:val="both"/>
        <w:textAlignment w:val="auto"/>
        <w:rPr>
          <w:rFonts w:ascii="Times New Roman" w:hAnsi="Times New Roman" w:eastAsia="仿宋_GB2312" w:cs="Times New Roman"/>
          <w:kern w:val="2"/>
          <w:sz w:val="32"/>
          <w:szCs w:val="32"/>
        </w:rPr>
      </w:pPr>
      <w:r>
        <w:rPr>
          <w:rFonts w:hint="eastAsia" w:ascii="仿宋_GB2312" w:hAnsi="仿宋_GB2312" w:eastAsia="仿宋_GB2312" w:cs="仿宋_GB2312"/>
          <w:sz w:val="32"/>
          <w:szCs w:val="32"/>
        </w:rPr>
        <w:t>④</w:t>
      </w:r>
      <w:r>
        <w:rPr>
          <w:rFonts w:hint="eastAsia" w:ascii="Times New Roman" w:hAnsi="Times New Roman" w:eastAsia="仿宋_GB2312" w:cs="Times New Roman"/>
          <w:kern w:val="2"/>
          <w:sz w:val="32"/>
          <w:szCs w:val="32"/>
        </w:rPr>
        <w:t>负责全省社科研究系列职称评审工作；</w:t>
      </w:r>
    </w:p>
    <w:p>
      <w:pPr>
        <w:pStyle w:val="7"/>
        <w:keepNext w:val="0"/>
        <w:keepLines w:val="0"/>
        <w:pageBreakBefore w:val="0"/>
        <w:widowControl w:val="0"/>
        <w:shd w:val="clear" w:color="auto" w:fill="FFFFFF"/>
        <w:kinsoku/>
        <w:wordWrap w:val="0"/>
        <w:overflowPunct/>
        <w:topLinePunct w:val="0"/>
        <w:bidi w:val="0"/>
        <w:snapToGrid w:val="0"/>
        <w:spacing w:before="0" w:beforeAutospacing="0" w:after="0" w:afterAutospacing="0"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⑤</w:t>
      </w:r>
      <w:r>
        <w:rPr>
          <w:rFonts w:hint="eastAsia" w:ascii="Times New Roman" w:hAnsi="Times New Roman" w:eastAsia="仿宋_GB2312" w:cs="Times New Roman"/>
          <w:kern w:val="2"/>
          <w:sz w:val="32"/>
          <w:szCs w:val="32"/>
        </w:rPr>
        <w:t>负责社科大院（</w:t>
      </w:r>
      <w:r>
        <w:rPr>
          <w:rFonts w:hint="eastAsia" w:ascii="Times New Roman" w:hAnsi="Times New Roman" w:eastAsia="仿宋_GB2312" w:cs="Times New Roman"/>
          <w:kern w:val="2"/>
          <w:sz w:val="32"/>
          <w:szCs w:val="32"/>
          <w:lang w:eastAsia="zh-CN"/>
        </w:rPr>
        <w:t>包括</w:t>
      </w:r>
      <w:r>
        <w:rPr>
          <w:rFonts w:hint="eastAsia" w:ascii="Times New Roman" w:hAnsi="Times New Roman" w:eastAsia="仿宋_GB2312" w:cs="Times New Roman"/>
          <w:kern w:val="2"/>
          <w:sz w:val="32"/>
          <w:szCs w:val="32"/>
        </w:rPr>
        <w:t>社科联</w:t>
      </w:r>
      <w:r>
        <w:rPr>
          <w:rFonts w:hint="eastAsia" w:ascii="Times New Roman" w:hAnsi="Times New Roman" w:eastAsia="仿宋_GB2312" w:cs="Times New Roman"/>
          <w:kern w:val="2"/>
          <w:sz w:val="32"/>
          <w:szCs w:val="32"/>
          <w:lang w:eastAsia="zh-CN"/>
        </w:rPr>
        <w:t>和</w:t>
      </w:r>
      <w:r>
        <w:rPr>
          <w:rFonts w:hint="eastAsia" w:ascii="Times New Roman" w:hAnsi="Times New Roman" w:eastAsia="仿宋_GB2312" w:cs="Times New Roman"/>
          <w:kern w:val="2"/>
          <w:sz w:val="32"/>
          <w:szCs w:val="32"/>
        </w:rPr>
        <w:t>地方志）三家单位的后勤基建工作；</w:t>
      </w:r>
    </w:p>
    <w:p>
      <w:pPr>
        <w:keepNext w:val="0"/>
        <w:keepLines w:val="0"/>
        <w:pageBreakBefore w:val="0"/>
        <w:widowControl w:val="0"/>
        <w:kinsoku/>
        <w:overflowPunct/>
        <w:topLinePunct w:val="0"/>
        <w:bidi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⑥</w:t>
      </w:r>
      <w:r>
        <w:rPr>
          <w:rFonts w:hint="eastAsia" w:ascii="Times New Roman" w:hAnsi="Times New Roman" w:eastAsia="仿宋_GB2312" w:cs="Times New Roman"/>
          <w:sz w:val="32"/>
          <w:szCs w:val="32"/>
        </w:rPr>
        <w:t>承办省委省政府交办的其他工作。</w:t>
      </w:r>
      <w:bookmarkStart w:id="0" w:name="_GoBack"/>
      <w:bookmarkEnd w:id="0"/>
    </w:p>
    <w:p>
      <w:pPr>
        <w:keepNext w:val="0"/>
        <w:keepLines w:val="0"/>
        <w:pageBreakBefore w:val="0"/>
        <w:widowControl w:val="0"/>
        <w:kinsoku/>
        <w:overflowPunct/>
        <w:topLinePunct w:val="0"/>
        <w:bidi w:val="0"/>
        <w:spacing w:line="600" w:lineRule="exact"/>
        <w:ind w:firstLine="640" w:firstLineChars="200"/>
        <w:textAlignment w:val="auto"/>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keepNext w:val="0"/>
        <w:keepLines w:val="0"/>
        <w:pageBreakBefore w:val="0"/>
        <w:widowControl w:val="0"/>
        <w:kinsoku/>
        <w:overflowPunct/>
        <w:topLinePunct w:val="0"/>
        <w:bidi w:val="0"/>
        <w:spacing w:line="600" w:lineRule="exact"/>
        <w:ind w:firstLine="480" w:firstLineChars="150"/>
        <w:textAlignment w:val="auto"/>
        <w:rPr>
          <w:rFonts w:ascii="Times New Roman" w:hAnsi="Times New Roman" w:eastAsia="仿宋_GB2312" w:cs="Times New Roman"/>
          <w:sz w:val="32"/>
          <w:szCs w:val="32"/>
        </w:rPr>
      </w:pPr>
      <w:r>
        <w:rPr>
          <w:rFonts w:hint="eastAsia" w:ascii="Times New Roman" w:hAnsi="Times New Roman" w:eastAsia="仿宋_GB2312" w:cs="仿宋_GB2312"/>
          <w:bCs/>
          <w:kern w:val="0"/>
          <w:sz w:val="32"/>
          <w:szCs w:val="32"/>
        </w:rPr>
        <w:t>（一）内设机构设置。湖南省社会科学院（湖南省人民政府发展研究中心）内设机构包括：</w:t>
      </w:r>
      <w:r>
        <w:rPr>
          <w:rFonts w:hint="eastAsia" w:ascii="Times New Roman" w:hAnsi="Times New Roman" w:eastAsia="仿宋_GB2312" w:cs="Times New Roman"/>
          <w:sz w:val="32"/>
          <w:szCs w:val="32"/>
        </w:rPr>
        <w:t>办公室、科研处、人事与离退休工作处、后勤与财务处、机关党委、工会6个职能部门；文献信息中心（图书馆），《求索》杂志社2个科辅部门；文学研究所、历史研究所、哲学研究所、经济研究所、区域经济与系统工程研究所、产业经济研究所、中国马克思主义研究所、社会学研究所、人力资源研究所9个研究所</w:t>
      </w:r>
      <w:r>
        <w:rPr>
          <w:rFonts w:ascii="Times New Roman" w:hAnsi="Times New Roman" w:eastAsia="仿宋_GB2312" w:cs="Times New Roman"/>
          <w:sz w:val="32"/>
          <w:szCs w:val="32"/>
        </w:rPr>
        <w:t>；宏观经济部、产业经济部、社会发展部、经济预测部、区域经济部、财政金融部6个研究部。</w:t>
      </w:r>
    </w:p>
    <w:p>
      <w:pPr>
        <w:keepNext w:val="0"/>
        <w:keepLines w:val="0"/>
        <w:pageBreakBefore w:val="0"/>
        <w:widowControl w:val="0"/>
        <w:kinsoku/>
        <w:overflowPunct/>
        <w:topLinePunct w:val="0"/>
        <w:bidi w:val="0"/>
        <w:spacing w:line="600" w:lineRule="exact"/>
        <w:ind w:firstLine="480" w:firstLineChars="15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（二）决算单位构成。湖南省社会科学院（湖南省人民政府发展研究中心）2022年部门决算汇总公开单位构成包括湖南省社会科学院（湖南省人民政府发展研究中心）本级单位一个</w:t>
      </w:r>
      <w:r>
        <w:rPr>
          <w:rFonts w:hint="eastAsia" w:ascii="Times New Roman" w:hAnsi="Times New Roman" w:eastAsia="仿宋_GB2312" w:cs="仿宋_GB2312"/>
          <w:bCs/>
          <w:kern w:val="0"/>
          <w:sz w:val="32"/>
          <w:szCs w:val="32"/>
          <w:lang w:eastAsia="zh-CN"/>
        </w:rPr>
        <w:t>。</w:t>
      </w:r>
    </w:p>
    <w:p>
      <w:pPr>
        <w:keepNext w:val="0"/>
        <w:keepLines w:val="0"/>
        <w:pageBreakBefore w:val="0"/>
        <w:widowControl w:val="0"/>
        <w:kinsoku/>
        <w:overflowPunct/>
        <w:topLinePunct w:val="0"/>
        <w:bidi w:val="0"/>
        <w:jc w:val="left"/>
        <w:textAlignment w:val="auto"/>
        <w:rPr>
          <w:rFonts w:ascii="仿宋_GB2312" w:eastAsia="仿宋_GB2312" w:hAnsiTheme="minorEastAsia"/>
          <w:sz w:val="28"/>
          <w:szCs w:val="32"/>
        </w:rPr>
      </w:pPr>
    </w:p>
    <w:p>
      <w:pPr>
        <w:keepNext w:val="0"/>
        <w:keepLines w:val="0"/>
        <w:pageBreakBefore w:val="0"/>
        <w:widowControl w:val="0"/>
        <w:kinsoku/>
        <w:overflowPunct/>
        <w:topLinePunct w:val="0"/>
        <w:bidi w:val="0"/>
        <w:jc w:val="center"/>
        <w:textAlignment w:val="auto"/>
        <w:rPr>
          <w:rFonts w:ascii="黑体" w:hAnsi="黑体" w:eastAsia="黑体"/>
          <w:sz w:val="28"/>
          <w:szCs w:val="28"/>
        </w:rPr>
      </w:pPr>
    </w:p>
    <w:p>
      <w:pPr>
        <w:keepNext w:val="0"/>
        <w:keepLines w:val="0"/>
        <w:pageBreakBefore w:val="0"/>
        <w:widowControl w:val="0"/>
        <w:kinsoku/>
        <w:overflowPunct/>
        <w:topLinePunct w:val="0"/>
        <w:bidi w:val="0"/>
        <w:jc w:val="center"/>
        <w:textAlignment w:val="auto"/>
        <w:rPr>
          <w:rFonts w:ascii="黑体" w:hAnsi="黑体" w:eastAsia="黑体"/>
          <w:sz w:val="28"/>
          <w:szCs w:val="28"/>
        </w:rPr>
      </w:pPr>
    </w:p>
    <w:p>
      <w:pPr>
        <w:keepNext w:val="0"/>
        <w:keepLines w:val="0"/>
        <w:pageBreakBefore w:val="0"/>
        <w:widowControl w:val="0"/>
        <w:kinsoku/>
        <w:overflowPunct/>
        <w:topLinePunct w:val="0"/>
        <w:bidi w:val="0"/>
        <w:jc w:val="center"/>
        <w:textAlignment w:val="auto"/>
        <w:rPr>
          <w:rFonts w:ascii="黑体" w:hAnsi="黑体" w:eastAsia="黑体"/>
          <w:sz w:val="28"/>
          <w:szCs w:val="28"/>
        </w:rPr>
      </w:pPr>
    </w:p>
    <w:p>
      <w:pPr>
        <w:keepNext w:val="0"/>
        <w:keepLines w:val="0"/>
        <w:pageBreakBefore w:val="0"/>
        <w:widowControl w:val="0"/>
        <w:kinsoku/>
        <w:overflowPunct/>
        <w:topLinePunct w:val="0"/>
        <w:bidi w:val="0"/>
        <w:jc w:val="center"/>
        <w:textAlignment w:val="auto"/>
        <w:rPr>
          <w:rFonts w:ascii="黑体" w:hAnsi="黑体" w:eastAsia="黑体"/>
          <w:sz w:val="28"/>
          <w:szCs w:val="28"/>
        </w:rPr>
      </w:pPr>
    </w:p>
    <w:p>
      <w:pPr>
        <w:keepNext w:val="0"/>
        <w:keepLines w:val="0"/>
        <w:pageBreakBefore w:val="0"/>
        <w:widowControl w:val="0"/>
        <w:kinsoku/>
        <w:overflowPunct/>
        <w:topLinePunct w:val="0"/>
        <w:bidi w:val="0"/>
        <w:jc w:val="center"/>
        <w:textAlignment w:val="auto"/>
        <w:rPr>
          <w:rFonts w:ascii="黑体" w:hAnsi="黑体" w:eastAsia="黑体"/>
          <w:sz w:val="28"/>
          <w:szCs w:val="28"/>
        </w:rPr>
      </w:pPr>
    </w:p>
    <w:p>
      <w:pPr>
        <w:keepNext w:val="0"/>
        <w:keepLines w:val="0"/>
        <w:pageBreakBefore w:val="0"/>
        <w:widowControl w:val="0"/>
        <w:kinsoku/>
        <w:overflowPunct/>
        <w:topLinePunct w:val="0"/>
        <w:bidi w:val="0"/>
        <w:jc w:val="center"/>
        <w:textAlignment w:val="auto"/>
        <w:rPr>
          <w:rFonts w:ascii="黑体" w:hAnsi="黑体" w:eastAsia="黑体"/>
          <w:sz w:val="28"/>
          <w:szCs w:val="28"/>
        </w:rPr>
      </w:pPr>
    </w:p>
    <w:p>
      <w:pPr>
        <w:keepNext w:val="0"/>
        <w:keepLines w:val="0"/>
        <w:pageBreakBefore w:val="0"/>
        <w:widowControl w:val="0"/>
        <w:kinsoku/>
        <w:overflowPunct/>
        <w:topLinePunct w:val="0"/>
        <w:bidi w:val="0"/>
        <w:textAlignment w:val="auto"/>
        <w:rPr>
          <w:sz w:val="72"/>
          <w:szCs w:val="72"/>
        </w:rPr>
      </w:pPr>
    </w:p>
    <w:p>
      <w:pPr>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keepNext w:val="0"/>
        <w:keepLines w:val="0"/>
        <w:pageBreakBefore w:val="0"/>
        <w:widowControl w:val="0"/>
        <w:kinsoku/>
        <w:overflowPunct/>
        <w:topLinePunct w:val="0"/>
        <w:bidi w:val="0"/>
        <w:jc w:val="center"/>
        <w:textAlignment w:val="auto"/>
        <w:rPr>
          <w:sz w:val="72"/>
          <w:szCs w:val="72"/>
        </w:rPr>
      </w:pPr>
    </w:p>
    <w:p>
      <w:pPr>
        <w:keepNext w:val="0"/>
        <w:keepLines w:val="0"/>
        <w:pageBreakBefore w:val="0"/>
        <w:widowControl w:val="0"/>
        <w:kinsoku/>
        <w:overflowPunct/>
        <w:topLinePunct w:val="0"/>
        <w:bidi w:val="0"/>
        <w:jc w:val="center"/>
        <w:textAlignment w:val="auto"/>
        <w:rPr>
          <w:sz w:val="72"/>
          <w:szCs w:val="72"/>
        </w:rPr>
      </w:pPr>
    </w:p>
    <w:p>
      <w:pPr>
        <w:keepNext w:val="0"/>
        <w:keepLines w:val="0"/>
        <w:pageBreakBefore w:val="0"/>
        <w:widowControl w:val="0"/>
        <w:kinsoku/>
        <w:overflowPunct/>
        <w:topLinePunct w:val="0"/>
        <w:bidi w:val="0"/>
        <w:jc w:val="center"/>
        <w:textAlignment w:val="auto"/>
        <w:rPr>
          <w:sz w:val="72"/>
          <w:szCs w:val="72"/>
        </w:rPr>
      </w:pPr>
    </w:p>
    <w:p>
      <w:pPr>
        <w:keepNext w:val="0"/>
        <w:keepLines w:val="0"/>
        <w:pageBreakBefore w:val="0"/>
        <w:widowControl w:val="0"/>
        <w:kinsoku/>
        <w:overflowPunct/>
        <w:topLinePunct w:val="0"/>
        <w:bidi w:val="0"/>
        <w:jc w:val="center"/>
        <w:textAlignment w:val="auto"/>
        <w:rPr>
          <w:sz w:val="72"/>
          <w:szCs w:val="72"/>
        </w:rPr>
      </w:pPr>
    </w:p>
    <w:p>
      <w:pPr>
        <w:keepNext w:val="0"/>
        <w:keepLines w:val="0"/>
        <w:pageBreakBefore w:val="0"/>
        <w:widowControl w:val="0"/>
        <w:kinsoku/>
        <w:overflowPunct/>
        <w:topLinePunct w:val="0"/>
        <w:bidi w:val="0"/>
        <w:jc w:val="center"/>
        <w:textAlignment w:val="auto"/>
        <w:rPr>
          <w:sz w:val="72"/>
          <w:szCs w:val="72"/>
        </w:rPr>
      </w:pPr>
    </w:p>
    <w:p>
      <w:pPr>
        <w:keepNext w:val="0"/>
        <w:keepLines w:val="0"/>
        <w:pageBreakBefore w:val="0"/>
        <w:widowControl w:val="0"/>
        <w:kinsoku/>
        <w:overflowPunct/>
        <w:topLinePunct w:val="0"/>
        <w:bidi w:val="0"/>
        <w:spacing w:line="600" w:lineRule="exact"/>
        <w:ind w:firstLine="480" w:firstLineChars="150"/>
        <w:textAlignment w:val="auto"/>
        <w:rPr>
          <w:rFonts w:asciiTheme="minorEastAsia" w:hAnsiTheme="minorEastAsia"/>
          <w:bCs/>
          <w:kern w:val="0"/>
          <w:sz w:val="32"/>
          <w:szCs w:val="32"/>
        </w:rPr>
      </w:pPr>
    </w:p>
    <w:p>
      <w:pPr>
        <w:keepNext w:val="0"/>
        <w:keepLines w:val="0"/>
        <w:pageBreakBefore w:val="0"/>
        <w:widowControl w:val="0"/>
        <w:kinsoku/>
        <w:overflowPunct/>
        <w:topLinePunct w:val="0"/>
        <w:bidi w:val="0"/>
        <w:spacing w:line="600" w:lineRule="exact"/>
        <w:ind w:firstLine="640" w:firstLineChars="200"/>
        <w:textAlignment w:val="auto"/>
        <w:rPr>
          <w:rFonts w:asciiTheme="minorEastAsia" w:hAnsiTheme="minorEastAsia"/>
          <w:bCs/>
          <w:kern w:val="0"/>
          <w:sz w:val="32"/>
          <w:szCs w:val="32"/>
        </w:rPr>
        <w:sectPr>
          <w:footerReference r:id="rId3" w:type="default"/>
          <w:pgSz w:w="11906" w:h="16838"/>
          <w:pgMar w:top="720" w:right="720" w:bottom="720" w:left="720" w:header="851" w:footer="992" w:gutter="0"/>
          <w:pgNumType w:fmt="numberInDash" w:start="1"/>
          <w:cols w:space="425" w:num="1"/>
          <w:docGrid w:type="lines" w:linePitch="312" w:charSpace="0"/>
        </w:sectPr>
      </w:pPr>
      <w:r>
        <w:rPr>
          <w:rFonts w:hint="eastAsia" w:asciiTheme="minorEastAsia" w:hAnsiTheme="minorEastAsia"/>
          <w:bCs/>
          <w:kern w:val="0"/>
          <w:sz w:val="32"/>
          <w:szCs w:val="32"/>
        </w:rPr>
        <w:t>见附件一：湖南省社会科学院（湖南省人民政府发展研究中心）2022年度部门决算</w:t>
      </w:r>
      <w:r>
        <w:rPr>
          <w:rFonts w:hint="eastAsia" w:asciiTheme="minorEastAsia" w:hAnsiTheme="minorEastAsia"/>
          <w:bCs/>
          <w:kern w:val="0"/>
          <w:sz w:val="32"/>
          <w:szCs w:val="32"/>
          <w:lang w:eastAsia="zh-CN"/>
        </w:rPr>
        <w:t>公开</w:t>
      </w:r>
      <w:r>
        <w:rPr>
          <w:rFonts w:hint="eastAsia" w:asciiTheme="minorEastAsia" w:hAnsiTheme="minorEastAsia"/>
          <w:bCs/>
          <w:kern w:val="0"/>
          <w:sz w:val="32"/>
          <w:szCs w:val="32"/>
        </w:rPr>
        <w:t>表</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0"/>
          <w:szCs w:val="70"/>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keepNext w:val="0"/>
        <w:keepLines w:val="0"/>
        <w:pageBreakBefore w:val="0"/>
        <w:widowControl w:val="0"/>
        <w:kinsoku/>
        <w:overflowPunct/>
        <w:topLinePunct w:val="0"/>
        <w:bidi w:val="0"/>
        <w:jc w:val="left"/>
        <w:textAlignment w:val="auto"/>
        <w:rPr>
          <w:rFonts w:asciiTheme="minorEastAsia" w:hAnsiTheme="minorEastAsia"/>
          <w:sz w:val="32"/>
          <w:szCs w:val="32"/>
        </w:rPr>
        <w:sectPr>
          <w:pgSz w:w="11906" w:h="16838"/>
          <w:pgMar w:top="720" w:right="720" w:bottom="720" w:left="720" w:header="851" w:footer="992" w:gutter="0"/>
          <w:pgNumType w:fmt="numberInDash"/>
          <w:cols w:space="425" w:num="1"/>
          <w:docGrid w:type="lines" w:linePitch="312" w:charSpace="0"/>
        </w:sectPr>
      </w:pPr>
    </w:p>
    <w:p>
      <w:pPr>
        <w:keepNext w:val="0"/>
        <w:keepLines w:val="0"/>
        <w:pageBreakBefore w:val="0"/>
        <w:widowControl w:val="0"/>
        <w:kinsoku/>
        <w:overflowPunct/>
        <w:topLinePunct w:val="0"/>
        <w:bidi w:val="0"/>
        <w:ind w:firstLine="640" w:firstLineChars="200"/>
        <w:jc w:val="left"/>
        <w:textAlignment w:val="auto"/>
        <w:rPr>
          <w:rFonts w:ascii="黑体" w:hAnsi="黑体" w:eastAsia="黑体" w:cs="黑体"/>
          <w:bCs/>
          <w:color w:val="000000"/>
          <w:kern w:val="0"/>
          <w:sz w:val="32"/>
          <w:szCs w:val="32"/>
        </w:rPr>
      </w:pPr>
      <w:r>
        <w:rPr>
          <w:rFonts w:hint="eastAsia" w:ascii="黑体" w:hAnsi="黑体" w:eastAsia="黑体" w:cs="黑体"/>
          <w:bCs/>
          <w:color w:val="000000"/>
          <w:kern w:val="0"/>
          <w:sz w:val="32"/>
          <w:szCs w:val="32"/>
        </w:rPr>
        <w:t>一、收入支出决算总体情况说明</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color w:val="FF0000"/>
          <w:sz w:val="32"/>
          <w:szCs w:val="32"/>
        </w:rPr>
      </w:pPr>
      <w:r>
        <w:rPr>
          <w:rFonts w:hint="eastAsia" w:ascii="Times New Roman" w:hAnsi="Times New Roman" w:eastAsia="仿宋_GB2312"/>
          <w:sz w:val="32"/>
          <w:szCs w:val="32"/>
        </w:rPr>
        <w:t>2022年度收、支总计10109.22万元。与上年相比，减少</w:t>
      </w:r>
      <w:r>
        <w:rPr>
          <w:rFonts w:hint="eastAsia" w:ascii="Times New Roman" w:hAnsi="Times New Roman" w:eastAsia="仿宋_GB2312"/>
          <w:color w:val="auto"/>
          <w:sz w:val="32"/>
          <w:szCs w:val="32"/>
        </w:rPr>
        <w:t>234.07万元，减少2.26%，主要是因为</w:t>
      </w:r>
      <w:r>
        <w:rPr>
          <w:rFonts w:hint="eastAsia" w:ascii="Times New Roman" w:hAnsi="Times New Roman" w:eastAsia="仿宋_GB2312"/>
          <w:color w:val="auto"/>
          <w:sz w:val="32"/>
          <w:szCs w:val="32"/>
          <w:lang w:eastAsia="zh-CN"/>
        </w:rPr>
        <w:t>我院（中心）加快合理统筹规划结转结余资金的使用，</w:t>
      </w:r>
      <w:r>
        <w:rPr>
          <w:rFonts w:hint="eastAsia" w:ascii="Times New Roman" w:hAnsi="Times New Roman" w:eastAsia="仿宋_GB2312"/>
          <w:color w:val="auto"/>
          <w:sz w:val="32"/>
          <w:szCs w:val="32"/>
          <w:lang w:val="en-US" w:eastAsia="zh-CN"/>
        </w:rPr>
        <w:t>2022</w:t>
      </w:r>
      <w:r>
        <w:rPr>
          <w:rFonts w:hint="eastAsia" w:ascii="Times New Roman" w:hAnsi="Times New Roman" w:eastAsia="仿宋_GB2312"/>
          <w:color w:val="auto"/>
          <w:sz w:val="32"/>
          <w:szCs w:val="32"/>
        </w:rPr>
        <w:t>年初结转结余资金较</w:t>
      </w:r>
      <w:r>
        <w:rPr>
          <w:rFonts w:hint="eastAsia" w:ascii="Times New Roman" w:hAnsi="Times New Roman" w:eastAsia="仿宋_GB2312"/>
          <w:color w:val="auto"/>
          <w:sz w:val="32"/>
          <w:szCs w:val="32"/>
          <w:lang w:val="en-US" w:eastAsia="zh-CN"/>
        </w:rPr>
        <w:t>2021年有所</w:t>
      </w:r>
      <w:r>
        <w:rPr>
          <w:rFonts w:hint="eastAsia" w:ascii="Times New Roman" w:hAnsi="Times New Roman" w:eastAsia="仿宋_GB2312"/>
          <w:color w:val="auto"/>
          <w:sz w:val="32"/>
          <w:szCs w:val="32"/>
        </w:rPr>
        <w:t>减少。</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二、收入决算情况说明</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2022年度收入合计8792.71万元，其中：财政拨款收入7402.48万元，占84.19%；上级补助收入0万元，占0%；事业收入1332.58万元，占15.16%；经营收入0万元，占0%；附属单位上缴收入0万元，占0%；其他收入57.65万元，占0.65%。</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三、支出决算情况说明</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2022年度支出合计8032.67万元，其中：基本支出5458.32万元，占67.95%；项目支出2574.35万元，占32.05%；上缴上级支出0万元，占0%；经营支出0万元，占0%；对附属单位补助支出0万元，占0%。</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四、财政拨款收入支出决算总体情况说明</w:t>
      </w:r>
    </w:p>
    <w:p>
      <w:pPr>
        <w:keepNext w:val="0"/>
        <w:keepLines w:val="0"/>
        <w:pageBreakBefore w:val="0"/>
        <w:widowControl w:val="0"/>
        <w:kinsoku/>
        <w:overflowPunct/>
        <w:topLinePunct w:val="0"/>
        <w:bidi w:val="0"/>
        <w:spacing w:before="211" w:line="349" w:lineRule="auto"/>
        <w:ind w:left="3" w:firstLine="636"/>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 2022年度财政拨款收、支总计7704.45万元，与上年相比，增加1429.9万元,增长22.79%，主要是因为：</w:t>
      </w:r>
      <w:r>
        <w:rPr>
          <w:rFonts w:hint="eastAsia" w:ascii="仿宋_GB2312" w:hAnsi="仿宋_GB2312" w:eastAsia="仿宋_GB2312" w:cs="仿宋_GB2312"/>
          <w:sz w:val="32"/>
          <w:szCs w:val="32"/>
        </w:rPr>
        <w:t>一是</w:t>
      </w:r>
      <w:r>
        <w:rPr>
          <w:rFonts w:hint="eastAsia" w:ascii="仿宋_GB2312" w:hAnsi="仿宋_GB2312" w:eastAsia="仿宋_GB2312" w:cs="仿宋_GB2312"/>
          <w:bCs/>
          <w:sz w:val="32"/>
          <w:szCs w:val="32"/>
        </w:rPr>
        <w:t>根据《关于省人民政府发展研究中心（省人民政府政务服务中心）机构改革有关事项的通知》（湘编</w:t>
      </w:r>
      <w:r>
        <w:rPr>
          <w:rFonts w:hint="eastAsia" w:ascii="Times New Roman" w:hAnsi="Times New Roman" w:eastAsia="Times New Roman" w:cs="Times New Roman"/>
          <w:spacing w:val="6"/>
          <w:sz w:val="31"/>
          <w:szCs w:val="31"/>
        </w:rPr>
        <w:t>〔2022〕5</w:t>
      </w:r>
      <w:r>
        <w:rPr>
          <w:rFonts w:hint="eastAsia" w:ascii="仿宋_GB2312" w:hAnsi="仿宋_GB2312" w:eastAsia="仿宋_GB2312" w:cs="仿宋_GB2312"/>
          <w:bCs/>
          <w:sz w:val="32"/>
          <w:szCs w:val="32"/>
        </w:rPr>
        <w:t>号）文件精神和机构改革有关文件规定，</w:t>
      </w:r>
      <w:r>
        <w:rPr>
          <w:rFonts w:hint="eastAsia" w:ascii="Times New Roman" w:hAnsi="Times New Roman" w:eastAsia="仿宋_GB2312"/>
          <w:sz w:val="32"/>
          <w:szCs w:val="32"/>
        </w:rPr>
        <w:t>2022年</w:t>
      </w:r>
      <w:r>
        <w:rPr>
          <w:rFonts w:hint="eastAsia" w:ascii="Times New Roman" w:hAnsi="Times New Roman" w:eastAsia="仿宋_GB2312"/>
          <w:sz w:val="32"/>
          <w:szCs w:val="32"/>
          <w:lang w:val="en-US" w:eastAsia="zh-CN"/>
        </w:rPr>
        <w:t>5</w:t>
      </w:r>
      <w:r>
        <w:rPr>
          <w:rFonts w:hint="eastAsia" w:ascii="仿宋_GB2312" w:hAnsi="仿宋_GB2312" w:eastAsia="仿宋_GB2312" w:cs="仿宋_GB2312"/>
          <w:bCs/>
          <w:sz w:val="32"/>
          <w:szCs w:val="32"/>
        </w:rPr>
        <w:t>月，原省人民政府发展研究中心（省人民政府政务服务中心）</w:t>
      </w:r>
      <w:r>
        <w:rPr>
          <w:rFonts w:hint="eastAsia" w:ascii="Times New Roman" w:hAnsi="Times New Roman" w:eastAsia="Times New Roman" w:cs="Times New Roman"/>
          <w:spacing w:val="6"/>
          <w:sz w:val="31"/>
          <w:szCs w:val="31"/>
        </w:rPr>
        <w:t>31</w:t>
      </w:r>
      <w:r>
        <w:rPr>
          <w:rFonts w:hint="eastAsia" w:ascii="仿宋_GB2312" w:hAnsi="仿宋_GB2312" w:eastAsia="仿宋_GB2312" w:cs="仿宋_GB2312"/>
          <w:bCs/>
          <w:sz w:val="32"/>
          <w:szCs w:val="32"/>
        </w:rPr>
        <w:t>名人员转隶到省社科院（省政府发展研究中心）</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我院（中心）收到财政拨款转隶经费</w:t>
      </w:r>
      <w:r>
        <w:rPr>
          <w:rFonts w:hint="eastAsia" w:ascii="Times New Roman" w:hAnsi="Times New Roman" w:eastAsia="Times New Roman" w:cs="Times New Roman"/>
          <w:spacing w:val="6"/>
          <w:sz w:val="31"/>
          <w:szCs w:val="31"/>
        </w:rPr>
        <w:t>575.30</w:t>
      </w:r>
      <w:r>
        <w:rPr>
          <w:rFonts w:hint="eastAsia" w:ascii="仿宋_GB2312" w:hAnsi="仿宋_GB2312" w:eastAsia="仿宋_GB2312" w:cs="仿宋_GB2312"/>
          <w:bCs/>
          <w:sz w:val="32"/>
          <w:szCs w:val="32"/>
        </w:rPr>
        <w:t>万元</w:t>
      </w:r>
      <w:r>
        <w:rPr>
          <w:rFonts w:hint="eastAsia" w:ascii="仿宋_GB2312" w:hAnsi="仿宋_GB2312" w:eastAsia="仿宋_GB2312" w:cs="仿宋_GB2312"/>
          <w:sz w:val="32"/>
          <w:szCs w:val="32"/>
        </w:rPr>
        <w:t>；二是</w:t>
      </w:r>
      <w:r>
        <w:rPr>
          <w:rFonts w:hint="eastAsia" w:ascii="仿宋" w:hAnsi="仿宋" w:eastAsia="仿宋" w:cs="仿宋"/>
          <w:spacing w:val="5"/>
          <w:sz w:val="31"/>
          <w:szCs w:val="31"/>
          <w:lang w:val="en-US" w:eastAsia="zh-CN"/>
        </w:rPr>
        <w:t>新增了哲学社会科学创新工程、图书馆古籍保护与利用等专项经费。</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五、一般公共预算财政拨款支出决算情况说明</w:t>
      </w:r>
    </w:p>
    <w:p>
      <w:pPr>
        <w:pStyle w:val="13"/>
        <w:keepNext w:val="0"/>
        <w:keepLines w:val="0"/>
        <w:pageBreakBefore w:val="0"/>
        <w:widowControl w:val="0"/>
        <w:kinsoku/>
        <w:overflowPunct/>
        <w:topLinePunct w:val="0"/>
        <w:bidi w:val="0"/>
        <w:spacing w:line="600" w:lineRule="exact"/>
        <w:ind w:firstLine="480" w:firstLineChars="150"/>
        <w:textAlignment w:val="auto"/>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keepNext w:val="0"/>
        <w:keepLines w:val="0"/>
        <w:pageBreakBefore w:val="0"/>
        <w:widowControl w:val="0"/>
        <w:kinsoku/>
        <w:overflowPunct/>
        <w:topLinePunct w:val="0"/>
        <w:bidi w:val="0"/>
        <w:spacing w:before="211" w:line="349" w:lineRule="auto"/>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2022年度财政拨款支出6454.1万元，占本年支出合计的80.35%，与上年相比，财政拨款支出增加1099.99万元，增长20.54%，主要是因为机构改革和</w:t>
      </w:r>
      <w:r>
        <w:rPr>
          <w:rFonts w:hint="eastAsia" w:ascii="Times New Roman" w:hAnsi="Times New Roman" w:eastAsia="仿宋_GB2312"/>
          <w:sz w:val="32"/>
          <w:szCs w:val="32"/>
          <w:lang w:val="en-US" w:eastAsia="zh-CN"/>
        </w:rPr>
        <w:t>新增的项目经费使得支出有所增长</w:t>
      </w:r>
      <w:r>
        <w:rPr>
          <w:rFonts w:hint="eastAsia" w:ascii="Times New Roman" w:hAnsi="Times New Roman" w:eastAsia="仿宋_GB2312"/>
          <w:sz w:val="32"/>
          <w:szCs w:val="32"/>
        </w:rPr>
        <w:t>。</w:t>
      </w:r>
    </w:p>
    <w:p>
      <w:pPr>
        <w:pStyle w:val="13"/>
        <w:keepNext w:val="0"/>
        <w:keepLines w:val="0"/>
        <w:pageBreakBefore w:val="0"/>
        <w:widowControl w:val="0"/>
        <w:kinsoku/>
        <w:overflowPunct/>
        <w:topLinePunct w:val="0"/>
        <w:bidi w:val="0"/>
        <w:spacing w:line="600" w:lineRule="exact"/>
        <w:ind w:firstLine="480" w:firstLineChars="150"/>
        <w:textAlignment w:val="auto"/>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2022年度财政拨款支出6454.1万元，主要用于以下方面：一般公共服务（类）支出324.95万元，占5.03%；科学技术支出5190.46万元，占80.42%;社会保障和就业支出524.58万元，占8.13%；卫生健康支出79.96万元，占1.24%；农林水支出4.5万元，占0.07%；住房保障支出329.65万元，占5.11%。</w:t>
      </w:r>
    </w:p>
    <w:p>
      <w:pPr>
        <w:pStyle w:val="13"/>
        <w:keepNext w:val="0"/>
        <w:keepLines w:val="0"/>
        <w:pageBreakBefore w:val="0"/>
        <w:widowControl w:val="0"/>
        <w:kinsoku/>
        <w:overflowPunct/>
        <w:topLinePunct w:val="0"/>
        <w:bidi w:val="0"/>
        <w:spacing w:line="600" w:lineRule="exact"/>
        <w:ind w:firstLine="480" w:firstLineChars="150"/>
        <w:textAlignment w:val="auto"/>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2022年度财政拨款支出年初预算数为6261.83万元，支出决算数为6454.1万元，完成年初预算的103.07%，其中：</w:t>
      </w:r>
    </w:p>
    <w:p>
      <w:pPr>
        <w:pStyle w:val="13"/>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1.一般公共服务（类）政府办公厅（室）及相关机构事务（款）行政运行（项）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年初预算为0万元，支出决算为304.53万元，</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rPr>
        <w:t>决算数大于年初预算数的主要原因是：机构改革</w:t>
      </w:r>
      <w:r>
        <w:rPr>
          <w:rFonts w:hint="eastAsia" w:ascii="Times New Roman" w:hAnsi="Times New Roman" w:eastAsia="仿宋_GB2312"/>
          <w:sz w:val="32"/>
          <w:szCs w:val="32"/>
          <w:lang w:val="en-US" w:eastAsia="zh-CN"/>
        </w:rPr>
        <w:t>转隶经费年中拨付，并在当年形成部分支出</w:t>
      </w:r>
      <w:r>
        <w:rPr>
          <w:rFonts w:hint="eastAsia" w:ascii="Times New Roman" w:hAnsi="Times New Roman" w:eastAsia="仿宋_GB2312"/>
          <w:sz w:val="32"/>
          <w:szCs w:val="32"/>
        </w:rPr>
        <w:t>。</w:t>
      </w:r>
    </w:p>
    <w:p>
      <w:pPr>
        <w:pStyle w:val="13"/>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2.一般公共服务（类）发展与改革事务（款）其他发展与改革事务支出（项）</w:t>
      </w:r>
    </w:p>
    <w:p>
      <w:pPr>
        <w:pStyle w:val="13"/>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年初预算为29.81万元，支出决算为20.42万元，完成年初预算的68.50%。</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3.科学技术支出（类）基础研究（款）自然科学基金（项）</w:t>
      </w:r>
    </w:p>
    <w:p>
      <w:pPr>
        <w:pStyle w:val="13"/>
        <w:keepNext w:val="0"/>
        <w:keepLines w:val="0"/>
        <w:pageBreakBefore w:val="0"/>
        <w:widowControl w:val="0"/>
        <w:kinsoku/>
        <w:overflowPunct/>
        <w:topLinePunct w:val="0"/>
        <w:bidi w:val="0"/>
        <w:spacing w:line="600" w:lineRule="exact"/>
        <w:ind w:left="960" w:hanging="960" w:hangingChars="3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年初预算为10.3万元，支出决算为8.71万元，完成年初预</w:t>
      </w:r>
    </w:p>
    <w:p>
      <w:pPr>
        <w:pStyle w:val="13"/>
        <w:keepNext w:val="0"/>
        <w:keepLines w:val="0"/>
        <w:pageBreakBefore w:val="0"/>
        <w:widowControl w:val="0"/>
        <w:kinsoku/>
        <w:overflowPunct/>
        <w:topLinePunct w:val="0"/>
        <w:bidi w:val="0"/>
        <w:spacing w:line="600" w:lineRule="exact"/>
        <w:ind w:left="960" w:hanging="960" w:hangingChars="300"/>
        <w:textAlignment w:val="auto"/>
        <w:rPr>
          <w:rFonts w:ascii="Times New Roman" w:hAnsi="Times New Roman" w:eastAsia="仿宋_GB2312"/>
          <w:sz w:val="32"/>
          <w:szCs w:val="32"/>
        </w:rPr>
      </w:pPr>
      <w:r>
        <w:rPr>
          <w:rFonts w:hint="eastAsia" w:ascii="Times New Roman" w:hAnsi="Times New Roman" w:eastAsia="仿宋_GB2312"/>
          <w:sz w:val="32"/>
          <w:szCs w:val="32"/>
        </w:rPr>
        <w:t>算的84.56%。</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4.科学技术支出（类）应用研究（款）其他应用研究支出（项）</w:t>
      </w:r>
    </w:p>
    <w:p>
      <w:pPr>
        <w:pStyle w:val="13"/>
        <w:keepNext w:val="0"/>
        <w:keepLines w:val="0"/>
        <w:pageBreakBefore w:val="0"/>
        <w:widowControl w:val="0"/>
        <w:kinsoku/>
        <w:overflowPunct/>
        <w:topLinePunct w:val="0"/>
        <w:bidi w:val="0"/>
        <w:spacing w:line="600" w:lineRule="exact"/>
        <w:ind w:left="960" w:hanging="960" w:hangingChars="3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年初预算为17.94万元，支出决算为13.8万元，完成年初预</w:t>
      </w:r>
    </w:p>
    <w:p>
      <w:pPr>
        <w:pStyle w:val="13"/>
        <w:keepNext w:val="0"/>
        <w:keepLines w:val="0"/>
        <w:pageBreakBefore w:val="0"/>
        <w:widowControl w:val="0"/>
        <w:kinsoku/>
        <w:overflowPunct/>
        <w:topLinePunct w:val="0"/>
        <w:bidi w:val="0"/>
        <w:spacing w:line="600" w:lineRule="exact"/>
        <w:ind w:left="960" w:hanging="960" w:hangingChars="300"/>
        <w:textAlignment w:val="auto"/>
        <w:rPr>
          <w:rFonts w:ascii="Times New Roman" w:hAnsi="Times New Roman" w:eastAsia="仿宋_GB2312"/>
          <w:sz w:val="32"/>
          <w:szCs w:val="32"/>
        </w:rPr>
      </w:pPr>
      <w:r>
        <w:rPr>
          <w:rFonts w:hint="eastAsia" w:ascii="Times New Roman" w:hAnsi="Times New Roman" w:eastAsia="仿宋_GB2312"/>
          <w:sz w:val="32"/>
          <w:szCs w:val="32"/>
        </w:rPr>
        <w:t>算的76.92%。</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5.科学技术支出（类）科技条件与服务（款）其他科技条件与服务支出（项）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年初预算为0万元，支出决算为21.33万元，</w:t>
      </w:r>
      <w:r>
        <w:rPr>
          <w:rFonts w:hint="eastAsia" w:ascii="Times New Roman" w:hAnsi="Times New Roman" w:eastAsia="仿宋_GB2312"/>
          <w:sz w:val="32"/>
          <w:szCs w:val="32"/>
          <w:lang w:eastAsia="zh-CN"/>
        </w:rPr>
        <w:t>决算数大于预算数的原因是：年中追加创新型省份建设专项资金课题经费。</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6.科学技术支出（类）社会科学（款）社会科学研究机构（项）</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年初预算为5298.84万元，支出决算为4838.44万元，完成年初预算的91.31%。</w:t>
      </w:r>
    </w:p>
    <w:p>
      <w:pPr>
        <w:pStyle w:val="13"/>
        <w:keepNext w:val="0"/>
        <w:keepLines w:val="0"/>
        <w:pageBreakBefore w:val="0"/>
        <w:widowControl w:val="0"/>
        <w:kinsoku/>
        <w:overflowPunct/>
        <w:topLinePunct w:val="0"/>
        <w:bidi w:val="0"/>
        <w:spacing w:line="600" w:lineRule="exact"/>
        <w:ind w:left="800"/>
        <w:textAlignment w:val="auto"/>
        <w:rPr>
          <w:rFonts w:ascii="Times New Roman" w:hAnsi="Times New Roman" w:eastAsia="仿宋_GB2312"/>
          <w:sz w:val="32"/>
          <w:szCs w:val="32"/>
        </w:rPr>
      </w:pPr>
      <w:r>
        <w:rPr>
          <w:rFonts w:hint="eastAsia" w:ascii="Times New Roman" w:hAnsi="Times New Roman" w:eastAsia="仿宋_GB2312"/>
          <w:sz w:val="32"/>
          <w:szCs w:val="32"/>
        </w:rPr>
        <w:t>7.科学技术支出（类）社会科学（款）其他社会科学支出</w:t>
      </w:r>
    </w:p>
    <w:p>
      <w:pPr>
        <w:pStyle w:val="13"/>
        <w:keepNext w:val="0"/>
        <w:keepLines w:val="0"/>
        <w:pageBreakBefore w:val="0"/>
        <w:widowControl w:val="0"/>
        <w:kinsoku/>
        <w:overflowPunct/>
        <w:topLinePunct w:val="0"/>
        <w:bidi w:val="0"/>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color w:val="FF0000"/>
          <w:sz w:val="32"/>
          <w:szCs w:val="32"/>
          <w:lang w:eastAsia="zh-CN"/>
        </w:rPr>
      </w:pPr>
      <w:r>
        <w:rPr>
          <w:rFonts w:hint="eastAsia" w:ascii="Times New Roman" w:hAnsi="Times New Roman" w:eastAsia="仿宋_GB2312"/>
          <w:sz w:val="32"/>
          <w:szCs w:val="32"/>
        </w:rPr>
        <w:t>年初预算为60.07万元，支出决算为121.46万元，完成年初预算的202.20%</w:t>
      </w:r>
      <w:r>
        <w:rPr>
          <w:rFonts w:hint="eastAsia" w:ascii="Times New Roman" w:hAnsi="Times New Roman" w:eastAsia="仿宋_GB2312"/>
          <w:sz w:val="32"/>
          <w:szCs w:val="32"/>
          <w:lang w:eastAsia="zh-CN"/>
        </w:rPr>
        <w:t>，决算数大于预算数的原因是：年中追加了省社会科学成果评审委员会及智库课题经费、哲学社会科学创新工程经费、省级智库建设经费。</w:t>
      </w:r>
    </w:p>
    <w:p>
      <w:pPr>
        <w:pStyle w:val="13"/>
        <w:keepNext w:val="0"/>
        <w:keepLines w:val="0"/>
        <w:pageBreakBefore w:val="0"/>
        <w:widowControl w:val="0"/>
        <w:kinsoku/>
        <w:overflowPunct/>
        <w:topLinePunct w:val="0"/>
        <w:bidi w:val="0"/>
        <w:spacing w:line="600" w:lineRule="exact"/>
        <w:ind w:left="800"/>
        <w:textAlignment w:val="auto"/>
        <w:rPr>
          <w:rFonts w:ascii="Times New Roman" w:hAnsi="Times New Roman" w:eastAsia="仿宋_GB2312"/>
          <w:sz w:val="32"/>
          <w:szCs w:val="32"/>
        </w:rPr>
      </w:pPr>
      <w:r>
        <w:rPr>
          <w:rFonts w:hint="eastAsia" w:ascii="Times New Roman" w:hAnsi="Times New Roman" w:eastAsia="仿宋_GB2312"/>
          <w:sz w:val="32"/>
          <w:szCs w:val="32"/>
        </w:rPr>
        <w:t>8.科学技术支出（类）其他科学技术支出（款）其他科学</w:t>
      </w:r>
    </w:p>
    <w:p>
      <w:pPr>
        <w:pStyle w:val="13"/>
        <w:keepNext w:val="0"/>
        <w:keepLines w:val="0"/>
        <w:pageBreakBefore w:val="0"/>
        <w:widowControl w:val="0"/>
        <w:kinsoku/>
        <w:overflowPunct/>
        <w:topLinePunct w:val="0"/>
        <w:bidi w:val="0"/>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技术支出（项）</w:t>
      </w:r>
    </w:p>
    <w:p>
      <w:pPr>
        <w:pStyle w:val="13"/>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color w:val="FF0000"/>
          <w:sz w:val="32"/>
          <w:szCs w:val="32"/>
        </w:rPr>
      </w:pPr>
      <w:r>
        <w:rPr>
          <w:rFonts w:hint="eastAsia" w:ascii="Times New Roman" w:hAnsi="Times New Roman" w:eastAsia="仿宋_GB2312"/>
          <w:sz w:val="32"/>
          <w:szCs w:val="32"/>
        </w:rPr>
        <w:t>年初预算为134.37万元，支出决算为186.72万元，完成年初预算的138.96%</w:t>
      </w:r>
      <w:r>
        <w:rPr>
          <w:rFonts w:hint="eastAsia" w:ascii="Times New Roman" w:hAnsi="Times New Roman" w:eastAsia="仿宋_GB2312"/>
          <w:sz w:val="32"/>
          <w:szCs w:val="32"/>
          <w:lang w:eastAsia="zh-CN"/>
        </w:rPr>
        <w:t>，决算数大于预算数的原因是：年中追加了大院及办公楼环境建设专项经费。</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9.社会保障和就业支出（类）行政事业单位养老支出（款）</w:t>
      </w:r>
    </w:p>
    <w:p>
      <w:pPr>
        <w:pStyle w:val="13"/>
        <w:keepNext w:val="0"/>
        <w:keepLines w:val="0"/>
        <w:pageBreakBefore w:val="0"/>
        <w:widowControl w:val="0"/>
        <w:kinsoku/>
        <w:overflowPunct/>
        <w:topLinePunct w:val="0"/>
        <w:bidi w:val="0"/>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事业单位离退休（项）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年初预算为124万元，支出决算为204.8万元，完成年初预算的165.16%</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决算数大于预算数的原因是：2022年1月份垫支了按政策应在2021年支付的部分人员经费。</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10.社会保障和就业支出（类）行政事业单位养老支出（款）机关事业单位基本养老保险缴费支出（项）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年初预算为286.5万元，支出决算为306.8万元，完成年初预算的107.09%</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决算数大于预算数的原因是：新进人员的保险类支出在年中追加并形成支出。</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11.社会保障和就业支出（类）抚恤（款）死亡抚恤（项）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年初预算为0万元，支出决算为12.5万元，</w:t>
      </w:r>
      <w:r>
        <w:rPr>
          <w:rFonts w:hint="eastAsia" w:ascii="Times New Roman" w:hAnsi="Times New Roman" w:eastAsia="仿宋_GB2312"/>
          <w:sz w:val="32"/>
          <w:szCs w:val="32"/>
          <w:lang w:val="en-US" w:eastAsia="zh-CN"/>
        </w:rPr>
        <w:t>决算数大于预算数的原因是：年初我院（中心）并未编制当年无法预计的抚恤类经费支出。</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12.社会保障和就业支出（类）其他社会保障和就业支出（款）其他社会保障和就业支出（项）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color w:val="FF0000"/>
          <w:sz w:val="32"/>
          <w:szCs w:val="32"/>
          <w:lang w:eastAsia="zh-CN"/>
        </w:rPr>
      </w:pPr>
      <w:r>
        <w:rPr>
          <w:rFonts w:hint="eastAsia" w:ascii="Times New Roman" w:hAnsi="Times New Roman" w:eastAsia="仿宋_GB2312"/>
          <w:color w:val="auto"/>
          <w:sz w:val="32"/>
          <w:szCs w:val="32"/>
        </w:rPr>
        <w:t>年初预算为0万元，支出决算为0.48万元，</w:t>
      </w:r>
      <w:r>
        <w:rPr>
          <w:rFonts w:hint="eastAsia" w:ascii="Times New Roman" w:hAnsi="Times New Roman" w:eastAsia="仿宋_GB2312"/>
          <w:color w:val="auto"/>
          <w:sz w:val="32"/>
          <w:szCs w:val="32"/>
          <w:lang w:val="en-US" w:eastAsia="zh-CN"/>
        </w:rPr>
        <w:t>决算数大于预算数的原因是：年中追加</w:t>
      </w:r>
      <w:r>
        <w:rPr>
          <w:rFonts w:hint="eastAsia" w:ascii="Times New Roman" w:hAnsi="Times New Roman" w:eastAsia="仿宋_GB2312"/>
          <w:color w:val="auto"/>
          <w:sz w:val="32"/>
          <w:szCs w:val="32"/>
          <w:lang w:eastAsia="zh-CN"/>
        </w:rPr>
        <w:t>建国初期参加革命工作的部分退休干部生活补贴和医疗补贴提标资金</w:t>
      </w:r>
      <w:r>
        <w:rPr>
          <w:rFonts w:hint="eastAsia" w:ascii="Times New Roman" w:hAnsi="Times New Roman" w:eastAsia="仿宋_GB2312"/>
          <w:color w:val="auto"/>
          <w:sz w:val="32"/>
          <w:szCs w:val="32"/>
          <w:lang w:val="en-US" w:eastAsia="zh-CN"/>
        </w:rPr>
        <w:t>0.48万元</w:t>
      </w:r>
      <w:r>
        <w:rPr>
          <w:rFonts w:hint="eastAsia" w:ascii="Times New Roman" w:hAnsi="Times New Roman" w:eastAsia="仿宋_GB2312"/>
          <w:color w:val="auto"/>
          <w:sz w:val="32"/>
          <w:szCs w:val="32"/>
          <w:lang w:eastAsia="zh-CN"/>
        </w:rPr>
        <w:t>。</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13.卫生健康支出（类）行政事业单位医疗（款）事业单位医疗（项）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年初预算为0万元，支出决算为79.16万元，</w:t>
      </w:r>
      <w:r>
        <w:rPr>
          <w:rFonts w:hint="eastAsia" w:ascii="Times New Roman" w:hAnsi="Times New Roman" w:eastAsia="仿宋_GB2312"/>
          <w:sz w:val="32"/>
          <w:szCs w:val="32"/>
          <w:lang w:val="en-US" w:eastAsia="zh-CN"/>
        </w:rPr>
        <w:t>支出决算数大于预算数的原因是：年中追加了医疗费指标，并在当年形成支出。</w:t>
      </w:r>
    </w:p>
    <w:p>
      <w:pPr>
        <w:pStyle w:val="13"/>
        <w:keepNext w:val="0"/>
        <w:keepLines w:val="0"/>
        <w:pageBreakBefore w:val="0"/>
        <w:widowControl w:val="0"/>
        <w:tabs>
          <w:tab w:val="left" w:pos="312"/>
        </w:tabs>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14.卫生健康支出（类）其他卫生健康支出（款）其他卫生健康支出（项）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default" w:ascii="Times New Roman" w:hAnsi="Times New Roman" w:eastAsia="仿宋_GB2312"/>
          <w:color w:val="FF0000"/>
          <w:sz w:val="32"/>
          <w:szCs w:val="32"/>
          <w:lang w:val="en-US" w:eastAsia="zh-CN"/>
        </w:rPr>
      </w:pPr>
      <w:r>
        <w:rPr>
          <w:rFonts w:hint="eastAsia" w:ascii="Times New Roman" w:hAnsi="Times New Roman" w:eastAsia="仿宋_GB2312"/>
          <w:color w:val="auto"/>
          <w:sz w:val="32"/>
          <w:szCs w:val="32"/>
        </w:rPr>
        <w:t>年初预算为0万元，支出决算为0.8万元，</w:t>
      </w:r>
      <w:r>
        <w:rPr>
          <w:rFonts w:hint="eastAsia" w:ascii="Times New Roman" w:hAnsi="Times New Roman" w:eastAsia="仿宋_GB2312"/>
          <w:sz w:val="32"/>
          <w:szCs w:val="32"/>
          <w:lang w:val="en-US" w:eastAsia="zh-CN"/>
        </w:rPr>
        <w:t>决算数大于预算数的原因是：年中追加了建国初期参加革命工作的部分退休干部生活补贴和医疗补贴提标资金0.8万元。</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15.农林水支出（类）其他农林水支出（款）其他农林水支出（项）</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年初预算为0万元，支出决算为4.5万元，</w:t>
      </w:r>
      <w:r>
        <w:rPr>
          <w:rFonts w:hint="eastAsia" w:ascii="Times New Roman" w:hAnsi="Times New Roman" w:eastAsia="仿宋_GB2312"/>
          <w:sz w:val="32"/>
          <w:szCs w:val="32"/>
          <w:lang w:val="en-US" w:eastAsia="zh-CN"/>
        </w:rPr>
        <w:t>支出决算数大于预算数的原因是：年中追加了</w:t>
      </w:r>
      <w:r>
        <w:rPr>
          <w:rFonts w:hint="eastAsia" w:ascii="Times New Roman" w:hAnsi="Times New Roman" w:eastAsia="仿宋_GB2312"/>
          <w:sz w:val="32"/>
          <w:szCs w:val="32"/>
          <w:lang w:eastAsia="zh-CN"/>
        </w:rPr>
        <w:t>农村职业教育服务乡村振兴战略的研究与应用项目课题经费。</w:t>
      </w:r>
    </w:p>
    <w:p>
      <w:pPr>
        <w:pStyle w:val="13"/>
        <w:keepNext w:val="0"/>
        <w:keepLines w:val="0"/>
        <w:pageBreakBefore w:val="0"/>
        <w:widowControl w:val="0"/>
        <w:kinsoku/>
        <w:overflowPunct/>
        <w:topLinePunct w:val="0"/>
        <w:bidi w:val="0"/>
        <w:spacing w:line="600" w:lineRule="exact"/>
        <w:ind w:left="210" w:leftChars="100"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16.住房保障支出（类）住房改革支出（款）住房公积金（项）</w:t>
      </w:r>
    </w:p>
    <w:p>
      <w:pPr>
        <w:pStyle w:val="13"/>
        <w:keepNext w:val="0"/>
        <w:keepLines w:val="0"/>
        <w:pageBreakBefore w:val="0"/>
        <w:widowControl w:val="0"/>
        <w:kinsoku/>
        <w:overflowPunct/>
        <w:topLinePunct w:val="0"/>
        <w:bidi w:val="0"/>
        <w:spacing w:line="600" w:lineRule="exact"/>
        <w:ind w:left="80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年初预算为300万元，支出决算为329.65万元，完成年初</w:t>
      </w:r>
    </w:p>
    <w:p>
      <w:pPr>
        <w:pStyle w:val="13"/>
        <w:keepNext w:val="0"/>
        <w:keepLines w:val="0"/>
        <w:pageBreakBefore w:val="0"/>
        <w:widowControl w:val="0"/>
        <w:kinsoku/>
        <w:overflowPunct/>
        <w:topLinePunct w:val="0"/>
        <w:bidi w:val="0"/>
        <w:spacing w:line="600" w:lineRule="exac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预算的109.88%</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支出决算数大于预算数是新进人员的住房公积金支出在年中追加并形成支出。</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eastAsia="zh-CN"/>
        </w:rPr>
        <w:t>整体</w:t>
      </w:r>
      <w:r>
        <w:rPr>
          <w:rFonts w:hint="eastAsia" w:ascii="Times New Roman" w:hAnsi="Times New Roman" w:eastAsia="仿宋_GB2312"/>
          <w:sz w:val="32"/>
          <w:szCs w:val="32"/>
        </w:rPr>
        <w:t>支出决算数小于预算数是由于科研项目研究具有长期性和复杂性，本年度不一定能全部完成，因此会出现经费结转下年度使用的现象。</w:t>
      </w:r>
    </w:p>
    <w:p>
      <w:pPr>
        <w:pStyle w:val="13"/>
        <w:keepNext w:val="0"/>
        <w:keepLines w:val="0"/>
        <w:pageBreakBefore w:val="0"/>
        <w:widowControl w:val="0"/>
        <w:kinsoku/>
        <w:overflowPunct/>
        <w:topLinePunct w:val="0"/>
        <w:bidi w:val="0"/>
        <w:spacing w:line="600" w:lineRule="exact"/>
        <w:ind w:firstLine="960" w:firstLineChars="300"/>
        <w:textAlignment w:val="auto"/>
        <w:rPr>
          <w:rFonts w:hAnsi="黑体"/>
          <w:bCs/>
          <w:sz w:val="32"/>
          <w:szCs w:val="32"/>
        </w:rPr>
      </w:pPr>
      <w:r>
        <w:rPr>
          <w:rFonts w:hint="eastAsia" w:hAnsi="黑体"/>
          <w:bCs/>
          <w:sz w:val="32"/>
          <w:szCs w:val="32"/>
        </w:rPr>
        <w:t>六、一般公共预算财政拨款基本支出决算情况说明</w:t>
      </w:r>
    </w:p>
    <w:p>
      <w:pPr>
        <w:pStyle w:val="13"/>
        <w:keepNext w:val="0"/>
        <w:keepLines w:val="0"/>
        <w:pageBreakBefore w:val="0"/>
        <w:widowControl w:val="0"/>
        <w:kinsoku/>
        <w:overflowPunct/>
        <w:topLinePunct w:val="0"/>
        <w:bidi w:val="0"/>
        <w:spacing w:line="600" w:lineRule="exact"/>
        <w:ind w:firstLine="960" w:firstLineChars="300"/>
        <w:textAlignment w:val="auto"/>
        <w:rPr>
          <w:rFonts w:ascii="Times New Roman" w:hAnsi="Times New Roman" w:eastAsia="仿宋_GB2312"/>
          <w:sz w:val="32"/>
          <w:szCs w:val="32"/>
        </w:rPr>
      </w:pPr>
      <w:r>
        <w:rPr>
          <w:rFonts w:hint="eastAsia" w:ascii="Times New Roman" w:hAnsi="Times New Roman" w:eastAsia="仿宋_GB2312"/>
          <w:sz w:val="32"/>
          <w:szCs w:val="32"/>
        </w:rPr>
        <w:t>2022年度财政拨款基本支出5117.57万元，其中：</w:t>
      </w:r>
    </w:p>
    <w:p>
      <w:pPr>
        <w:pStyle w:val="13"/>
        <w:keepNext w:val="0"/>
        <w:keepLines w:val="0"/>
        <w:pageBreakBefore w:val="0"/>
        <w:widowControl w:val="0"/>
        <w:kinsoku/>
        <w:overflowPunct/>
        <w:topLinePunct w:val="0"/>
        <w:bidi w:val="0"/>
        <w:spacing w:line="600" w:lineRule="exact"/>
        <w:ind w:firstLine="964" w:firstLineChars="300"/>
        <w:textAlignment w:val="auto"/>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4755.62万元，占基本支出的92.93%,主要包括基本工资、津贴补贴</w:t>
      </w:r>
      <w:r>
        <w:rPr>
          <w:rFonts w:ascii="仿宋" w:hAnsi="仿宋" w:eastAsia="仿宋" w:cs="仿宋"/>
          <w:spacing w:val="8"/>
          <w:sz w:val="31"/>
          <w:szCs w:val="31"/>
        </w:rPr>
        <w:t>、绩效工资、机关事业单位基本养老保险缴费、</w:t>
      </w:r>
      <w:r>
        <w:rPr>
          <w:rFonts w:hint="eastAsia" w:ascii="仿宋" w:hAnsi="仿宋" w:eastAsia="仿宋" w:cs="仿宋"/>
          <w:spacing w:val="8"/>
          <w:sz w:val="31"/>
          <w:szCs w:val="31"/>
        </w:rPr>
        <w:t>公务员医疗补助缴费、</w:t>
      </w:r>
      <w:r>
        <w:rPr>
          <w:rFonts w:ascii="仿宋" w:hAnsi="仿宋" w:eastAsia="仿宋" w:cs="仿宋"/>
          <w:spacing w:val="8"/>
          <w:sz w:val="31"/>
          <w:szCs w:val="31"/>
        </w:rPr>
        <w:t>职工基本医疗保险缴费、其他社会保障缴费、住房公积金、医疗费、其他工资福利支出、离休费、抚恤金、</w:t>
      </w:r>
      <w:r>
        <w:rPr>
          <w:rFonts w:hint="eastAsia" w:ascii="仿宋" w:hAnsi="仿宋" w:eastAsia="仿宋" w:cs="仿宋"/>
          <w:spacing w:val="8"/>
          <w:sz w:val="31"/>
          <w:szCs w:val="31"/>
        </w:rPr>
        <w:t>生活补助、</w:t>
      </w:r>
      <w:r>
        <w:rPr>
          <w:rFonts w:ascii="仿宋" w:hAnsi="仿宋" w:eastAsia="仿宋" w:cs="仿宋"/>
          <w:spacing w:val="8"/>
          <w:sz w:val="31"/>
          <w:szCs w:val="31"/>
        </w:rPr>
        <w:t>医疗费补</w:t>
      </w:r>
      <w:r>
        <w:rPr>
          <w:rFonts w:ascii="仿宋" w:hAnsi="仿宋" w:eastAsia="仿宋" w:cs="仿宋"/>
          <w:spacing w:val="-2"/>
          <w:sz w:val="31"/>
          <w:szCs w:val="31"/>
        </w:rPr>
        <w:t>助、奖励金、其他对个人和家庭的补助支出</w:t>
      </w:r>
      <w:r>
        <w:rPr>
          <w:rFonts w:hint="eastAsia" w:ascii="Times New Roman" w:hAnsi="Times New Roman" w:eastAsia="仿宋_GB2312"/>
          <w:sz w:val="32"/>
          <w:szCs w:val="32"/>
        </w:rPr>
        <w:t>。</w:t>
      </w:r>
    </w:p>
    <w:p>
      <w:pPr>
        <w:pStyle w:val="13"/>
        <w:keepNext w:val="0"/>
        <w:keepLines w:val="0"/>
        <w:pageBreakBefore w:val="0"/>
        <w:widowControl w:val="0"/>
        <w:kinsoku/>
        <w:overflowPunct/>
        <w:topLinePunct w:val="0"/>
        <w:bidi w:val="0"/>
        <w:spacing w:line="600" w:lineRule="exact"/>
        <w:ind w:firstLine="964" w:firstLineChars="300"/>
        <w:textAlignment w:val="auto"/>
        <w:rPr>
          <w:rFonts w:ascii="仿宋" w:hAnsi="仿宋" w:eastAsia="仿宋" w:cs="仿宋"/>
          <w:spacing w:val="8"/>
          <w:sz w:val="31"/>
          <w:szCs w:val="31"/>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361.95万元，</w:t>
      </w:r>
      <w:r>
        <w:rPr>
          <w:rFonts w:hint="eastAsia" w:ascii="仿宋" w:hAnsi="仿宋" w:eastAsia="仿宋" w:cs="仿宋"/>
          <w:spacing w:val="8"/>
          <w:sz w:val="31"/>
          <w:szCs w:val="31"/>
        </w:rPr>
        <w:t>占基本支出的7.07%，主要包括包括办公费、印刷费、水费、电费、邮电费、咨询费、物业管理费、差旅费、维修（护）费、会议费、培训费、公务接待费、劳务费、工会经费、公务用车运行维护费、其他交通费用、其他商品和服务支出。</w:t>
      </w:r>
    </w:p>
    <w:p>
      <w:pPr>
        <w:pStyle w:val="13"/>
        <w:keepNext w:val="0"/>
        <w:keepLines w:val="0"/>
        <w:pageBreakBefore w:val="0"/>
        <w:widowControl w:val="0"/>
        <w:numPr>
          <w:ilvl w:val="0"/>
          <w:numId w:val="1"/>
        </w:numPr>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财政拨款三公经费支出决算情况说明</w:t>
      </w:r>
    </w:p>
    <w:p>
      <w:pPr>
        <w:pStyle w:val="13"/>
        <w:keepNext w:val="0"/>
        <w:keepLines w:val="0"/>
        <w:pageBreakBefore w:val="0"/>
        <w:widowControl w:val="0"/>
        <w:kinsoku/>
        <w:overflowPunct/>
        <w:topLinePunct w:val="0"/>
        <w:bidi w:val="0"/>
        <w:spacing w:line="600" w:lineRule="exact"/>
        <w:ind w:firstLine="643" w:firstLineChars="200"/>
        <w:textAlignment w:val="auto"/>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3"/>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“三公”经费财政拨款支出预算为27万元，支出决算为20.46万元，完成预算的75.78%，其中：</w:t>
      </w:r>
    </w:p>
    <w:p>
      <w:pPr>
        <w:pStyle w:val="13"/>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因公出国（境）费支出预算为0万元，支出决算为0万元，与上年一致。</w:t>
      </w:r>
    </w:p>
    <w:p>
      <w:pPr>
        <w:pStyle w:val="13"/>
        <w:keepNext w:val="0"/>
        <w:keepLines w:val="0"/>
        <w:pageBreakBefore w:val="0"/>
        <w:widowControl w:val="0"/>
        <w:kinsoku/>
        <w:overflowPunct/>
        <w:topLinePunct w:val="0"/>
        <w:bidi w:val="0"/>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公务接待费支出预算为7万元，支出决算为0.55万元，完成预算的7.86%，决算数小于预算数的主要原因是</w:t>
      </w:r>
      <w:r>
        <w:rPr>
          <w:rFonts w:hint="eastAsia" w:ascii="Times New Roman" w:hAnsi="Times New Roman" w:eastAsia="仿宋_GB2312"/>
          <w:color w:val="auto"/>
          <w:sz w:val="32"/>
          <w:szCs w:val="32"/>
          <w:lang w:eastAsia="zh-CN"/>
        </w:rPr>
        <w:t>我院（中心）</w:t>
      </w:r>
      <w:r>
        <w:rPr>
          <w:rFonts w:ascii="仿宋" w:hAnsi="仿宋" w:eastAsia="仿宋" w:cs="仿宋"/>
          <w:color w:val="auto"/>
          <w:spacing w:val="8"/>
          <w:sz w:val="31"/>
          <w:szCs w:val="31"/>
        </w:rPr>
        <w:t>认真贯彻落实中央</w:t>
      </w:r>
      <w:r>
        <w:rPr>
          <w:rFonts w:ascii="Times New Roman" w:hAnsi="Times New Roman" w:eastAsia="Times New Roman" w:cs="Times New Roman"/>
          <w:color w:val="auto"/>
          <w:spacing w:val="8"/>
          <w:sz w:val="31"/>
          <w:szCs w:val="31"/>
        </w:rPr>
        <w:t>“</w:t>
      </w:r>
      <w:r>
        <w:rPr>
          <w:rFonts w:ascii="Times New Roman" w:hAnsi="Times New Roman" w:eastAsia="Times New Roman" w:cs="Times New Roman"/>
          <w:color w:val="auto"/>
          <w:spacing w:val="-58"/>
          <w:sz w:val="31"/>
          <w:szCs w:val="31"/>
        </w:rPr>
        <w:t xml:space="preserve"> </w:t>
      </w:r>
      <w:r>
        <w:rPr>
          <w:rFonts w:ascii="仿宋" w:hAnsi="仿宋" w:eastAsia="仿宋" w:cs="仿宋"/>
          <w:color w:val="auto"/>
          <w:spacing w:val="8"/>
          <w:sz w:val="31"/>
          <w:szCs w:val="31"/>
        </w:rPr>
        <w:t>八项规定</w:t>
      </w:r>
      <w:r>
        <w:rPr>
          <w:rFonts w:ascii="Times New Roman" w:hAnsi="Times New Roman" w:eastAsia="Times New Roman" w:cs="Times New Roman"/>
          <w:color w:val="auto"/>
          <w:spacing w:val="8"/>
          <w:sz w:val="31"/>
          <w:szCs w:val="31"/>
        </w:rPr>
        <w:t>”</w:t>
      </w:r>
      <w:r>
        <w:rPr>
          <w:rFonts w:ascii="仿宋" w:hAnsi="仿宋" w:eastAsia="仿宋" w:cs="仿宋"/>
          <w:color w:val="auto"/>
          <w:spacing w:val="8"/>
          <w:sz w:val="31"/>
          <w:szCs w:val="31"/>
        </w:rPr>
        <w:t>精神和厉行节约要求</w:t>
      </w:r>
      <w:r>
        <w:rPr>
          <w:rFonts w:hint="eastAsia" w:ascii="仿宋" w:hAnsi="仿宋" w:eastAsia="仿宋" w:cs="仿宋"/>
          <w:color w:val="auto"/>
          <w:spacing w:val="8"/>
          <w:sz w:val="31"/>
          <w:szCs w:val="31"/>
        </w:rPr>
        <w:t>，</w:t>
      </w:r>
      <w:r>
        <w:rPr>
          <w:rFonts w:ascii="仿宋" w:hAnsi="仿宋" w:eastAsia="仿宋" w:cs="仿宋"/>
          <w:color w:val="auto"/>
          <w:spacing w:val="8"/>
          <w:sz w:val="31"/>
          <w:szCs w:val="31"/>
        </w:rPr>
        <w:t>进一步</w:t>
      </w:r>
      <w:r>
        <w:rPr>
          <w:rFonts w:ascii="仿宋" w:hAnsi="仿宋" w:eastAsia="仿宋" w:cs="仿宋"/>
          <w:color w:val="auto"/>
          <w:spacing w:val="7"/>
          <w:sz w:val="31"/>
          <w:szCs w:val="31"/>
        </w:rPr>
        <w:t>从严控制公务</w:t>
      </w:r>
      <w:r>
        <w:rPr>
          <w:rFonts w:ascii="仿宋" w:hAnsi="仿宋" w:eastAsia="仿宋" w:cs="仿宋"/>
          <w:color w:val="auto"/>
          <w:spacing w:val="9"/>
          <w:sz w:val="31"/>
          <w:szCs w:val="31"/>
        </w:rPr>
        <w:t>接待经费开支</w:t>
      </w:r>
      <w:r>
        <w:rPr>
          <w:rFonts w:hint="eastAsia" w:ascii="仿宋" w:hAnsi="仿宋" w:eastAsia="仿宋" w:cs="仿宋"/>
          <w:color w:val="auto"/>
          <w:spacing w:val="9"/>
          <w:sz w:val="31"/>
          <w:szCs w:val="31"/>
          <w:lang w:eastAsia="zh-CN"/>
        </w:rPr>
        <w:t>。</w:t>
      </w:r>
      <w:r>
        <w:rPr>
          <w:rFonts w:hint="eastAsia" w:ascii="仿宋" w:hAnsi="仿宋" w:eastAsia="仿宋" w:cs="仿宋"/>
          <w:color w:val="auto"/>
          <w:spacing w:val="8"/>
          <w:sz w:val="31"/>
          <w:szCs w:val="31"/>
          <w:lang w:val="en-US" w:eastAsia="zh-CN"/>
        </w:rPr>
        <w:t>该经费支出较</w:t>
      </w:r>
      <w:r>
        <w:rPr>
          <w:rFonts w:hint="eastAsia" w:ascii="Times New Roman" w:hAnsi="Times New Roman" w:eastAsia="仿宋_GB2312"/>
          <w:color w:val="auto"/>
          <w:sz w:val="32"/>
          <w:szCs w:val="32"/>
        </w:rPr>
        <w:t>上年相比减少0.45万元，减少45%</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减少的主要原因</w:t>
      </w:r>
      <w:r>
        <w:rPr>
          <w:rFonts w:hint="eastAsia" w:ascii="Times New Roman" w:hAnsi="Times New Roman" w:eastAsia="仿宋_GB2312"/>
          <w:color w:val="auto"/>
          <w:sz w:val="32"/>
          <w:szCs w:val="32"/>
          <w:lang w:eastAsia="zh-CN"/>
        </w:rPr>
        <w:t>是</w:t>
      </w:r>
      <w:r>
        <w:rPr>
          <w:rFonts w:hint="eastAsia" w:ascii="仿宋" w:hAnsi="仿宋" w:eastAsia="仿宋" w:cs="仿宋"/>
          <w:color w:val="auto"/>
          <w:spacing w:val="9"/>
          <w:sz w:val="31"/>
          <w:szCs w:val="31"/>
        </w:rPr>
        <w:t>受疫情防控因素的影响</w:t>
      </w:r>
      <w:r>
        <w:rPr>
          <w:rFonts w:hint="eastAsia" w:ascii="仿宋" w:hAnsi="仿宋" w:eastAsia="仿宋" w:cs="仿宋"/>
          <w:color w:val="auto"/>
          <w:spacing w:val="9"/>
          <w:sz w:val="31"/>
          <w:szCs w:val="31"/>
          <w:lang w:eastAsia="zh-CN"/>
        </w:rPr>
        <w:t>，</w:t>
      </w:r>
      <w:r>
        <w:rPr>
          <w:rFonts w:hint="eastAsia" w:ascii="仿宋" w:hAnsi="仿宋" w:eastAsia="仿宋" w:cs="仿宋"/>
          <w:color w:val="auto"/>
          <w:spacing w:val="9"/>
          <w:sz w:val="31"/>
          <w:szCs w:val="31"/>
          <w:lang w:val="en-US" w:eastAsia="zh-CN"/>
        </w:rPr>
        <w:t>大部分应正常开展的公务接待活动都延迟开展</w:t>
      </w:r>
      <w:r>
        <w:rPr>
          <w:rFonts w:hint="eastAsia" w:ascii="Times New Roman" w:hAnsi="Times New Roman" w:eastAsia="仿宋_GB2312"/>
          <w:color w:val="auto"/>
          <w:sz w:val="32"/>
          <w:szCs w:val="32"/>
        </w:rPr>
        <w:t>。</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公务用车购置费支出预算为0万元，支出决算为0万元，与上年一致。</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公务用车运行维护费支出预算为20万元，支出决算为19.91万元，完成预算的99.55%，与上年基本持平。</w:t>
      </w:r>
    </w:p>
    <w:p>
      <w:pPr>
        <w:pStyle w:val="13"/>
        <w:keepNext w:val="0"/>
        <w:keepLines w:val="0"/>
        <w:pageBreakBefore w:val="0"/>
        <w:widowControl w:val="0"/>
        <w:kinsoku/>
        <w:overflowPunct/>
        <w:topLinePunct w:val="0"/>
        <w:bidi w:val="0"/>
        <w:spacing w:line="600" w:lineRule="exact"/>
        <w:ind w:firstLine="643" w:firstLineChars="200"/>
        <w:textAlignment w:val="auto"/>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2022年度“三公”经费财政拨款支出决算中，公务接待费支出决算0.55万元，占2.69%,因公出国（境）费支出决算0万元，占0%,公务用车购置费及运行维护费支出决算19.91万元，占97.31%。其中：</w:t>
      </w:r>
    </w:p>
    <w:p>
      <w:pPr>
        <w:pStyle w:val="13"/>
        <w:keepNext w:val="0"/>
        <w:keepLines w:val="0"/>
        <w:pageBreakBefore w:val="0"/>
        <w:widowControl w:val="0"/>
        <w:kinsoku/>
        <w:overflowPunct/>
        <w:topLinePunct w:val="0"/>
        <w:bidi w:val="0"/>
        <w:spacing w:line="600" w:lineRule="exact"/>
        <w:ind w:firstLine="800" w:firstLineChars="250"/>
        <w:textAlignment w:val="auto"/>
        <w:rPr>
          <w:rFonts w:ascii="楷体" w:hAnsi="楷体" w:eastAsia="仿宋_GB2312" w:cs="楷体"/>
          <w:b/>
          <w:bCs/>
          <w:i/>
          <w:color w:val="auto"/>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因公出国（境）费支出决算为0万元，全年安排因公出国（境）团组0个，累计0人次。</w:t>
      </w:r>
    </w:p>
    <w:p>
      <w:pPr>
        <w:pStyle w:val="13"/>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公务接待费支出决算为0.55万元，全年共接待来访团组6个、来宾24人次，主要是全国其他社科院、中央广播电视台和中国经济时报来单位调研发生的接待支出。</w:t>
      </w:r>
    </w:p>
    <w:p>
      <w:pPr>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3</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公务用车购置费及运行维护费支出决算为19.91万元，其中：公务用车购置费0万元</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公务用车运行维护费19.91万元，主要是</w:t>
      </w:r>
      <w:r>
        <w:rPr>
          <w:rFonts w:ascii="仿宋" w:hAnsi="仿宋" w:eastAsia="仿宋" w:cs="仿宋"/>
          <w:spacing w:val="9"/>
          <w:sz w:val="31"/>
          <w:szCs w:val="31"/>
        </w:rPr>
        <w:t>公务用车维修</w:t>
      </w:r>
      <w:r>
        <w:rPr>
          <w:rFonts w:ascii="仿宋" w:hAnsi="仿宋" w:eastAsia="仿宋" w:cs="仿宋"/>
          <w:spacing w:val="8"/>
          <w:sz w:val="31"/>
          <w:szCs w:val="31"/>
        </w:rPr>
        <w:t>保养、</w:t>
      </w:r>
      <w:r>
        <w:rPr>
          <w:rFonts w:ascii="仿宋" w:hAnsi="仿宋" w:eastAsia="仿宋" w:cs="仿宋"/>
          <w:sz w:val="31"/>
          <w:szCs w:val="31"/>
        </w:rPr>
        <w:t xml:space="preserve"> </w:t>
      </w:r>
      <w:r>
        <w:rPr>
          <w:rFonts w:ascii="仿宋" w:hAnsi="仿宋" w:eastAsia="仿宋" w:cs="仿宋"/>
          <w:spacing w:val="5"/>
          <w:sz w:val="31"/>
          <w:szCs w:val="31"/>
        </w:rPr>
        <w:t>保险、加油等</w:t>
      </w:r>
      <w:r>
        <w:rPr>
          <w:rFonts w:hint="eastAsia" w:ascii="Times New Roman" w:hAnsi="Times New Roman" w:eastAsia="仿宋_GB2312"/>
          <w:sz w:val="32"/>
          <w:szCs w:val="32"/>
        </w:rPr>
        <w:t>支出，截止2022年12月31日，</w:t>
      </w:r>
      <w:r>
        <w:rPr>
          <w:rFonts w:hint="eastAsia" w:ascii="Times New Roman" w:hAnsi="Times New Roman" w:eastAsia="仿宋_GB2312"/>
          <w:sz w:val="32"/>
          <w:szCs w:val="32"/>
          <w:lang w:eastAsia="zh-CN"/>
        </w:rPr>
        <w:t>本部门</w:t>
      </w:r>
      <w:r>
        <w:rPr>
          <w:rFonts w:hint="eastAsia" w:ascii="Times New Roman" w:hAnsi="Times New Roman" w:eastAsia="仿宋_GB2312"/>
          <w:sz w:val="32"/>
          <w:szCs w:val="32"/>
        </w:rPr>
        <w:t>开支财政拨款的公务用车保有量为4辆。</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八、政府性基金预算收入支出决算情况</w:t>
      </w:r>
    </w:p>
    <w:p>
      <w:pPr>
        <w:keepNext w:val="0"/>
        <w:keepLines w:val="0"/>
        <w:pageBreakBefore w:val="0"/>
        <w:widowControl w:val="0"/>
        <w:kinsoku/>
        <w:overflowPunct/>
        <w:topLinePunct w:val="0"/>
        <w:bidi w:val="0"/>
        <w:spacing w:before="212" w:line="220" w:lineRule="auto"/>
        <w:ind w:firstLine="648" w:firstLineChars="200"/>
        <w:textAlignment w:val="auto"/>
        <w:rPr>
          <w:rFonts w:ascii="仿宋" w:hAnsi="仿宋" w:eastAsia="仿宋" w:cs="仿宋"/>
          <w:sz w:val="31"/>
          <w:szCs w:val="31"/>
        </w:rPr>
      </w:pPr>
      <w:r>
        <w:rPr>
          <w:rFonts w:ascii="仿宋" w:hAnsi="仿宋" w:eastAsia="仿宋" w:cs="仿宋"/>
          <w:spacing w:val="7"/>
          <w:sz w:val="31"/>
          <w:szCs w:val="31"/>
        </w:rPr>
        <w:t>本部门</w:t>
      </w:r>
      <w:r>
        <w:rPr>
          <w:rFonts w:ascii="仿宋" w:hAnsi="仿宋" w:eastAsia="仿宋" w:cs="仿宋"/>
          <w:spacing w:val="-53"/>
          <w:sz w:val="31"/>
          <w:szCs w:val="31"/>
        </w:rPr>
        <w:t xml:space="preserve"> </w:t>
      </w:r>
      <w:r>
        <w:rPr>
          <w:rFonts w:ascii="Times New Roman" w:hAnsi="Times New Roman" w:eastAsia="Times New Roman" w:cs="Times New Roman"/>
          <w:spacing w:val="7"/>
          <w:sz w:val="31"/>
          <w:szCs w:val="31"/>
        </w:rPr>
        <w:t xml:space="preserve">2022 </w:t>
      </w:r>
      <w:r>
        <w:rPr>
          <w:rFonts w:ascii="仿宋" w:hAnsi="仿宋" w:eastAsia="仿宋" w:cs="仿宋"/>
          <w:spacing w:val="7"/>
          <w:sz w:val="31"/>
          <w:szCs w:val="31"/>
        </w:rPr>
        <w:t>年度无政府性基金预算收入、支出。</w:t>
      </w:r>
    </w:p>
    <w:p>
      <w:pPr>
        <w:pStyle w:val="13"/>
        <w:keepNext w:val="0"/>
        <w:keepLines w:val="0"/>
        <w:pageBreakBefore w:val="0"/>
        <w:widowControl w:val="0"/>
        <w:kinsoku/>
        <w:overflowPunct/>
        <w:topLinePunct w:val="0"/>
        <w:bidi w:val="0"/>
        <w:ind w:firstLine="640" w:firstLineChars="200"/>
        <w:textAlignment w:val="auto"/>
        <w:rPr>
          <w:rFonts w:hAnsi="黑体"/>
          <w:bCs/>
          <w:sz w:val="32"/>
          <w:szCs w:val="32"/>
        </w:rPr>
      </w:pPr>
      <w:r>
        <w:rPr>
          <w:rFonts w:hint="eastAsia" w:hAnsi="黑体"/>
          <w:bCs/>
          <w:sz w:val="32"/>
          <w:szCs w:val="32"/>
        </w:rPr>
        <w:t>九、关于机关运行经费支出说明</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w:t>
      </w:r>
      <w:r>
        <w:rPr>
          <w:rFonts w:hint="eastAsia" w:ascii="Times New Roman" w:hAnsi="Times New Roman" w:eastAsia="仿宋_GB2312"/>
          <w:sz w:val="32"/>
          <w:szCs w:val="32"/>
          <w:lang w:eastAsia="zh-CN"/>
        </w:rPr>
        <w:t>为公益一类事业单位，无此项内容。</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十、一般性支出情况说明</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2022年本部门开支会议费6.05万元，用于召开德雅学术论坛会议</w:t>
      </w:r>
      <w:r>
        <w:rPr>
          <w:rFonts w:hint="eastAsia" w:ascii="Times New Roman" w:hAnsi="Times New Roman" w:eastAsia="仿宋_GB2312"/>
          <w:sz w:val="32"/>
          <w:szCs w:val="32"/>
          <w:lang w:eastAsia="zh-CN"/>
        </w:rPr>
        <w:t>、人才专委会成立大会、社科系列职称评审会议</w:t>
      </w:r>
      <w:r>
        <w:rPr>
          <w:rFonts w:hint="eastAsia" w:ascii="Times New Roman" w:hAnsi="Times New Roman" w:eastAsia="仿宋_GB2312"/>
          <w:sz w:val="32"/>
          <w:szCs w:val="32"/>
        </w:rPr>
        <w:t>等，</w:t>
      </w:r>
      <w:r>
        <w:rPr>
          <w:rFonts w:hint="eastAsia" w:ascii="Times New Roman" w:hAnsi="Times New Roman" w:eastAsia="仿宋_GB2312"/>
          <w:sz w:val="32"/>
          <w:szCs w:val="32"/>
          <w:lang w:val="en-US" w:eastAsia="zh-CN"/>
        </w:rPr>
        <w:t>参与人次约</w:t>
      </w:r>
      <w:r>
        <w:rPr>
          <w:rFonts w:hint="eastAsia" w:ascii="Times New Roman" w:hAnsi="Times New Roman" w:eastAsia="仿宋_GB2312"/>
          <w:sz w:val="32"/>
          <w:szCs w:val="32"/>
        </w:rPr>
        <w:t>800</w:t>
      </w:r>
      <w:r>
        <w:rPr>
          <w:rFonts w:hint="eastAsia" w:ascii="Times New Roman" w:hAnsi="Times New Roman" w:eastAsia="仿宋_GB2312"/>
          <w:sz w:val="32"/>
          <w:szCs w:val="32"/>
          <w:lang w:val="en-US" w:eastAsia="zh-CN"/>
        </w:rPr>
        <w:t>人</w:t>
      </w:r>
      <w:r>
        <w:rPr>
          <w:rFonts w:hint="eastAsia" w:ascii="Times New Roman" w:hAnsi="Times New Roman" w:eastAsia="仿宋_GB2312"/>
          <w:sz w:val="32"/>
          <w:szCs w:val="32"/>
        </w:rPr>
        <w:t>，内容为课题研究探讨、智库文章写作等；开支培训费6.29万元，主要用于省人社厅规定的事业人员专业技术培训支出，培训人数</w:t>
      </w:r>
      <w:r>
        <w:rPr>
          <w:rFonts w:hint="eastAsia" w:ascii="Times New Roman" w:hAnsi="Times New Roman" w:eastAsia="仿宋_GB2312"/>
          <w:sz w:val="32"/>
          <w:szCs w:val="32"/>
          <w:lang w:eastAsia="zh-CN"/>
        </w:rPr>
        <w:t>约</w:t>
      </w:r>
      <w:r>
        <w:rPr>
          <w:rFonts w:hint="eastAsia" w:ascii="Times New Roman" w:hAnsi="Times New Roman" w:eastAsia="仿宋_GB2312"/>
          <w:sz w:val="32"/>
          <w:szCs w:val="32"/>
        </w:rPr>
        <w:t>216人。</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十一、关于政府采购支出说明</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ascii="Times New Roman" w:hAnsi="Times New Roman" w:eastAsia="仿宋_GB2312"/>
          <w:sz w:val="32"/>
          <w:szCs w:val="32"/>
        </w:rPr>
        <w:t>本部门2022年度政府采购支出总额213.61万元，其中：政府采购货物支出173.22万元、政府采购工程支出8.11万元、政府采购服务支出32.28万元。授予中小企业合同金额213.61万元，占政府采购支出总额的100%，其中：授予小微企业合同金额185.11万元，占政府采购支出总额的86.66%。货物采购授予中小企业合同金额占货物支出金额的100%，工程采购授予中小企业合同金额占工程支出金额的100%，服务采购授予中小企业合同金额占服务支出金额的100%。</w:t>
      </w:r>
      <w:r>
        <w:rPr>
          <w:rFonts w:hint="eastAsia" w:ascii="楷体" w:hAnsi="楷体" w:eastAsia="楷体" w:cs="楷体"/>
          <w:b/>
          <w:bCs/>
          <w:i/>
          <w:color w:val="auto"/>
          <w:sz w:val="32"/>
          <w:szCs w:val="32"/>
        </w:rPr>
        <w:t xml:space="preserve">   </w:t>
      </w:r>
      <w:r>
        <w:rPr>
          <w:rFonts w:hint="eastAsia" w:ascii="楷体" w:hAnsi="楷体" w:eastAsia="楷体" w:cs="楷体"/>
          <w:b/>
          <w:bCs/>
          <w:color w:val="auto"/>
          <w:sz w:val="32"/>
          <w:szCs w:val="32"/>
        </w:rPr>
        <w:t xml:space="preserve">     </w:t>
      </w:r>
      <w:r>
        <w:rPr>
          <w:rFonts w:hint="eastAsia" w:hAnsi="黑体"/>
          <w:bCs/>
          <w:sz w:val="32"/>
          <w:szCs w:val="32"/>
        </w:rPr>
        <w:t xml:space="preserve">   </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hAnsi="黑体"/>
          <w:bCs/>
          <w:sz w:val="32"/>
          <w:szCs w:val="32"/>
        </w:rPr>
        <w:t>十二、关于国有资产占用情况说明</w:t>
      </w:r>
    </w:p>
    <w:p>
      <w:pPr>
        <w:pStyle w:val="13"/>
        <w:keepNext w:val="0"/>
        <w:keepLines w:val="0"/>
        <w:pageBreakBefore w:val="0"/>
        <w:widowControl w:val="0"/>
        <w:kinsoku/>
        <w:overflowPunct/>
        <w:topLinePunct w:val="0"/>
        <w:bidi w:val="0"/>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2022年12月31日，本单位共有车辆4辆，其中，主要领导干部用车1辆，机要通信用车1辆、应急保障用车1辆、执法执勤用车0辆、特种专业技术用车0辆、其他用车1辆，其他用车主要是离退休干部用车；单位价值50万元以上通用设备0台（套）；单位价值100万元以上专用设备0台（套）。</w:t>
      </w:r>
    </w:p>
    <w:p>
      <w:pPr>
        <w:pStyle w:val="13"/>
        <w:keepNext w:val="0"/>
        <w:keepLines w:val="0"/>
        <w:pageBreakBefore w:val="0"/>
        <w:widowControl w:val="0"/>
        <w:kinsoku/>
        <w:overflowPunct/>
        <w:topLinePunct w:val="0"/>
        <w:bidi w:val="0"/>
        <w:spacing w:line="600" w:lineRule="exact"/>
        <w:ind w:firstLine="640" w:firstLineChars="200"/>
        <w:textAlignment w:val="auto"/>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见附件二：湖南省社会科学院（湖南省人民政府发展研究中心）2022年整体支出绩效自评报告</w:t>
      </w:r>
    </w:p>
    <w:p>
      <w:pPr>
        <w:pStyle w:val="13"/>
        <w:keepNext w:val="0"/>
        <w:keepLines w:val="0"/>
        <w:pageBreakBefore w:val="0"/>
        <w:widowControl w:val="0"/>
        <w:kinsoku/>
        <w:overflowPunct/>
        <w:topLinePunct w:val="0"/>
        <w:bidi w:val="0"/>
        <w:spacing w:line="600" w:lineRule="exact"/>
        <w:ind w:firstLine="640" w:firstLineChars="200"/>
        <w:textAlignment w:val="auto"/>
        <w:rPr>
          <w:rFonts w:hint="eastAsia" w:ascii="Times New Roman" w:hAnsi="Times New Roman" w:eastAsia="仿宋_GB2312"/>
          <w:sz w:val="32"/>
          <w:szCs w:val="32"/>
        </w:rPr>
      </w:pPr>
    </w:p>
    <w:p>
      <w:pPr>
        <w:pStyle w:val="13"/>
        <w:keepNext w:val="0"/>
        <w:keepLines w:val="0"/>
        <w:pageBreakBefore w:val="0"/>
        <w:widowControl w:val="0"/>
        <w:kinsoku/>
        <w:overflowPunct/>
        <w:topLinePunct w:val="0"/>
        <w:bidi w:val="0"/>
        <w:jc w:val="center"/>
        <w:textAlignment w:val="auto"/>
        <w:rPr>
          <w:rFonts w:ascii="楷体" w:hAnsi="楷体" w:eastAsia="楷体" w:cs="楷体"/>
          <w:b/>
          <w:bCs/>
          <w:sz w:val="32"/>
          <w:szCs w:val="32"/>
        </w:rPr>
      </w:pPr>
    </w:p>
    <w:p>
      <w:pPr>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p>
    <w:p>
      <w:pPr>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p>
    <w:p>
      <w:pPr>
        <w:keepNext w:val="0"/>
        <w:keepLines w:val="0"/>
        <w:pageBreakBefore w:val="0"/>
        <w:widowControl w:val="0"/>
        <w:kinsoku/>
        <w:overflowPunct/>
        <w:topLinePunct w:val="0"/>
        <w:bidi w:val="0"/>
        <w:spacing w:line="600" w:lineRule="exact"/>
        <w:ind w:firstLine="800" w:firstLineChars="250"/>
        <w:textAlignment w:val="auto"/>
        <w:rPr>
          <w:rFonts w:ascii="Times New Roman" w:hAnsi="Times New Roman" w:eastAsia="仿宋_GB2312"/>
          <w:sz w:val="32"/>
          <w:szCs w:val="32"/>
        </w:rPr>
      </w:pPr>
    </w:p>
    <w:p>
      <w:pPr>
        <w:keepNext w:val="0"/>
        <w:keepLines w:val="0"/>
        <w:pageBreakBefore w:val="0"/>
        <w:widowControl w:val="0"/>
        <w:kinsoku/>
        <w:overflowPunct/>
        <w:topLinePunct w:val="0"/>
        <w:bidi w:val="0"/>
        <w:spacing w:line="600" w:lineRule="exact"/>
        <w:ind w:firstLine="803" w:firstLineChars="250"/>
        <w:textAlignment w:val="auto"/>
        <w:rPr>
          <w:rFonts w:ascii="楷体" w:hAnsi="楷体" w:eastAsia="楷体" w:cs="楷体"/>
          <w:b/>
          <w:bCs/>
          <w:i/>
          <w:kern w:val="0"/>
          <w:sz w:val="32"/>
          <w:szCs w:val="32"/>
        </w:rPr>
        <w:sectPr>
          <w:footerReference r:id="rId4" w:type="default"/>
          <w:pgSz w:w="11906" w:h="16839"/>
          <w:pgMar w:top="1431" w:right="1611" w:bottom="1126" w:left="1593" w:header="0" w:footer="848" w:gutter="0"/>
          <w:pgNumType w:fmt="numberInDash"/>
          <w:cols w:space="720" w:num="1"/>
        </w:sectPr>
      </w:pPr>
    </w:p>
    <w:p>
      <w:pPr>
        <w:pStyle w:val="13"/>
        <w:keepNext w:val="0"/>
        <w:keepLines w:val="0"/>
        <w:pageBreakBefore w:val="0"/>
        <w:widowControl w:val="0"/>
        <w:kinsoku/>
        <w:overflowPunct/>
        <w:topLinePunct w:val="0"/>
        <w:bidi w:val="0"/>
        <w:jc w:val="center"/>
        <w:textAlignment w:val="auto"/>
        <w:rPr>
          <w:rFonts w:ascii="楷体" w:hAnsi="楷体" w:eastAsia="楷体" w:cs="楷体"/>
          <w:b/>
          <w:bCs/>
          <w:sz w:val="32"/>
          <w:szCs w:val="32"/>
        </w:rPr>
      </w:pPr>
    </w:p>
    <w:p>
      <w:pPr>
        <w:pStyle w:val="13"/>
        <w:keepNext w:val="0"/>
        <w:keepLines w:val="0"/>
        <w:pageBreakBefore w:val="0"/>
        <w:widowControl w:val="0"/>
        <w:kinsoku/>
        <w:overflowPunct/>
        <w:topLinePunct w:val="0"/>
        <w:bidi w:val="0"/>
        <w:jc w:val="center"/>
        <w:textAlignment w:val="auto"/>
        <w:rPr>
          <w:rFonts w:ascii="楷体" w:hAnsi="楷体" w:eastAsia="楷体" w:cs="楷体"/>
          <w:b/>
          <w:bCs/>
          <w:sz w:val="32"/>
          <w:szCs w:val="32"/>
        </w:rPr>
      </w:pPr>
    </w:p>
    <w:p>
      <w:pPr>
        <w:pStyle w:val="13"/>
        <w:keepNext w:val="0"/>
        <w:keepLines w:val="0"/>
        <w:pageBreakBefore w:val="0"/>
        <w:widowControl w:val="0"/>
        <w:kinsoku/>
        <w:overflowPunct/>
        <w:topLinePunct w:val="0"/>
        <w:bidi w:val="0"/>
        <w:jc w:val="center"/>
        <w:textAlignment w:val="auto"/>
        <w:rPr>
          <w:rFonts w:ascii="楷体" w:hAnsi="楷体" w:eastAsia="楷体" w:cs="楷体"/>
          <w:b/>
          <w:bCs/>
          <w:sz w:val="32"/>
          <w:szCs w:val="32"/>
        </w:rPr>
      </w:pPr>
    </w:p>
    <w:p>
      <w:pPr>
        <w:pStyle w:val="13"/>
        <w:keepNext w:val="0"/>
        <w:keepLines w:val="0"/>
        <w:pageBreakBefore w:val="0"/>
        <w:widowControl w:val="0"/>
        <w:kinsoku/>
        <w:overflowPunct/>
        <w:topLinePunct w:val="0"/>
        <w:bidi w:val="0"/>
        <w:jc w:val="center"/>
        <w:textAlignment w:val="auto"/>
        <w:rPr>
          <w:rFonts w:ascii="楷体" w:hAnsi="楷体" w:eastAsia="楷体" w:cs="楷体"/>
          <w:b/>
          <w:bCs/>
          <w:sz w:val="32"/>
          <w:szCs w:val="32"/>
        </w:rPr>
      </w:pPr>
    </w:p>
    <w:p>
      <w:pPr>
        <w:pStyle w:val="13"/>
        <w:keepNext w:val="0"/>
        <w:keepLines w:val="0"/>
        <w:pageBreakBefore w:val="0"/>
        <w:widowControl w:val="0"/>
        <w:kinsoku/>
        <w:overflowPunct/>
        <w:topLinePunct w:val="0"/>
        <w:bidi w:val="0"/>
        <w:textAlignment w:val="auto"/>
        <w:rPr>
          <w:rFonts w:ascii="楷体" w:hAnsi="楷体" w:eastAsia="楷体" w:cs="楷体"/>
          <w:b/>
          <w:bCs/>
          <w:sz w:val="32"/>
          <w:szCs w:val="32"/>
        </w:rPr>
      </w:pPr>
    </w:p>
    <w:p>
      <w:pPr>
        <w:pStyle w:val="13"/>
        <w:keepNext w:val="0"/>
        <w:keepLines w:val="0"/>
        <w:pageBreakBefore w:val="0"/>
        <w:widowControl w:val="0"/>
        <w:kinsoku/>
        <w:overflowPunct/>
        <w:topLinePunct w:val="0"/>
        <w:bidi w:val="0"/>
        <w:jc w:val="center"/>
        <w:textAlignment w:val="auto"/>
        <w:rPr>
          <w:rFonts w:ascii="楷体" w:hAnsi="楷体" w:eastAsia="楷体" w:cs="楷体"/>
          <w:b/>
          <w:bCs/>
          <w:sz w:val="32"/>
          <w:szCs w:val="32"/>
        </w:rPr>
      </w:pPr>
    </w:p>
    <w:p>
      <w:pPr>
        <w:pStyle w:val="13"/>
        <w:keepNext w:val="0"/>
        <w:keepLines w:val="0"/>
        <w:pageBreakBefore w:val="0"/>
        <w:widowControl w:val="0"/>
        <w:kinsoku/>
        <w:overflowPunct/>
        <w:topLinePunct w:val="0"/>
        <w:bidi w:val="0"/>
        <w:jc w:val="center"/>
        <w:textAlignment w:val="auto"/>
        <w:rPr>
          <w:rFonts w:ascii="楷体" w:hAnsi="楷体" w:eastAsia="楷体" w:cs="楷体"/>
          <w:b/>
          <w:bCs/>
          <w:sz w:val="32"/>
          <w:szCs w:val="3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color w:val="000000"/>
          <w:kern w:val="0"/>
          <w:sz w:val="70"/>
          <w:szCs w:val="70"/>
        </w:rPr>
      </w:pPr>
    </w:p>
    <w:p>
      <w:pPr>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keepNext w:val="0"/>
        <w:keepLines w:val="0"/>
        <w:pageBreakBefore w:val="0"/>
        <w:widowControl w:val="0"/>
        <w:kinsoku/>
        <w:overflowPunct/>
        <w:topLinePunct w:val="0"/>
        <w:bidi w:val="0"/>
        <w:jc w:val="left"/>
        <w:textAlignment w:val="auto"/>
        <w:rPr>
          <w:rFonts w:cs="黑体" w:asciiTheme="minorEastAsia" w:hAnsiTheme="minorEastAsia"/>
          <w:color w:val="000000"/>
          <w:kern w:val="0"/>
          <w:sz w:val="32"/>
          <w:szCs w:val="32"/>
        </w:rPr>
      </w:pPr>
      <w:r>
        <w:br w:type="page"/>
      </w:r>
    </w:p>
    <w:p>
      <w:pPr>
        <w:keepNext w:val="0"/>
        <w:keepLines w:val="0"/>
        <w:pageBreakBefore w:val="0"/>
        <w:widowControl w:val="0"/>
        <w:kinsoku/>
        <w:overflowPunct/>
        <w:topLinePunct w:val="0"/>
        <w:bidi w:val="0"/>
        <w:snapToGrid w:val="0"/>
        <w:spacing w:line="520" w:lineRule="exact"/>
        <w:ind w:firstLine="640" w:firstLineChars="200"/>
        <w:textAlignment w:val="auto"/>
        <w:rPr>
          <w:rFonts w:ascii="Times New Roman" w:hAnsi="Times New Roman" w:eastAsia="仿宋_GB2312" w:cs="黑体"/>
          <w:color w:val="000000"/>
          <w:kern w:val="0"/>
          <w:sz w:val="32"/>
          <w:szCs w:val="32"/>
        </w:rPr>
      </w:pPr>
      <w:r>
        <w:rPr>
          <w:rFonts w:hint="eastAsia" w:ascii="Times New Roman" w:hAnsi="Times New Roman" w:eastAsia="仿宋_GB2312" w:cs="黑体"/>
          <w:b/>
          <w:color w:val="000000"/>
          <w:kern w:val="0"/>
          <w:sz w:val="32"/>
          <w:szCs w:val="32"/>
        </w:rPr>
        <w:t>一、社会科学研究：</w:t>
      </w:r>
      <w:r>
        <w:rPr>
          <w:rFonts w:hint="eastAsia" w:ascii="Times New Roman" w:hAnsi="Times New Roman" w:eastAsia="仿宋_GB2312" w:cs="黑体"/>
          <w:color w:val="000000"/>
          <w:kern w:val="0"/>
          <w:sz w:val="32"/>
          <w:szCs w:val="32"/>
        </w:rPr>
        <w:t>反映社会科学研究机构部门用于社会科学研究方面的支出。  </w:t>
      </w:r>
    </w:p>
    <w:p>
      <w:pPr>
        <w:keepNext w:val="0"/>
        <w:keepLines w:val="0"/>
        <w:pageBreakBefore w:val="0"/>
        <w:widowControl w:val="0"/>
        <w:kinsoku/>
        <w:overflowPunct/>
        <w:topLinePunct w:val="0"/>
        <w:bidi w:val="0"/>
        <w:snapToGrid w:val="0"/>
        <w:spacing w:line="520" w:lineRule="exact"/>
        <w:ind w:firstLine="640" w:firstLineChars="200"/>
        <w:textAlignment w:val="auto"/>
        <w:rPr>
          <w:rFonts w:ascii="Times New Roman" w:hAnsi="Times New Roman" w:eastAsia="仿宋_GB2312" w:cs="黑体"/>
          <w:color w:val="000000"/>
          <w:kern w:val="0"/>
          <w:sz w:val="32"/>
          <w:szCs w:val="32"/>
        </w:rPr>
      </w:pPr>
      <w:r>
        <w:rPr>
          <w:rFonts w:hint="eastAsia" w:ascii="Times New Roman" w:hAnsi="Times New Roman" w:eastAsia="仿宋_GB2312" w:cs="黑体"/>
          <w:b/>
          <w:color w:val="000000"/>
          <w:kern w:val="0"/>
          <w:sz w:val="32"/>
          <w:szCs w:val="32"/>
        </w:rPr>
        <w:t>二、“三公”经费：</w:t>
      </w:r>
      <w:r>
        <w:rPr>
          <w:rFonts w:hint="eastAsia" w:ascii="Times New Roman" w:hAnsi="Times New Roman" w:eastAsia="仿宋_GB2312" w:cs="黑体"/>
          <w:color w:val="000000"/>
          <w:kern w:val="0"/>
          <w:sz w:val="32"/>
          <w:szCs w:val="32"/>
        </w:rPr>
        <w:t>指通过财政拨款资金安排的因公出国（境）费、公务用车购置及运行费和公务接待费支出。其中，因公出国(境)费反映单位公务出国(境)的国际旅费、国外城市间交通费、住宿费、伙食费、培训费、公杂费等支出;公务用车购置及运行费反映单位公务用车车辆购置支出(含车辆购置税)及燃料费、维修费、过路过桥费、保险费用等支出; 公务接待费反映单位按规定开支的各类公务接待(含外宾接待)支出。  </w:t>
      </w:r>
    </w:p>
    <w:p>
      <w:pPr>
        <w:keepNext w:val="0"/>
        <w:keepLines w:val="0"/>
        <w:pageBreakBefore w:val="0"/>
        <w:widowControl w:val="0"/>
        <w:kinsoku/>
        <w:overflowPunct/>
        <w:topLinePunct w:val="0"/>
        <w:bidi w:val="0"/>
        <w:snapToGrid w:val="0"/>
        <w:spacing w:line="520" w:lineRule="exact"/>
        <w:ind w:firstLine="640" w:firstLineChars="200"/>
        <w:textAlignment w:val="auto"/>
        <w:rPr>
          <w:rFonts w:ascii="Times New Roman" w:hAnsi="Times New Roman" w:eastAsia="仿宋_GB2312" w:cs="黑体"/>
          <w:color w:val="000000"/>
          <w:kern w:val="0"/>
          <w:sz w:val="32"/>
          <w:szCs w:val="32"/>
        </w:rPr>
      </w:pPr>
    </w:p>
    <w:p>
      <w:pPr>
        <w:keepNext w:val="0"/>
        <w:keepLines w:val="0"/>
        <w:pageBreakBefore w:val="0"/>
        <w:widowControl w:val="0"/>
        <w:kinsoku/>
        <w:overflowPunct/>
        <w:topLinePunct w:val="0"/>
        <w:bidi w:val="0"/>
        <w:snapToGrid w:val="0"/>
        <w:spacing w:line="520" w:lineRule="exact"/>
        <w:ind w:firstLine="640" w:firstLineChars="200"/>
        <w:textAlignment w:val="auto"/>
        <w:rPr>
          <w:rFonts w:ascii="Times New Roman" w:hAnsi="Times New Roman" w:eastAsia="仿宋_GB2312" w:cs="黑体"/>
          <w:color w:val="000000"/>
          <w:kern w:val="0"/>
          <w:sz w:val="32"/>
          <w:szCs w:val="32"/>
        </w:rPr>
      </w:pPr>
    </w:p>
    <w:p>
      <w:pPr>
        <w:pStyle w:val="13"/>
        <w:keepNext w:val="0"/>
        <w:keepLines w:val="0"/>
        <w:pageBreakBefore w:val="0"/>
        <w:widowControl w:val="0"/>
        <w:kinsoku/>
        <w:overflowPunct/>
        <w:topLinePunct w:val="0"/>
        <w:bidi w:val="0"/>
        <w:jc w:val="center"/>
        <w:textAlignment w:val="auto"/>
        <w:rPr>
          <w:rFonts w:ascii="Times New Roman" w:hAnsi="Times New Roman" w:eastAsia="仿宋_GB2312"/>
          <w:sz w:val="32"/>
          <w:szCs w:val="32"/>
        </w:rPr>
      </w:pP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rFonts w:hint="eastAsia"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hint="eastAsia"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hint="eastAsia" w:ascii="方正小标宋_GBK" w:hAnsi="方正小标宋_GBK" w:eastAsia="方正小标宋_GBK" w:cs="方正小标宋_GBK"/>
          <w:sz w:val="72"/>
          <w:szCs w:val="72"/>
        </w:rPr>
      </w:pPr>
    </w:p>
    <w:p>
      <w:pPr>
        <w:pStyle w:val="13"/>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第五部分</w:t>
      </w:r>
    </w:p>
    <w:p>
      <w:pPr>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color w:val="000000"/>
          <w:kern w:val="0"/>
          <w:sz w:val="70"/>
          <w:szCs w:val="70"/>
        </w:rPr>
      </w:pPr>
    </w:p>
    <w:p>
      <w:pPr>
        <w:keepNext w:val="0"/>
        <w:keepLines w:val="0"/>
        <w:pageBreakBefore w:val="0"/>
        <w:widowControl w:val="0"/>
        <w:kinsoku/>
        <w:overflowPunct/>
        <w:topLinePunct w:val="0"/>
        <w:bidi w:val="0"/>
        <w:jc w:val="center"/>
        <w:textAlignment w:val="auto"/>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附件</w:t>
      </w:r>
    </w:p>
    <w:p>
      <w:pPr>
        <w:keepNext w:val="0"/>
        <w:keepLines w:val="0"/>
        <w:pageBreakBefore w:val="0"/>
        <w:widowControl w:val="0"/>
        <w:kinsoku/>
        <w:overflowPunct/>
        <w:topLinePunct w:val="0"/>
        <w:bidi w:val="0"/>
        <w:jc w:val="left"/>
        <w:textAlignment w:val="auto"/>
        <w:rPr>
          <w:rFonts w:cs="黑体" w:asciiTheme="minorEastAsia" w:hAnsiTheme="minorEastAsia"/>
          <w:color w:val="000000"/>
          <w:kern w:val="0"/>
          <w:sz w:val="32"/>
          <w:szCs w:val="32"/>
        </w:rPr>
      </w:pPr>
      <w:r>
        <w:br w:type="page"/>
      </w:r>
    </w:p>
    <w:p>
      <w:pPr>
        <w:pStyle w:val="13"/>
        <w:keepNext w:val="0"/>
        <w:keepLines w:val="0"/>
        <w:pageBreakBefore w:val="0"/>
        <w:widowControl w:val="0"/>
        <w:kinsoku/>
        <w:overflowPunct/>
        <w:topLinePunct w:val="0"/>
        <w:bidi w:val="0"/>
        <w:jc w:val="center"/>
        <w:textAlignment w:val="auto"/>
        <w:rPr>
          <w:sz w:val="72"/>
          <w:szCs w:val="72"/>
        </w:rPr>
      </w:pPr>
    </w:p>
    <w:p>
      <w:pPr>
        <w:pStyle w:val="13"/>
        <w:keepNext w:val="0"/>
        <w:keepLines w:val="0"/>
        <w:pageBreakBefore w:val="0"/>
        <w:widowControl w:val="0"/>
        <w:kinsoku/>
        <w:overflowPunct/>
        <w:topLinePunct w:val="0"/>
        <w:bidi w:val="0"/>
        <w:jc w:val="center"/>
        <w:textAlignment w:val="auto"/>
        <w:rPr>
          <w:sz w:val="72"/>
          <w:szCs w:val="72"/>
        </w:rPr>
      </w:pPr>
    </w:p>
    <w:p>
      <w:pPr>
        <w:keepNext w:val="0"/>
        <w:keepLines w:val="0"/>
        <w:pageBreakBefore w:val="0"/>
        <w:widowControl w:val="0"/>
        <w:kinsoku/>
        <w:overflowPunct/>
        <w:topLinePunct w:val="0"/>
        <w:bidi w:val="0"/>
        <w:jc w:val="left"/>
        <w:textAlignment w:val="auto"/>
        <w:rPr>
          <w:rFonts w:cs="黑体" w:asciiTheme="minorEastAsia" w:hAnsiTheme="minorEastAsia"/>
          <w:color w:val="000000"/>
          <w:kern w:val="0"/>
          <w:sz w:val="32"/>
          <w:szCs w:val="32"/>
        </w:rPr>
      </w:pPr>
    </w:p>
    <w:sectPr>
      <w:pgSz w:w="11906" w:h="16838"/>
      <w:pgMar w:top="720" w:right="720" w:bottom="720" w:left="720"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pfMzMkBAACZ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yl8zMyQEAAJkDAAAOAAAAAAAAAAEAIAAAAB4BAABkcnMvZTJvRG9j&#10;LnhtbFBLBQYAAAAABgAGAFkBAABZ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4"/>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pPr>
                          <w:r>
                            <w:fldChar w:fldCharType="begin"/>
                          </w:r>
                          <w:r>
                            <w:instrText xml:space="preserve"> PAGE  \* MERGEFORMAT </w:instrText>
                          </w:r>
                          <w:r>
                            <w:fldChar w:fldCharType="separate"/>
                          </w:r>
                          <w:r>
                            <w:t>8</w:t>
                          </w:r>
                          <w:r>
                            <w:fldChar w:fldCharType="end"/>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HNY36HmAQAAxwMA&#10;AA4AAAAAAAAAAQAgAAAAHgEAAGRycy9lMm9Eb2MueG1sUEsFBgAAAAAGAAYAWQEAAHY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04BD8"/>
    <w:multiLevelType w:val="singleLevel"/>
    <w:tmpl w:val="5B804BD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5YmIwNDAzZDQ2MmYzYmE4MzliNmQ4NmY1MmYwNDUifQ=="/>
  </w:docVars>
  <w:rsids>
    <w:rsidRoot w:val="00185BE1"/>
    <w:rsid w:val="000C1E4A"/>
    <w:rsid w:val="00185BE1"/>
    <w:rsid w:val="002B0FE9"/>
    <w:rsid w:val="002F5E7A"/>
    <w:rsid w:val="00346F7D"/>
    <w:rsid w:val="00520AE2"/>
    <w:rsid w:val="005367E0"/>
    <w:rsid w:val="008017E3"/>
    <w:rsid w:val="008C6D63"/>
    <w:rsid w:val="00946F2D"/>
    <w:rsid w:val="00994C21"/>
    <w:rsid w:val="00AD36E5"/>
    <w:rsid w:val="00C1297F"/>
    <w:rsid w:val="00C75AF3"/>
    <w:rsid w:val="00CB0482"/>
    <w:rsid w:val="00CB4A6E"/>
    <w:rsid w:val="00CC2D72"/>
    <w:rsid w:val="00DC4DB7"/>
    <w:rsid w:val="00E00154"/>
    <w:rsid w:val="00E160FA"/>
    <w:rsid w:val="00E1692A"/>
    <w:rsid w:val="00E628A2"/>
    <w:rsid w:val="00E91A6E"/>
    <w:rsid w:val="00E92E01"/>
    <w:rsid w:val="00EB096B"/>
    <w:rsid w:val="00FA2A30"/>
    <w:rsid w:val="00FD6478"/>
    <w:rsid w:val="01020574"/>
    <w:rsid w:val="08351597"/>
    <w:rsid w:val="118C6F95"/>
    <w:rsid w:val="1541444B"/>
    <w:rsid w:val="17657A4B"/>
    <w:rsid w:val="24756449"/>
    <w:rsid w:val="28773290"/>
    <w:rsid w:val="2DE7054D"/>
    <w:rsid w:val="30A30A3F"/>
    <w:rsid w:val="3E2E43ED"/>
    <w:rsid w:val="3FDB6392"/>
    <w:rsid w:val="40F462E2"/>
    <w:rsid w:val="49D24CE6"/>
    <w:rsid w:val="5123CDF8"/>
    <w:rsid w:val="53857C1C"/>
    <w:rsid w:val="5DDF40F6"/>
    <w:rsid w:val="5FFC49A6"/>
    <w:rsid w:val="61380ACC"/>
    <w:rsid w:val="6441196D"/>
    <w:rsid w:val="678216A2"/>
    <w:rsid w:val="6A8D41F9"/>
    <w:rsid w:val="6AB81091"/>
    <w:rsid w:val="6FFC3EF9"/>
    <w:rsid w:val="70292E24"/>
    <w:rsid w:val="73BC48F1"/>
    <w:rsid w:val="75972C6B"/>
    <w:rsid w:val="772B5DDA"/>
    <w:rsid w:val="7F93200C"/>
    <w:rsid w:val="7FD75F6D"/>
    <w:rsid w:val="7FFF9F79"/>
    <w:rsid w:val="AC2FD75F"/>
    <w:rsid w:val="BAFB3C39"/>
    <w:rsid w:val="CFFDF097"/>
    <w:rsid w:val="DE7B71AC"/>
    <w:rsid w:val="E59F5DE6"/>
    <w:rsid w:val="EE7F0314"/>
    <w:rsid w:val="EFFFEA88"/>
    <w:rsid w:val="FD37CB5A"/>
    <w:rsid w:val="FDED77FD"/>
    <w:rsid w:val="FF6F728D"/>
    <w:rsid w:val="FFF36F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Cs w:val="21"/>
      <w:lang w:eastAsia="en-US"/>
    </w:rPr>
  </w:style>
  <w:style w:type="paragraph" w:styleId="3">
    <w:name w:val="endnote text"/>
    <w:basedOn w:val="1"/>
    <w:qFormat/>
    <w:uiPriority w:val="99"/>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5173</Words>
  <Characters>5792</Characters>
  <Lines>40</Lines>
  <Paragraphs>11</Paragraphs>
  <TotalTime>14</TotalTime>
  <ScaleCrop>false</ScaleCrop>
  <LinksUpToDate>false</LinksUpToDate>
  <CharactersWithSpaces>5833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2020-07-05T18:32:00Z</dcterms:created>
  <dc:creator>李航 null</dc:creator>
  <cp:lastModifiedBy>吴艳纯</cp:lastModifiedBy>
  <cp:lastPrinted>2023-09-04T03:06:00Z</cp:lastPrinted>
  <dcterms:modified xsi:type="dcterms:W3CDTF">2023-09-04T07:47:45Z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6A0111A41562445A964ADC6713DFD781_13</vt:lpwstr>
  </property>
</Properties>
</file>