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bookmarkStart w:id="0" w:name="_GoBack"/>
      <w:bookmarkEnd w:id="0"/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湖南省田径运动管理中心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我单位是隶属于湖南省体育局的二级机构，属公益一类事业单位，主要职能主要工作职能为组织田径训练竞赛、促进体育运动发展；田径优秀运动队管理、后备人才培养；竞赛组织、表演赛组织；承办项目注册、教练员培训、裁判员培训、场地器材管理、群众田径项目培训、相关体育技术鉴定及咨询等。</w:t>
      </w:r>
    </w:p>
    <w:p>
      <w:pPr>
        <w:widowControl/>
        <w:spacing w:line="600" w:lineRule="exact"/>
        <w:ind w:firstLine="629" w:firstLineChars="196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627" w:firstLineChars="196"/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下设办公室、行政科、文教科、场地科、膳食科、训练科、人事科、老干科、田径队等九个科室。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二、单位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预算单位构成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/>
        </w:rPr>
        <w:t>本单位预算仅含本级预算</w:t>
      </w:r>
    </w:p>
    <w:p>
      <w:pPr>
        <w:widowControl/>
        <w:spacing w:line="600" w:lineRule="exact"/>
        <w:ind w:firstLine="627" w:firstLineChars="196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pStyle w:val="4"/>
        <w:widowControl/>
        <w:shd w:val="clear" w:color="auto" w:fill="FFFFFF"/>
        <w:spacing w:before="0" w:beforeAutospacing="0" w:after="0" w:afterAutospacing="0"/>
        <w:ind w:firstLine="629" w:firstLineChars="196"/>
        <w:jc w:val="both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</w:rPr>
        <w:t>2723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年初预算2712万元，为</w:t>
      </w:r>
      <w:r>
        <w:rPr>
          <w:rFonts w:eastAsia="仿宋_GB2312"/>
          <w:sz w:val="32"/>
          <w:szCs w:val="32"/>
        </w:rPr>
        <w:t>一般公共预算拨款</w:t>
      </w:r>
      <w:r>
        <w:rPr>
          <w:rFonts w:hint="eastAsia" w:eastAsia="仿宋_GB2312"/>
          <w:sz w:val="32"/>
          <w:szCs w:val="32"/>
        </w:rPr>
        <w:t>2263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政府性基金预算拨款</w:t>
      </w:r>
      <w:r>
        <w:rPr>
          <w:rFonts w:hint="eastAsia" w:eastAsia="仿宋_GB2312"/>
          <w:sz w:val="32"/>
          <w:szCs w:val="32"/>
        </w:rPr>
        <w:t>449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；上年结转结余11万元（一般公共预算结余）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年初预算</w:t>
      </w:r>
      <w:r>
        <w:rPr>
          <w:rFonts w:eastAsia="仿宋_GB2312"/>
          <w:sz w:val="32"/>
          <w:szCs w:val="32"/>
        </w:rPr>
        <w:t>收入较去年减少</w:t>
      </w:r>
      <w:r>
        <w:rPr>
          <w:rFonts w:hint="eastAsia" w:eastAsia="仿宋_GB2312"/>
          <w:sz w:val="32"/>
          <w:szCs w:val="32"/>
        </w:rPr>
        <w:t>105.61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主要是一般公共预算拨款减少186.61万元，政府性基金增加81万元。</w:t>
      </w:r>
    </w:p>
    <w:p>
      <w:pPr>
        <w:ind w:firstLine="642" w:firstLineChars="200"/>
        <w:rPr>
          <w:rFonts w:ascii="Calibri" w:hAnsi="Calibri"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ascii="Calibri" w:hAnsi="Calibri" w:eastAsia="仿宋_GB2312"/>
          <w:kern w:val="0"/>
          <w:sz w:val="32"/>
          <w:szCs w:val="32"/>
        </w:rPr>
        <w:t xml:space="preserve">2021年本单位支出预算 </w:t>
      </w:r>
      <w:r>
        <w:rPr>
          <w:rFonts w:hint="eastAsia" w:ascii="Calibri" w:hAnsi="Calibri" w:eastAsia="仿宋_GB2312"/>
          <w:kern w:val="0"/>
          <w:sz w:val="32"/>
          <w:szCs w:val="32"/>
        </w:rPr>
        <w:t>2723</w:t>
      </w:r>
      <w:r>
        <w:rPr>
          <w:rFonts w:ascii="Calibri" w:hAnsi="Calibri" w:eastAsia="仿宋_GB2312"/>
          <w:kern w:val="0"/>
          <w:sz w:val="32"/>
          <w:szCs w:val="32"/>
        </w:rPr>
        <w:t>万元，其中，</w:t>
      </w:r>
      <w:r>
        <w:rPr>
          <w:rFonts w:hint="eastAsia" w:ascii="Calibri" w:hAnsi="Calibri" w:eastAsia="仿宋_GB2312"/>
          <w:kern w:val="0"/>
          <w:sz w:val="32"/>
          <w:szCs w:val="32"/>
        </w:rPr>
        <w:t>文化旅游体育与传媒支出1891..92万元、社会保障与就业支出138.28万元、卫生健康支出99.8万元、住房保障支出144万元。其他支出（用于体育事业的彩票公益金支出）449万元。支出较2020年减少105.61万元，文化旅游体育与传媒支出减少264.55万元，社会保障和就业支出减少31.18万元，卫生健康支出增加99.8万元（注：为医疗保险及离休人员医药费，2020年计入文化旅游体育与传媒支出），住房保障支出增加9.32万元，其他支出（用于体育事业的彩票公益金支出）增加81万元</w:t>
      </w:r>
      <w:r>
        <w:rPr>
          <w:rFonts w:hint="eastAsia" w:ascii="Calibri" w:hAnsi="Calibri" w:eastAsia="仿宋_GB2312"/>
          <w:sz w:val="32"/>
          <w:szCs w:val="32"/>
        </w:rPr>
        <w:t>（高端人才激励340万）</w:t>
      </w:r>
      <w:r>
        <w:rPr>
          <w:rFonts w:hint="eastAsia" w:ascii="Calibri" w:hAnsi="Calibri"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2274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ascii="Calibri" w:hAnsi="Calibri" w:eastAsia="仿宋_GB2312"/>
          <w:kern w:val="0"/>
          <w:sz w:val="32"/>
          <w:szCs w:val="32"/>
        </w:rPr>
        <w:t>文化旅游体育与传媒支出1891.92万元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</w:rPr>
        <w:t>83.20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ascii="Calibri" w:hAnsi="Calibri" w:eastAsia="仿宋_GB2312"/>
          <w:kern w:val="0"/>
          <w:sz w:val="32"/>
          <w:szCs w:val="32"/>
        </w:rPr>
        <w:t>社会保障与就业支出138.28万元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</w:rPr>
        <w:t>6.08</w:t>
      </w:r>
      <w:r>
        <w:rPr>
          <w:rFonts w:eastAsia="仿宋_GB2312"/>
          <w:sz w:val="32"/>
          <w:szCs w:val="32"/>
        </w:rPr>
        <w:t>%；</w:t>
      </w:r>
      <w:r>
        <w:rPr>
          <w:rFonts w:hint="eastAsia" w:ascii="Calibri" w:hAnsi="Calibri" w:eastAsia="仿宋_GB2312"/>
          <w:kern w:val="0"/>
          <w:sz w:val="32"/>
          <w:szCs w:val="32"/>
        </w:rPr>
        <w:t>卫生健康支出99.8万元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</w:rPr>
        <w:t>4.391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ascii="Calibri" w:hAnsi="Calibri" w:eastAsia="仿宋_GB2312"/>
          <w:kern w:val="0"/>
          <w:sz w:val="32"/>
          <w:szCs w:val="32"/>
        </w:rPr>
        <w:t>住房保障支出144万元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</w:rPr>
        <w:t>6.33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ascii="Calibri" w:hAnsi="Calibri" w:eastAsia="仿宋_GB2312"/>
          <w:kern w:val="0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具体安排情况如下：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 xml:space="preserve">   </w:t>
      </w: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1874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 xml:space="preserve">   </w:t>
      </w: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400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冬季项目经费即共建短道速滑队伍及跨界跨项选材运动员相关支出230万、备战全运会（竞赛、训练费用）100万及备战奥运会20万、常年成绩奖35万元、办公设备购置4万元、备战奥运会的训练和参赛9.9万元（上年结余）、备战冬运会及冬奥会1.1万元（上年结余）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ind w:firstLine="640" w:firstLineChars="200"/>
        <w:rPr>
          <w:rFonts w:ascii="Calibri" w:hAnsi="Calibri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449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其中，其他支出</w:t>
      </w:r>
      <w:r>
        <w:rPr>
          <w:rFonts w:hint="eastAsia" w:eastAsia="仿宋_GB2312"/>
          <w:sz w:val="32"/>
          <w:szCs w:val="32"/>
        </w:rPr>
        <w:t>173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具体安排情况如下：</w:t>
      </w:r>
      <w:r>
        <w:rPr>
          <w:rFonts w:hint="eastAsia" w:ascii="Calibri" w:hAnsi="Calibri" w:eastAsia="仿宋_GB2312"/>
          <w:sz w:val="32"/>
          <w:szCs w:val="32"/>
        </w:rPr>
        <w:t>高端人才激励340万；人才引进80万（引进运动员30万、教练员引进24万、高校合作26万）；运动队伙食调标15万；训练经费7万；医疗后勤保障7万（运动员食堂)。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hint="eastAsia" w:ascii="仿宋" w:hAnsi="仿宋" w:eastAsia="仿宋"/>
          <w:sz w:val="32"/>
          <w:szCs w:val="32"/>
        </w:rPr>
        <w:t>2021年本单位机关运行经费0万元。</w:t>
      </w:r>
    </w:p>
    <w:p>
      <w:pPr>
        <w:pStyle w:val="4"/>
        <w:widowControl/>
        <w:spacing w:beforeAutospacing="0" w:afterAutospacing="0" w:line="390" w:lineRule="atLeast"/>
        <w:ind w:firstLine="42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楷体_GB2312"/>
          <w:b/>
          <w:kern w:val="2"/>
          <w:sz w:val="32"/>
          <w:szCs w:val="32"/>
        </w:rPr>
        <w:t xml:space="preserve">  </w:t>
      </w:r>
      <w:r>
        <w:rPr>
          <w:rFonts w:ascii="Times New Roman" w:hAnsi="Times New Roman" w:eastAsia="楷体_GB2312"/>
          <w:b/>
          <w:kern w:val="2"/>
          <w:sz w:val="32"/>
          <w:szCs w:val="32"/>
        </w:rPr>
        <w:t>（二）“三公”经费预算：</w:t>
      </w:r>
      <w:r>
        <w:rPr>
          <w:rFonts w:ascii="Times New Roman" w:hAnsi="Times New Roman" w:eastAsia="仿宋_GB2312"/>
          <w:kern w:val="2"/>
          <w:sz w:val="32"/>
          <w:szCs w:val="32"/>
        </w:rPr>
        <w:t>2021年本单位“三公”经费预算数为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2.37</w:t>
      </w:r>
      <w:r>
        <w:rPr>
          <w:rFonts w:ascii="Times New Roman" w:hAnsi="Times New Roman" w:eastAsia="仿宋_GB2312"/>
          <w:kern w:val="2"/>
          <w:sz w:val="32"/>
          <w:szCs w:val="32"/>
        </w:rPr>
        <w:t>万元，其中，公务接待费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0</w:t>
      </w:r>
      <w:r>
        <w:rPr>
          <w:rFonts w:ascii="Times New Roman" w:hAnsi="Times New Roman" w:eastAsia="仿宋_GB2312"/>
          <w:kern w:val="2"/>
          <w:sz w:val="32"/>
          <w:szCs w:val="32"/>
        </w:rPr>
        <w:t>万元，公务用车购置及运行费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2.37</w:t>
      </w:r>
      <w:r>
        <w:rPr>
          <w:rFonts w:ascii="Times New Roman" w:hAnsi="Times New Roman" w:eastAsia="仿宋_GB2312"/>
          <w:kern w:val="2"/>
          <w:sz w:val="32"/>
          <w:szCs w:val="32"/>
        </w:rPr>
        <w:t>万元（其中，公务用车购置费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0</w:t>
      </w:r>
      <w:r>
        <w:rPr>
          <w:rFonts w:ascii="Times New Roman" w:hAnsi="Times New Roman" w:eastAsia="仿宋_GB2312"/>
          <w:kern w:val="2"/>
          <w:sz w:val="32"/>
          <w:szCs w:val="32"/>
        </w:rPr>
        <w:t>万元，公务用车运行费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2.37</w:t>
      </w:r>
      <w:r>
        <w:rPr>
          <w:rFonts w:ascii="Times New Roman" w:hAnsi="Times New Roman" w:eastAsia="仿宋_GB2312"/>
          <w:kern w:val="2"/>
          <w:sz w:val="32"/>
          <w:szCs w:val="32"/>
        </w:rPr>
        <w:t>万元），因公出国（境）费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0</w:t>
      </w:r>
      <w:r>
        <w:rPr>
          <w:rFonts w:ascii="Times New Roman" w:hAnsi="Times New Roman" w:eastAsia="仿宋_GB2312"/>
          <w:kern w:val="2"/>
          <w:sz w:val="32"/>
          <w:szCs w:val="32"/>
        </w:rPr>
        <w:t>万元。2021年“三公”经费预算较上年减少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1.53</w:t>
      </w:r>
      <w:r>
        <w:rPr>
          <w:rFonts w:ascii="Times New Roman" w:hAnsi="Times New Roman" w:eastAsia="仿宋_GB2312"/>
          <w:kern w:val="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下降39.23％，</w:t>
      </w:r>
      <w:r>
        <w:rPr>
          <w:rFonts w:ascii="Times New Roman" w:hAnsi="Times New Roman" w:eastAsia="仿宋_GB2312"/>
          <w:kern w:val="2"/>
          <w:sz w:val="32"/>
          <w:szCs w:val="32"/>
        </w:rPr>
        <w:t>主要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原因是：其-继续推进厉行节约，严格财务制度，</w:t>
      </w:r>
      <w:r>
        <w:rPr>
          <w:rFonts w:ascii="Times New Roman" w:hAnsi="Times New Roman" w:eastAsia="仿宋_GB2312"/>
          <w:kern w:val="2"/>
          <w:sz w:val="32"/>
          <w:szCs w:val="32"/>
        </w:rPr>
        <w:t>是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取消公务接待费0.3万元下降100％；其二是加强对公务车辆的管理，严格控制公车使用，提高车辆使用效率，并降低公务用车运行维护费预算减少1.23万元，下降34.17％。</w:t>
      </w:r>
    </w:p>
    <w:p>
      <w:pPr>
        <w:pStyle w:val="4"/>
        <w:widowControl/>
        <w:spacing w:beforeAutospacing="0" w:afterAutospacing="0" w:line="390" w:lineRule="atLeast"/>
        <w:ind w:firstLine="420"/>
        <w:rPr>
          <w:rFonts w:ascii="Times New Roman" w:hAnsi="Times New Roman" w:eastAsia="仿宋_GB2312"/>
          <w:kern w:val="2"/>
          <w:sz w:val="32"/>
          <w:szCs w:val="32"/>
        </w:rPr>
      </w:pPr>
      <w:r>
        <w:rPr>
          <w:rFonts w:ascii="Times New Roman" w:hAnsi="Times New Roman" w:eastAsia="楷体_GB2312"/>
          <w:b/>
          <w:kern w:val="2"/>
          <w:sz w:val="32"/>
          <w:szCs w:val="32"/>
        </w:rPr>
        <w:t>（三）一般性支出情况：</w:t>
      </w:r>
      <w:r>
        <w:rPr>
          <w:rFonts w:ascii="Times New Roman" w:hAnsi="Times New Roman" w:eastAsia="仿宋_GB2312"/>
          <w:kern w:val="2"/>
          <w:sz w:val="32"/>
          <w:szCs w:val="32"/>
        </w:rPr>
        <w:t>2021年本单位</w:t>
      </w:r>
      <w:r>
        <w:rPr>
          <w:rFonts w:hint="eastAsia" w:ascii="仿宋" w:hAnsi="仿宋" w:eastAsia="仿宋" w:cs="仿宋"/>
          <w:sz w:val="32"/>
          <w:szCs w:val="32"/>
        </w:rPr>
        <w:t>会议费预算0万元，拟召开0会议，人数0人；</w:t>
      </w:r>
      <w:r>
        <w:rPr>
          <w:rFonts w:ascii="Times New Roman" w:hAnsi="Times New Roman" w:eastAsia="仿宋_GB2312"/>
          <w:kern w:val="2"/>
          <w:sz w:val="32"/>
          <w:szCs w:val="32"/>
        </w:rPr>
        <w:t>培训费预算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0.6</w:t>
      </w:r>
      <w:r>
        <w:rPr>
          <w:rFonts w:ascii="Times New Roman" w:hAnsi="Times New Roman" w:eastAsia="仿宋_GB2312"/>
          <w:kern w:val="2"/>
          <w:sz w:val="32"/>
          <w:szCs w:val="32"/>
        </w:rPr>
        <w:t>万元，拟开展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专业技术人员</w:t>
      </w:r>
      <w:r>
        <w:rPr>
          <w:rFonts w:ascii="Times New Roman" w:hAnsi="Times New Roman" w:eastAsia="仿宋_GB2312"/>
          <w:kern w:val="2"/>
          <w:sz w:val="32"/>
          <w:szCs w:val="32"/>
        </w:rPr>
        <w:t>培训，人数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14</w:t>
      </w:r>
      <w:r>
        <w:rPr>
          <w:rFonts w:ascii="Times New Roman" w:hAnsi="Times New Roman" w:eastAsia="仿宋_GB2312"/>
          <w:kern w:val="2"/>
          <w:sz w:val="32"/>
          <w:szCs w:val="32"/>
        </w:rPr>
        <w:t>人，内容为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继续教育；拟举办0</w:t>
      </w:r>
      <w:r>
        <w:rPr>
          <w:rFonts w:eastAsia="仿宋_GB2312"/>
          <w:sz w:val="32"/>
          <w:szCs w:val="32"/>
        </w:rPr>
        <w:t>等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节庆、晚会、论坛、赛事活动，经费预算为０万元。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2021年本部门政府采购预算总额</w:t>
      </w: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</w:t>
      </w:r>
      <w:r>
        <w:rPr>
          <w:rFonts w:ascii="仿宋" w:hAnsi="仿宋" w:eastAsia="仿宋" w:cs="仿宋"/>
          <w:kern w:val="0"/>
          <w:sz w:val="32"/>
          <w:szCs w:val="32"/>
        </w:rPr>
        <w:t>其中，机要通信用车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辆，应急保障用车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辆，执法执勤用车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辆，特种专业技术用车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辆，其他按照规定配备的公务用车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1</w:t>
      </w:r>
      <w:r>
        <w:rPr>
          <w:rFonts w:ascii="仿宋" w:hAnsi="仿宋" w:eastAsia="仿宋" w:cs="仿宋"/>
          <w:kern w:val="0"/>
          <w:sz w:val="32"/>
          <w:szCs w:val="32"/>
        </w:rPr>
        <w:t>辆；单位价值50万元以上通用设备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台。2021年拟新增配置公务用车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  <w:r>
        <w:rPr>
          <w:rFonts w:ascii="仿宋" w:hAnsi="仿宋" w:eastAsia="仿宋" w:cs="仿宋"/>
          <w:kern w:val="0"/>
          <w:sz w:val="32"/>
          <w:szCs w:val="32"/>
        </w:rPr>
        <w:t>新增配备单位价值50万元以上通用设备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</w:rPr>
        <w:t>2723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1874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849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ind w:firstLine="642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MGI3MzcyMWY3MTk2NTBhYWQwZTFiNTZjMzAyZGQifQ=="/>
  </w:docVars>
  <w:rsids>
    <w:rsidRoot w:val="00871420"/>
    <w:rsid w:val="00025CE1"/>
    <w:rsid w:val="00067624"/>
    <w:rsid w:val="00082620"/>
    <w:rsid w:val="000844A5"/>
    <w:rsid w:val="00094488"/>
    <w:rsid w:val="000C0DA3"/>
    <w:rsid w:val="000E17D0"/>
    <w:rsid w:val="000F03DF"/>
    <w:rsid w:val="00117BAD"/>
    <w:rsid w:val="00186D08"/>
    <w:rsid w:val="001A75BE"/>
    <w:rsid w:val="001B0FDC"/>
    <w:rsid w:val="001C3202"/>
    <w:rsid w:val="001D6C01"/>
    <w:rsid w:val="002110F4"/>
    <w:rsid w:val="002524C5"/>
    <w:rsid w:val="002606F5"/>
    <w:rsid w:val="002B1A3C"/>
    <w:rsid w:val="002D1843"/>
    <w:rsid w:val="003B2D1A"/>
    <w:rsid w:val="003D0D7C"/>
    <w:rsid w:val="004674A4"/>
    <w:rsid w:val="004E6153"/>
    <w:rsid w:val="00510EA4"/>
    <w:rsid w:val="0051404F"/>
    <w:rsid w:val="00570D91"/>
    <w:rsid w:val="005C7E4D"/>
    <w:rsid w:val="005E0D9C"/>
    <w:rsid w:val="00605254"/>
    <w:rsid w:val="00622D5F"/>
    <w:rsid w:val="006A65D3"/>
    <w:rsid w:val="006C3218"/>
    <w:rsid w:val="00726588"/>
    <w:rsid w:val="00871420"/>
    <w:rsid w:val="00884087"/>
    <w:rsid w:val="008D5F2C"/>
    <w:rsid w:val="00A108D3"/>
    <w:rsid w:val="00A1434F"/>
    <w:rsid w:val="00A524B1"/>
    <w:rsid w:val="00A665D4"/>
    <w:rsid w:val="00A66F2A"/>
    <w:rsid w:val="00A719A0"/>
    <w:rsid w:val="00A927FD"/>
    <w:rsid w:val="00AA022C"/>
    <w:rsid w:val="00AC2F37"/>
    <w:rsid w:val="00AD7DA4"/>
    <w:rsid w:val="00B03CD7"/>
    <w:rsid w:val="00B62F4B"/>
    <w:rsid w:val="00BC2ACC"/>
    <w:rsid w:val="00C02932"/>
    <w:rsid w:val="00C118B6"/>
    <w:rsid w:val="00C50DEA"/>
    <w:rsid w:val="00C65DBA"/>
    <w:rsid w:val="00C7186B"/>
    <w:rsid w:val="00CA15ED"/>
    <w:rsid w:val="00CE29F1"/>
    <w:rsid w:val="00CF20AA"/>
    <w:rsid w:val="00D17AF2"/>
    <w:rsid w:val="00D17FB8"/>
    <w:rsid w:val="00D313C3"/>
    <w:rsid w:val="00DD6FA6"/>
    <w:rsid w:val="00E04EFF"/>
    <w:rsid w:val="00E04F1B"/>
    <w:rsid w:val="00E61E3A"/>
    <w:rsid w:val="00EB26AA"/>
    <w:rsid w:val="00EB29D4"/>
    <w:rsid w:val="00F30CF8"/>
    <w:rsid w:val="00F60B1E"/>
    <w:rsid w:val="00F76E5F"/>
    <w:rsid w:val="00F850AC"/>
    <w:rsid w:val="00F922B8"/>
    <w:rsid w:val="00FE48FC"/>
    <w:rsid w:val="02DD3A10"/>
    <w:rsid w:val="33187B35"/>
    <w:rsid w:val="6EDE7B6F"/>
    <w:rsid w:val="BFFDDF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2723</Words>
  <Characters>2976</Characters>
  <Lines>21</Lines>
  <Paragraphs>6</Paragraphs>
  <TotalTime>2</TotalTime>
  <ScaleCrop>false</ScaleCrop>
  <LinksUpToDate>false</LinksUpToDate>
  <CharactersWithSpaces>2994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2021-03-11T09:34:00Z</dcterms:created>
  <dc:creator>asus</dc:creator>
  <cp:lastModifiedBy>kylin</cp:lastModifiedBy>
  <dcterms:modified xsi:type="dcterms:W3CDTF">2022-09-02T15:36:46Z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257592B10AAB456DA7A196671CB62982</vt:lpwstr>
  </property>
</Properties>
</file>