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湖南贺龙体育馆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hint="eastAsia" w:eastAsia="方正小标宋_GBK"/>
          <w:bCs/>
          <w:kern w:val="0"/>
          <w:sz w:val="44"/>
          <w:szCs w:val="44"/>
        </w:rPr>
        <w:t xml:space="preserve"> </w:t>
      </w: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ascii="黑体" w:hAnsi="黑体" w:eastAsia="黑体" w:cs="仿宋"/>
          <w:sz w:val="32"/>
          <w:szCs w:val="32"/>
        </w:rPr>
        <w:t>一、单位基本概况</w:t>
      </w:r>
    </w:p>
    <w:p>
      <w:pPr>
        <w:rPr>
          <w:rFonts w:eastAsia="楷体_GB2312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 xml:space="preserve"> </w:t>
      </w:r>
      <w:r>
        <w:rPr>
          <w:rFonts w:hint="eastAsia" w:eastAsia="楷体_GB2312"/>
          <w:b/>
          <w:sz w:val="32"/>
          <w:szCs w:val="32"/>
        </w:rPr>
        <w:t xml:space="preserve">  </w:t>
      </w:r>
      <w:r>
        <w:rPr>
          <w:rFonts w:eastAsia="楷体_GB2312"/>
          <w:b/>
          <w:sz w:val="32"/>
          <w:szCs w:val="32"/>
        </w:rPr>
        <w:t>（一）职能职责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1.负责场馆事业的发展，研究和制定场馆中、长期发展规划和管理制度；</w:t>
      </w:r>
    </w:p>
    <w:p>
      <w:pPr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2.制订和组织场馆体育竞赛规程与活动；</w:t>
      </w:r>
    </w:p>
    <w:p>
      <w:pPr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3.负责场馆社会活动的管理、指导与检查；</w:t>
      </w:r>
    </w:p>
    <w:p>
      <w:pPr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4.负责所管省内表演和大型公益活动的审核、上报工作；</w:t>
      </w:r>
    </w:p>
    <w:p>
      <w:pPr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5.规范所管场馆的活动秩序，协助有关部门查处违法违规活动；</w:t>
      </w:r>
    </w:p>
    <w:p>
      <w:pPr>
        <w:ind w:firstLine="643" w:firstLineChars="200"/>
        <w:outlineLvl w:val="0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（二）机构设置情况。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湖南贺龙体育馆独立编制机构数1个，独立核算机构数1个。我馆设置为六个科室，分别是：办公室、业务科、行政科、财务科、保卫科、场设科。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二、单位收支总体情况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本单位预算仅含本级预算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仿宋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（一）收入预算：</w:t>
      </w:r>
      <w:r>
        <w:rPr>
          <w:rFonts w:hint="eastAsia" w:ascii="仿宋" w:hAnsi="仿宋" w:eastAsia="仿宋" w:cs="仿宋"/>
          <w:sz w:val="32"/>
          <w:szCs w:val="32"/>
        </w:rPr>
        <w:t>2021年本单位收入预算</w:t>
      </w:r>
      <w:r>
        <w:rPr>
          <w:rFonts w:hint="eastAsia" w:eastAsia="仿宋_GB2312"/>
          <w:sz w:val="32"/>
          <w:szCs w:val="32"/>
        </w:rPr>
        <w:t>1386.6</w:t>
      </w:r>
      <w:r>
        <w:rPr>
          <w:rFonts w:hint="eastAsia" w:ascii="仿宋" w:hAnsi="仿宋" w:eastAsia="仿宋" w:cs="仿宋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196.6</w:t>
      </w:r>
      <w:r>
        <w:rPr>
          <w:rFonts w:hint="eastAsia" w:ascii="仿宋" w:hAnsi="仿宋" w:eastAsia="仿宋" w:cs="仿宋"/>
          <w:sz w:val="32"/>
          <w:szCs w:val="32"/>
        </w:rPr>
        <w:t>万元，纳入专户管理的非税收入</w:t>
      </w:r>
      <w:r>
        <w:rPr>
          <w:rFonts w:hint="eastAsia" w:eastAsia="仿宋_GB2312"/>
          <w:sz w:val="32"/>
          <w:szCs w:val="32"/>
        </w:rPr>
        <w:t>950</w:t>
      </w:r>
      <w:r>
        <w:rPr>
          <w:rFonts w:hint="eastAsia" w:ascii="仿宋" w:hAnsi="仿宋" w:eastAsia="仿宋" w:cs="仿宋"/>
          <w:sz w:val="32"/>
          <w:szCs w:val="32"/>
        </w:rPr>
        <w:t>万元，上年结转结余</w:t>
      </w:r>
      <w:r>
        <w:rPr>
          <w:rFonts w:hint="eastAsia" w:eastAsia="仿宋_GB2312"/>
          <w:sz w:val="32"/>
          <w:szCs w:val="32"/>
        </w:rPr>
        <w:t>240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bCs/>
          <w:sz w:val="32"/>
          <w:szCs w:val="32"/>
        </w:rPr>
        <w:t>收入较去年增加</w:t>
      </w:r>
      <w:r>
        <w:rPr>
          <w:rFonts w:hint="eastAsia" w:eastAsia="仿宋_GB2312"/>
          <w:sz w:val="32"/>
          <w:szCs w:val="32"/>
        </w:rPr>
        <w:t>441.02</w:t>
      </w:r>
      <w:r>
        <w:rPr>
          <w:rFonts w:hint="eastAsia" w:ascii="仿宋" w:hAnsi="仿宋" w:eastAsia="仿宋" w:cs="仿宋"/>
          <w:bCs/>
          <w:sz w:val="32"/>
          <w:szCs w:val="32"/>
        </w:rPr>
        <w:t>万元，主要是一般公共预算拨款增加</w:t>
      </w:r>
      <w:r>
        <w:rPr>
          <w:rFonts w:hint="eastAsia" w:eastAsia="仿宋_GB2312"/>
          <w:sz w:val="32"/>
          <w:szCs w:val="32"/>
        </w:rPr>
        <w:t>1.02</w:t>
      </w:r>
      <w:r>
        <w:rPr>
          <w:rFonts w:hint="eastAsia" w:ascii="仿宋" w:hAnsi="仿宋" w:eastAsia="仿宋" w:cs="仿宋"/>
          <w:bCs/>
          <w:sz w:val="32"/>
          <w:szCs w:val="32"/>
        </w:rPr>
        <w:t>万元，纳入专户管理的非税收入增加</w:t>
      </w:r>
      <w:r>
        <w:rPr>
          <w:rFonts w:hint="eastAsia" w:eastAsia="仿宋_GB2312"/>
          <w:sz w:val="32"/>
          <w:szCs w:val="32"/>
        </w:rPr>
        <w:t>200</w:t>
      </w:r>
      <w:r>
        <w:rPr>
          <w:rFonts w:hint="eastAsia" w:ascii="仿宋" w:hAnsi="仿宋" w:eastAsia="仿宋" w:cs="仿宋"/>
          <w:bCs/>
          <w:sz w:val="32"/>
          <w:szCs w:val="32"/>
        </w:rPr>
        <w:t>万元，上年结转结余增加</w:t>
      </w:r>
      <w:r>
        <w:rPr>
          <w:rFonts w:hint="eastAsia" w:eastAsia="仿宋_GB2312"/>
          <w:sz w:val="32"/>
          <w:szCs w:val="32"/>
        </w:rPr>
        <w:t>240</w:t>
      </w:r>
      <w:r>
        <w:rPr>
          <w:rFonts w:hint="eastAsia" w:ascii="仿宋" w:hAnsi="仿宋" w:eastAsia="仿宋" w:cs="仿宋"/>
          <w:bCs/>
          <w:sz w:val="32"/>
          <w:szCs w:val="32"/>
        </w:rPr>
        <w:t>万元。</w:t>
      </w:r>
    </w:p>
    <w:p>
      <w:pPr>
        <w:widowControl/>
        <w:spacing w:line="600" w:lineRule="exact"/>
        <w:ind w:firstLine="630" w:firstLineChars="196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（二）支出预算：</w:t>
      </w:r>
      <w:r>
        <w:rPr>
          <w:rFonts w:hint="eastAsia" w:ascii="仿宋" w:hAnsi="仿宋" w:eastAsia="仿宋" w:cs="仿宋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</w:rPr>
        <w:t>1386.6</w:t>
      </w:r>
      <w:r>
        <w:rPr>
          <w:rFonts w:hint="eastAsia" w:ascii="仿宋" w:hAnsi="仿宋" w:eastAsia="仿宋" w:cs="仿宋"/>
          <w:sz w:val="32"/>
          <w:szCs w:val="32"/>
        </w:rPr>
        <w:t>万元，其中，文化旅游体育与传媒支出</w:t>
      </w:r>
      <w:r>
        <w:rPr>
          <w:rFonts w:hint="eastAsia" w:eastAsia="仿宋_GB2312"/>
          <w:sz w:val="32"/>
          <w:szCs w:val="32"/>
        </w:rPr>
        <w:t>1265.55</w:t>
      </w:r>
      <w:r>
        <w:rPr>
          <w:rFonts w:hint="eastAsia" w:ascii="仿宋" w:hAnsi="仿宋" w:eastAsia="仿宋" w:cs="仿宋"/>
          <w:sz w:val="32"/>
          <w:szCs w:val="32"/>
        </w:rPr>
        <w:t>万元，社会保障和就业支出</w:t>
      </w:r>
      <w:r>
        <w:rPr>
          <w:rFonts w:hint="eastAsia" w:eastAsia="仿宋_GB2312"/>
          <w:sz w:val="32"/>
          <w:szCs w:val="32"/>
        </w:rPr>
        <w:t>56.95</w:t>
      </w:r>
      <w:r>
        <w:rPr>
          <w:rFonts w:hint="eastAsia" w:ascii="仿宋" w:hAnsi="仿宋" w:eastAsia="仿宋" w:cs="仿宋"/>
          <w:sz w:val="32"/>
          <w:szCs w:val="32"/>
        </w:rPr>
        <w:t>万元、卫生健康支出</w:t>
      </w:r>
      <w:r>
        <w:rPr>
          <w:rFonts w:hint="eastAsia" w:eastAsia="仿宋_GB2312"/>
          <w:sz w:val="32"/>
          <w:szCs w:val="32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万元、住房保障支出</w:t>
      </w:r>
      <w:r>
        <w:rPr>
          <w:rFonts w:hint="eastAsia" w:eastAsia="仿宋_GB2312"/>
          <w:sz w:val="32"/>
          <w:szCs w:val="32"/>
        </w:rPr>
        <w:t>38.1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bCs/>
          <w:sz w:val="32"/>
          <w:szCs w:val="32"/>
        </w:rPr>
        <w:t>支出较去年增加</w:t>
      </w:r>
      <w:r>
        <w:rPr>
          <w:rFonts w:hint="eastAsia" w:eastAsia="仿宋_GB2312"/>
          <w:sz w:val="32"/>
          <w:szCs w:val="32"/>
        </w:rPr>
        <w:t>441.02</w:t>
      </w:r>
      <w:r>
        <w:rPr>
          <w:rFonts w:hint="eastAsia" w:ascii="仿宋" w:hAnsi="仿宋" w:eastAsia="仿宋" w:cs="仿宋"/>
          <w:bCs/>
          <w:sz w:val="32"/>
          <w:szCs w:val="32"/>
        </w:rPr>
        <w:t>万元，主要是</w:t>
      </w:r>
      <w:r>
        <w:rPr>
          <w:rFonts w:hint="eastAsia" w:ascii="仿宋" w:hAnsi="仿宋" w:eastAsia="仿宋" w:cs="仿宋"/>
          <w:sz w:val="32"/>
          <w:szCs w:val="32"/>
        </w:rPr>
        <w:t>文化旅游体育与传媒支出增加</w:t>
      </w:r>
      <w:r>
        <w:rPr>
          <w:rFonts w:hint="eastAsia" w:eastAsia="仿宋_GB2312"/>
          <w:sz w:val="32"/>
          <w:szCs w:val="32"/>
        </w:rPr>
        <w:t>437.92</w:t>
      </w:r>
      <w:r>
        <w:rPr>
          <w:rFonts w:hint="eastAsia" w:ascii="仿宋" w:hAnsi="仿宋" w:eastAsia="仿宋" w:cs="仿宋"/>
          <w:sz w:val="32"/>
          <w:szCs w:val="32"/>
        </w:rPr>
        <w:t>万元，住房保障支出增加</w:t>
      </w:r>
      <w:r>
        <w:rPr>
          <w:rFonts w:hint="eastAsia" w:eastAsia="仿宋_GB2312"/>
          <w:sz w:val="32"/>
          <w:szCs w:val="32"/>
        </w:rPr>
        <w:t>12.1</w:t>
      </w:r>
      <w:r>
        <w:rPr>
          <w:rFonts w:hint="eastAsia" w:ascii="仿宋" w:hAnsi="仿宋" w:eastAsia="仿宋" w:cs="仿宋"/>
          <w:sz w:val="32"/>
          <w:szCs w:val="32"/>
        </w:rPr>
        <w:t>万元，社会保障和就业支出减少</w:t>
      </w:r>
      <w:r>
        <w:rPr>
          <w:rFonts w:hint="eastAsia" w:eastAsia="仿宋_GB2312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万元，卫生健康支出减少</w:t>
      </w:r>
      <w:r>
        <w:rPr>
          <w:rFonts w:hint="eastAsia" w:eastAsia="仿宋_GB2312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仿宋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</w:rPr>
        <w:t>1386.6万</w:t>
      </w:r>
      <w:r>
        <w:rPr>
          <w:rFonts w:hint="eastAsia" w:ascii="仿宋" w:hAnsi="仿宋" w:eastAsia="仿宋" w:cs="仿宋"/>
          <w:sz w:val="32"/>
          <w:szCs w:val="32"/>
        </w:rPr>
        <w:t>元，其中，文化旅游体育与传媒支出</w:t>
      </w:r>
      <w:r>
        <w:rPr>
          <w:rFonts w:hint="eastAsia" w:eastAsia="仿宋_GB2312"/>
          <w:sz w:val="32"/>
          <w:szCs w:val="32"/>
        </w:rPr>
        <w:t>1265.55</w:t>
      </w:r>
      <w:r>
        <w:rPr>
          <w:rFonts w:hint="eastAsia" w:ascii="仿宋" w:hAnsi="仿宋" w:eastAsia="仿宋" w:cs="仿宋"/>
          <w:sz w:val="32"/>
          <w:szCs w:val="32"/>
        </w:rPr>
        <w:t>万元，社会保障和就业支出</w:t>
      </w:r>
      <w:r>
        <w:rPr>
          <w:rFonts w:hint="eastAsia" w:eastAsia="仿宋_GB2312"/>
          <w:sz w:val="32"/>
          <w:szCs w:val="32"/>
        </w:rPr>
        <w:t>56.95</w:t>
      </w:r>
      <w:r>
        <w:rPr>
          <w:rFonts w:hint="eastAsia" w:ascii="仿宋" w:hAnsi="仿宋" w:eastAsia="仿宋" w:cs="仿宋"/>
          <w:sz w:val="32"/>
          <w:szCs w:val="32"/>
        </w:rPr>
        <w:t>万元、卫生健康支出</w:t>
      </w:r>
      <w:r>
        <w:rPr>
          <w:rFonts w:hint="eastAsia" w:eastAsia="仿宋_GB2312"/>
          <w:sz w:val="32"/>
          <w:szCs w:val="32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万元、住房保障支出</w:t>
      </w:r>
      <w:r>
        <w:rPr>
          <w:rFonts w:hint="eastAsia" w:eastAsia="仿宋_GB2312"/>
          <w:sz w:val="32"/>
          <w:szCs w:val="32"/>
        </w:rPr>
        <w:t>38.1</w:t>
      </w:r>
      <w:r>
        <w:rPr>
          <w:rFonts w:hint="eastAsia" w:ascii="仿宋" w:hAnsi="仿宋" w:eastAsia="仿宋" w:cs="仿宋"/>
          <w:sz w:val="32"/>
          <w:szCs w:val="32"/>
        </w:rPr>
        <w:t>万元。具体安排情况如下：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（一）基本支出：</w:t>
      </w:r>
      <w:r>
        <w:rPr>
          <w:rFonts w:hint="eastAsia" w:ascii="仿宋" w:hAnsi="仿宋" w:eastAsia="仿宋" w:cs="仿宋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</w:rPr>
        <w:t>809.13</w:t>
      </w:r>
      <w:r>
        <w:rPr>
          <w:rFonts w:hint="eastAsia" w:ascii="仿宋" w:hAnsi="仿宋" w:eastAsia="仿宋" w:cs="仿宋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（二）项目支出：</w:t>
      </w:r>
      <w:r>
        <w:rPr>
          <w:rFonts w:hint="eastAsia" w:ascii="仿宋" w:hAnsi="仿宋" w:eastAsia="仿宋" w:cs="仿宋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</w:rPr>
        <w:t>577.47</w:t>
      </w:r>
      <w:r>
        <w:rPr>
          <w:rFonts w:hint="eastAsia" w:ascii="仿宋" w:hAnsi="仿宋" w:eastAsia="仿宋" w:cs="仿宋"/>
          <w:sz w:val="32"/>
          <w:szCs w:val="32"/>
        </w:rPr>
        <w:t>万元，主要是单位为完成特定行政工作任务或事业发展目标而发生的支出，包括有关事业发展专项、专项业务费、基本建设支出等，其中：贺龙体育馆提质改造暖通项目</w:t>
      </w:r>
      <w:r>
        <w:rPr>
          <w:rFonts w:hint="eastAsia" w:eastAsia="仿宋_GB2312"/>
          <w:sz w:val="32"/>
          <w:szCs w:val="32"/>
        </w:rPr>
        <w:t>240</w:t>
      </w:r>
      <w:r>
        <w:rPr>
          <w:rFonts w:hint="eastAsia" w:ascii="仿宋" w:hAnsi="仿宋" w:eastAsia="仿宋" w:cs="仿宋"/>
          <w:sz w:val="32"/>
          <w:szCs w:val="32"/>
        </w:rPr>
        <w:t>万元、场馆运行维护经费支出</w:t>
      </w:r>
      <w:r>
        <w:rPr>
          <w:rFonts w:hint="eastAsia" w:eastAsia="仿宋_GB2312"/>
          <w:sz w:val="32"/>
          <w:szCs w:val="32"/>
        </w:rPr>
        <w:t>123.52</w:t>
      </w:r>
      <w:r>
        <w:rPr>
          <w:rFonts w:hint="eastAsia" w:ascii="仿宋" w:hAnsi="仿宋" w:eastAsia="仿宋" w:cs="仿宋"/>
          <w:sz w:val="32"/>
          <w:szCs w:val="32"/>
        </w:rPr>
        <w:t>万元，主要用于办公设备购置</w:t>
      </w:r>
      <w:r>
        <w:rPr>
          <w:rFonts w:hint="eastAsia" w:eastAsia="仿宋_GB2312"/>
          <w:sz w:val="32"/>
          <w:szCs w:val="32"/>
        </w:rPr>
        <w:t>33.52</w:t>
      </w:r>
      <w:r>
        <w:rPr>
          <w:rFonts w:hint="eastAsia" w:ascii="仿宋" w:hAnsi="仿宋" w:eastAsia="仿宋" w:cs="仿宋"/>
          <w:sz w:val="32"/>
          <w:szCs w:val="32"/>
        </w:rPr>
        <w:t>万元、场馆运营电费</w:t>
      </w:r>
      <w:r>
        <w:rPr>
          <w:rFonts w:hint="eastAsia" w:eastAsia="仿宋_GB2312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万元、专用材料费</w:t>
      </w:r>
      <w:r>
        <w:rPr>
          <w:rFonts w:hint="eastAsia" w:eastAsia="仿宋_GB2312"/>
          <w:sz w:val="32"/>
          <w:szCs w:val="32"/>
        </w:rPr>
        <w:t>70</w:t>
      </w:r>
      <w:r>
        <w:rPr>
          <w:rFonts w:hint="eastAsia" w:ascii="仿宋" w:hAnsi="仿宋" w:eastAsia="仿宋" w:cs="仿宋"/>
          <w:sz w:val="32"/>
          <w:szCs w:val="32"/>
        </w:rPr>
        <w:t>万元等方面；业务工作经费支出</w:t>
      </w:r>
      <w:r>
        <w:rPr>
          <w:rFonts w:hint="eastAsia" w:eastAsia="仿宋_GB2312"/>
          <w:sz w:val="32"/>
          <w:szCs w:val="32"/>
        </w:rPr>
        <w:t>213.95</w:t>
      </w:r>
      <w:r>
        <w:rPr>
          <w:rFonts w:hint="eastAsia" w:ascii="仿宋" w:hAnsi="仿宋" w:eastAsia="仿宋" w:cs="仿宋"/>
          <w:sz w:val="32"/>
          <w:szCs w:val="32"/>
        </w:rPr>
        <w:t>万元，主要用于委托业务费</w:t>
      </w:r>
      <w:r>
        <w:rPr>
          <w:rFonts w:hint="eastAsia" w:eastAsia="仿宋_GB2312"/>
          <w:sz w:val="32"/>
          <w:szCs w:val="32"/>
        </w:rPr>
        <w:t>82.5</w:t>
      </w:r>
      <w:r>
        <w:rPr>
          <w:rFonts w:hint="eastAsia" w:ascii="仿宋" w:hAnsi="仿宋" w:eastAsia="仿宋" w:cs="仿宋"/>
          <w:sz w:val="32"/>
          <w:szCs w:val="32"/>
        </w:rPr>
        <w:t>万元、物业管理费</w:t>
      </w:r>
      <w:r>
        <w:rPr>
          <w:rFonts w:hint="eastAsia" w:eastAsia="仿宋_GB2312"/>
          <w:sz w:val="32"/>
          <w:szCs w:val="32"/>
        </w:rPr>
        <w:t>94.45</w:t>
      </w:r>
      <w:r>
        <w:rPr>
          <w:rFonts w:hint="eastAsia" w:ascii="仿宋" w:hAnsi="仿宋" w:eastAsia="仿宋" w:cs="仿宋"/>
          <w:sz w:val="32"/>
          <w:szCs w:val="32"/>
        </w:rPr>
        <w:t>万元、租赁费</w:t>
      </w:r>
      <w:r>
        <w:rPr>
          <w:rFonts w:hint="eastAsia" w:eastAsia="仿宋_GB2312"/>
          <w:sz w:val="32"/>
          <w:szCs w:val="32"/>
        </w:rPr>
        <w:t>37</w:t>
      </w:r>
      <w:r>
        <w:rPr>
          <w:rFonts w:hint="eastAsia" w:ascii="仿宋" w:hAnsi="仿宋" w:eastAsia="仿宋" w:cs="仿宋"/>
          <w:sz w:val="32"/>
          <w:szCs w:val="32"/>
        </w:rPr>
        <w:t>万元等方面。</w:t>
      </w:r>
    </w:p>
    <w:p>
      <w:pPr>
        <w:widowControl/>
        <w:spacing w:line="600" w:lineRule="exact"/>
        <w:ind w:firstLine="660"/>
        <w:jc w:val="lef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仿宋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年本单位无政府性基金安排的支出。</w:t>
      </w:r>
    </w:p>
    <w:p>
      <w:pPr>
        <w:widowControl/>
        <w:spacing w:line="600" w:lineRule="exact"/>
        <w:ind w:firstLine="660"/>
        <w:jc w:val="lef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仿宋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（一）机关运行经费：</w:t>
      </w:r>
      <w:r>
        <w:rPr>
          <w:rFonts w:hint="eastAsia" w:ascii="仿宋" w:hAnsi="仿宋" w:eastAsia="仿宋" w:cs="仿宋"/>
          <w:sz w:val="32"/>
          <w:szCs w:val="32"/>
        </w:rPr>
        <w:t>2021年本单位机关运行经费0万元。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（二）“三公”经费预算：</w:t>
      </w:r>
      <w:r>
        <w:rPr>
          <w:rFonts w:hint="eastAsia" w:ascii="仿宋" w:hAnsi="仿宋" w:eastAsia="仿宋" w:cs="仿宋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万元。2021年“三公”经费预算较上年持平。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（三）一般性支出情况：</w:t>
      </w:r>
      <w:r>
        <w:rPr>
          <w:rFonts w:hint="eastAsia" w:ascii="仿宋" w:hAnsi="仿宋" w:eastAsia="仿宋" w:cs="仿宋"/>
          <w:kern w:val="0"/>
          <w:sz w:val="32"/>
          <w:szCs w:val="32"/>
        </w:rPr>
        <w:t>2021年本单位会议费预算0万元，拟召开0会议，人数0人；培训费预算0万元，拟开展0培训，人数0人；拟举办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等</w:t>
      </w:r>
      <w:r>
        <w:rPr>
          <w:rFonts w:hint="eastAsia" w:ascii="仿宋" w:hAnsi="仿宋" w:eastAsia="仿宋" w:cs="仿宋"/>
          <w:kern w:val="0"/>
          <w:sz w:val="32"/>
          <w:szCs w:val="32"/>
        </w:rPr>
        <w:t>节庆、晚会、论坛、赛事活动，经费预算0万元。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</w:t>
      </w:r>
      <w:r>
        <w:rPr>
          <w:rFonts w:hint="eastAsia" w:eastAsia="楷体_GB2312"/>
          <w:b/>
          <w:sz w:val="32"/>
          <w:szCs w:val="32"/>
        </w:rPr>
        <w:t>四）政府采购情况：</w:t>
      </w:r>
      <w:r>
        <w:rPr>
          <w:rFonts w:hint="eastAsia" w:ascii="仿宋" w:hAnsi="仿宋" w:eastAsia="仿宋" w:cs="仿宋"/>
          <w:sz w:val="32"/>
          <w:szCs w:val="32"/>
        </w:rPr>
        <w:t>2021年本单位政府采购预算总额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0万元。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（五）国有资产占用使用及新增资产配置情况：</w:t>
      </w:r>
      <w:r>
        <w:rPr>
          <w:rFonts w:hint="eastAsia" w:ascii="仿宋" w:hAnsi="仿宋" w:eastAsia="仿宋" w:cs="仿宋"/>
          <w:sz w:val="32"/>
          <w:szCs w:val="32"/>
        </w:rPr>
        <w:t>截至2020年12月底，本单位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2021年本单位新增配置公务用车辆0辆；新增配备单位价值50万元以上通用设备0台，单位价值100万元以上专用设备0台。</w:t>
      </w:r>
    </w:p>
    <w:p>
      <w:pPr>
        <w:widowControl/>
        <w:spacing w:line="600" w:lineRule="exact"/>
        <w:ind w:firstLine="660"/>
        <w:jc w:val="left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（六）预算绩效目标说明：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</w:rPr>
        <w:t>1386.6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809.13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577.47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ascii="仿宋" w:hAnsi="仿宋" w:eastAsia="仿宋" w:cs="仿宋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mNzgwOWVkZmU3ZWRjOTRjYjFkYTg2YzE4YWI2NDAifQ=="/>
  </w:docVars>
  <w:rsids>
    <w:rsidRoot w:val="00871420"/>
    <w:rsid w:val="00025CE1"/>
    <w:rsid w:val="00094488"/>
    <w:rsid w:val="000C0DA3"/>
    <w:rsid w:val="000D61DD"/>
    <w:rsid w:val="001A32B7"/>
    <w:rsid w:val="001A5800"/>
    <w:rsid w:val="001B0FDC"/>
    <w:rsid w:val="001C3202"/>
    <w:rsid w:val="002707C5"/>
    <w:rsid w:val="00270C57"/>
    <w:rsid w:val="00286B85"/>
    <w:rsid w:val="002A458D"/>
    <w:rsid w:val="00510EA4"/>
    <w:rsid w:val="005F2E6F"/>
    <w:rsid w:val="00622D5F"/>
    <w:rsid w:val="006C3218"/>
    <w:rsid w:val="007F65F8"/>
    <w:rsid w:val="00800A2F"/>
    <w:rsid w:val="00871420"/>
    <w:rsid w:val="008B0311"/>
    <w:rsid w:val="008D58F2"/>
    <w:rsid w:val="008E4C8E"/>
    <w:rsid w:val="00955E84"/>
    <w:rsid w:val="009C0867"/>
    <w:rsid w:val="00AE3812"/>
    <w:rsid w:val="00BD41C0"/>
    <w:rsid w:val="00C20E36"/>
    <w:rsid w:val="00CF20AA"/>
    <w:rsid w:val="00E61E3A"/>
    <w:rsid w:val="00E857A7"/>
    <w:rsid w:val="00EF089A"/>
    <w:rsid w:val="00EF253F"/>
    <w:rsid w:val="010B7155"/>
    <w:rsid w:val="01BB6DFB"/>
    <w:rsid w:val="11E951F8"/>
    <w:rsid w:val="1FFD163A"/>
    <w:rsid w:val="203D5A1E"/>
    <w:rsid w:val="213A225A"/>
    <w:rsid w:val="28CF024F"/>
    <w:rsid w:val="36B75184"/>
    <w:rsid w:val="3E8B6826"/>
    <w:rsid w:val="434F220F"/>
    <w:rsid w:val="4BEC2998"/>
    <w:rsid w:val="52060C45"/>
    <w:rsid w:val="5B225D0D"/>
    <w:rsid w:val="5DD531E4"/>
    <w:rsid w:val="5F7B59B8"/>
    <w:rsid w:val="63E7413A"/>
    <w:rsid w:val="642518F9"/>
    <w:rsid w:val="6D4301B9"/>
    <w:rsid w:val="74D731E4"/>
    <w:rsid w:val="74F64960"/>
    <w:rsid w:val="7BA3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7</Pages>
  <Words>2300</Words>
  <Characters>2510</Characters>
  <Lines>2</Lines>
  <Paragraphs>5</Paragraphs>
  <TotalTime>4</TotalTime>
  <ScaleCrop>false</ScaleCrop>
  <LinksUpToDate>false</LinksUpToDate>
  <CharactersWithSpaces>2522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2021-03-10T01:48:00Z</dcterms:created>
  <dc:creator>asus</dc:creator>
  <cp:lastModifiedBy>lenovo</cp:lastModifiedBy>
  <dcterms:modified xsi:type="dcterms:W3CDTF">2022-09-05T03:15:48Z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61D9D2B571E046E2BE238A074CDCB236</vt:lpwstr>
  </property>
</Properties>
</file>