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eastAsia="方正小标宋_GBK"/>
          <w:bCs/>
          <w:kern w:val="0"/>
          <w:sz w:val="44"/>
          <w:szCs w:val="44"/>
        </w:rPr>
      </w:pPr>
      <w:r>
        <w:rPr>
          <w:rFonts w:eastAsia="方正小标宋_GBK"/>
          <w:bCs/>
          <w:kern w:val="0"/>
          <w:sz w:val="44"/>
          <w:szCs w:val="44"/>
        </w:rPr>
        <w:t>2021年</w:t>
      </w:r>
      <w:r>
        <w:rPr>
          <w:rFonts w:hint="eastAsia" w:eastAsia="方正小标宋_GBK"/>
          <w:bCs/>
          <w:kern w:val="0"/>
          <w:sz w:val="44"/>
          <w:szCs w:val="44"/>
        </w:rPr>
        <w:t>湖南省羽毛球乒乓球运动管理中心</w:t>
      </w:r>
      <w:r>
        <w:rPr>
          <w:rFonts w:eastAsia="方正小标宋_GBK"/>
          <w:bCs/>
          <w:kern w:val="0"/>
          <w:sz w:val="44"/>
          <w:szCs w:val="44"/>
        </w:rPr>
        <w:t>单位预算</w:t>
      </w:r>
    </w:p>
    <w:p>
      <w:pPr>
        <w:widowControl/>
        <w:spacing w:line="600" w:lineRule="exact"/>
        <w:jc w:val="center"/>
        <w:rPr>
          <w:rFonts w:eastAsia="楷体_GB2312"/>
          <w:bCs/>
          <w:kern w:val="0"/>
          <w:sz w:val="32"/>
          <w:szCs w:val="32"/>
        </w:rPr>
      </w:pPr>
    </w:p>
    <w:p>
      <w:pPr>
        <w:widowControl/>
        <w:spacing w:line="600" w:lineRule="exact"/>
        <w:jc w:val="center"/>
        <w:rPr>
          <w:rFonts w:eastAsia="楷体_GB2312"/>
          <w:bCs/>
          <w:kern w:val="0"/>
          <w:sz w:val="32"/>
          <w:szCs w:val="32"/>
        </w:rPr>
      </w:pPr>
    </w:p>
    <w:p>
      <w:pPr>
        <w:widowControl/>
        <w:spacing w:line="600" w:lineRule="exact"/>
        <w:jc w:val="center"/>
        <w:rPr>
          <w:rFonts w:eastAsia="黑体"/>
          <w:bCs/>
          <w:kern w:val="0"/>
          <w:sz w:val="32"/>
          <w:szCs w:val="32"/>
        </w:rPr>
      </w:pPr>
      <w:r>
        <w:rPr>
          <w:rFonts w:eastAsia="黑体"/>
          <w:bCs/>
          <w:kern w:val="0"/>
          <w:sz w:val="32"/>
          <w:szCs w:val="32"/>
        </w:rPr>
        <w:t>目 录</w:t>
      </w:r>
    </w:p>
    <w:p>
      <w:pPr>
        <w:widowControl/>
        <w:spacing w:line="600" w:lineRule="exact"/>
        <w:jc w:val="left"/>
        <w:rPr>
          <w:rFonts w:eastAsia="黑体"/>
          <w:bCs/>
          <w:kern w:val="0"/>
          <w:sz w:val="32"/>
          <w:szCs w:val="32"/>
        </w:rPr>
      </w:pPr>
    </w:p>
    <w:p>
      <w:pPr>
        <w:widowControl/>
        <w:spacing w:line="600" w:lineRule="exact"/>
        <w:ind w:firstLine="643" w:firstLineChars="200"/>
        <w:rPr>
          <w:rFonts w:eastAsia="方正小标宋_GBK"/>
          <w:b/>
          <w:bCs/>
          <w:kern w:val="0"/>
          <w:sz w:val="32"/>
          <w:szCs w:val="32"/>
        </w:rPr>
      </w:pPr>
      <w:r>
        <w:rPr>
          <w:rFonts w:eastAsia="仿宋_GB2312"/>
          <w:b/>
          <w:bCs/>
          <w:kern w:val="0"/>
          <w:sz w:val="32"/>
          <w:szCs w:val="32"/>
        </w:rPr>
        <w:t xml:space="preserve">第一部分 </w:t>
      </w:r>
      <w:r>
        <w:rPr>
          <w:rFonts w:eastAsia="方正小标宋_GBK"/>
          <w:b/>
          <w:bCs/>
          <w:kern w:val="0"/>
          <w:sz w:val="32"/>
          <w:szCs w:val="32"/>
        </w:rPr>
        <w:t>2</w:t>
      </w:r>
      <w:r>
        <w:rPr>
          <w:rFonts w:eastAsia="仿宋_GB2312"/>
          <w:b/>
          <w:bCs/>
          <w:kern w:val="0"/>
          <w:sz w:val="32"/>
          <w:szCs w:val="32"/>
        </w:rPr>
        <w:t>021年单位预算说明</w:t>
      </w:r>
    </w:p>
    <w:p>
      <w:pPr>
        <w:widowControl/>
        <w:spacing w:line="600" w:lineRule="exact"/>
        <w:ind w:firstLine="643" w:firstLineChars="200"/>
        <w:jc w:val="left"/>
        <w:rPr>
          <w:rFonts w:eastAsia="仿宋_GB2312"/>
          <w:b/>
          <w:bCs/>
          <w:kern w:val="0"/>
          <w:sz w:val="32"/>
          <w:szCs w:val="32"/>
        </w:rPr>
      </w:pPr>
      <w:r>
        <w:rPr>
          <w:rFonts w:eastAsia="仿宋_GB2312"/>
          <w:b/>
          <w:bCs/>
          <w:kern w:val="0"/>
          <w:sz w:val="32"/>
          <w:szCs w:val="32"/>
        </w:rPr>
        <w:t>第二部分 2021年单位预算表</w:t>
      </w:r>
    </w:p>
    <w:p>
      <w:pPr>
        <w:widowControl/>
        <w:spacing w:line="600" w:lineRule="exact"/>
        <w:ind w:firstLine="640" w:firstLineChars="200"/>
        <w:jc w:val="left"/>
        <w:rPr>
          <w:rFonts w:eastAsia="仿宋_GB2312"/>
          <w:sz w:val="32"/>
          <w:szCs w:val="32"/>
        </w:rPr>
      </w:pPr>
      <w:r>
        <w:rPr>
          <w:rFonts w:eastAsia="仿宋_GB2312"/>
          <w:sz w:val="32"/>
          <w:szCs w:val="32"/>
        </w:rPr>
        <w:t>1、收支总表</w:t>
      </w:r>
    </w:p>
    <w:p>
      <w:pPr>
        <w:widowControl/>
        <w:spacing w:line="600" w:lineRule="exact"/>
        <w:ind w:firstLine="640" w:firstLineChars="200"/>
        <w:jc w:val="left"/>
        <w:rPr>
          <w:rFonts w:eastAsia="仿宋_GB2312"/>
          <w:sz w:val="32"/>
          <w:szCs w:val="32"/>
        </w:rPr>
      </w:pPr>
      <w:r>
        <w:rPr>
          <w:rFonts w:eastAsia="仿宋_GB2312"/>
          <w:sz w:val="32"/>
          <w:szCs w:val="32"/>
        </w:rPr>
        <w:t>2、收入总表</w:t>
      </w:r>
    </w:p>
    <w:p>
      <w:pPr>
        <w:widowControl/>
        <w:spacing w:line="600" w:lineRule="exact"/>
        <w:ind w:firstLine="640" w:firstLineChars="200"/>
        <w:jc w:val="left"/>
        <w:rPr>
          <w:rFonts w:eastAsia="仿宋_GB2312"/>
          <w:sz w:val="32"/>
          <w:szCs w:val="32"/>
        </w:rPr>
      </w:pPr>
      <w:r>
        <w:rPr>
          <w:rFonts w:eastAsia="仿宋_GB2312"/>
          <w:sz w:val="32"/>
          <w:szCs w:val="32"/>
        </w:rPr>
        <w:t>3、支出总表</w:t>
      </w:r>
    </w:p>
    <w:p>
      <w:pPr>
        <w:widowControl/>
        <w:spacing w:line="600" w:lineRule="exact"/>
        <w:ind w:firstLine="640" w:firstLineChars="200"/>
        <w:jc w:val="left"/>
        <w:rPr>
          <w:rFonts w:eastAsia="仿宋_GB2312"/>
          <w:sz w:val="32"/>
          <w:szCs w:val="32"/>
        </w:rPr>
      </w:pPr>
      <w:r>
        <w:rPr>
          <w:rFonts w:eastAsia="仿宋_GB2312"/>
          <w:sz w:val="32"/>
          <w:szCs w:val="32"/>
        </w:rPr>
        <w:t>4、支出预算分类汇总表（按政府预算经济分类）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5、支出预算分类汇总表（按部门预算经济分类）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6、财政拨款收支总表</w:t>
      </w:r>
    </w:p>
    <w:p>
      <w:pPr>
        <w:widowControl/>
        <w:spacing w:line="600" w:lineRule="exact"/>
        <w:ind w:firstLine="640" w:firstLineChars="200"/>
        <w:jc w:val="left"/>
        <w:rPr>
          <w:rFonts w:eastAsia="仿宋_GB2312"/>
          <w:sz w:val="32"/>
          <w:szCs w:val="32"/>
        </w:rPr>
      </w:pPr>
      <w:r>
        <w:rPr>
          <w:rFonts w:eastAsia="仿宋_GB2312"/>
          <w:sz w:val="32"/>
          <w:szCs w:val="32"/>
        </w:rPr>
        <w:t>7、一般公共预算支出表</w:t>
      </w:r>
    </w:p>
    <w:p>
      <w:pPr>
        <w:widowControl/>
        <w:spacing w:line="600" w:lineRule="exact"/>
        <w:ind w:firstLine="640" w:firstLineChars="200"/>
        <w:jc w:val="left"/>
        <w:rPr>
          <w:rFonts w:eastAsia="仿宋_GB2312"/>
          <w:sz w:val="32"/>
          <w:szCs w:val="32"/>
        </w:rPr>
      </w:pPr>
      <w:r>
        <w:rPr>
          <w:rFonts w:eastAsia="仿宋_GB2312"/>
          <w:sz w:val="32"/>
          <w:szCs w:val="32"/>
        </w:rPr>
        <w:t>8、一般公共预算基本支出表-人员经费（工资福利支出）（按政府预算经济分类）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9、一般公共预算基本支出表-人员经费（工资福利支出）（按部门预算经济分类）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10、一般公共预算基本支出表-人员经费（对个人和家庭的补助）（按政府预算经济分类）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11、一般公共预算基本支出表-人员经费（对个人和家庭的补助）（按部门预算经济分类）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12、一般公共预算基本支出表-人员经费（商品和服务支出）（按政府预算经济分类）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13、一般公共预算基本支出表-人员经费（商品和服务支出）（按部门预算经济分类）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14、一般公共预算“三公”经费支出表</w:t>
      </w:r>
    </w:p>
    <w:p>
      <w:pPr>
        <w:widowControl/>
        <w:spacing w:line="600" w:lineRule="exact"/>
        <w:ind w:firstLine="640" w:firstLineChars="200"/>
        <w:jc w:val="left"/>
        <w:rPr>
          <w:rFonts w:eastAsia="仿宋_GB2312"/>
          <w:sz w:val="32"/>
          <w:szCs w:val="32"/>
        </w:rPr>
      </w:pPr>
      <w:r>
        <w:rPr>
          <w:rFonts w:eastAsia="仿宋_GB2312"/>
          <w:sz w:val="32"/>
          <w:szCs w:val="32"/>
        </w:rPr>
        <w:t>15、政府性基金预算支出表</w:t>
      </w:r>
    </w:p>
    <w:p>
      <w:pPr>
        <w:widowControl/>
        <w:spacing w:line="600" w:lineRule="exact"/>
        <w:ind w:firstLine="640" w:firstLineChars="200"/>
        <w:jc w:val="left"/>
        <w:rPr>
          <w:rFonts w:eastAsia="仿宋_GB2312"/>
          <w:sz w:val="32"/>
          <w:szCs w:val="32"/>
        </w:rPr>
      </w:pPr>
      <w:r>
        <w:rPr>
          <w:rFonts w:eastAsia="仿宋_GB2312"/>
          <w:sz w:val="32"/>
          <w:szCs w:val="32"/>
        </w:rPr>
        <w:t>16、政府性基金预算支出分类汇总表（按政府预算经济分类）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17、政府性基金预算支出分类汇总表（按部门预算经济分类）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18、国有资本经营预算支出表</w:t>
      </w:r>
    </w:p>
    <w:p>
      <w:pPr>
        <w:widowControl/>
        <w:spacing w:line="600" w:lineRule="exact"/>
        <w:ind w:firstLine="640" w:firstLineChars="200"/>
        <w:jc w:val="left"/>
        <w:rPr>
          <w:rFonts w:eastAsia="仿宋_GB2312"/>
          <w:sz w:val="32"/>
          <w:szCs w:val="32"/>
        </w:rPr>
      </w:pPr>
      <w:r>
        <w:rPr>
          <w:rFonts w:eastAsia="仿宋_GB2312"/>
          <w:sz w:val="32"/>
          <w:szCs w:val="32"/>
        </w:rPr>
        <w:t>19、财政专户管理资金预算支出表</w:t>
      </w:r>
    </w:p>
    <w:p>
      <w:pPr>
        <w:widowControl/>
        <w:spacing w:line="600" w:lineRule="exact"/>
        <w:ind w:firstLine="640" w:firstLineChars="200"/>
        <w:jc w:val="left"/>
        <w:rPr>
          <w:rFonts w:eastAsia="仿宋_GB2312"/>
          <w:sz w:val="32"/>
          <w:szCs w:val="32"/>
        </w:rPr>
      </w:pPr>
      <w:r>
        <w:rPr>
          <w:rFonts w:eastAsia="仿宋_GB2312"/>
          <w:sz w:val="32"/>
          <w:szCs w:val="32"/>
        </w:rPr>
        <w:t>20、省级专项资金预算汇总表</w:t>
      </w:r>
    </w:p>
    <w:p>
      <w:pPr>
        <w:widowControl/>
        <w:spacing w:line="600" w:lineRule="exact"/>
        <w:ind w:firstLine="640" w:firstLineChars="200"/>
        <w:jc w:val="left"/>
        <w:rPr>
          <w:rFonts w:eastAsia="仿宋_GB2312"/>
          <w:sz w:val="32"/>
          <w:szCs w:val="32"/>
        </w:rPr>
      </w:pPr>
      <w:r>
        <w:rPr>
          <w:rFonts w:eastAsia="仿宋_GB2312"/>
          <w:sz w:val="32"/>
          <w:szCs w:val="32"/>
        </w:rPr>
        <w:t>21、省级专项资金绩效目标表</w:t>
      </w:r>
    </w:p>
    <w:p>
      <w:pPr>
        <w:widowControl/>
        <w:spacing w:line="600" w:lineRule="exact"/>
        <w:ind w:firstLine="640" w:firstLineChars="200"/>
        <w:jc w:val="left"/>
        <w:rPr>
          <w:rFonts w:eastAsia="仿宋_GB2312"/>
          <w:sz w:val="32"/>
          <w:szCs w:val="32"/>
        </w:rPr>
      </w:pPr>
      <w:r>
        <w:rPr>
          <w:rFonts w:eastAsia="仿宋_GB2312"/>
          <w:sz w:val="32"/>
          <w:szCs w:val="32"/>
        </w:rPr>
        <w:t>22、其他项目支出绩效目标表</w:t>
      </w:r>
    </w:p>
    <w:p>
      <w:pPr>
        <w:widowControl/>
        <w:spacing w:line="600" w:lineRule="exact"/>
        <w:ind w:firstLine="640" w:firstLineChars="200"/>
        <w:jc w:val="left"/>
        <w:rPr>
          <w:rFonts w:eastAsia="仿宋_GB2312"/>
          <w:sz w:val="32"/>
          <w:szCs w:val="32"/>
        </w:rPr>
      </w:pPr>
      <w:r>
        <w:rPr>
          <w:rFonts w:eastAsia="仿宋_GB2312"/>
          <w:sz w:val="32"/>
          <w:szCs w:val="32"/>
        </w:rPr>
        <w:t>23、部门整体支出绩效目标表</w:t>
      </w:r>
    </w:p>
    <w:p>
      <w:pPr>
        <w:widowControl/>
        <w:spacing w:line="600" w:lineRule="exact"/>
        <w:ind w:firstLine="640" w:firstLineChars="200"/>
        <w:rPr>
          <w:rFonts w:eastAsia="仿宋_GB2312"/>
          <w:bCs/>
          <w:kern w:val="0"/>
          <w:sz w:val="32"/>
          <w:szCs w:val="32"/>
        </w:rPr>
      </w:pPr>
      <w:r>
        <w:rPr>
          <w:rFonts w:eastAsia="仿宋_GB2312"/>
          <w:bCs/>
          <w:kern w:val="0"/>
          <w:sz w:val="32"/>
          <w:szCs w:val="32"/>
        </w:rPr>
        <w:t>注：以上部门预算报表中，空表表示本单位无相关收支情况。</w:t>
      </w:r>
    </w:p>
    <w:p>
      <w:pPr>
        <w:widowControl/>
        <w:spacing w:line="600" w:lineRule="exact"/>
        <w:ind w:firstLine="640" w:firstLineChars="200"/>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jc w:val="left"/>
        <w:rPr>
          <w:rFonts w:eastAsia="方正小标宋_GBK"/>
          <w:bCs/>
          <w:kern w:val="0"/>
          <w:sz w:val="36"/>
          <w:szCs w:val="36"/>
        </w:rPr>
      </w:pPr>
    </w:p>
    <w:p>
      <w:pPr>
        <w:widowControl/>
        <w:spacing w:line="600" w:lineRule="exact"/>
        <w:jc w:val="center"/>
        <w:rPr>
          <w:rFonts w:eastAsia="方正小标宋_GBK"/>
          <w:bCs/>
          <w:kern w:val="0"/>
          <w:sz w:val="36"/>
          <w:szCs w:val="36"/>
        </w:rPr>
      </w:pPr>
      <w:r>
        <w:rPr>
          <w:rFonts w:eastAsia="方正小标宋_GBK"/>
          <w:bCs/>
          <w:kern w:val="0"/>
          <w:sz w:val="36"/>
          <w:szCs w:val="36"/>
        </w:rPr>
        <w:t>第一部分</w:t>
      </w:r>
      <w:r>
        <w:rPr>
          <w:rFonts w:hint="eastAsia" w:eastAsia="方正小标宋_GBK"/>
          <w:bCs/>
          <w:kern w:val="0"/>
          <w:sz w:val="36"/>
          <w:szCs w:val="36"/>
        </w:rPr>
        <w:t xml:space="preserve"> </w:t>
      </w:r>
      <w:r>
        <w:rPr>
          <w:rFonts w:eastAsia="方正小标宋_GBK"/>
          <w:bCs/>
          <w:kern w:val="0"/>
          <w:sz w:val="36"/>
          <w:szCs w:val="36"/>
        </w:rPr>
        <w:t>2021年</w:t>
      </w:r>
      <w:r>
        <w:rPr>
          <w:rFonts w:hint="eastAsia" w:eastAsia="方正小标宋_GBK"/>
          <w:bCs/>
          <w:kern w:val="0"/>
          <w:sz w:val="36"/>
          <w:szCs w:val="36"/>
        </w:rPr>
        <w:t>单位</w:t>
      </w:r>
      <w:r>
        <w:rPr>
          <w:rFonts w:eastAsia="方正小标宋_GBK"/>
          <w:bCs/>
          <w:kern w:val="0"/>
          <w:sz w:val="36"/>
          <w:szCs w:val="36"/>
        </w:rPr>
        <w:t>预算说明</w:t>
      </w:r>
    </w:p>
    <w:p>
      <w:pPr>
        <w:widowControl/>
        <w:spacing w:line="600" w:lineRule="exact"/>
        <w:jc w:val="left"/>
        <w:rPr>
          <w:rFonts w:eastAsia="黑体"/>
          <w:bCs/>
          <w:kern w:val="0"/>
          <w:sz w:val="32"/>
          <w:szCs w:val="32"/>
        </w:rPr>
      </w:pPr>
    </w:p>
    <w:p>
      <w:pPr>
        <w:widowControl/>
        <w:spacing w:line="600" w:lineRule="exact"/>
        <w:jc w:val="left"/>
        <w:rPr>
          <w:rFonts w:eastAsia="黑体"/>
          <w:bCs/>
          <w:kern w:val="0"/>
          <w:sz w:val="32"/>
          <w:szCs w:val="32"/>
        </w:rPr>
      </w:pPr>
      <w:r>
        <w:rPr>
          <w:rFonts w:hint="eastAsia" w:eastAsia="黑体"/>
          <w:bCs/>
          <w:kern w:val="0"/>
          <w:sz w:val="32"/>
          <w:szCs w:val="32"/>
        </w:rPr>
        <w:t xml:space="preserve">  </w:t>
      </w:r>
      <w:r>
        <w:rPr>
          <w:rFonts w:eastAsia="黑体"/>
          <w:bCs/>
          <w:kern w:val="0"/>
          <w:sz w:val="32"/>
          <w:szCs w:val="32"/>
        </w:rPr>
        <w:t>一、单位基本概况</w:t>
      </w:r>
    </w:p>
    <w:p>
      <w:pPr>
        <w:spacing w:line="360" w:lineRule="auto"/>
        <w:jc w:val="left"/>
        <w:rPr>
          <w:rFonts w:eastAsia="楷体_GB2312"/>
          <w:b/>
          <w:sz w:val="32"/>
          <w:szCs w:val="32"/>
        </w:rPr>
      </w:pPr>
      <w:r>
        <w:rPr>
          <w:rFonts w:hint="eastAsia" w:eastAsia="楷体_GB2312"/>
          <w:b/>
          <w:sz w:val="32"/>
          <w:szCs w:val="32"/>
        </w:rPr>
        <w:t xml:space="preserve">  </w:t>
      </w:r>
      <w:r>
        <w:rPr>
          <w:rFonts w:eastAsia="楷体_GB2312"/>
          <w:b/>
          <w:sz w:val="32"/>
          <w:szCs w:val="32"/>
        </w:rPr>
        <w:t>（一）职能职责</w:t>
      </w:r>
      <w:r>
        <w:rPr>
          <w:rFonts w:hint="eastAsia" w:eastAsia="楷体_GB2312"/>
          <w:b/>
          <w:sz w:val="32"/>
          <w:szCs w:val="32"/>
        </w:rPr>
        <w:t>。</w:t>
      </w:r>
    </w:p>
    <w:p>
      <w:pPr>
        <w:widowControl/>
        <w:spacing w:line="600" w:lineRule="exact"/>
        <w:ind w:firstLine="627" w:firstLineChars="196"/>
        <w:jc w:val="left"/>
        <w:rPr>
          <w:rFonts w:ascii="仿宋" w:hAnsi="仿宋" w:eastAsia="仿宋" w:cs="仿宋"/>
          <w:bCs/>
          <w:sz w:val="32"/>
          <w:szCs w:val="32"/>
        </w:rPr>
      </w:pPr>
      <w:r>
        <w:rPr>
          <w:rFonts w:hint="eastAsia" w:ascii="仿宋" w:hAnsi="仿宋" w:eastAsia="仿宋" w:cs="仿宋"/>
          <w:bCs/>
          <w:sz w:val="32"/>
          <w:szCs w:val="32"/>
        </w:rPr>
        <w:t>湖南省羽毛球乒乓球运动管理中心是省体育局的二级机构，属全额拨款的事业单位。成立于2003年，主要职能是开展全省专业、羽毛球乒乓球运动，培养教练员、运动员、裁判员队伍，承担羽毛球、乒乓球项目全运会、亚运会、奥运会等国内国际比赛任务，负责全省专业运动员选拔、业余羽毛球乒乓球训练管理工作和推动我省羽毛球乒乓球项目发展工作。</w:t>
      </w:r>
    </w:p>
    <w:p>
      <w:pPr>
        <w:numPr>
          <w:ilvl w:val="0"/>
          <w:numId w:val="1"/>
        </w:numPr>
        <w:spacing w:line="360" w:lineRule="auto"/>
        <w:ind w:firstLine="643" w:firstLineChars="200"/>
        <w:jc w:val="left"/>
        <w:rPr>
          <w:rFonts w:eastAsia="楷体_GB2312"/>
          <w:b/>
          <w:sz w:val="32"/>
          <w:szCs w:val="32"/>
        </w:rPr>
      </w:pPr>
      <w:r>
        <w:rPr>
          <w:rFonts w:eastAsia="楷体_GB2312"/>
          <w:b/>
          <w:sz w:val="32"/>
          <w:szCs w:val="32"/>
        </w:rPr>
        <w:t>机构设置</w:t>
      </w:r>
      <w:r>
        <w:rPr>
          <w:rFonts w:hint="eastAsia" w:eastAsia="楷体_GB2312"/>
          <w:b/>
          <w:sz w:val="32"/>
          <w:szCs w:val="32"/>
        </w:rPr>
        <w:t>。</w:t>
      </w:r>
    </w:p>
    <w:p>
      <w:pPr>
        <w:widowControl/>
        <w:spacing w:line="600" w:lineRule="exact"/>
        <w:ind w:firstLine="627" w:firstLineChars="196"/>
        <w:jc w:val="left"/>
        <w:rPr>
          <w:rFonts w:hint="eastAsia" w:ascii="仿宋" w:hAnsi="仿宋" w:eastAsia="仿宋" w:cs="仿宋"/>
          <w:bCs/>
          <w:sz w:val="32"/>
          <w:szCs w:val="32"/>
        </w:rPr>
      </w:pPr>
      <w:r>
        <w:rPr>
          <w:rFonts w:hint="eastAsia" w:ascii="仿宋" w:hAnsi="仿宋" w:eastAsia="仿宋" w:cs="仿宋"/>
          <w:bCs/>
          <w:sz w:val="32"/>
          <w:szCs w:val="32"/>
        </w:rPr>
        <w:t>本单位内设机构四个：办公室、综合科、训竟科、运动队。</w:t>
      </w:r>
    </w:p>
    <w:p>
      <w:pPr>
        <w:widowControl/>
        <w:numPr>
          <w:ilvl w:val="0"/>
          <w:numId w:val="2"/>
        </w:numPr>
        <w:spacing w:line="600" w:lineRule="exact"/>
        <w:ind w:left="280" w:leftChars="0" w:firstLineChars="0"/>
        <w:jc w:val="left"/>
        <w:rPr>
          <w:rFonts w:hint="eastAsia" w:ascii="黑体" w:hAnsi="黑体" w:eastAsia="黑体" w:cs="黑体"/>
          <w:b/>
          <w:bCs w:val="0"/>
          <w:sz w:val="32"/>
          <w:szCs w:val="32"/>
          <w:lang w:val="en-US" w:eastAsia="zh-CN"/>
        </w:rPr>
      </w:pPr>
      <w:r>
        <w:rPr>
          <w:rFonts w:hint="eastAsia" w:ascii="黑体" w:hAnsi="黑体" w:eastAsia="黑体" w:cs="黑体"/>
          <w:b/>
          <w:bCs w:val="0"/>
          <w:sz w:val="32"/>
          <w:szCs w:val="32"/>
          <w:lang w:val="en-US" w:eastAsia="zh-CN"/>
        </w:rPr>
        <w:t>单位预算构成</w:t>
      </w:r>
    </w:p>
    <w:p>
      <w:pPr>
        <w:widowControl/>
        <w:numPr>
          <w:ilvl w:val="0"/>
          <w:numId w:val="0"/>
        </w:numPr>
        <w:spacing w:line="600" w:lineRule="exact"/>
        <w:jc w:val="left"/>
        <w:rPr>
          <w:rFonts w:hint="default" w:ascii="仿宋" w:hAnsi="仿宋" w:eastAsia="仿宋" w:cs="仿宋"/>
          <w:bCs/>
          <w:sz w:val="32"/>
          <w:szCs w:val="32"/>
          <w:lang w:val="en-US" w:eastAsia="zh-CN"/>
        </w:rPr>
      </w:pPr>
      <w:r>
        <w:rPr>
          <w:rFonts w:hint="eastAsia" w:ascii="仿宋" w:hAnsi="仿宋" w:eastAsia="仿宋" w:cs="仿宋"/>
          <w:bCs/>
          <w:sz w:val="32"/>
          <w:szCs w:val="32"/>
          <w:lang w:val="en-US" w:eastAsia="zh-CN"/>
        </w:rPr>
        <w:t>本单位预算仅含本级预算</w:t>
      </w:r>
    </w:p>
    <w:p>
      <w:pPr>
        <w:widowControl/>
        <w:numPr>
          <w:ilvl w:val="0"/>
          <w:numId w:val="0"/>
        </w:numPr>
        <w:spacing w:line="600" w:lineRule="exact"/>
        <w:ind w:firstLine="321" w:firstLineChars="100"/>
        <w:rPr>
          <w:rFonts w:eastAsia="黑体"/>
          <w:b/>
          <w:bCs w:val="0"/>
          <w:kern w:val="0"/>
          <w:sz w:val="32"/>
          <w:szCs w:val="32"/>
        </w:rPr>
      </w:pPr>
      <w:r>
        <w:rPr>
          <w:rFonts w:hint="eastAsia" w:eastAsia="黑体"/>
          <w:b/>
          <w:bCs w:val="0"/>
          <w:kern w:val="0"/>
          <w:sz w:val="32"/>
          <w:szCs w:val="32"/>
          <w:lang w:val="en-US" w:eastAsia="zh-CN"/>
        </w:rPr>
        <w:t>三、</w:t>
      </w:r>
      <w:r>
        <w:rPr>
          <w:rFonts w:eastAsia="黑体"/>
          <w:b/>
          <w:bCs w:val="0"/>
          <w:kern w:val="0"/>
          <w:sz w:val="32"/>
          <w:szCs w:val="32"/>
        </w:rPr>
        <w:t>单位收支总体情况</w:t>
      </w:r>
    </w:p>
    <w:p>
      <w:pPr>
        <w:widowControl/>
        <w:spacing w:line="600" w:lineRule="exact"/>
        <w:ind w:firstLine="643" w:firstLineChars="200"/>
        <w:rPr>
          <w:rFonts w:ascii="仿宋" w:hAnsi="仿宋" w:eastAsia="仿宋" w:cs="仿宋"/>
          <w:bCs/>
          <w:sz w:val="32"/>
          <w:szCs w:val="32"/>
        </w:rPr>
      </w:pPr>
      <w:r>
        <w:rPr>
          <w:rFonts w:eastAsia="楷体_GB2312"/>
          <w:b/>
          <w:sz w:val="32"/>
          <w:szCs w:val="32"/>
        </w:rPr>
        <w:t>（一）收入预算</w:t>
      </w:r>
      <w:r>
        <w:rPr>
          <w:rFonts w:hint="eastAsia" w:eastAsia="楷体_GB2312"/>
          <w:b/>
          <w:sz w:val="32"/>
          <w:szCs w:val="32"/>
        </w:rPr>
        <w:t>：</w:t>
      </w:r>
      <w:r>
        <w:rPr>
          <w:rFonts w:eastAsia="仿宋_GB2312"/>
          <w:sz w:val="32"/>
          <w:szCs w:val="32"/>
        </w:rPr>
        <w:t>包括一般公共预算、政府性基金、国有资本经营预算等财政拨款收入，以及经营收入、事业收入等单位资金。</w:t>
      </w:r>
      <w:r>
        <w:rPr>
          <w:rFonts w:hint="eastAsia" w:eastAsia="仿宋_GB2312"/>
          <w:sz w:val="32"/>
          <w:szCs w:val="32"/>
        </w:rPr>
        <w:t>2021</w:t>
      </w:r>
      <w:r>
        <w:rPr>
          <w:rFonts w:hint="eastAsia" w:ascii="仿宋" w:hAnsi="仿宋" w:eastAsia="仿宋" w:cs="仿宋"/>
          <w:sz w:val="32"/>
          <w:szCs w:val="32"/>
        </w:rPr>
        <w:t>年本单位收入预算</w:t>
      </w:r>
      <w:r>
        <w:rPr>
          <w:rFonts w:hint="eastAsia" w:eastAsia="仿宋_GB2312"/>
          <w:sz w:val="32"/>
          <w:szCs w:val="32"/>
        </w:rPr>
        <w:t>1854</w:t>
      </w:r>
      <w:r>
        <w:rPr>
          <w:rFonts w:hint="eastAsia" w:ascii="仿宋" w:hAnsi="仿宋" w:eastAsia="仿宋" w:cs="仿宋"/>
          <w:sz w:val="32"/>
          <w:szCs w:val="32"/>
        </w:rPr>
        <w:t>万元，其中，一般公共预算拨款</w:t>
      </w:r>
      <w:r>
        <w:rPr>
          <w:rFonts w:hint="eastAsia" w:eastAsia="仿宋_GB2312"/>
          <w:sz w:val="32"/>
          <w:szCs w:val="32"/>
        </w:rPr>
        <w:t>1616</w:t>
      </w:r>
      <w:r>
        <w:rPr>
          <w:rFonts w:hint="eastAsia" w:ascii="仿宋" w:hAnsi="仿宋" w:eastAsia="仿宋" w:cs="仿宋"/>
          <w:sz w:val="32"/>
          <w:szCs w:val="32"/>
        </w:rPr>
        <w:t>万元，包含经费拨款</w:t>
      </w:r>
      <w:r>
        <w:rPr>
          <w:rFonts w:hint="eastAsia" w:eastAsia="仿宋_GB2312"/>
          <w:sz w:val="32"/>
          <w:szCs w:val="32"/>
        </w:rPr>
        <w:t>161万</w:t>
      </w:r>
      <w:r>
        <w:rPr>
          <w:rFonts w:hint="eastAsia" w:ascii="仿宋" w:hAnsi="仿宋" w:eastAsia="仿宋" w:cs="仿宋"/>
          <w:sz w:val="32"/>
          <w:szCs w:val="32"/>
        </w:rPr>
        <w:t>元；政府性基金预算拨款</w:t>
      </w:r>
      <w:r>
        <w:rPr>
          <w:rFonts w:hint="eastAsia" w:eastAsia="仿宋_GB2312"/>
          <w:sz w:val="32"/>
          <w:szCs w:val="32"/>
        </w:rPr>
        <w:t>173</w:t>
      </w:r>
      <w:r>
        <w:rPr>
          <w:rFonts w:hint="eastAsia" w:ascii="仿宋" w:hAnsi="仿宋" w:eastAsia="仿宋" w:cs="仿宋"/>
          <w:sz w:val="32"/>
          <w:szCs w:val="32"/>
        </w:rPr>
        <w:t>万元；上年结转结余</w:t>
      </w:r>
      <w:r>
        <w:rPr>
          <w:rFonts w:hint="eastAsia" w:eastAsia="仿宋_GB2312"/>
          <w:sz w:val="32"/>
          <w:szCs w:val="32"/>
        </w:rPr>
        <w:t>65</w:t>
      </w:r>
      <w:r>
        <w:rPr>
          <w:rFonts w:hint="eastAsia" w:ascii="仿宋" w:hAnsi="仿宋" w:eastAsia="仿宋" w:cs="仿宋"/>
          <w:sz w:val="32"/>
          <w:szCs w:val="32"/>
        </w:rPr>
        <w:t>万元。</w:t>
      </w:r>
      <w:r>
        <w:rPr>
          <w:rFonts w:eastAsia="仿宋_GB2312"/>
          <w:sz w:val="32"/>
          <w:szCs w:val="32"/>
        </w:rPr>
        <w:t>国有资本经营预算拨款</w:t>
      </w:r>
      <w:r>
        <w:rPr>
          <w:rFonts w:eastAsia="仿宋_GB2312"/>
          <w:sz w:val="32"/>
          <w:szCs w:val="32"/>
          <w:u w:val="single"/>
        </w:rPr>
        <w:t xml:space="preserve">  </w:t>
      </w:r>
      <w:r>
        <w:rPr>
          <w:rFonts w:hint="eastAsia" w:eastAsia="仿宋_GB2312"/>
          <w:sz w:val="32"/>
          <w:szCs w:val="32"/>
          <w:u w:val="single"/>
          <w:lang w:val="en-US" w:eastAsia="zh-CN"/>
        </w:rPr>
        <w:t>0</w:t>
      </w:r>
      <w:r>
        <w:rPr>
          <w:rFonts w:eastAsia="仿宋_GB2312"/>
          <w:sz w:val="32"/>
          <w:szCs w:val="32"/>
          <w:u w:val="single"/>
        </w:rPr>
        <w:t xml:space="preserve"> </w:t>
      </w:r>
      <w:r>
        <w:rPr>
          <w:rFonts w:eastAsia="仿宋_GB2312"/>
          <w:sz w:val="32"/>
          <w:szCs w:val="32"/>
        </w:rPr>
        <w:t>万元，纳入专户管理的非税收入</w:t>
      </w:r>
      <w:r>
        <w:rPr>
          <w:rFonts w:eastAsia="仿宋_GB2312"/>
          <w:sz w:val="32"/>
          <w:szCs w:val="32"/>
          <w:u w:val="single"/>
        </w:rPr>
        <w:t xml:space="preserve"> </w:t>
      </w:r>
      <w:r>
        <w:rPr>
          <w:rFonts w:hint="eastAsia" w:eastAsia="仿宋_GB2312"/>
          <w:sz w:val="32"/>
          <w:szCs w:val="32"/>
          <w:u w:val="single"/>
          <w:lang w:val="en-US" w:eastAsia="zh-CN"/>
        </w:rPr>
        <w:t>0</w:t>
      </w:r>
      <w:r>
        <w:rPr>
          <w:rFonts w:eastAsia="仿宋_GB2312"/>
          <w:sz w:val="32"/>
          <w:szCs w:val="32"/>
          <w:u w:val="single"/>
        </w:rPr>
        <w:t xml:space="preserve">  </w:t>
      </w:r>
      <w:r>
        <w:rPr>
          <w:rFonts w:eastAsia="仿宋_GB2312"/>
          <w:sz w:val="32"/>
          <w:szCs w:val="32"/>
        </w:rPr>
        <w:t>万元，</w:t>
      </w:r>
      <w:r>
        <w:rPr>
          <w:rFonts w:hint="eastAsia" w:ascii="仿宋" w:hAnsi="仿宋" w:eastAsia="仿宋" w:cs="仿宋"/>
          <w:sz w:val="32"/>
          <w:szCs w:val="32"/>
        </w:rPr>
        <w:t>（</w:t>
      </w:r>
      <w:r>
        <w:rPr>
          <w:rFonts w:hint="eastAsia" w:ascii="仿宋" w:hAnsi="仿宋" w:eastAsia="仿宋" w:cs="仿宋"/>
          <w:bCs/>
          <w:sz w:val="32"/>
          <w:szCs w:val="32"/>
        </w:rPr>
        <w:t>收入较去年减少</w:t>
      </w:r>
      <w:r>
        <w:rPr>
          <w:rFonts w:hint="eastAsia" w:eastAsia="仿宋_GB2312"/>
          <w:sz w:val="32"/>
          <w:szCs w:val="32"/>
        </w:rPr>
        <w:t>34.44</w:t>
      </w:r>
      <w:r>
        <w:rPr>
          <w:rFonts w:hint="eastAsia" w:ascii="仿宋" w:hAnsi="仿宋" w:eastAsia="仿宋" w:cs="仿宋"/>
          <w:bCs/>
          <w:sz w:val="32"/>
          <w:szCs w:val="32"/>
        </w:rPr>
        <w:t>万元，主要是一般公共预算拨款减少</w:t>
      </w:r>
      <w:r>
        <w:rPr>
          <w:rFonts w:hint="eastAsia" w:eastAsia="仿宋_GB2312"/>
          <w:sz w:val="32"/>
          <w:szCs w:val="32"/>
        </w:rPr>
        <w:t>111.44</w:t>
      </w:r>
      <w:r>
        <w:rPr>
          <w:rFonts w:hint="eastAsia" w:ascii="仿宋" w:hAnsi="仿宋" w:eastAsia="仿宋" w:cs="仿宋"/>
          <w:bCs/>
          <w:sz w:val="32"/>
          <w:szCs w:val="32"/>
        </w:rPr>
        <w:t>万元，政府性基金拨款增加</w:t>
      </w:r>
      <w:r>
        <w:rPr>
          <w:rFonts w:hint="eastAsia" w:eastAsia="仿宋_GB2312"/>
          <w:sz w:val="32"/>
          <w:szCs w:val="32"/>
        </w:rPr>
        <w:t>12</w:t>
      </w:r>
      <w:r>
        <w:rPr>
          <w:rFonts w:hint="eastAsia" w:ascii="仿宋" w:hAnsi="仿宋" w:eastAsia="仿宋" w:cs="仿宋"/>
          <w:bCs/>
          <w:sz w:val="32"/>
          <w:szCs w:val="32"/>
        </w:rPr>
        <w:t>万元,上年结转结余增加</w:t>
      </w:r>
      <w:r>
        <w:rPr>
          <w:rFonts w:hint="eastAsia" w:eastAsia="仿宋_GB2312"/>
          <w:sz w:val="32"/>
          <w:szCs w:val="32"/>
        </w:rPr>
        <w:t>65</w:t>
      </w:r>
      <w:r>
        <w:rPr>
          <w:rFonts w:hint="eastAsia" w:ascii="仿宋" w:hAnsi="仿宋" w:eastAsia="仿宋" w:cs="仿宋"/>
          <w:bCs/>
          <w:sz w:val="32"/>
          <w:szCs w:val="32"/>
        </w:rPr>
        <w:t>万元。</w:t>
      </w:r>
      <w:r>
        <w:rPr>
          <w:rFonts w:hint="eastAsia" w:ascii="仿宋" w:hAnsi="仿宋" w:eastAsia="仿宋" w:cs="仿宋"/>
          <w:sz w:val="32"/>
          <w:szCs w:val="32"/>
        </w:rPr>
        <w:t>）</w:t>
      </w:r>
    </w:p>
    <w:p>
      <w:pPr>
        <w:widowControl/>
        <w:spacing w:line="600" w:lineRule="exact"/>
        <w:ind w:firstLine="630" w:firstLineChars="196"/>
        <w:rPr>
          <w:rFonts w:eastAsia="仿宋_GB2312"/>
          <w:sz w:val="32"/>
          <w:szCs w:val="32"/>
        </w:rPr>
      </w:pPr>
      <w:r>
        <w:rPr>
          <w:rFonts w:hint="eastAsia" w:eastAsia="楷体_GB2312"/>
          <w:b/>
          <w:sz w:val="32"/>
          <w:szCs w:val="32"/>
        </w:rPr>
        <w:t>（二）支出预算：</w:t>
      </w:r>
      <w:r>
        <w:rPr>
          <w:rFonts w:hint="eastAsia" w:eastAsia="仿宋_GB2312"/>
          <w:sz w:val="32"/>
          <w:szCs w:val="32"/>
        </w:rPr>
        <w:t>2021</w:t>
      </w:r>
      <w:r>
        <w:rPr>
          <w:rFonts w:hint="eastAsia" w:ascii="仿宋" w:hAnsi="仿宋" w:eastAsia="仿宋"/>
          <w:sz w:val="32"/>
          <w:szCs w:val="32"/>
        </w:rPr>
        <w:t>年本单位支出预算</w:t>
      </w:r>
      <w:r>
        <w:rPr>
          <w:rFonts w:hint="eastAsia" w:eastAsia="仿宋_GB2312"/>
          <w:sz w:val="32"/>
          <w:szCs w:val="32"/>
        </w:rPr>
        <w:t>1854</w:t>
      </w:r>
      <w:r>
        <w:rPr>
          <w:rFonts w:hint="eastAsia" w:ascii="仿宋" w:hAnsi="仿宋" w:eastAsia="仿宋"/>
          <w:sz w:val="32"/>
          <w:szCs w:val="32"/>
        </w:rPr>
        <w:t>万元，</w:t>
      </w:r>
      <w:r>
        <w:rPr>
          <w:rFonts w:hint="eastAsia" w:eastAsia="仿宋_GB2312"/>
          <w:sz w:val="32"/>
          <w:szCs w:val="32"/>
        </w:rPr>
        <w:t>2021</w:t>
      </w:r>
      <w:r>
        <w:rPr>
          <w:rFonts w:hint="eastAsia" w:ascii="仿宋" w:hAnsi="仿宋" w:eastAsia="仿宋"/>
          <w:sz w:val="32"/>
          <w:szCs w:val="32"/>
        </w:rPr>
        <w:t>年一般公共预算拨款支出</w:t>
      </w:r>
      <w:r>
        <w:rPr>
          <w:rFonts w:hint="eastAsia" w:eastAsia="仿宋_GB2312"/>
          <w:sz w:val="32"/>
          <w:szCs w:val="32"/>
        </w:rPr>
        <w:t>1681</w:t>
      </w:r>
      <w:r>
        <w:rPr>
          <w:rFonts w:hint="eastAsia" w:ascii="仿宋" w:hAnsi="仿宋" w:eastAsia="仿宋"/>
          <w:sz w:val="32"/>
          <w:szCs w:val="32"/>
        </w:rPr>
        <w:t>万元，</w:t>
      </w:r>
      <w:r>
        <w:rPr>
          <w:rFonts w:eastAsia="仿宋_GB2312"/>
          <w:sz w:val="32"/>
          <w:szCs w:val="32"/>
        </w:rPr>
        <w:t>公共安全</w:t>
      </w:r>
      <w:r>
        <w:rPr>
          <w:rFonts w:eastAsia="仿宋_GB2312"/>
          <w:sz w:val="32"/>
          <w:szCs w:val="32"/>
          <w:u w:val="single"/>
        </w:rPr>
        <w:t xml:space="preserve"> </w:t>
      </w:r>
      <w:r>
        <w:rPr>
          <w:rFonts w:hint="eastAsia" w:eastAsia="仿宋_GB2312"/>
          <w:sz w:val="32"/>
          <w:szCs w:val="32"/>
          <w:u w:val="single"/>
          <w:lang w:val="en-US" w:eastAsia="zh-CN"/>
        </w:rPr>
        <w:t>0</w:t>
      </w:r>
      <w:r>
        <w:rPr>
          <w:rFonts w:eastAsia="仿宋_GB2312"/>
          <w:sz w:val="32"/>
          <w:szCs w:val="32"/>
          <w:u w:val="single"/>
        </w:rPr>
        <w:t xml:space="preserve">  </w:t>
      </w:r>
      <w:r>
        <w:rPr>
          <w:rFonts w:eastAsia="仿宋_GB2312"/>
          <w:sz w:val="32"/>
          <w:szCs w:val="32"/>
        </w:rPr>
        <w:t>万元，教育</w:t>
      </w:r>
      <w:r>
        <w:rPr>
          <w:rFonts w:eastAsia="仿宋_GB2312"/>
          <w:sz w:val="32"/>
          <w:szCs w:val="32"/>
          <w:u w:val="single"/>
        </w:rPr>
        <w:t xml:space="preserve">  </w:t>
      </w:r>
      <w:r>
        <w:rPr>
          <w:rFonts w:hint="eastAsia" w:eastAsia="仿宋_GB2312"/>
          <w:sz w:val="32"/>
          <w:szCs w:val="32"/>
          <w:u w:val="single"/>
          <w:lang w:val="en-US" w:eastAsia="zh-CN"/>
        </w:rPr>
        <w:t>0</w:t>
      </w:r>
      <w:r>
        <w:rPr>
          <w:rFonts w:eastAsia="仿宋_GB2312"/>
          <w:sz w:val="32"/>
          <w:szCs w:val="32"/>
          <w:u w:val="single"/>
        </w:rPr>
        <w:t xml:space="preserve"> </w:t>
      </w:r>
      <w:r>
        <w:rPr>
          <w:rFonts w:eastAsia="仿宋_GB2312"/>
          <w:sz w:val="32"/>
          <w:szCs w:val="32"/>
        </w:rPr>
        <w:t>万元，科学技术</w:t>
      </w:r>
      <w:r>
        <w:rPr>
          <w:rFonts w:eastAsia="仿宋_GB2312"/>
          <w:sz w:val="32"/>
          <w:szCs w:val="32"/>
          <w:u w:val="single"/>
        </w:rPr>
        <w:t xml:space="preserve">  </w:t>
      </w:r>
      <w:r>
        <w:rPr>
          <w:rFonts w:hint="eastAsia" w:eastAsia="仿宋_GB2312"/>
          <w:sz w:val="32"/>
          <w:szCs w:val="32"/>
          <w:u w:val="single"/>
          <w:lang w:val="en-US" w:eastAsia="zh-CN"/>
        </w:rPr>
        <w:t>0</w:t>
      </w:r>
      <w:r>
        <w:rPr>
          <w:rFonts w:eastAsia="仿宋_GB2312"/>
          <w:sz w:val="32"/>
          <w:szCs w:val="32"/>
          <w:u w:val="single"/>
        </w:rPr>
        <w:t xml:space="preserve"> </w:t>
      </w:r>
      <w:r>
        <w:rPr>
          <w:rFonts w:eastAsia="仿宋_GB2312"/>
          <w:sz w:val="32"/>
          <w:szCs w:val="32"/>
        </w:rPr>
        <w:t>万元</w:t>
      </w:r>
      <w:r>
        <w:rPr>
          <w:rFonts w:hint="eastAsia" w:eastAsia="仿宋_GB2312"/>
          <w:sz w:val="32"/>
          <w:szCs w:val="32"/>
          <w:lang w:eastAsia="zh-CN"/>
        </w:rPr>
        <w:t>，</w:t>
      </w:r>
      <w:r>
        <w:rPr>
          <w:rFonts w:hint="eastAsia" w:ascii="仿宋" w:hAnsi="仿宋" w:eastAsia="仿宋"/>
          <w:sz w:val="32"/>
          <w:szCs w:val="32"/>
        </w:rPr>
        <w:t>其中，文化旅游体育与传媒支出</w:t>
      </w:r>
      <w:r>
        <w:rPr>
          <w:rFonts w:hint="eastAsia" w:eastAsia="仿宋_GB2312"/>
          <w:sz w:val="32"/>
          <w:szCs w:val="32"/>
        </w:rPr>
        <w:t>1417</w:t>
      </w:r>
      <w:r>
        <w:rPr>
          <w:rFonts w:hint="eastAsia" w:ascii="仿宋" w:hAnsi="仿宋" w:eastAsia="仿宋"/>
          <w:sz w:val="32"/>
          <w:szCs w:val="32"/>
        </w:rPr>
        <w:t>万元，占</w:t>
      </w:r>
      <w:r>
        <w:rPr>
          <w:rFonts w:hint="eastAsia" w:eastAsia="仿宋_GB2312"/>
          <w:sz w:val="32"/>
          <w:szCs w:val="32"/>
        </w:rPr>
        <w:t>84.3%</w:t>
      </w:r>
      <w:r>
        <w:rPr>
          <w:rFonts w:hint="eastAsia" w:ascii="仿宋" w:hAnsi="仿宋" w:eastAsia="仿宋"/>
          <w:sz w:val="32"/>
          <w:szCs w:val="32"/>
        </w:rPr>
        <w:t>；社会保障与就业支出</w:t>
      </w:r>
      <w:r>
        <w:rPr>
          <w:rFonts w:hint="eastAsia" w:eastAsia="仿宋_GB2312"/>
          <w:sz w:val="32"/>
          <w:szCs w:val="32"/>
        </w:rPr>
        <w:t>92</w:t>
      </w:r>
      <w:r>
        <w:rPr>
          <w:rFonts w:hint="eastAsia" w:ascii="仿宋" w:hAnsi="仿宋" w:eastAsia="仿宋"/>
          <w:sz w:val="32"/>
          <w:szCs w:val="32"/>
        </w:rPr>
        <w:t>万元，占</w:t>
      </w:r>
      <w:r>
        <w:rPr>
          <w:rFonts w:hint="eastAsia" w:eastAsia="仿宋_GB2312"/>
          <w:sz w:val="32"/>
          <w:szCs w:val="32"/>
        </w:rPr>
        <w:t>5.5%</w:t>
      </w:r>
      <w:r>
        <w:rPr>
          <w:rFonts w:hint="eastAsia" w:ascii="仿宋" w:hAnsi="仿宋" w:eastAsia="仿宋"/>
          <w:sz w:val="32"/>
          <w:szCs w:val="32"/>
        </w:rPr>
        <w:t>；卫生健康支出</w:t>
      </w:r>
      <w:r>
        <w:rPr>
          <w:rFonts w:hint="eastAsia" w:eastAsia="仿宋_GB2312"/>
          <w:sz w:val="32"/>
          <w:szCs w:val="32"/>
        </w:rPr>
        <w:t>82万元，占4.9%；住房保障支出90万元，占5.4%；其他支出173万元（用于体育事业的彩票公益金支出）。支出较去年减少34.44万元，主要是文化体育与传媒支出减少116.44万元，社会保障和就业支出减少12万元，卫生健康支出增加82万元，其他支出（用于体育事业的彩票公益金支出）增加12万元。</w:t>
      </w:r>
    </w:p>
    <w:p>
      <w:pPr>
        <w:widowControl/>
        <w:spacing w:line="600" w:lineRule="exact"/>
        <w:ind w:firstLine="627" w:firstLineChars="196"/>
        <w:rPr>
          <w:rFonts w:ascii="黑体" w:hAnsi="黑体" w:eastAsia="黑体" w:cs="仿宋"/>
          <w:sz w:val="32"/>
          <w:szCs w:val="32"/>
        </w:rPr>
      </w:pPr>
      <w:r>
        <w:rPr>
          <w:rFonts w:hint="eastAsia" w:ascii="黑体" w:hAnsi="黑体" w:eastAsia="黑体" w:cs="仿宋"/>
          <w:color w:val="333333"/>
          <w:sz w:val="32"/>
          <w:szCs w:val="32"/>
          <w:shd w:val="clear" w:color="auto" w:fill="FFFFFF"/>
          <w:lang w:val="en-US" w:eastAsia="zh-CN"/>
        </w:rPr>
        <w:t>四</w:t>
      </w:r>
      <w:r>
        <w:rPr>
          <w:rFonts w:hint="eastAsia" w:ascii="黑体" w:hAnsi="黑体" w:eastAsia="黑体" w:cs="仿宋"/>
          <w:color w:val="333333"/>
          <w:sz w:val="32"/>
          <w:szCs w:val="32"/>
          <w:shd w:val="clear" w:color="auto" w:fill="FFFFFF"/>
        </w:rPr>
        <w:t>、</w:t>
      </w:r>
      <w:r>
        <w:rPr>
          <w:rFonts w:hint="eastAsia" w:ascii="黑体" w:hAnsi="黑体" w:eastAsia="黑体" w:cs="仿宋"/>
          <w:sz w:val="32"/>
          <w:szCs w:val="32"/>
        </w:rPr>
        <w:t>一般公共预算拨款支出</w:t>
      </w:r>
    </w:p>
    <w:p>
      <w:pPr>
        <w:widowControl/>
        <w:spacing w:line="600" w:lineRule="exact"/>
        <w:ind w:firstLine="627" w:firstLineChars="196"/>
        <w:rPr>
          <w:rFonts w:eastAsia="仿宋_GB2312"/>
          <w:sz w:val="32"/>
          <w:szCs w:val="32"/>
        </w:rPr>
      </w:pPr>
      <w:r>
        <w:rPr>
          <w:rFonts w:hint="eastAsia" w:eastAsia="仿宋_GB2312"/>
          <w:sz w:val="32"/>
          <w:szCs w:val="32"/>
        </w:rPr>
        <w:t>2021年本单位一般公共预算拨款支出预算1681万元，其中，文化旅游体育与传媒支出1417万元，占84.3%；社会保障与就业支出92万元，占5.5%；卫生健康支出82万元，占4.9%；住房保障支出90万元，占5.4%。</w:t>
      </w:r>
      <w:r>
        <w:rPr>
          <w:rFonts w:eastAsia="仿宋_GB2312"/>
          <w:sz w:val="32"/>
          <w:szCs w:val="32"/>
        </w:rPr>
        <w:t>公共安全支出</w:t>
      </w:r>
      <w:r>
        <w:rPr>
          <w:rFonts w:eastAsia="仿宋_GB2312"/>
          <w:sz w:val="32"/>
          <w:szCs w:val="32"/>
          <w:u w:val="single"/>
        </w:rPr>
        <w:t xml:space="preserve"> </w:t>
      </w:r>
      <w:r>
        <w:rPr>
          <w:rFonts w:hint="eastAsia" w:eastAsia="仿宋_GB2312"/>
          <w:sz w:val="32"/>
          <w:szCs w:val="32"/>
          <w:u w:val="single"/>
          <w:lang w:val="en-US" w:eastAsia="zh-CN"/>
        </w:rPr>
        <w:t>0</w:t>
      </w:r>
      <w:r>
        <w:rPr>
          <w:rFonts w:eastAsia="仿宋_GB2312"/>
          <w:sz w:val="32"/>
          <w:szCs w:val="32"/>
          <w:u w:val="single"/>
        </w:rPr>
        <w:t xml:space="preserve">  </w:t>
      </w:r>
      <w:r>
        <w:rPr>
          <w:rFonts w:eastAsia="仿宋_GB2312"/>
          <w:sz w:val="32"/>
          <w:szCs w:val="32"/>
        </w:rPr>
        <w:t>万元，占</w:t>
      </w:r>
      <w:r>
        <w:rPr>
          <w:rFonts w:eastAsia="仿宋_GB2312"/>
          <w:sz w:val="32"/>
          <w:szCs w:val="32"/>
          <w:u w:val="single"/>
        </w:rPr>
        <w:t xml:space="preserve">  </w:t>
      </w:r>
      <w:r>
        <w:rPr>
          <w:rFonts w:hint="eastAsia" w:eastAsia="仿宋_GB2312"/>
          <w:sz w:val="32"/>
          <w:szCs w:val="32"/>
          <w:u w:val="single"/>
          <w:lang w:val="en-US" w:eastAsia="zh-CN"/>
        </w:rPr>
        <w:t>0</w:t>
      </w:r>
      <w:r>
        <w:rPr>
          <w:rFonts w:eastAsia="仿宋_GB2312"/>
          <w:sz w:val="32"/>
          <w:szCs w:val="32"/>
          <w:u w:val="single"/>
        </w:rPr>
        <w:t xml:space="preserve"> </w:t>
      </w:r>
      <w:r>
        <w:rPr>
          <w:rFonts w:eastAsia="仿宋_GB2312"/>
          <w:sz w:val="32"/>
          <w:szCs w:val="32"/>
        </w:rPr>
        <w:t xml:space="preserve"> %。具体安排情况如下</w:t>
      </w:r>
      <w:r>
        <w:rPr>
          <w:rFonts w:hint="eastAsia" w:eastAsia="仿宋_GB2312"/>
          <w:sz w:val="32"/>
          <w:szCs w:val="32"/>
        </w:rPr>
        <w:t>具体安排情况如下：</w:t>
      </w:r>
    </w:p>
    <w:p>
      <w:pPr>
        <w:widowControl/>
        <w:spacing w:line="600" w:lineRule="exact"/>
        <w:ind w:firstLine="660"/>
        <w:rPr>
          <w:rFonts w:eastAsia="仿宋_GB2312"/>
          <w:sz w:val="32"/>
          <w:szCs w:val="32"/>
        </w:rPr>
      </w:pPr>
      <w:r>
        <w:rPr>
          <w:rFonts w:eastAsia="楷体_GB2312"/>
          <w:b/>
          <w:sz w:val="32"/>
          <w:szCs w:val="32"/>
        </w:rPr>
        <w:t>（一）基本支出</w:t>
      </w:r>
      <w:r>
        <w:rPr>
          <w:rFonts w:hint="eastAsia" w:eastAsia="楷体_GB2312"/>
          <w:b/>
          <w:sz w:val="32"/>
          <w:szCs w:val="32"/>
        </w:rPr>
        <w:t>：</w:t>
      </w:r>
      <w:r>
        <w:rPr>
          <w:rFonts w:hint="eastAsia" w:eastAsia="仿宋_GB2312"/>
          <w:sz w:val="32"/>
          <w:szCs w:val="32"/>
        </w:rPr>
        <w:t>2021年本单位基本支出预算数1443万元，主要是为保障单位机构正常运转、完成日常工作任务而发生的各项支出，包括用于基本工资、津贴补贴等人员经费以及办公费、印刷费、水电费、办公设备购置等公用经费。</w:t>
      </w:r>
    </w:p>
    <w:p>
      <w:pPr>
        <w:widowControl/>
        <w:spacing w:line="600" w:lineRule="exact"/>
        <w:ind w:firstLine="660"/>
        <w:rPr>
          <w:rFonts w:eastAsia="仿宋_GB2312"/>
          <w:sz w:val="32"/>
          <w:szCs w:val="32"/>
        </w:rPr>
      </w:pPr>
      <w:r>
        <w:rPr>
          <w:rFonts w:eastAsia="楷体_GB2312"/>
          <w:b/>
          <w:sz w:val="32"/>
          <w:szCs w:val="32"/>
        </w:rPr>
        <w:t>（二）项目支出</w:t>
      </w:r>
      <w:r>
        <w:rPr>
          <w:rFonts w:hint="eastAsia" w:eastAsia="楷体_GB2312"/>
          <w:b/>
          <w:sz w:val="32"/>
          <w:szCs w:val="32"/>
        </w:rPr>
        <w:t>：</w:t>
      </w:r>
      <w:r>
        <w:rPr>
          <w:rFonts w:hint="eastAsia" w:eastAsia="仿宋_GB2312"/>
          <w:sz w:val="32"/>
          <w:szCs w:val="32"/>
        </w:rPr>
        <w:t>2021年本单位项目支出预算</w:t>
      </w:r>
      <w:r>
        <w:rPr>
          <w:rFonts w:hint="eastAsia" w:eastAsia="仿宋_GB2312"/>
          <w:sz w:val="32"/>
          <w:szCs w:val="32"/>
          <w:lang w:val="en-US" w:eastAsia="zh-CN"/>
        </w:rPr>
        <w:t>238</w:t>
      </w:r>
      <w:r>
        <w:rPr>
          <w:rFonts w:hint="eastAsia" w:eastAsia="仿宋_GB2312"/>
          <w:sz w:val="32"/>
          <w:szCs w:val="32"/>
        </w:rPr>
        <w:t>万元，主要是单位为完成特定行政工作任务或事业发展目标而发</w:t>
      </w:r>
      <w:r>
        <w:rPr>
          <w:rFonts w:hint="eastAsia" w:ascii="仿宋" w:hAnsi="仿宋" w:eastAsia="仿宋"/>
          <w:sz w:val="32"/>
          <w:szCs w:val="32"/>
        </w:rPr>
        <w:t>生的支出，包括有关事业发展专项、专项业务费、基本建设支出等，其中：文化旅游体育与传媒支出</w:t>
      </w:r>
      <w:r>
        <w:rPr>
          <w:rFonts w:hint="eastAsia" w:eastAsia="仿宋_GB2312"/>
          <w:sz w:val="32"/>
          <w:szCs w:val="32"/>
        </w:rPr>
        <w:t>238万元，主要用于办公设备购置，运动服装及器材购置，运动员外出比赛差</w:t>
      </w:r>
      <w:bookmarkStart w:id="0" w:name="_GoBack"/>
      <w:bookmarkEnd w:id="0"/>
      <w:r>
        <w:rPr>
          <w:rFonts w:hint="eastAsia" w:eastAsia="仿宋_GB2312"/>
          <w:sz w:val="32"/>
          <w:szCs w:val="32"/>
        </w:rPr>
        <w:t>旅费，奥运会备战训练和参赛费，运动员常年赛奖金等方面。</w:t>
      </w:r>
    </w:p>
    <w:p>
      <w:pPr>
        <w:widowControl/>
        <w:spacing w:line="600" w:lineRule="exact"/>
        <w:ind w:firstLine="660"/>
        <w:rPr>
          <w:rFonts w:ascii="黑体" w:hAnsi="黑体" w:eastAsia="黑体" w:cs="仿宋"/>
          <w:sz w:val="32"/>
          <w:szCs w:val="32"/>
        </w:rPr>
      </w:pPr>
      <w:r>
        <w:rPr>
          <w:rFonts w:hint="eastAsia" w:ascii="黑体" w:hAnsi="黑体" w:eastAsia="黑体" w:cs="仿宋"/>
          <w:sz w:val="32"/>
          <w:szCs w:val="32"/>
          <w:lang w:val="en-US" w:eastAsia="zh-CN"/>
        </w:rPr>
        <w:t>五</w:t>
      </w:r>
      <w:r>
        <w:rPr>
          <w:rFonts w:hint="eastAsia" w:ascii="黑体" w:hAnsi="黑体" w:eastAsia="黑体" w:cs="仿宋"/>
          <w:sz w:val="32"/>
          <w:szCs w:val="32"/>
        </w:rPr>
        <w:t>、政府性基金预算支出</w:t>
      </w:r>
    </w:p>
    <w:p>
      <w:pPr>
        <w:widowControl/>
        <w:spacing w:line="600" w:lineRule="exact"/>
        <w:ind w:firstLine="660"/>
        <w:rPr>
          <w:rFonts w:eastAsia="仿宋_GB2312"/>
          <w:sz w:val="32"/>
          <w:szCs w:val="32"/>
        </w:rPr>
      </w:pPr>
      <w:r>
        <w:rPr>
          <w:rFonts w:hint="eastAsia" w:eastAsia="仿宋_GB2312"/>
          <w:sz w:val="32"/>
          <w:szCs w:val="32"/>
        </w:rPr>
        <w:t>2021年本单位政府性基金支出预算173万元，</w:t>
      </w:r>
      <w:r>
        <w:rPr>
          <w:rFonts w:eastAsia="仿宋_GB2312"/>
          <w:sz w:val="32"/>
          <w:szCs w:val="32"/>
        </w:rPr>
        <w:t>其中，科学技术支出</w:t>
      </w:r>
      <w:r>
        <w:rPr>
          <w:rFonts w:eastAsia="仿宋_GB2312"/>
          <w:sz w:val="32"/>
          <w:szCs w:val="32"/>
          <w:u w:val="single"/>
        </w:rPr>
        <w:t xml:space="preserve"> </w:t>
      </w:r>
      <w:r>
        <w:rPr>
          <w:rFonts w:hint="eastAsia" w:eastAsia="仿宋_GB2312"/>
          <w:sz w:val="32"/>
          <w:szCs w:val="32"/>
          <w:u w:val="single"/>
          <w:lang w:val="en-US" w:eastAsia="zh-CN"/>
        </w:rPr>
        <w:t>0</w:t>
      </w:r>
      <w:r>
        <w:rPr>
          <w:rFonts w:eastAsia="仿宋_GB2312"/>
          <w:sz w:val="32"/>
          <w:szCs w:val="32"/>
          <w:u w:val="single"/>
        </w:rPr>
        <w:t xml:space="preserve"> </w:t>
      </w:r>
      <w:r>
        <w:rPr>
          <w:rFonts w:eastAsia="仿宋_GB2312"/>
          <w:sz w:val="32"/>
          <w:szCs w:val="32"/>
        </w:rPr>
        <w:t>万元，占</w:t>
      </w:r>
      <w:r>
        <w:rPr>
          <w:rFonts w:eastAsia="仿宋_GB2312"/>
          <w:sz w:val="32"/>
          <w:szCs w:val="32"/>
          <w:u w:val="single"/>
        </w:rPr>
        <w:t xml:space="preserve"> </w:t>
      </w:r>
      <w:r>
        <w:rPr>
          <w:rFonts w:hint="eastAsia" w:eastAsia="仿宋_GB2312"/>
          <w:sz w:val="32"/>
          <w:szCs w:val="32"/>
          <w:u w:val="single"/>
          <w:lang w:val="en-US" w:eastAsia="zh-CN"/>
        </w:rPr>
        <w:t>0</w:t>
      </w:r>
      <w:r>
        <w:rPr>
          <w:rFonts w:eastAsia="仿宋_GB2312"/>
          <w:sz w:val="32"/>
          <w:szCs w:val="32"/>
          <w:u w:val="single"/>
        </w:rPr>
        <w:t xml:space="preserve"> </w:t>
      </w:r>
      <w:r>
        <w:rPr>
          <w:rFonts w:eastAsia="仿宋_GB2312"/>
          <w:sz w:val="32"/>
          <w:szCs w:val="32"/>
        </w:rPr>
        <w:t xml:space="preserve"> %；</w:t>
      </w:r>
      <w:r>
        <w:rPr>
          <w:rFonts w:hint="eastAsia" w:eastAsia="仿宋_GB2312"/>
          <w:sz w:val="32"/>
          <w:szCs w:val="32"/>
        </w:rPr>
        <w:t>其他支出173万元，占100%。具体安排情况如下：训练经费3万元，集训调标99万元，尖子灶调标2万元，医疗后勤保障33万元，高端人才36万元。</w:t>
      </w:r>
    </w:p>
    <w:p>
      <w:pPr>
        <w:widowControl/>
        <w:spacing w:line="600" w:lineRule="exact"/>
        <w:ind w:firstLine="660"/>
        <w:rPr>
          <w:rFonts w:ascii="黑体" w:hAnsi="黑体" w:eastAsia="黑体" w:cs="仿宋"/>
          <w:sz w:val="32"/>
          <w:szCs w:val="32"/>
        </w:rPr>
      </w:pPr>
      <w:r>
        <w:rPr>
          <w:rFonts w:hint="eastAsia" w:ascii="黑体" w:hAnsi="黑体" w:eastAsia="黑体" w:cs="仿宋"/>
          <w:sz w:val="32"/>
          <w:szCs w:val="32"/>
          <w:lang w:val="en-US" w:eastAsia="zh-CN"/>
        </w:rPr>
        <w:t>六</w:t>
      </w:r>
      <w:r>
        <w:rPr>
          <w:rFonts w:hint="eastAsia" w:ascii="黑体" w:hAnsi="黑体" w:eastAsia="黑体" w:cs="仿宋"/>
          <w:sz w:val="32"/>
          <w:szCs w:val="32"/>
        </w:rPr>
        <w:t>、其他重要事项的情况说明</w:t>
      </w:r>
    </w:p>
    <w:p>
      <w:pPr>
        <w:widowControl/>
        <w:spacing w:line="600" w:lineRule="exact"/>
        <w:ind w:firstLine="660"/>
        <w:rPr>
          <w:rFonts w:eastAsia="仿宋_GB2312"/>
          <w:sz w:val="32"/>
          <w:szCs w:val="32"/>
        </w:rPr>
      </w:pPr>
      <w:r>
        <w:rPr>
          <w:rFonts w:hint="eastAsia" w:eastAsia="楷体_GB2312"/>
          <w:b/>
          <w:sz w:val="32"/>
          <w:szCs w:val="32"/>
        </w:rPr>
        <w:t>（一）机关运行经费：</w:t>
      </w:r>
      <w:r>
        <w:rPr>
          <w:rFonts w:hint="eastAsia" w:eastAsia="仿宋_GB2312"/>
          <w:sz w:val="32"/>
          <w:szCs w:val="32"/>
        </w:rPr>
        <w:t>2021年本单位机关运行经费0万元</w:t>
      </w:r>
      <w:r>
        <w:rPr>
          <w:rFonts w:hint="eastAsia" w:eastAsia="仿宋_GB2312"/>
          <w:sz w:val="32"/>
          <w:szCs w:val="32"/>
          <w:lang w:eastAsia="zh-CN"/>
        </w:rPr>
        <w:t>，</w:t>
      </w:r>
      <w:r>
        <w:rPr>
          <w:rFonts w:hint="eastAsia" w:ascii="仿宋_GB2312" w:hAnsi="仿宋_GB2312" w:eastAsia="仿宋_GB2312" w:cs="仿宋_GB2312"/>
          <w:sz w:val="32"/>
          <w:szCs w:val="32"/>
        </w:rPr>
        <w:t>比上年预算</w:t>
      </w:r>
      <w:r>
        <w:rPr>
          <w:rFonts w:hint="eastAsia" w:ascii="仿宋_GB2312" w:hAnsi="仿宋_GB2312" w:eastAsia="仿宋_GB2312" w:cs="仿宋_GB2312"/>
          <w:sz w:val="32"/>
          <w:szCs w:val="32"/>
          <w:lang w:eastAsia="zh-CN"/>
        </w:rPr>
        <w:t>一致</w:t>
      </w:r>
      <w:r>
        <w:rPr>
          <w:rFonts w:hint="eastAsia" w:eastAsia="仿宋_GB2312"/>
          <w:sz w:val="32"/>
          <w:szCs w:val="32"/>
        </w:rPr>
        <w:t>。</w:t>
      </w:r>
    </w:p>
    <w:p>
      <w:pPr>
        <w:widowControl/>
        <w:spacing w:line="600" w:lineRule="exact"/>
        <w:ind w:firstLine="660"/>
        <w:rPr>
          <w:rFonts w:eastAsia="仿宋_GB2312"/>
          <w:sz w:val="32"/>
          <w:szCs w:val="32"/>
        </w:rPr>
      </w:pPr>
      <w:r>
        <w:rPr>
          <w:rFonts w:eastAsia="楷体_GB2312"/>
          <w:b/>
          <w:sz w:val="32"/>
          <w:szCs w:val="32"/>
        </w:rPr>
        <w:t>（二）“三公”经费预算</w:t>
      </w:r>
      <w:r>
        <w:rPr>
          <w:rFonts w:hint="eastAsia" w:eastAsia="仿宋_GB2312"/>
          <w:sz w:val="32"/>
          <w:szCs w:val="32"/>
        </w:rPr>
        <w:t>：2021年本单位“三公”经费预算数为0.5万元，其中，公务接待费0.5万元，公务用车购置及运行费0万元（其中，公务用车购置费0万元，公务用车运行费0万元），因公出国（境）费0万元。2021年“三公”经费预算较上年减少3.5万元，主要是本单位公务用车已出现安全出行问题，在走报废程序中，2021年没有多余经费安排购公务用车。</w:t>
      </w:r>
    </w:p>
    <w:p>
      <w:pPr>
        <w:widowControl/>
        <w:spacing w:line="600" w:lineRule="exact"/>
        <w:ind w:firstLine="660"/>
        <w:rPr>
          <w:rFonts w:eastAsia="仿宋_GB2312"/>
          <w:sz w:val="32"/>
          <w:szCs w:val="32"/>
        </w:rPr>
      </w:pPr>
      <w:r>
        <w:rPr>
          <w:rFonts w:eastAsia="楷体_GB2312"/>
          <w:b/>
          <w:sz w:val="32"/>
          <w:szCs w:val="32"/>
        </w:rPr>
        <w:t>（三）一般性支出情况</w:t>
      </w:r>
      <w:r>
        <w:rPr>
          <w:rFonts w:hint="eastAsia" w:eastAsia="楷体_GB2312"/>
          <w:b/>
          <w:sz w:val="32"/>
          <w:szCs w:val="32"/>
        </w:rPr>
        <w:t>：</w:t>
      </w:r>
      <w:r>
        <w:rPr>
          <w:rFonts w:hint="eastAsia" w:eastAsia="仿宋_GB2312"/>
          <w:sz w:val="32"/>
          <w:szCs w:val="32"/>
        </w:rPr>
        <w:t>2021年本单位会议费预算0万元，拟召开0会议，人数0人；培训费预算0万元，拟开展0培训，人数0人；拟举办</w:t>
      </w:r>
      <w:r>
        <w:rPr>
          <w:rFonts w:eastAsia="仿宋_GB2312"/>
          <w:sz w:val="32"/>
          <w:szCs w:val="32"/>
        </w:rPr>
        <w:t>0</w:t>
      </w:r>
      <w:r>
        <w:rPr>
          <w:rFonts w:hint="eastAsia" w:eastAsia="仿宋_GB2312"/>
          <w:sz w:val="32"/>
          <w:szCs w:val="32"/>
        </w:rPr>
        <w:t>等节庆、晚会、论坛、赛事活动，经费预算0万元。</w:t>
      </w:r>
    </w:p>
    <w:p>
      <w:pPr>
        <w:widowControl/>
        <w:spacing w:line="600" w:lineRule="exact"/>
        <w:ind w:firstLine="660"/>
        <w:rPr>
          <w:rFonts w:eastAsia="仿宋_GB2312"/>
          <w:sz w:val="32"/>
          <w:szCs w:val="32"/>
        </w:rPr>
      </w:pPr>
      <w:r>
        <w:rPr>
          <w:rFonts w:eastAsia="楷体_GB2312"/>
          <w:b/>
          <w:sz w:val="32"/>
          <w:szCs w:val="32"/>
        </w:rPr>
        <w:t>（四）政府采购情况</w:t>
      </w:r>
      <w:r>
        <w:rPr>
          <w:rFonts w:hint="eastAsia" w:eastAsia="楷体_GB2312"/>
          <w:b/>
          <w:sz w:val="32"/>
          <w:szCs w:val="32"/>
        </w:rPr>
        <w:t>：</w:t>
      </w:r>
      <w:r>
        <w:rPr>
          <w:rFonts w:hint="eastAsia" w:eastAsia="仿宋_GB2312"/>
          <w:sz w:val="32"/>
          <w:szCs w:val="32"/>
        </w:rPr>
        <w:t>2021年本单位政府采购预算总额3万元，其中，货物类采购预算3万元；工程类采购预算0万元；服务类采购预算0万元。</w:t>
      </w:r>
    </w:p>
    <w:p>
      <w:pPr>
        <w:widowControl/>
        <w:spacing w:line="600" w:lineRule="exact"/>
        <w:ind w:firstLine="660"/>
        <w:rPr>
          <w:rFonts w:eastAsia="仿宋_GB2312"/>
          <w:sz w:val="32"/>
          <w:szCs w:val="32"/>
        </w:rPr>
      </w:pPr>
      <w:r>
        <w:rPr>
          <w:rFonts w:eastAsia="楷体_GB2312"/>
          <w:b/>
          <w:sz w:val="32"/>
          <w:szCs w:val="32"/>
        </w:rPr>
        <w:t>（五）国有资产占用使用及新增资产配置情况</w:t>
      </w:r>
      <w:r>
        <w:rPr>
          <w:rFonts w:hint="eastAsia" w:eastAsia="楷体_GB2312"/>
          <w:b/>
          <w:sz w:val="32"/>
          <w:szCs w:val="32"/>
        </w:rPr>
        <w:t>：</w:t>
      </w:r>
      <w:r>
        <w:rPr>
          <w:rFonts w:hint="eastAsia" w:eastAsia="仿宋_GB2312"/>
          <w:sz w:val="32"/>
          <w:szCs w:val="32"/>
        </w:rPr>
        <w:t>截至2020年12月底，本单位共有公务用车1辆</w:t>
      </w:r>
      <w:r>
        <w:rPr>
          <w:rFonts w:hint="eastAsia" w:eastAsia="仿宋_GB2312"/>
          <w:sz w:val="32"/>
          <w:szCs w:val="32"/>
          <w:lang w:eastAsia="zh-CN"/>
        </w:rPr>
        <w:t>，</w:t>
      </w:r>
      <w:r>
        <w:rPr>
          <w:rFonts w:hint="eastAsia" w:eastAsia="仿宋_GB2312"/>
          <w:sz w:val="32"/>
          <w:szCs w:val="32"/>
        </w:rPr>
        <w:t>其中，机要通信用车0辆，应急保障用车0辆，执法执勤用车0辆，特种专业技术用车0辆，其他按照规定配备的公务用车0辆；单位价值50万元以上通用设备0台，单位价值100万元以上专用设备0台。2021年拟新增配置公务用车0辆；新增配备单位价值50万元以上通用设备0台，单位价值100万元以上专用设备0台。</w:t>
      </w:r>
    </w:p>
    <w:p>
      <w:pPr>
        <w:widowControl/>
        <w:spacing w:line="600" w:lineRule="exact"/>
        <w:ind w:firstLine="660"/>
        <w:rPr>
          <w:rFonts w:eastAsia="仿宋_GB2312"/>
          <w:sz w:val="32"/>
          <w:szCs w:val="32"/>
        </w:rPr>
      </w:pPr>
      <w:r>
        <w:rPr>
          <w:rFonts w:eastAsia="楷体_GB2312"/>
          <w:b/>
          <w:sz w:val="32"/>
          <w:szCs w:val="32"/>
        </w:rPr>
        <w:t>（六）预算绩效目标说明</w:t>
      </w:r>
      <w:r>
        <w:rPr>
          <w:rFonts w:hint="eastAsia" w:eastAsia="楷体_GB2312"/>
          <w:b/>
          <w:sz w:val="32"/>
          <w:szCs w:val="32"/>
        </w:rPr>
        <w:t>：</w:t>
      </w:r>
      <w:r>
        <w:rPr>
          <w:rFonts w:hint="eastAsia" w:eastAsia="仿宋_GB2312"/>
          <w:sz w:val="32"/>
          <w:szCs w:val="32"/>
        </w:rPr>
        <w:t>本单位所有支出实行绩效目标管理。纳入2021年单位整体支出绩效目标的金额为1854万元，其中，基本支出1443万元，项目支出411万元，具体绩效目标详见报表。</w:t>
      </w:r>
    </w:p>
    <w:p>
      <w:pPr>
        <w:widowControl/>
        <w:spacing w:line="600" w:lineRule="exact"/>
        <w:ind w:firstLine="660"/>
        <w:rPr>
          <w:rFonts w:ascii="黑体" w:hAnsi="黑体" w:eastAsia="黑体" w:cs="仿宋"/>
          <w:sz w:val="32"/>
          <w:szCs w:val="32"/>
        </w:rPr>
      </w:pPr>
      <w:r>
        <w:rPr>
          <w:rFonts w:hint="eastAsia" w:ascii="黑体" w:hAnsi="黑体" w:eastAsia="黑体" w:cs="仿宋"/>
          <w:sz w:val="32"/>
          <w:szCs w:val="32"/>
          <w:lang w:val="en-US" w:eastAsia="zh-CN"/>
        </w:rPr>
        <w:t>七</w:t>
      </w:r>
      <w:r>
        <w:rPr>
          <w:rFonts w:hint="eastAsia" w:ascii="黑体" w:hAnsi="黑体" w:eastAsia="黑体" w:cs="仿宋"/>
          <w:sz w:val="32"/>
          <w:szCs w:val="32"/>
        </w:rPr>
        <w:t>、名词解释</w:t>
      </w:r>
    </w:p>
    <w:p>
      <w:pPr>
        <w:widowControl/>
        <w:spacing w:line="600" w:lineRule="exact"/>
        <w:ind w:firstLine="660"/>
        <w:rPr>
          <w:rFonts w:ascii="仿宋" w:hAnsi="仿宋" w:eastAsia="仿宋" w:cs="仿宋"/>
          <w:sz w:val="32"/>
          <w:szCs w:val="32"/>
        </w:rPr>
      </w:pPr>
      <w:r>
        <w:rPr>
          <w:rFonts w:hint="eastAsia" w:ascii="仿宋" w:hAnsi="仿宋" w:eastAsia="仿宋" w:cs="仿宋"/>
          <w:sz w:val="32"/>
          <w:szCs w:val="32"/>
        </w:rPr>
        <w:t>1、机关运行经费：是指各单位的公用经费，包括办公及印刷费、邮电费、差旅费、会议费、福利费、日常维修费、专用资料及一般设备购置费、办公用房水电费、办公用房取暖费、办公用房物业管理费、公务用车运行维护费以及其他费用。</w:t>
      </w:r>
    </w:p>
    <w:p>
      <w:pPr>
        <w:widowControl/>
        <w:spacing w:line="600" w:lineRule="exact"/>
        <w:ind w:firstLine="660"/>
        <w:rPr>
          <w:rFonts w:ascii="仿宋" w:hAnsi="仿宋" w:eastAsia="仿宋" w:cs="仿宋"/>
          <w:sz w:val="32"/>
          <w:szCs w:val="32"/>
        </w:rPr>
      </w:pPr>
      <w:r>
        <w:rPr>
          <w:rFonts w:hint="eastAsia" w:ascii="仿宋" w:hAnsi="仿宋" w:eastAsia="仿宋" w:cs="仿宋"/>
          <w:sz w:val="32"/>
          <w:szCs w:val="32"/>
        </w:rPr>
        <w:t>2、“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spacing w:line="600" w:lineRule="exact"/>
        <w:jc w:val="left"/>
        <w:rPr>
          <w:rFonts w:ascii="仿宋" w:hAnsi="仿宋" w:eastAsia="仿宋" w:cs="仿宋"/>
          <w:sz w:val="32"/>
          <w:szCs w:val="32"/>
        </w:rPr>
      </w:pPr>
    </w:p>
    <w:p>
      <w:pPr>
        <w:widowControl/>
        <w:spacing w:line="600" w:lineRule="exact"/>
        <w:jc w:val="left"/>
        <w:rPr>
          <w:rFonts w:eastAsia="黑体"/>
          <w:sz w:val="32"/>
          <w:szCs w:val="32"/>
        </w:rPr>
      </w:pPr>
    </w:p>
    <w:p>
      <w:pPr>
        <w:spacing w:line="600" w:lineRule="exac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ind w:firstLine="720" w:firstLineChars="200"/>
        <w:jc w:val="center"/>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p>
    <w:p>
      <w:pPr>
        <w:widowControl/>
        <w:spacing w:line="600" w:lineRule="exact"/>
        <w:ind w:firstLine="720" w:firstLineChars="200"/>
        <w:jc w:val="center"/>
        <w:rPr>
          <w:rFonts w:hint="eastAsia" w:eastAsia="方正小标宋_GBK"/>
          <w:bCs/>
          <w:kern w:val="0"/>
          <w:sz w:val="36"/>
          <w:szCs w:val="36"/>
        </w:rPr>
      </w:pPr>
    </w:p>
    <w:p>
      <w:pPr>
        <w:widowControl/>
        <w:spacing w:line="600" w:lineRule="exact"/>
        <w:ind w:firstLine="720" w:firstLineChars="200"/>
        <w:jc w:val="center"/>
        <w:rPr>
          <w:rFonts w:hint="eastAsia"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p>
    <w:p>
      <w:pPr>
        <w:widowControl/>
        <w:spacing w:line="600" w:lineRule="exact"/>
        <w:ind w:firstLine="643" w:firstLineChars="200"/>
        <w:jc w:val="center"/>
        <w:rPr>
          <w:rFonts w:eastAsia="仿宋_GB2312"/>
          <w:b/>
          <w:bCs/>
          <w:kern w:val="0"/>
          <w:sz w:val="32"/>
          <w:szCs w:val="32"/>
        </w:rPr>
      </w:pPr>
      <w:r>
        <w:rPr>
          <w:rFonts w:eastAsia="仿宋_GB2312"/>
          <w:b/>
          <w:bCs/>
          <w:kern w:val="0"/>
          <w:sz w:val="32"/>
          <w:szCs w:val="32"/>
        </w:rPr>
        <w:t>第二部分 2021年单位预算表</w:t>
      </w:r>
    </w:p>
    <w:p>
      <w:pPr>
        <w:widowControl/>
        <w:spacing w:line="600" w:lineRule="exact"/>
        <w:ind w:firstLine="840" w:firstLineChars="30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42E1C2"/>
    <w:multiLevelType w:val="singleLevel"/>
    <w:tmpl w:val="AE42E1C2"/>
    <w:lvl w:ilvl="0" w:tentative="0">
      <w:start w:val="2"/>
      <w:numFmt w:val="chineseCounting"/>
      <w:suff w:val="nothing"/>
      <w:lvlText w:val="%1、"/>
      <w:lvlJc w:val="left"/>
      <w:pPr>
        <w:ind w:left="280"/>
      </w:pPr>
      <w:rPr>
        <w:rFonts w:hint="eastAsia"/>
      </w:rPr>
    </w:lvl>
  </w:abstractNum>
  <w:abstractNum w:abstractNumId="1">
    <w:nsid w:val="C27EB3E3"/>
    <w:multiLevelType w:val="singleLevel"/>
    <w:tmpl w:val="C27EB3E3"/>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E1MGIzZGFlNjI3ZThkMmY0M2NjNjlmMjI5ZGEwNjIifQ=="/>
  </w:docVars>
  <w:rsids>
    <w:rsidRoot w:val="00871420"/>
    <w:rsid w:val="00025B79"/>
    <w:rsid w:val="00025CE1"/>
    <w:rsid w:val="000514EC"/>
    <w:rsid w:val="00094488"/>
    <w:rsid w:val="000C0DA3"/>
    <w:rsid w:val="000E0E87"/>
    <w:rsid w:val="0011061E"/>
    <w:rsid w:val="001A55F2"/>
    <w:rsid w:val="001B0FDC"/>
    <w:rsid w:val="001C3202"/>
    <w:rsid w:val="002833C9"/>
    <w:rsid w:val="002A158D"/>
    <w:rsid w:val="002C53E1"/>
    <w:rsid w:val="003769E1"/>
    <w:rsid w:val="004A60F9"/>
    <w:rsid w:val="004B281F"/>
    <w:rsid w:val="00510EA4"/>
    <w:rsid w:val="005B64B1"/>
    <w:rsid w:val="00622D5F"/>
    <w:rsid w:val="006C3218"/>
    <w:rsid w:val="00803712"/>
    <w:rsid w:val="00871420"/>
    <w:rsid w:val="00932794"/>
    <w:rsid w:val="00A15D53"/>
    <w:rsid w:val="00B854D5"/>
    <w:rsid w:val="00BB0693"/>
    <w:rsid w:val="00C07630"/>
    <w:rsid w:val="00CE2FB8"/>
    <w:rsid w:val="00CF20AA"/>
    <w:rsid w:val="00D101C2"/>
    <w:rsid w:val="00E32372"/>
    <w:rsid w:val="00E61E3A"/>
    <w:rsid w:val="00F04C3B"/>
    <w:rsid w:val="00F4492F"/>
    <w:rsid w:val="00FA1BF5"/>
    <w:rsid w:val="05DC3C22"/>
    <w:rsid w:val="08AB0FFC"/>
    <w:rsid w:val="09AF4121"/>
    <w:rsid w:val="143E4338"/>
    <w:rsid w:val="160B6780"/>
    <w:rsid w:val="17822E75"/>
    <w:rsid w:val="19AB25AA"/>
    <w:rsid w:val="215D5D66"/>
    <w:rsid w:val="225E2552"/>
    <w:rsid w:val="24402A3F"/>
    <w:rsid w:val="24F55C19"/>
    <w:rsid w:val="273907D1"/>
    <w:rsid w:val="2824647A"/>
    <w:rsid w:val="2E163EBF"/>
    <w:rsid w:val="313B34D4"/>
    <w:rsid w:val="36A53876"/>
    <w:rsid w:val="371C66BF"/>
    <w:rsid w:val="39E900D7"/>
    <w:rsid w:val="3BFC2946"/>
    <w:rsid w:val="3C16078B"/>
    <w:rsid w:val="3E5A1BA6"/>
    <w:rsid w:val="403F72A5"/>
    <w:rsid w:val="404850A2"/>
    <w:rsid w:val="42644DA1"/>
    <w:rsid w:val="45D43EAB"/>
    <w:rsid w:val="47225DDD"/>
    <w:rsid w:val="478F4A51"/>
    <w:rsid w:val="47C178DA"/>
    <w:rsid w:val="49C35423"/>
    <w:rsid w:val="4B890C66"/>
    <w:rsid w:val="4F2149CB"/>
    <w:rsid w:val="4F6C3BBE"/>
    <w:rsid w:val="53342035"/>
    <w:rsid w:val="56100ACE"/>
    <w:rsid w:val="57650246"/>
    <w:rsid w:val="593308A3"/>
    <w:rsid w:val="59AD75E6"/>
    <w:rsid w:val="59F37F30"/>
    <w:rsid w:val="5D1A1C2C"/>
    <w:rsid w:val="5F4D1A96"/>
    <w:rsid w:val="622E1956"/>
    <w:rsid w:val="62757D15"/>
    <w:rsid w:val="6365583D"/>
    <w:rsid w:val="65920EE9"/>
    <w:rsid w:val="69006D22"/>
    <w:rsid w:val="6BCE2EAF"/>
    <w:rsid w:val="6EC14DD0"/>
    <w:rsid w:val="6FCA008A"/>
    <w:rsid w:val="702D1C81"/>
    <w:rsid w:val="719855E1"/>
    <w:rsid w:val="73342C3B"/>
    <w:rsid w:val="772A6655"/>
    <w:rsid w:val="77442F66"/>
    <w:rsid w:val="777B2C58"/>
    <w:rsid w:val="7AFA5482"/>
    <w:rsid w:val="7B131686"/>
    <w:rsid w:val="7D492F64"/>
    <w:rsid w:val="FFFA65E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kern w:val="0"/>
      <w:sz w:val="24"/>
    </w:rPr>
  </w:style>
  <w:style w:type="character" w:customStyle="1" w:styleId="7">
    <w:name w:val="页眉 Char"/>
    <w:basedOn w:val="6"/>
    <w:link w:val="3"/>
    <w:qFormat/>
    <w:uiPriority w:val="99"/>
    <w:rPr>
      <w:kern w:val="2"/>
      <w:sz w:val="18"/>
      <w:szCs w:val="18"/>
    </w:rPr>
  </w:style>
  <w:style w:type="character" w:customStyle="1" w:styleId="8">
    <w:name w:val="页脚 Char"/>
    <w:basedOn w:val="6"/>
    <w:link w:val="2"/>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8</Pages>
  <Words>2647</Words>
  <Characters>2848</Characters>
  <Lines>20</Lines>
  <Paragraphs>5</Paragraphs>
  <TotalTime>2</TotalTime>
  <ScaleCrop>false</ScaleCrop>
  <LinksUpToDate>false</LinksUpToDate>
  <CharactersWithSpaces>2884</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2021-03-10T09:48:00Z</dcterms:created>
  <dc:creator>asus</dc:creator>
  <cp:lastModifiedBy>华华</cp:lastModifiedBy>
  <cp:lastPrinted>2021-03-12T09:45:00Z</cp:lastPrinted>
  <dcterms:modified xsi:type="dcterms:W3CDTF">2022-09-08T01:28:03Z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FCC6B9862C934703923B5FF4DA58AB3A</vt:lpwstr>
  </property>
</Properties>
</file>