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84"/>
          <w:szCs w:val="84"/>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rFonts w:hint="eastAsia"/>
          <w:sz w:val="84"/>
          <w:szCs w:val="84"/>
        </w:rPr>
      </w:pPr>
      <w:r>
        <w:rPr>
          <w:rFonts w:hint="eastAsia"/>
          <w:sz w:val="84"/>
          <w:szCs w:val="84"/>
        </w:rPr>
        <w:t>湖南省体操运动管理</w:t>
      </w:r>
    </w:p>
    <w:p>
      <w:pPr>
        <w:pStyle w:val="11"/>
        <w:jc w:val="center"/>
        <w:rPr>
          <w:sz w:val="84"/>
          <w:szCs w:val="84"/>
        </w:rPr>
      </w:pPr>
      <w:r>
        <w:rPr>
          <w:rFonts w:hint="eastAsia"/>
          <w:sz w:val="84"/>
          <w:szCs w:val="84"/>
        </w:rPr>
        <w:t>中心部门决算</w:t>
      </w: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both"/>
        <w:rPr>
          <w:sz w:val="56"/>
          <w:szCs w:val="56"/>
        </w:rPr>
      </w:pPr>
    </w:p>
    <w:p>
      <w:pPr>
        <w:pStyle w:val="11"/>
        <w:spacing w:line="540" w:lineRule="exact"/>
        <w:jc w:val="both"/>
        <w:rPr>
          <w:sz w:val="56"/>
          <w:szCs w:val="56"/>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  湖南省体操运动管理中心单位概况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 xml:space="preserve">第二部分  </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 xml:space="preserve">第三部分  </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十二、国有资产占用情况说明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十三、2021年度预算绩效情况的说明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 xml:space="preserve">   </w:t>
      </w:r>
      <w:r>
        <w:rPr>
          <w:rFonts w:ascii="黑体" w:hAnsi="黑体" w:eastAsia="黑体" w:cs="黑体"/>
          <w:b/>
          <w:color w:val="000000"/>
          <w:kern w:val="0"/>
          <w:sz w:val="28"/>
          <w:szCs w:val="28"/>
        </w:rPr>
        <w:t>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   附件</w:t>
      </w:r>
    </w:p>
    <w:p>
      <w:pPr>
        <w:rPr>
          <w:sz w:val="72"/>
          <w:szCs w:val="72"/>
        </w:rPr>
      </w:pPr>
    </w:p>
    <w:p>
      <w:pPr>
        <w:rPr>
          <w:sz w:val="72"/>
          <w:szCs w:val="72"/>
        </w:rPr>
      </w:pPr>
    </w:p>
    <w:p>
      <w:pPr>
        <w:rPr>
          <w:sz w:val="72"/>
          <w:szCs w:val="72"/>
        </w:rPr>
      </w:pPr>
    </w:p>
    <w:p>
      <w:pPr>
        <w:rPr>
          <w:sz w:val="72"/>
          <w:szCs w:val="72"/>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湖南省体操运动管理中心概况</w:t>
      </w: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bCs/>
          <w:kern w:val="0"/>
          <w:sz w:val="32"/>
          <w:szCs w:val="32"/>
        </w:rPr>
        <w:t>主要职能：为组织体操训练竞赛、促进体育运动发展；体操优秀运动队管理、后备人才培养；竞赛组织、表演赛组织；承办项目注册、教练员培训、裁判员培训、场地器材管理、群众体操项目培训、相关体育技术鉴定及咨询等。</w:t>
      </w:r>
    </w:p>
    <w:p>
      <w:pPr>
        <w:jc w:val="left"/>
        <w:rPr>
          <w:rFonts w:asciiTheme="minorEastAsia" w:hAnsiTheme="minorEastAsia"/>
          <w:sz w:val="32"/>
          <w:szCs w:val="32"/>
        </w:rPr>
      </w:pPr>
    </w:p>
    <w:p>
      <w:pPr>
        <w:jc w:val="lef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320" w:firstLineChars="100"/>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spacing w:line="600" w:lineRule="exact"/>
        <w:ind w:firstLine="640" w:firstLineChars="200"/>
        <w:rPr>
          <w:rFonts w:asciiTheme="minorEastAsia" w:hAnsiTheme="minorEastAsia"/>
          <w:bCs/>
          <w:kern w:val="0"/>
          <w:sz w:val="32"/>
          <w:szCs w:val="32"/>
        </w:rPr>
      </w:pPr>
      <w:r>
        <w:rPr>
          <w:rFonts w:hint="eastAsia" w:cs="仿宋" w:asciiTheme="minorEastAsia" w:hAnsiTheme="minorEastAsia"/>
          <w:sz w:val="32"/>
          <w:szCs w:val="32"/>
        </w:rPr>
        <w:t>我单位成立于1985年，主管单位为湖南省体育局，是全额财政拨款的事业单位。内设机构10个，分别为：办公室、训练科、行政科、膳食科、体操队、蹦床队、攀岩队、卫生所、体操学校、工会。</w:t>
      </w:r>
    </w:p>
    <w:p>
      <w:pPr>
        <w:widowControl/>
        <w:ind w:firstLine="640" w:firstLineChars="200"/>
        <w:rPr>
          <w:rFonts w:hint="eastAsia" w:cs="仿宋" w:asciiTheme="minorEastAsia" w:hAnsiTheme="minorEastAsia"/>
          <w:sz w:val="32"/>
          <w:szCs w:val="32"/>
        </w:rPr>
      </w:pPr>
      <w:r>
        <w:rPr>
          <w:rFonts w:hint="eastAsia" w:asciiTheme="minorEastAsia" w:hAnsiTheme="minorEastAsia"/>
          <w:bCs/>
          <w:sz w:val="32"/>
          <w:szCs w:val="32"/>
        </w:rPr>
        <w:t>（二）决算单位构成。</w:t>
      </w:r>
      <w:r>
        <w:rPr>
          <w:rFonts w:hint="eastAsia" w:ascii="宋体" w:hAnsi="宋体" w:eastAsia="宋体" w:cs="宋体"/>
          <w:color w:val="333333"/>
          <w:sz w:val="32"/>
          <w:szCs w:val="32"/>
        </w:rPr>
        <w:t>2021年度部门决算公开单位：</w:t>
      </w:r>
      <w:r>
        <w:rPr>
          <w:rFonts w:hint="eastAsia" w:cs="仿宋" w:asciiTheme="minorEastAsia" w:hAnsiTheme="minorEastAsia"/>
          <w:sz w:val="32"/>
          <w:szCs w:val="32"/>
          <w:lang w:eastAsia="zh-CN"/>
        </w:rPr>
        <w:t>本单位预算只有本级，没有其他预算单位，因此本单位预算仅含本级预算。</w:t>
      </w:r>
      <w:r>
        <w:rPr>
          <w:rFonts w:hint="eastAsia" w:cs="仿宋" w:asciiTheme="minorEastAsia" w:hAnsiTheme="minorEastAsia"/>
          <w:sz w:val="32"/>
          <w:szCs w:val="32"/>
        </w:rPr>
        <w:t xml:space="preserve"> </w:t>
      </w:r>
    </w:p>
    <w:p>
      <w:pPr>
        <w:pStyle w:val="5"/>
        <w:shd w:val="clear" w:color="auto" w:fill="FFFFFF"/>
        <w:spacing w:beforeAutospacing="0" w:afterAutospacing="0" w:line="360" w:lineRule="auto"/>
        <w:ind w:firstLine="320" w:firstLineChars="100"/>
        <w:rPr>
          <w:rFonts w:ascii="宋体" w:hAnsi="宋体" w:eastAsia="宋体" w:cs="宋体"/>
          <w:color w:val="333333"/>
          <w:sz w:val="32"/>
          <w:szCs w:val="3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rFonts w:hint="eastAsia" w:ascii="黑体" w:eastAsia="黑体" w:cs="黑体"/>
          <w:color w:val="000000"/>
          <w:kern w:val="0"/>
          <w:sz w:val="84"/>
          <w:szCs w:val="84"/>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第二部分</w:t>
      </w:r>
    </w:p>
    <w:p>
      <w:pPr>
        <w:jc w:val="center"/>
        <w:rPr>
          <w:rFonts w:ascii="黑体" w:eastAsia="黑体" w:cs="黑体"/>
          <w:color w:val="000000"/>
          <w:kern w:val="0"/>
          <w:sz w:val="84"/>
          <w:szCs w:val="84"/>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部门决算表</w:t>
      </w: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footerReference r:id="rId3" w:type="default"/>
          <w:type w:val="continuous"/>
          <w:pgSz w:w="11906" w:h="16838"/>
          <w:pgMar w:top="1440" w:right="1746" w:bottom="1440" w:left="1746" w:header="851" w:footer="992" w:gutter="0"/>
          <w:cols w:space="0" w:num="1"/>
          <w:rtlGutter w:val="0"/>
          <w:docGrid w:type="lines" w:linePitch="312" w:charSpace="0"/>
        </w:sectPr>
      </w:pPr>
    </w:p>
    <w:tbl>
      <w:tblPr>
        <w:tblStyle w:val="6"/>
        <w:tblW w:w="13886" w:type="dxa"/>
        <w:tblInd w:w="525" w:type="dxa"/>
        <w:tblLayout w:type="fixed"/>
        <w:tblCellMar>
          <w:top w:w="0" w:type="dxa"/>
          <w:left w:w="108" w:type="dxa"/>
          <w:bottom w:w="0" w:type="dxa"/>
          <w:right w:w="108" w:type="dxa"/>
        </w:tblCellMar>
      </w:tblPr>
      <w:tblGrid>
        <w:gridCol w:w="3931"/>
        <w:gridCol w:w="709"/>
        <w:gridCol w:w="327"/>
        <w:gridCol w:w="763"/>
        <w:gridCol w:w="429"/>
        <w:gridCol w:w="607"/>
        <w:gridCol w:w="4394"/>
        <w:gridCol w:w="451"/>
        <w:gridCol w:w="258"/>
        <w:gridCol w:w="388"/>
        <w:gridCol w:w="1629"/>
      </w:tblGrid>
      <w:tr>
        <w:tblPrEx>
          <w:tblLayout w:type="fixed"/>
          <w:tblCellMar>
            <w:top w:w="0" w:type="dxa"/>
            <w:left w:w="108" w:type="dxa"/>
            <w:bottom w:w="0" w:type="dxa"/>
            <w:right w:w="108" w:type="dxa"/>
          </w:tblCellMar>
        </w:tblPrEx>
        <w:trPr>
          <w:trHeight w:val="360" w:hRule="atLeast"/>
        </w:trPr>
        <w:tc>
          <w:tcPr>
            <w:tcW w:w="13886"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一、收入支出决算总表</w:t>
            </w:r>
          </w:p>
        </w:tc>
      </w:tr>
      <w:tr>
        <w:tblPrEx>
          <w:tblLayout w:type="fixed"/>
          <w:tblCellMar>
            <w:top w:w="0" w:type="dxa"/>
            <w:left w:w="108" w:type="dxa"/>
            <w:bottom w:w="0" w:type="dxa"/>
            <w:right w:w="108" w:type="dxa"/>
          </w:tblCellMar>
        </w:tblPrEx>
        <w:trPr>
          <w:trHeight w:val="199" w:hRule="atLeast"/>
        </w:trPr>
        <w:tc>
          <w:tcPr>
            <w:tcW w:w="4967"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76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2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452"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46"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29"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00" w:hRule="atLeast"/>
        </w:trPr>
        <w:tc>
          <w:tcPr>
            <w:tcW w:w="4967"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部门：湖南省体操运动管理中心                          </w:t>
            </w:r>
          </w:p>
        </w:tc>
        <w:tc>
          <w:tcPr>
            <w:tcW w:w="76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2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452" w:type="dxa"/>
            <w:gridSpan w:val="3"/>
            <w:tcBorders>
              <w:top w:val="nil"/>
              <w:left w:val="nil"/>
              <w:bottom w:val="nil"/>
              <w:right w:val="nil"/>
            </w:tcBorders>
            <w:shd w:val="clear" w:color="000000" w:fill="FFFFFF"/>
            <w:noWrap/>
            <w:vAlign w:val="center"/>
          </w:tcPr>
          <w:p>
            <w:pPr>
              <w:widowControl/>
              <w:ind w:right="480"/>
              <w:rPr>
                <w:rFonts w:ascii="宋体" w:hAnsi="宋体" w:eastAsia="宋体" w:cs="宋体"/>
                <w:kern w:val="0"/>
                <w:sz w:val="20"/>
                <w:szCs w:val="20"/>
              </w:rPr>
            </w:pPr>
            <w:r>
              <w:rPr>
                <w:rFonts w:hint="eastAsia" w:ascii="宋体" w:hAnsi="宋体" w:eastAsia="宋体" w:cs="宋体"/>
                <w:kern w:val="0"/>
                <w:sz w:val="20"/>
                <w:szCs w:val="20"/>
              </w:rPr>
              <w:t xml:space="preserve">  2021年度　</w:t>
            </w:r>
          </w:p>
        </w:tc>
        <w:tc>
          <w:tcPr>
            <w:tcW w:w="646"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29"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40" w:hRule="atLeast"/>
        </w:trPr>
        <w:tc>
          <w:tcPr>
            <w:tcW w:w="6766" w:type="dxa"/>
            <w:gridSpan w:val="6"/>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7120" w:type="dxa"/>
            <w:gridSpan w:val="5"/>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2126"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4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201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126"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4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01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2,182.00</w:t>
            </w:r>
          </w:p>
        </w:tc>
        <w:tc>
          <w:tcPr>
            <w:tcW w:w="4394" w:type="dxa"/>
            <w:tcBorders>
              <w:top w:val="nil"/>
              <w:left w:val="nil"/>
              <w:bottom w:val="single" w:color="auto" w:sz="4" w:space="0"/>
              <w:right w:val="single" w:color="auto" w:sz="4" w:space="0"/>
            </w:tcBorders>
            <w:shd w:val="clear" w:color="000000" w:fill="FFFFFF"/>
            <w:noWrap/>
            <w:vAlign w:val="center"/>
          </w:tcPr>
          <w:p>
            <w:pPr>
              <w:widowControl/>
              <w:rPr>
                <w:rFonts w:ascii="宋体" w:hAnsi="宋体" w:eastAsia="宋体" w:cs="宋体"/>
                <w:kern w:val="0"/>
                <w:sz w:val="22"/>
              </w:rPr>
            </w:pPr>
            <w:r>
              <w:rPr>
                <w:rFonts w:hint="eastAsia" w:ascii="宋体" w:hAnsi="宋体" w:eastAsia="宋体" w:cs="宋体"/>
                <w:kern w:val="0"/>
                <w:sz w:val="22"/>
              </w:rPr>
              <w:t>一、一般公共服务支出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32</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307.00</w:t>
            </w:r>
          </w:p>
        </w:tc>
        <w:tc>
          <w:tcPr>
            <w:tcW w:w="4394"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33</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p>
        </w:tc>
        <w:tc>
          <w:tcPr>
            <w:tcW w:w="4394"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34</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p>
        </w:tc>
        <w:tc>
          <w:tcPr>
            <w:tcW w:w="4394"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35</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36</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37</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七、文化旅游体育与传媒支出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38</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1,912.95</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八、社会保障和就业支出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39</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110.00</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九、卫生健康支出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40</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十、节能环保支出　</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41</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十一、城乡社区支出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42</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十二、农林水支出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43</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十三、交通运输支出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44</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十四、资源勘探工业信息等支出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45</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十五、商业服务业等支出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46</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十六、金融支出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47</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十七、援助其他地区支出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48</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十八、自然资源海洋气象等支出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49</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十九、住房保障支出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50</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150.00</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二十、粮油物资储备支出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51</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kern w:val="0"/>
                <w:sz w:val="24"/>
                <w:szCs w:val="24"/>
              </w:rPr>
              <w:t>二十一、国有资本经营预算支出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52</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99" w:hRule="atLeast"/>
        </w:trPr>
        <w:tc>
          <w:tcPr>
            <w:tcW w:w="4967"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76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2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452"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46"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29"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hint="eastAsia" w:ascii="宋体" w:hAnsi="宋体" w:eastAsia="宋体" w:cs="宋体"/>
                <w:kern w:val="0"/>
                <w:sz w:val="22"/>
              </w:rPr>
            </w:pPr>
            <w:r>
              <w:rPr>
                <w:rFonts w:hint="eastAsia" w:ascii="宋体" w:hAnsi="宋体" w:eastAsia="宋体" w:cs="宋体"/>
                <w:kern w:val="0"/>
                <w:sz w:val="24"/>
                <w:szCs w:val="24"/>
              </w:rPr>
              <w:t>二十二、灾害防治及应急管理支出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53</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二十三、其他支出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54</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267.96</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2"/>
              </w:rPr>
            </w:pPr>
            <w:r>
              <w:rPr>
                <w:rFonts w:hint="eastAsia" w:ascii="宋体" w:hAnsi="宋体" w:eastAsia="宋体" w:cs="宋体"/>
                <w:kern w:val="0"/>
                <w:sz w:val="22"/>
              </w:rPr>
              <w:t>二十四、债务还本支出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55</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2"/>
              </w:rPr>
            </w:pPr>
            <w:r>
              <w:rPr>
                <w:rFonts w:hint="eastAsia" w:ascii="宋体" w:hAnsi="宋体" w:eastAsia="宋体" w:cs="宋体"/>
                <w:kern w:val="0"/>
                <w:sz w:val="22"/>
              </w:rPr>
              <w:t>二十五、债务付息支出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56</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rPr>
                <w:rFonts w:ascii="宋体" w:hAnsi="宋体" w:eastAsia="宋体" w:cs="宋体"/>
                <w:kern w:val="0"/>
                <w:sz w:val="22"/>
              </w:rPr>
            </w:pPr>
            <w:r>
              <w:rPr>
                <w:rFonts w:hint="eastAsia" w:ascii="宋体" w:hAnsi="宋体" w:eastAsia="宋体" w:cs="宋体"/>
                <w:kern w:val="0"/>
                <w:sz w:val="22"/>
              </w:rPr>
              <w:t>二十六、抗疫特别国债安排的支出</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57</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2,489.00　</w:t>
            </w:r>
          </w:p>
        </w:tc>
        <w:tc>
          <w:tcPr>
            <w:tcW w:w="4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58</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2,449.92</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59</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29</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14.88　</w:t>
            </w: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60</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53.96</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30</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4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61</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3931"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31</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2,503.88　</w:t>
            </w:r>
          </w:p>
        </w:tc>
        <w:tc>
          <w:tcPr>
            <w:tcW w:w="4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70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62</w:t>
            </w:r>
          </w:p>
        </w:tc>
        <w:tc>
          <w:tcPr>
            <w:tcW w:w="201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2,503.88</w:t>
            </w:r>
          </w:p>
        </w:tc>
      </w:tr>
    </w:tbl>
    <w:p>
      <w:pPr>
        <w:ind w:firstLine="630" w:firstLineChars="300"/>
      </w:pPr>
      <w:r>
        <w:rPr>
          <w:rFonts w:hint="eastAsia"/>
        </w:rPr>
        <w:t>注：1.本表反映部门本年度的总收支和年末结转结余情况。</w:t>
      </w:r>
    </w:p>
    <w:p>
      <w:pPr>
        <w:widowControl/>
        <w:jc w:val="left"/>
      </w:pPr>
      <w:r>
        <w:rPr>
          <w:rFonts w:hint="eastAsia"/>
        </w:rPr>
        <w:t xml:space="preserve">          2.本套报表金额单位转换时可能存在尾数误差。</w:t>
      </w: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tbl>
      <w:tblPr>
        <w:tblStyle w:val="6"/>
        <w:tblW w:w="15525" w:type="dxa"/>
        <w:tblInd w:w="89" w:type="dxa"/>
        <w:tblLayout w:type="fixed"/>
        <w:tblCellMar>
          <w:top w:w="0" w:type="dxa"/>
          <w:left w:w="108" w:type="dxa"/>
          <w:bottom w:w="0" w:type="dxa"/>
          <w:right w:w="108" w:type="dxa"/>
        </w:tblCellMar>
      </w:tblPr>
      <w:tblGrid>
        <w:gridCol w:w="1654"/>
        <w:gridCol w:w="350"/>
        <w:gridCol w:w="1239"/>
        <w:gridCol w:w="234"/>
        <w:gridCol w:w="237"/>
        <w:gridCol w:w="984"/>
        <w:gridCol w:w="991"/>
        <w:gridCol w:w="142"/>
        <w:gridCol w:w="612"/>
        <w:gridCol w:w="947"/>
        <w:gridCol w:w="351"/>
        <w:gridCol w:w="446"/>
        <w:gridCol w:w="904"/>
        <w:gridCol w:w="420"/>
        <w:gridCol w:w="421"/>
        <w:gridCol w:w="719"/>
        <w:gridCol w:w="563"/>
        <w:gridCol w:w="576"/>
        <w:gridCol w:w="136"/>
        <w:gridCol w:w="975"/>
        <w:gridCol w:w="301"/>
        <w:gridCol w:w="426"/>
        <w:gridCol w:w="439"/>
        <w:gridCol w:w="269"/>
        <w:gridCol w:w="851"/>
        <w:gridCol w:w="338"/>
      </w:tblGrid>
      <w:tr>
        <w:tblPrEx>
          <w:tblLayout w:type="fixed"/>
          <w:tblCellMar>
            <w:top w:w="0" w:type="dxa"/>
            <w:left w:w="108" w:type="dxa"/>
            <w:bottom w:w="0" w:type="dxa"/>
            <w:right w:w="108" w:type="dxa"/>
          </w:tblCellMar>
        </w:tblPrEx>
        <w:trPr>
          <w:gridAfter w:val="1"/>
          <w:wAfter w:w="338" w:type="dxa"/>
          <w:trHeight w:val="540" w:hRule="atLeast"/>
        </w:trPr>
        <w:tc>
          <w:tcPr>
            <w:tcW w:w="15187" w:type="dxa"/>
            <w:gridSpan w:val="25"/>
            <w:tcBorders>
              <w:top w:val="nil"/>
              <w:left w:val="nil"/>
            </w:tcBorders>
            <w:shd w:val="clear" w:color="auto" w:fill="auto"/>
            <w:noWrap/>
            <w:vAlign w:val="center"/>
          </w:tcPr>
          <w:p>
            <w:pPr>
              <w:widowControl/>
              <w:jc w:val="center"/>
              <w:rPr>
                <w:rFonts w:ascii="宋体" w:hAnsi="宋体" w:eastAsia="宋体" w:cs="Arial"/>
                <w:kern w:val="0"/>
                <w:sz w:val="18"/>
                <w:szCs w:val="18"/>
              </w:rPr>
            </w:pPr>
            <w:r>
              <w:rPr>
                <w:rFonts w:hint="eastAsia" w:ascii="华文中宋" w:hAnsi="华文中宋" w:eastAsia="华文中宋"/>
                <w:sz w:val="32"/>
                <w:szCs w:val="32"/>
              </w:rPr>
              <w:t>二、收入决算表</w:t>
            </w:r>
            <w:r>
              <w:rPr>
                <w:rFonts w:hint="eastAsia" w:ascii="宋体" w:hAnsi="宋体" w:eastAsia="宋体" w:cs="Arial"/>
                <w:kern w:val="0"/>
                <w:sz w:val="18"/>
                <w:szCs w:val="18"/>
              </w:rPr>
              <w:t>　</w:t>
            </w:r>
          </w:p>
        </w:tc>
      </w:tr>
      <w:tr>
        <w:tblPrEx>
          <w:tblLayout w:type="fixed"/>
          <w:tblCellMar>
            <w:top w:w="0" w:type="dxa"/>
            <w:left w:w="108" w:type="dxa"/>
            <w:bottom w:w="0" w:type="dxa"/>
            <w:right w:w="108" w:type="dxa"/>
          </w:tblCellMar>
        </w:tblPrEx>
        <w:trPr>
          <w:gridAfter w:val="1"/>
          <w:wAfter w:w="338" w:type="dxa"/>
          <w:trHeight w:val="194" w:hRule="atLeast"/>
        </w:trPr>
        <w:tc>
          <w:tcPr>
            <w:tcW w:w="15187" w:type="dxa"/>
            <w:gridSpan w:val="25"/>
            <w:shd w:val="clear" w:color="auto" w:fill="auto"/>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公开02表</w:t>
            </w:r>
          </w:p>
        </w:tc>
      </w:tr>
      <w:tr>
        <w:tblPrEx>
          <w:tblLayout w:type="fixed"/>
          <w:tblCellMar>
            <w:top w:w="0" w:type="dxa"/>
            <w:left w:w="108" w:type="dxa"/>
            <w:bottom w:w="0" w:type="dxa"/>
            <w:right w:w="108" w:type="dxa"/>
          </w:tblCellMar>
        </w:tblPrEx>
        <w:trPr>
          <w:gridAfter w:val="1"/>
          <w:wAfter w:w="338" w:type="dxa"/>
          <w:trHeight w:val="488" w:hRule="atLeast"/>
        </w:trPr>
        <w:tc>
          <w:tcPr>
            <w:tcW w:w="15187" w:type="dxa"/>
            <w:gridSpan w:val="25"/>
            <w:tcBorders>
              <w:bottom w:val="single" w:color="000000" w:sz="4" w:space="0"/>
            </w:tcBorders>
            <w:shd w:val="clear" w:color="auto" w:fill="auto"/>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部门：湖南省体操运动管理中心                                        2021年度                                                            金额单位：万元</w:t>
            </w:r>
          </w:p>
        </w:tc>
      </w:tr>
      <w:tr>
        <w:tblPrEx>
          <w:tblLayout w:type="fixed"/>
          <w:tblCellMar>
            <w:top w:w="0" w:type="dxa"/>
            <w:left w:w="108" w:type="dxa"/>
            <w:bottom w:w="0" w:type="dxa"/>
            <w:right w:w="108" w:type="dxa"/>
          </w:tblCellMar>
        </w:tblPrEx>
        <w:trPr>
          <w:gridAfter w:val="1"/>
          <w:wAfter w:w="338" w:type="dxa"/>
          <w:trHeight w:val="170" w:hRule="atLeast"/>
        </w:trPr>
        <w:tc>
          <w:tcPr>
            <w:tcW w:w="5689"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项目</w:t>
            </w:r>
          </w:p>
        </w:tc>
        <w:tc>
          <w:tcPr>
            <w:tcW w:w="1701" w:type="dxa"/>
            <w:gridSpan w:val="3"/>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本年收入合计</w:t>
            </w:r>
          </w:p>
        </w:tc>
        <w:tc>
          <w:tcPr>
            <w:tcW w:w="1701" w:type="dxa"/>
            <w:gridSpan w:val="3"/>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财政拨款收入</w:t>
            </w:r>
          </w:p>
        </w:tc>
        <w:tc>
          <w:tcPr>
            <w:tcW w:w="1560" w:type="dxa"/>
            <w:gridSpan w:val="3"/>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上级补助收入</w:t>
            </w:r>
          </w:p>
        </w:tc>
        <w:tc>
          <w:tcPr>
            <w:tcW w:w="1275" w:type="dxa"/>
            <w:gridSpan w:val="3"/>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事业收入</w:t>
            </w:r>
          </w:p>
        </w:tc>
        <w:tc>
          <w:tcPr>
            <w:tcW w:w="1276" w:type="dxa"/>
            <w:gridSpan w:val="2"/>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经营收入</w:t>
            </w:r>
          </w:p>
        </w:tc>
        <w:tc>
          <w:tcPr>
            <w:tcW w:w="1134" w:type="dxa"/>
            <w:gridSpan w:val="3"/>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附属单位上缴收入</w:t>
            </w:r>
          </w:p>
        </w:tc>
        <w:tc>
          <w:tcPr>
            <w:tcW w:w="851"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其他收入</w:t>
            </w:r>
          </w:p>
        </w:tc>
      </w:tr>
      <w:tr>
        <w:tblPrEx>
          <w:tblLayout w:type="fixed"/>
          <w:tblCellMar>
            <w:top w:w="0" w:type="dxa"/>
            <w:left w:w="108" w:type="dxa"/>
            <w:bottom w:w="0" w:type="dxa"/>
            <w:right w:w="108" w:type="dxa"/>
          </w:tblCellMar>
        </w:tblPrEx>
        <w:trPr>
          <w:gridAfter w:val="1"/>
          <w:wAfter w:w="338" w:type="dxa"/>
          <w:trHeight w:val="540" w:hRule="atLeast"/>
        </w:trPr>
        <w:tc>
          <w:tcPr>
            <w:tcW w:w="20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功能分类科目编码</w:t>
            </w:r>
          </w:p>
        </w:tc>
        <w:tc>
          <w:tcPr>
            <w:tcW w:w="3685" w:type="dxa"/>
            <w:gridSpan w:val="5"/>
            <w:vMerge w:val="restart"/>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科目名称</w:t>
            </w:r>
          </w:p>
        </w:tc>
        <w:tc>
          <w:tcPr>
            <w:tcW w:w="1701"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701"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560"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75"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76" w:type="dxa"/>
            <w:gridSpan w:val="2"/>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134"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851"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gridAfter w:val="1"/>
          <w:wAfter w:w="338" w:type="dxa"/>
          <w:trHeight w:val="540" w:hRule="atLeast"/>
        </w:trPr>
        <w:tc>
          <w:tcPr>
            <w:tcW w:w="200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3685" w:type="dxa"/>
            <w:gridSpan w:val="5"/>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701"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701"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560"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75"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76" w:type="dxa"/>
            <w:gridSpan w:val="2"/>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134"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851"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gridAfter w:val="1"/>
          <w:wAfter w:w="338" w:type="dxa"/>
          <w:trHeight w:val="312" w:hRule="atLeast"/>
        </w:trPr>
        <w:tc>
          <w:tcPr>
            <w:tcW w:w="200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3685" w:type="dxa"/>
            <w:gridSpan w:val="5"/>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701"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701"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560"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75"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76" w:type="dxa"/>
            <w:gridSpan w:val="2"/>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134" w:type="dxa"/>
            <w:gridSpan w:val="3"/>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851"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gridAfter w:val="1"/>
          <w:wAfter w:w="338" w:type="dxa"/>
          <w:trHeight w:val="266" w:hRule="atLeast"/>
        </w:trPr>
        <w:tc>
          <w:tcPr>
            <w:tcW w:w="5689"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栏次</w:t>
            </w:r>
          </w:p>
        </w:tc>
        <w:tc>
          <w:tcPr>
            <w:tcW w:w="1701"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701"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5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7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7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1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851"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r>
      <w:tr>
        <w:tblPrEx>
          <w:tblLayout w:type="fixed"/>
          <w:tblCellMar>
            <w:top w:w="0" w:type="dxa"/>
            <w:left w:w="108" w:type="dxa"/>
            <w:bottom w:w="0" w:type="dxa"/>
            <w:right w:w="108" w:type="dxa"/>
          </w:tblCellMar>
        </w:tblPrEx>
        <w:trPr>
          <w:gridAfter w:val="1"/>
          <w:wAfter w:w="338" w:type="dxa"/>
          <w:trHeight w:val="473" w:hRule="atLeast"/>
        </w:trPr>
        <w:tc>
          <w:tcPr>
            <w:tcW w:w="5689" w:type="dxa"/>
            <w:gridSpan w:val="7"/>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合计</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2,489.00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2,489.00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r>
      <w:tr>
        <w:tblPrEx>
          <w:tblLayout w:type="fixed"/>
          <w:tblCellMar>
            <w:top w:w="0" w:type="dxa"/>
            <w:left w:w="108" w:type="dxa"/>
            <w:bottom w:w="0" w:type="dxa"/>
            <w:right w:w="108" w:type="dxa"/>
          </w:tblCellMar>
        </w:tblPrEx>
        <w:trPr>
          <w:gridAfter w:val="1"/>
          <w:wAfter w:w="338" w:type="dxa"/>
          <w:trHeight w:val="409"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rPr>
                <w:rFonts w:ascii="宋体" w:hAnsi="宋体" w:eastAsia="宋体" w:cs="宋体"/>
                <w:b/>
                <w:bCs/>
                <w:kern w:val="0"/>
                <w:sz w:val="22"/>
              </w:rPr>
            </w:pPr>
            <w:r>
              <w:rPr>
                <w:rFonts w:hint="eastAsia" w:ascii="宋体" w:hAnsi="宋体" w:eastAsia="宋体" w:cs="宋体"/>
                <w:b/>
                <w:bCs/>
                <w:kern w:val="0"/>
                <w:sz w:val="22"/>
              </w:rPr>
              <w:t>207</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文化旅游体育与传媒支出</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Arial"/>
                <w:b/>
                <w:bCs/>
                <w:sz w:val="22"/>
              </w:rPr>
            </w:pPr>
            <w:r>
              <w:rPr>
                <w:rFonts w:hint="eastAsia" w:cs="Arial"/>
                <w:b/>
                <w:bCs/>
                <w:sz w:val="22"/>
              </w:rPr>
              <w:t>1,922.00</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Arial"/>
                <w:b/>
                <w:bCs/>
                <w:sz w:val="22"/>
              </w:rPr>
            </w:pPr>
            <w:r>
              <w:rPr>
                <w:rFonts w:hint="eastAsia" w:cs="Arial"/>
                <w:b/>
                <w:bCs/>
                <w:sz w:val="22"/>
              </w:rPr>
              <w:t>1,922.00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r>
      <w:tr>
        <w:tblPrEx>
          <w:tblLayout w:type="fixed"/>
          <w:tblCellMar>
            <w:top w:w="0" w:type="dxa"/>
            <w:left w:w="108" w:type="dxa"/>
            <w:bottom w:w="0" w:type="dxa"/>
            <w:right w:w="108" w:type="dxa"/>
          </w:tblCellMar>
        </w:tblPrEx>
        <w:trPr>
          <w:gridAfter w:val="1"/>
          <w:wAfter w:w="338" w:type="dxa"/>
          <w:trHeight w:val="429"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rPr>
                <w:rFonts w:ascii="宋体" w:hAnsi="宋体" w:eastAsia="宋体" w:cs="宋体"/>
                <w:b/>
                <w:bCs/>
                <w:kern w:val="0"/>
                <w:sz w:val="22"/>
              </w:rPr>
            </w:pPr>
            <w:r>
              <w:rPr>
                <w:rFonts w:hint="eastAsia" w:ascii="宋体" w:hAnsi="宋体" w:eastAsia="宋体" w:cs="宋体"/>
                <w:b/>
                <w:bCs/>
                <w:kern w:val="0"/>
                <w:sz w:val="22"/>
              </w:rPr>
              <w:t>20703</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体育</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Arial"/>
                <w:b/>
                <w:bCs/>
                <w:sz w:val="22"/>
              </w:rPr>
            </w:pPr>
            <w:r>
              <w:rPr>
                <w:rFonts w:hint="eastAsia" w:cs="Arial"/>
                <w:b/>
                <w:bCs/>
                <w:sz w:val="22"/>
              </w:rPr>
              <w:t>1,922.00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Arial"/>
                <w:b/>
                <w:bCs/>
                <w:sz w:val="22"/>
              </w:rPr>
            </w:pPr>
            <w:r>
              <w:rPr>
                <w:rFonts w:hint="eastAsia" w:cs="Arial"/>
                <w:b/>
                <w:bCs/>
                <w:sz w:val="22"/>
              </w:rPr>
              <w:t>1,922.00</w:t>
            </w:r>
          </w:p>
        </w:tc>
        <w:tc>
          <w:tcPr>
            <w:tcW w:w="1560" w:type="dxa"/>
            <w:gridSpan w:val="3"/>
            <w:tcBorders>
              <w:top w:val="nil"/>
              <w:left w:val="nil"/>
              <w:bottom w:val="single" w:color="000000" w:sz="4" w:space="0"/>
              <w:right w:val="single" w:color="000000" w:sz="4" w:space="0"/>
            </w:tcBorders>
            <w:shd w:val="clear" w:color="auto" w:fill="auto"/>
            <w:noWrap/>
            <w:vAlign w:val="center"/>
          </w:tcPr>
          <w:p>
            <w:pPr>
              <w:jc w:val="right"/>
              <w:rPr>
                <w:rFonts w:cs="Arial"/>
                <w:b/>
                <w:bCs/>
                <w:sz w:val="22"/>
              </w:rPr>
            </w:pPr>
            <w:r>
              <w:rPr>
                <w:rFonts w:hint="eastAsia" w:cs="Arial"/>
                <w:b/>
                <w:bCs/>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xml:space="preserve"> </w:t>
            </w:r>
          </w:p>
        </w:tc>
      </w:tr>
      <w:tr>
        <w:tblPrEx>
          <w:tblLayout w:type="fixed"/>
          <w:tblCellMar>
            <w:top w:w="0" w:type="dxa"/>
            <w:left w:w="108" w:type="dxa"/>
            <w:bottom w:w="0" w:type="dxa"/>
            <w:right w:w="108" w:type="dxa"/>
          </w:tblCellMar>
        </w:tblPrEx>
        <w:trPr>
          <w:gridAfter w:val="1"/>
          <w:wAfter w:w="338" w:type="dxa"/>
          <w:trHeight w:val="304"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2070304</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运动项目管理</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Arial"/>
                <w:sz w:val="22"/>
              </w:rPr>
            </w:pPr>
            <w:r>
              <w:rPr>
                <w:rFonts w:hint="eastAsia" w:cs="Arial"/>
                <w:sz w:val="22"/>
              </w:rPr>
              <w:t>1,762.00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Arial"/>
                <w:sz w:val="22"/>
              </w:rPr>
            </w:pPr>
            <w:r>
              <w:rPr>
                <w:rFonts w:hint="eastAsia" w:cs="Arial"/>
                <w:sz w:val="22"/>
              </w:rPr>
              <w:t>1,762.00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r>
      <w:tr>
        <w:tblPrEx>
          <w:tblLayout w:type="fixed"/>
          <w:tblCellMar>
            <w:top w:w="0" w:type="dxa"/>
            <w:left w:w="108" w:type="dxa"/>
            <w:bottom w:w="0" w:type="dxa"/>
            <w:right w:w="108" w:type="dxa"/>
          </w:tblCellMar>
        </w:tblPrEx>
        <w:trPr>
          <w:gridAfter w:val="1"/>
          <w:wAfter w:w="338" w:type="dxa"/>
          <w:trHeight w:val="252"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2070305</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体育竞赛</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Arial"/>
                <w:sz w:val="22"/>
              </w:rPr>
            </w:pPr>
            <w:r>
              <w:rPr>
                <w:rFonts w:hint="eastAsia" w:cs="Arial"/>
                <w:sz w:val="22"/>
              </w:rPr>
              <w:t>130.00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Arial"/>
                <w:sz w:val="22"/>
              </w:rPr>
            </w:pPr>
            <w:r>
              <w:rPr>
                <w:rFonts w:hint="eastAsia" w:cs="Arial"/>
                <w:sz w:val="22"/>
              </w:rPr>
              <w:t>130.00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p>
        </w:tc>
      </w:tr>
      <w:tr>
        <w:tblPrEx>
          <w:tblLayout w:type="fixed"/>
          <w:tblCellMar>
            <w:top w:w="0" w:type="dxa"/>
            <w:left w:w="108" w:type="dxa"/>
            <w:bottom w:w="0" w:type="dxa"/>
            <w:right w:w="108" w:type="dxa"/>
          </w:tblCellMar>
        </w:tblPrEx>
        <w:trPr>
          <w:gridAfter w:val="1"/>
          <w:wAfter w:w="338" w:type="dxa"/>
          <w:trHeight w:val="252"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2070399</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其他体育支出</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Arial"/>
                <w:sz w:val="22"/>
              </w:rPr>
            </w:pPr>
            <w:r>
              <w:rPr>
                <w:rFonts w:hint="eastAsia" w:cs="Arial"/>
                <w:sz w:val="22"/>
              </w:rPr>
              <w:t>30.00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Arial"/>
                <w:sz w:val="22"/>
              </w:rPr>
            </w:pPr>
            <w:r>
              <w:rPr>
                <w:rFonts w:hint="eastAsia" w:cs="Arial"/>
                <w:sz w:val="22"/>
              </w:rPr>
              <w:t>30.00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r>
      <w:tr>
        <w:tblPrEx>
          <w:tblLayout w:type="fixed"/>
          <w:tblCellMar>
            <w:top w:w="0" w:type="dxa"/>
            <w:left w:w="108" w:type="dxa"/>
            <w:bottom w:w="0" w:type="dxa"/>
            <w:right w:w="108" w:type="dxa"/>
          </w:tblCellMar>
        </w:tblPrEx>
        <w:trPr>
          <w:gridAfter w:val="1"/>
          <w:wAfter w:w="338" w:type="dxa"/>
          <w:trHeight w:val="417"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208</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社会保障和就业支出</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110.00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110.00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gridAfter w:val="1"/>
          <w:wAfter w:w="338" w:type="dxa"/>
          <w:trHeight w:val="423"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20805</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行政事业单位养老支出</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110.00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110.00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gridAfter w:val="1"/>
          <w:wAfter w:w="338" w:type="dxa"/>
          <w:trHeight w:val="353"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2080505</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机关事业单位基本养老保险缴费支出</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Cs/>
                <w:kern w:val="0"/>
                <w:sz w:val="22"/>
              </w:rPr>
            </w:pPr>
            <w:r>
              <w:rPr>
                <w:rFonts w:hint="eastAsia" w:ascii="宋体" w:hAnsi="宋体" w:eastAsia="宋体" w:cs="宋体"/>
                <w:bCs/>
                <w:kern w:val="0"/>
                <w:sz w:val="22"/>
              </w:rPr>
              <w:t>110.00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Cs/>
                <w:kern w:val="0"/>
                <w:sz w:val="22"/>
              </w:rPr>
            </w:pPr>
            <w:r>
              <w:rPr>
                <w:rFonts w:hint="eastAsia" w:ascii="宋体" w:hAnsi="宋体" w:eastAsia="宋体" w:cs="宋体"/>
                <w:bCs/>
                <w:kern w:val="0"/>
                <w:sz w:val="22"/>
              </w:rPr>
              <w:t>110.00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r>
      <w:tr>
        <w:tblPrEx>
          <w:tblLayout w:type="fixed"/>
          <w:tblCellMar>
            <w:top w:w="0" w:type="dxa"/>
            <w:left w:w="108" w:type="dxa"/>
            <w:bottom w:w="0" w:type="dxa"/>
            <w:right w:w="108" w:type="dxa"/>
          </w:tblCellMar>
        </w:tblPrEx>
        <w:trPr>
          <w:gridAfter w:val="1"/>
          <w:wAfter w:w="338" w:type="dxa"/>
          <w:trHeight w:val="415"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221</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住房保障支出</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150.00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150.00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gridAfter w:val="1"/>
          <w:wAfter w:w="338" w:type="dxa"/>
          <w:trHeight w:val="415"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22102</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住房改革支出</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150.00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
                <w:bCs/>
                <w:kern w:val="0"/>
                <w:sz w:val="22"/>
              </w:rPr>
            </w:pPr>
            <w:r>
              <w:rPr>
                <w:rFonts w:hint="eastAsia" w:ascii="宋体" w:hAnsi="宋体" w:eastAsia="宋体" w:cs="宋体"/>
                <w:b/>
                <w:bCs/>
                <w:kern w:val="0"/>
                <w:sz w:val="22"/>
              </w:rPr>
              <w:t>150.00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gridAfter w:val="1"/>
          <w:wAfter w:w="338" w:type="dxa"/>
          <w:trHeight w:val="271"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2210201</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住房公积金</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Cs/>
                <w:kern w:val="0"/>
                <w:sz w:val="22"/>
              </w:rPr>
            </w:pPr>
            <w:r>
              <w:rPr>
                <w:rFonts w:hint="eastAsia" w:ascii="宋体" w:hAnsi="宋体" w:eastAsia="宋体" w:cs="宋体"/>
                <w:bCs/>
                <w:kern w:val="0"/>
                <w:sz w:val="22"/>
              </w:rPr>
              <w:t>150.00</w:t>
            </w:r>
          </w:p>
        </w:tc>
        <w:tc>
          <w:tcPr>
            <w:tcW w:w="1701"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bCs/>
                <w:kern w:val="0"/>
                <w:sz w:val="22"/>
              </w:rPr>
            </w:pPr>
            <w:r>
              <w:rPr>
                <w:rFonts w:hint="eastAsia" w:ascii="宋体" w:hAnsi="宋体" w:eastAsia="宋体" w:cs="宋体"/>
                <w:bCs/>
                <w:kern w:val="0"/>
                <w:sz w:val="22"/>
              </w:rPr>
              <w:t>150.00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gridAfter w:val="1"/>
          <w:wAfter w:w="338" w:type="dxa"/>
          <w:trHeight w:val="415"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229</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其他支出</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宋体"/>
                <w:b/>
                <w:bCs/>
                <w:kern w:val="0"/>
                <w:sz w:val="22"/>
              </w:rPr>
            </w:pPr>
            <w:r>
              <w:rPr>
                <w:rFonts w:hint="eastAsia" w:ascii="宋体" w:hAnsi="宋体" w:eastAsia="宋体" w:cs="宋体"/>
                <w:b/>
                <w:bCs/>
                <w:kern w:val="0"/>
                <w:sz w:val="22"/>
              </w:rPr>
              <w:t>307.</w:t>
            </w:r>
            <w:r>
              <w:rPr>
                <w:rFonts w:ascii="宋体" w:hAnsi="宋体" w:eastAsia="宋体" w:cs="宋体"/>
                <w:b/>
                <w:bCs/>
                <w:kern w:val="0"/>
                <w:sz w:val="22"/>
              </w:rPr>
              <w:t xml:space="preserve">00 </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宋体"/>
                <w:b/>
                <w:bCs/>
                <w:kern w:val="0"/>
                <w:sz w:val="22"/>
              </w:rPr>
            </w:pPr>
            <w:r>
              <w:rPr>
                <w:rFonts w:hint="eastAsia" w:ascii="宋体" w:hAnsi="宋体" w:eastAsia="宋体" w:cs="宋体"/>
                <w:b/>
                <w:bCs/>
                <w:kern w:val="0"/>
                <w:sz w:val="22"/>
              </w:rPr>
              <w:t>307.</w:t>
            </w:r>
            <w:r>
              <w:rPr>
                <w:rFonts w:ascii="宋体" w:hAnsi="宋体" w:eastAsia="宋体" w:cs="宋体"/>
                <w:b/>
                <w:bCs/>
                <w:kern w:val="0"/>
                <w:sz w:val="22"/>
              </w:rPr>
              <w:t xml:space="preserve">00 </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gridAfter w:val="1"/>
          <w:wAfter w:w="338" w:type="dxa"/>
          <w:trHeight w:val="415"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22960</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彩票公益金安排的支出</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宋体"/>
                <w:b/>
                <w:bCs/>
                <w:kern w:val="0"/>
                <w:sz w:val="22"/>
              </w:rPr>
            </w:pPr>
            <w:r>
              <w:rPr>
                <w:rFonts w:hint="eastAsia" w:ascii="宋体" w:hAnsi="宋体" w:eastAsia="宋体" w:cs="宋体"/>
                <w:b/>
                <w:bCs/>
                <w:kern w:val="0"/>
                <w:sz w:val="22"/>
              </w:rPr>
              <w:t>307.00</w:t>
            </w:r>
            <w:r>
              <w:rPr>
                <w:rFonts w:ascii="宋体" w:hAnsi="宋体" w:eastAsia="宋体" w:cs="宋体"/>
                <w:b/>
                <w:bCs/>
                <w:kern w:val="0"/>
                <w:sz w:val="22"/>
              </w:rPr>
              <w:t xml:space="preserve"> </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宋体"/>
                <w:b/>
                <w:bCs/>
                <w:kern w:val="0"/>
                <w:sz w:val="22"/>
              </w:rPr>
            </w:pPr>
            <w:r>
              <w:rPr>
                <w:rFonts w:hint="eastAsia" w:ascii="宋体" w:hAnsi="宋体" w:eastAsia="宋体" w:cs="宋体"/>
                <w:b/>
                <w:bCs/>
                <w:kern w:val="0"/>
                <w:sz w:val="22"/>
              </w:rPr>
              <w:t>307.00</w:t>
            </w:r>
            <w:r>
              <w:rPr>
                <w:rFonts w:ascii="宋体" w:hAnsi="宋体" w:eastAsia="宋体" w:cs="宋体"/>
                <w:b/>
                <w:bCs/>
                <w:kern w:val="0"/>
                <w:sz w:val="22"/>
              </w:rPr>
              <w:t xml:space="preserve"> </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gridAfter w:val="1"/>
          <w:wAfter w:w="338" w:type="dxa"/>
          <w:trHeight w:val="274" w:hRule="atLeast"/>
        </w:trPr>
        <w:tc>
          <w:tcPr>
            <w:tcW w:w="200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2296003</w:t>
            </w:r>
          </w:p>
        </w:tc>
        <w:tc>
          <w:tcPr>
            <w:tcW w:w="3685" w:type="dxa"/>
            <w:gridSpan w:val="5"/>
            <w:tcBorders>
              <w:top w:val="nil"/>
              <w:left w:val="nil"/>
              <w:bottom w:val="single" w:color="000000" w:sz="4" w:space="0"/>
              <w:right w:val="single" w:color="000000"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用于体育事业的彩票公益金支出</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宋体"/>
                <w:bCs/>
                <w:kern w:val="0"/>
                <w:sz w:val="22"/>
              </w:rPr>
            </w:pPr>
            <w:r>
              <w:rPr>
                <w:rFonts w:hint="eastAsia" w:ascii="宋体" w:hAnsi="宋体" w:eastAsia="宋体" w:cs="宋体"/>
                <w:bCs/>
                <w:kern w:val="0"/>
                <w:sz w:val="22"/>
              </w:rPr>
              <w:t>307.00</w:t>
            </w:r>
          </w:p>
        </w:tc>
        <w:tc>
          <w:tcPr>
            <w:tcW w:w="1701" w:type="dxa"/>
            <w:gridSpan w:val="3"/>
            <w:tcBorders>
              <w:top w:val="nil"/>
              <w:left w:val="nil"/>
              <w:bottom w:val="single" w:color="000000" w:sz="4" w:space="0"/>
              <w:right w:val="single" w:color="000000" w:sz="4" w:space="0"/>
            </w:tcBorders>
            <w:shd w:val="clear" w:color="auto" w:fill="auto"/>
            <w:noWrap/>
            <w:vAlign w:val="bottom"/>
          </w:tcPr>
          <w:p>
            <w:pPr>
              <w:jc w:val="right"/>
              <w:rPr>
                <w:rFonts w:ascii="宋体" w:hAnsi="宋体" w:eastAsia="宋体" w:cs="宋体"/>
                <w:bCs/>
                <w:kern w:val="0"/>
                <w:sz w:val="22"/>
              </w:rPr>
            </w:pPr>
            <w:r>
              <w:rPr>
                <w:rFonts w:hint="eastAsia" w:ascii="宋体" w:hAnsi="宋体" w:eastAsia="宋体" w:cs="宋体"/>
                <w:bCs/>
                <w:kern w:val="0"/>
                <w:sz w:val="22"/>
              </w:rPr>
              <w:t>307.00</w:t>
            </w:r>
          </w:p>
        </w:tc>
        <w:tc>
          <w:tcPr>
            <w:tcW w:w="15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34"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85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r>
      <w:tr>
        <w:tblPrEx>
          <w:tblLayout w:type="fixed"/>
          <w:tblCellMar>
            <w:top w:w="0" w:type="dxa"/>
            <w:left w:w="108" w:type="dxa"/>
            <w:bottom w:w="0" w:type="dxa"/>
            <w:right w:w="108" w:type="dxa"/>
          </w:tblCellMar>
        </w:tblPrEx>
        <w:trPr>
          <w:trHeight w:val="435" w:hRule="atLeast"/>
        </w:trPr>
        <w:tc>
          <w:tcPr>
            <w:tcW w:w="15525" w:type="dxa"/>
            <w:gridSpan w:val="26"/>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olor w:val="000000"/>
                <w:sz w:val="32"/>
                <w:szCs w:val="32"/>
              </w:rPr>
              <w:t>三、</w:t>
            </w: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285" w:hRule="atLeast"/>
        </w:trPr>
        <w:tc>
          <w:tcPr>
            <w:tcW w:w="32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98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5"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4"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5"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5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735" w:type="dxa"/>
            <w:gridSpan w:val="8"/>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285" w:hRule="atLeast"/>
        </w:trPr>
        <w:tc>
          <w:tcPr>
            <w:tcW w:w="15525" w:type="dxa"/>
            <w:gridSpan w:val="26"/>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Arial"/>
                <w:color w:val="000000"/>
                <w:kern w:val="0"/>
                <w:sz w:val="20"/>
                <w:szCs w:val="20"/>
              </w:rPr>
              <w:t xml:space="preserve">湖南省体操运动管理中心                                        2021年度                                                          </w:t>
            </w: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298" w:hRule="atLeast"/>
        </w:trPr>
        <w:tc>
          <w:tcPr>
            <w:tcW w:w="5831" w:type="dxa"/>
            <w:gridSpan w:val="8"/>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91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77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703"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87"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166"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c>
          <w:tcPr>
            <w:tcW w:w="1458"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450" w:hRule="atLeast"/>
        </w:trPr>
        <w:tc>
          <w:tcPr>
            <w:tcW w:w="165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4177" w:type="dxa"/>
            <w:gridSpan w:val="7"/>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91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7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0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8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1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5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12" w:hRule="atLeast"/>
        </w:trPr>
        <w:tc>
          <w:tcPr>
            <w:tcW w:w="16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4177" w:type="dxa"/>
            <w:gridSpan w:val="7"/>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1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7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0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8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1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5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5831" w:type="dxa"/>
            <w:gridSpan w:val="8"/>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栏次</w:t>
            </w:r>
          </w:p>
        </w:tc>
        <w:tc>
          <w:tcPr>
            <w:tcW w:w="191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77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70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687"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166"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45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r>
      <w:tr>
        <w:tblPrEx>
          <w:tblLayout w:type="fixed"/>
          <w:tblCellMar>
            <w:top w:w="0" w:type="dxa"/>
            <w:left w:w="108" w:type="dxa"/>
            <w:bottom w:w="0" w:type="dxa"/>
            <w:right w:w="108" w:type="dxa"/>
          </w:tblCellMar>
        </w:tblPrEx>
        <w:trPr>
          <w:trHeight w:val="450" w:hRule="atLeast"/>
        </w:trPr>
        <w:tc>
          <w:tcPr>
            <w:tcW w:w="5831" w:type="dxa"/>
            <w:gridSpan w:val="8"/>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kern w:val="0"/>
                <w:sz w:val="22"/>
              </w:rPr>
            </w:pPr>
            <w:r>
              <w:rPr>
                <w:rFonts w:hint="eastAsia" w:ascii="宋体" w:hAnsi="宋体" w:eastAsia="宋体" w:cs="宋体"/>
                <w:b/>
                <w:kern w:val="0"/>
                <w:sz w:val="22"/>
              </w:rPr>
              <w:t>合计</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2,449.92</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2,021.95</w:t>
            </w:r>
          </w:p>
        </w:tc>
        <w:tc>
          <w:tcPr>
            <w:tcW w:w="1703"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427.96</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207</w:t>
            </w:r>
          </w:p>
        </w:tc>
        <w:tc>
          <w:tcPr>
            <w:tcW w:w="4177" w:type="dxa"/>
            <w:gridSpan w:val="7"/>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文化旅游体育与传媒支出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1,921.95</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1,761.95</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20703</w:t>
            </w:r>
          </w:p>
        </w:tc>
        <w:tc>
          <w:tcPr>
            <w:tcW w:w="4177" w:type="dxa"/>
            <w:gridSpan w:val="7"/>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b/>
                <w:kern w:val="0"/>
                <w:sz w:val="22"/>
              </w:rPr>
            </w:pPr>
            <w:r>
              <w:rPr>
                <w:rFonts w:hint="eastAsia" w:ascii="宋体" w:hAnsi="宋体" w:eastAsia="宋体" w:cs="宋体"/>
                <w:b/>
                <w:kern w:val="0"/>
                <w:sz w:val="22"/>
              </w:rPr>
              <w:t>体育</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1,921.95</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1,761.95</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2070304</w:t>
            </w:r>
          </w:p>
        </w:tc>
        <w:tc>
          <w:tcPr>
            <w:tcW w:w="4177" w:type="dxa"/>
            <w:gridSpan w:val="7"/>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运动项目管理</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1,761.95</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1,761.95</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2070305</w:t>
            </w:r>
          </w:p>
        </w:tc>
        <w:tc>
          <w:tcPr>
            <w:tcW w:w="4177" w:type="dxa"/>
            <w:gridSpan w:val="7"/>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体育竞赛</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130.00</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xml:space="preserve"> </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2070399</w:t>
            </w:r>
          </w:p>
        </w:tc>
        <w:tc>
          <w:tcPr>
            <w:tcW w:w="4177" w:type="dxa"/>
            <w:gridSpan w:val="7"/>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其他体育支出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30.00</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xml:space="preserve"> </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208</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社会保障和就业支出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110.00</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110.00</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34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20805</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行政事业单位养老支出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110.00</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110.00</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sz w:val="22"/>
              </w:rPr>
            </w:pPr>
            <w:r>
              <w:rPr>
                <w:rFonts w:hint="eastAsia" w:ascii="宋体" w:hAnsi="宋体" w:eastAsia="宋体" w:cs="Arial"/>
                <w:sz w:val="22"/>
              </w:rPr>
              <w:t>2080505</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sz w:val="22"/>
              </w:rPr>
            </w:pPr>
            <w:r>
              <w:rPr>
                <w:rFonts w:hint="eastAsia" w:ascii="宋体" w:hAnsi="宋体" w:eastAsia="宋体" w:cs="Arial"/>
                <w:sz w:val="22"/>
              </w:rPr>
              <w:t xml:space="preserve">  机关事业单位基本养老保险缴费支出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110.00</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110.00</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221</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住房保障支出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150.00</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150.00</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22102</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住房改革支出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150.00</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150.00</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308"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sz w:val="22"/>
              </w:rPr>
            </w:pPr>
            <w:r>
              <w:rPr>
                <w:rFonts w:hint="eastAsia" w:ascii="宋体" w:hAnsi="宋体" w:eastAsia="宋体" w:cs="Arial"/>
                <w:sz w:val="22"/>
              </w:rPr>
              <w:t>2210201</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sz w:val="22"/>
              </w:rPr>
            </w:pPr>
            <w:r>
              <w:rPr>
                <w:rFonts w:hint="eastAsia" w:ascii="宋体" w:hAnsi="宋体" w:eastAsia="宋体" w:cs="Arial"/>
                <w:sz w:val="22"/>
              </w:rPr>
              <w:t xml:space="preserve">  住房公积金</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150.00</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150.00</w:t>
            </w:r>
          </w:p>
        </w:tc>
        <w:tc>
          <w:tcPr>
            <w:tcW w:w="170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b/>
                <w:sz w:val="22"/>
              </w:rPr>
            </w:pPr>
            <w:r>
              <w:rPr>
                <w:rFonts w:hint="eastAsia" w:ascii="宋体" w:hAnsi="宋体" w:eastAsia="宋体" w:cs="Arial"/>
                <w:b/>
                <w:sz w:val="22"/>
              </w:rPr>
              <w:t>229</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其他支出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267.96</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 xml:space="preserve"> </w:t>
            </w:r>
          </w:p>
        </w:tc>
        <w:tc>
          <w:tcPr>
            <w:tcW w:w="1703"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267.96</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b/>
                <w:sz w:val="22"/>
              </w:rPr>
            </w:pPr>
            <w:r>
              <w:rPr>
                <w:rFonts w:hint="eastAsia" w:ascii="宋体" w:hAnsi="宋体" w:eastAsia="宋体" w:cs="Arial"/>
                <w:b/>
                <w:sz w:val="22"/>
              </w:rPr>
              <w:t>22960</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b/>
                <w:bCs/>
                <w:sz w:val="22"/>
              </w:rPr>
            </w:pPr>
            <w:r>
              <w:rPr>
                <w:rFonts w:hint="eastAsia" w:ascii="宋体" w:hAnsi="宋体" w:eastAsia="宋体" w:cs="Arial"/>
                <w:b/>
                <w:bCs/>
                <w:sz w:val="22"/>
              </w:rPr>
              <w:t>彩票公益金安排的支出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267.96</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 xml:space="preserve"> </w:t>
            </w:r>
          </w:p>
        </w:tc>
        <w:tc>
          <w:tcPr>
            <w:tcW w:w="1703"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2"/>
              </w:rPr>
            </w:pPr>
            <w:r>
              <w:rPr>
                <w:rFonts w:hint="eastAsia" w:cs="Arial"/>
                <w:b/>
                <w:bCs/>
                <w:sz w:val="22"/>
              </w:rPr>
              <w:t>267.96</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w:t>
            </w:r>
          </w:p>
        </w:tc>
      </w:tr>
      <w:tr>
        <w:tblPrEx>
          <w:tblLayout w:type="fixed"/>
          <w:tblCellMar>
            <w:top w:w="0" w:type="dxa"/>
            <w:left w:w="108" w:type="dxa"/>
            <w:bottom w:w="0" w:type="dxa"/>
            <w:right w:w="108" w:type="dxa"/>
          </w:tblCellMar>
        </w:tblPrEx>
        <w:trPr>
          <w:trHeight w:val="450" w:hRule="atLeast"/>
        </w:trPr>
        <w:tc>
          <w:tcPr>
            <w:tcW w:w="16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Arial"/>
                <w:sz w:val="22"/>
              </w:rPr>
            </w:pPr>
            <w:r>
              <w:rPr>
                <w:rFonts w:hint="eastAsia" w:ascii="宋体" w:hAnsi="宋体" w:eastAsia="宋体" w:cs="Arial"/>
                <w:sz w:val="22"/>
              </w:rPr>
              <w:t>2296003</w:t>
            </w:r>
          </w:p>
        </w:tc>
        <w:tc>
          <w:tcPr>
            <w:tcW w:w="4177" w:type="dxa"/>
            <w:gridSpan w:val="7"/>
            <w:tcBorders>
              <w:top w:val="nil"/>
              <w:left w:val="nil"/>
              <w:bottom w:val="single" w:color="auto" w:sz="4" w:space="0"/>
              <w:right w:val="single" w:color="auto" w:sz="4" w:space="0"/>
            </w:tcBorders>
            <w:shd w:val="clear" w:color="000000" w:fill="FFFFFF"/>
            <w:noWrap/>
            <w:vAlign w:val="center"/>
          </w:tcPr>
          <w:p>
            <w:pPr>
              <w:rPr>
                <w:rFonts w:ascii="宋体" w:hAnsi="宋体" w:eastAsia="宋体" w:cs="Arial"/>
                <w:sz w:val="22"/>
              </w:rPr>
            </w:pPr>
            <w:r>
              <w:rPr>
                <w:rFonts w:hint="eastAsia" w:cs="Arial"/>
                <w:sz w:val="22"/>
              </w:rPr>
              <w:t xml:space="preserve">  用于体育事业的彩票公益金支出</w:t>
            </w:r>
          </w:p>
        </w:tc>
        <w:tc>
          <w:tcPr>
            <w:tcW w:w="191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Cs/>
                <w:sz w:val="20"/>
                <w:szCs w:val="20"/>
              </w:rPr>
            </w:pPr>
            <w:r>
              <w:rPr>
                <w:rFonts w:hint="eastAsia" w:cs="Arial"/>
                <w:bCs/>
                <w:sz w:val="20"/>
                <w:szCs w:val="20"/>
              </w:rPr>
              <w:t>267.96</w:t>
            </w:r>
          </w:p>
        </w:tc>
        <w:tc>
          <w:tcPr>
            <w:tcW w:w="1770"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Cs/>
                <w:sz w:val="20"/>
                <w:szCs w:val="20"/>
              </w:rPr>
            </w:pPr>
            <w:r>
              <w:rPr>
                <w:rFonts w:hint="eastAsia" w:cs="Arial"/>
                <w:bCs/>
                <w:sz w:val="20"/>
                <w:szCs w:val="20"/>
              </w:rPr>
              <w:t xml:space="preserve"> </w:t>
            </w:r>
          </w:p>
        </w:tc>
        <w:tc>
          <w:tcPr>
            <w:tcW w:w="1703"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Cs/>
                <w:sz w:val="20"/>
                <w:szCs w:val="20"/>
              </w:rPr>
            </w:pPr>
            <w:r>
              <w:rPr>
                <w:rFonts w:hint="eastAsia" w:cs="Arial"/>
                <w:bCs/>
                <w:sz w:val="20"/>
                <w:szCs w:val="20"/>
              </w:rPr>
              <w:t>267.96</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166"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c>
          <w:tcPr>
            <w:tcW w:w="145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kern w:val="0"/>
                <w:sz w:val="22"/>
              </w:rPr>
            </w:pPr>
            <w:r>
              <w:rPr>
                <w:rFonts w:hint="eastAsia" w:ascii="宋体" w:hAnsi="宋体" w:eastAsia="宋体" w:cs="宋体"/>
                <w:b/>
                <w:kern w:val="0"/>
                <w:sz w:val="22"/>
              </w:rPr>
              <w:t xml:space="preserve"> </w:t>
            </w:r>
          </w:p>
        </w:tc>
      </w:tr>
      <w:tr>
        <w:tblPrEx>
          <w:tblLayout w:type="fixed"/>
          <w:tblCellMar>
            <w:top w:w="0" w:type="dxa"/>
            <w:left w:w="108" w:type="dxa"/>
            <w:bottom w:w="0" w:type="dxa"/>
            <w:right w:w="108" w:type="dxa"/>
          </w:tblCellMar>
        </w:tblPrEx>
        <w:trPr>
          <w:gridAfter w:val="4"/>
          <w:wAfter w:w="1897" w:type="dxa"/>
          <w:trHeight w:val="300" w:hRule="atLeast"/>
        </w:trPr>
        <w:tc>
          <w:tcPr>
            <w:tcW w:w="13628" w:type="dxa"/>
            <w:gridSpan w:val="22"/>
            <w:tcBorders>
              <w:top w:val="nil"/>
              <w:left w:val="nil"/>
              <w:bottom w:val="nil"/>
              <w:right w:val="nil"/>
            </w:tcBorders>
            <w:shd w:val="clear" w:color="000000" w:fill="FFFFFF"/>
            <w:noWrap/>
            <w:vAlign w:val="center"/>
          </w:tcPr>
          <w:p>
            <w:pPr>
              <w:rPr>
                <w:rFonts w:ascii="宋体" w:hAnsi="宋体" w:eastAsia="宋体" w:cs="Arial"/>
                <w:sz w:val="20"/>
                <w:szCs w:val="20"/>
              </w:rPr>
            </w:pPr>
            <w:r>
              <w:rPr>
                <w:rFonts w:hint="eastAsia" w:cs="Arial"/>
                <w:sz w:val="20"/>
                <w:szCs w:val="20"/>
              </w:rPr>
              <w:t>注：本表反映部门本年度各项支出情况。</w:t>
            </w:r>
          </w:p>
        </w:tc>
      </w:tr>
      <w:tr>
        <w:tblPrEx>
          <w:tblLayout w:type="fixed"/>
          <w:tblCellMar>
            <w:top w:w="0" w:type="dxa"/>
            <w:left w:w="108" w:type="dxa"/>
            <w:bottom w:w="0" w:type="dxa"/>
            <w:right w:w="108" w:type="dxa"/>
          </w:tblCellMar>
        </w:tblPrEx>
        <w:trPr>
          <w:trHeight w:val="435" w:hRule="atLeast"/>
        </w:trPr>
        <w:tc>
          <w:tcPr>
            <w:tcW w:w="15525" w:type="dxa"/>
            <w:gridSpan w:val="26"/>
            <w:tcBorders>
              <w:top w:val="nil"/>
              <w:left w:val="nil"/>
              <w:bottom w:val="nil"/>
              <w:right w:val="nil"/>
            </w:tcBorders>
            <w:shd w:val="clear" w:color="auto" w:fill="auto"/>
            <w:noWrap/>
            <w:vAlign w:val="center"/>
          </w:tcPr>
          <w:p>
            <w:pPr>
              <w:widowControl/>
              <w:jc w:val="center"/>
              <w:rPr>
                <w:rFonts w:hint="eastAsia" w:ascii="华文中宋" w:hAnsi="华文中宋" w:eastAsia="华文中宋"/>
                <w:color w:val="000000"/>
                <w:sz w:val="32"/>
                <w:szCs w:val="32"/>
              </w:rPr>
            </w:pPr>
          </w:p>
          <w:tbl>
            <w:tblPr>
              <w:tblStyle w:val="6"/>
              <w:tblpPr w:leftFromText="180" w:rightFromText="180" w:vertAnchor="text" w:horzAnchor="margin" w:tblpY="166"/>
              <w:tblW w:w="15305" w:type="dxa"/>
              <w:tblInd w:w="0" w:type="dxa"/>
              <w:tblLayout w:type="fixed"/>
              <w:tblCellMar>
                <w:top w:w="0" w:type="dxa"/>
                <w:left w:w="108" w:type="dxa"/>
                <w:bottom w:w="0" w:type="dxa"/>
                <w:right w:w="108" w:type="dxa"/>
              </w:tblCellMar>
            </w:tblPr>
            <w:tblGrid>
              <w:gridCol w:w="3248"/>
              <w:gridCol w:w="65"/>
              <w:gridCol w:w="443"/>
              <w:gridCol w:w="1321"/>
              <w:gridCol w:w="339"/>
              <w:gridCol w:w="3037"/>
              <w:gridCol w:w="166"/>
              <w:gridCol w:w="435"/>
              <w:gridCol w:w="160"/>
              <w:gridCol w:w="135"/>
              <w:gridCol w:w="1015"/>
              <w:gridCol w:w="139"/>
              <w:gridCol w:w="309"/>
              <w:gridCol w:w="967"/>
              <w:gridCol w:w="138"/>
              <w:gridCol w:w="672"/>
              <w:gridCol w:w="1025"/>
              <w:gridCol w:w="218"/>
              <w:gridCol w:w="1473"/>
            </w:tblGrid>
            <w:tr>
              <w:tblPrEx>
                <w:tblLayout w:type="fixed"/>
                <w:tblCellMar>
                  <w:top w:w="0" w:type="dxa"/>
                  <w:left w:w="108" w:type="dxa"/>
                  <w:bottom w:w="0" w:type="dxa"/>
                  <w:right w:w="108" w:type="dxa"/>
                </w:tblCellMar>
              </w:tblPrEx>
              <w:trPr>
                <w:trHeight w:val="360" w:hRule="atLeast"/>
              </w:trPr>
              <w:tc>
                <w:tcPr>
                  <w:tcW w:w="15305" w:type="dxa"/>
                  <w:gridSpan w:val="19"/>
                  <w:tcBorders>
                    <w:top w:val="nil"/>
                    <w:left w:val="nil"/>
                    <w:bottom w:val="nil"/>
                    <w:right w:val="nil"/>
                  </w:tcBorders>
                  <w:shd w:val="clear" w:color="auto" w:fill="auto"/>
                  <w:noWrap/>
                  <w:vAlign w:val="center"/>
                </w:tcPr>
                <w:p>
                  <w:pPr>
                    <w:widowControl/>
                    <w:jc w:val="center"/>
                    <w:rPr>
                      <w:rFonts w:ascii="华文中宋" w:hAnsi="华文中宋" w:eastAsia="华文中宋"/>
                      <w:color w:val="000000"/>
                      <w:sz w:val="32"/>
                      <w:szCs w:val="32"/>
                    </w:rPr>
                  </w:pPr>
                  <w:r>
                    <w:rPr>
                      <w:rFonts w:hint="eastAsia" w:ascii="华文中宋" w:hAnsi="华文中宋" w:eastAsia="华文中宋"/>
                      <w:color w:val="000000"/>
                      <w:sz w:val="32"/>
                      <w:szCs w:val="32"/>
                    </w:rPr>
                    <w:t>四、财政拨款收入支出决算总表</w:t>
                  </w:r>
                </w:p>
              </w:tc>
            </w:tr>
            <w:tr>
              <w:tblPrEx>
                <w:tblLayout w:type="fixed"/>
                <w:tblCellMar>
                  <w:top w:w="0" w:type="dxa"/>
                  <w:left w:w="108" w:type="dxa"/>
                  <w:bottom w:w="0" w:type="dxa"/>
                  <w:right w:w="108" w:type="dxa"/>
                </w:tblCellMar>
              </w:tblPrEx>
              <w:trPr>
                <w:trHeight w:val="199" w:hRule="atLeast"/>
              </w:trPr>
              <w:tc>
                <w:tcPr>
                  <w:tcW w:w="331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44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66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3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29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46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777"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24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4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公开04表</w:t>
                  </w:r>
                </w:p>
              </w:tc>
            </w:tr>
            <w:tr>
              <w:tblPrEx>
                <w:tblLayout w:type="fixed"/>
                <w:tblCellMar>
                  <w:top w:w="0" w:type="dxa"/>
                  <w:left w:w="108" w:type="dxa"/>
                  <w:bottom w:w="0" w:type="dxa"/>
                  <w:right w:w="108" w:type="dxa"/>
                </w:tblCellMar>
              </w:tblPrEx>
              <w:trPr>
                <w:trHeight w:val="300" w:hRule="atLeast"/>
              </w:trPr>
              <w:tc>
                <w:tcPr>
                  <w:tcW w:w="15305" w:type="dxa"/>
                  <w:gridSpan w:val="19"/>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部门：湖南省体操运动管理中心                                             2021年度                                                            单位：万元</w:t>
                  </w:r>
                </w:p>
              </w:tc>
            </w:tr>
            <w:tr>
              <w:tblPrEx>
                <w:tblLayout w:type="fixed"/>
                <w:tblCellMar>
                  <w:top w:w="0" w:type="dxa"/>
                  <w:left w:w="108" w:type="dxa"/>
                  <w:bottom w:w="0" w:type="dxa"/>
                  <w:right w:w="108" w:type="dxa"/>
                </w:tblCellMar>
              </w:tblPrEx>
              <w:trPr>
                <w:trHeight w:val="402" w:hRule="atLeast"/>
              </w:trPr>
              <w:tc>
                <w:tcPr>
                  <w:tcW w:w="5077"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收入</w:t>
                  </w:r>
                </w:p>
              </w:tc>
              <w:tc>
                <w:tcPr>
                  <w:tcW w:w="10228" w:type="dxa"/>
                  <w:gridSpan w:val="15"/>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支出</w:t>
                  </w:r>
                </w:p>
              </w:tc>
            </w:tr>
            <w:tr>
              <w:tblPrEx>
                <w:tblLayout w:type="fixed"/>
                <w:tblCellMar>
                  <w:top w:w="0" w:type="dxa"/>
                  <w:left w:w="108" w:type="dxa"/>
                  <w:bottom w:w="0" w:type="dxa"/>
                  <w:right w:w="108" w:type="dxa"/>
                </w:tblCellMar>
              </w:tblPrEx>
              <w:trPr>
                <w:trHeight w:val="630"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项    目</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行次</w:t>
                  </w:r>
                </w:p>
              </w:tc>
              <w:tc>
                <w:tcPr>
                  <w:tcW w:w="132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金额</w:t>
                  </w:r>
                </w:p>
              </w:tc>
              <w:tc>
                <w:tcPr>
                  <w:tcW w:w="337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项    目</w:t>
                  </w:r>
                </w:p>
              </w:tc>
              <w:tc>
                <w:tcPr>
                  <w:tcW w:w="60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行次</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合计</w:t>
                  </w:r>
                </w:p>
              </w:tc>
              <w:tc>
                <w:tcPr>
                  <w:tcW w:w="1414" w:type="dxa"/>
                  <w:gridSpan w:val="3"/>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一般公共预算财政拨款</w:t>
                  </w:r>
                </w:p>
              </w:tc>
              <w:tc>
                <w:tcPr>
                  <w:tcW w:w="1697"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政府性基金预算财政拨款</w:t>
                  </w:r>
                </w:p>
              </w:tc>
              <w:tc>
                <w:tcPr>
                  <w:tcW w:w="1691"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国有资本经营预算财政拨款</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栏    次</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32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1</w:t>
                  </w:r>
                </w:p>
              </w:tc>
              <w:tc>
                <w:tcPr>
                  <w:tcW w:w="337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栏    次</w:t>
                  </w:r>
                </w:p>
              </w:tc>
              <w:tc>
                <w:tcPr>
                  <w:tcW w:w="60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2</w:t>
                  </w: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3</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4</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5</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一、一般公共预算财政拨款</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1</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2,182.00</w:t>
                  </w:r>
                </w:p>
              </w:tc>
              <w:tc>
                <w:tcPr>
                  <w:tcW w:w="337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一、一般公共服务支出</w:t>
                  </w:r>
                </w:p>
              </w:tc>
              <w:tc>
                <w:tcPr>
                  <w:tcW w:w="60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33</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二、政府性基金预算财政拨款</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2</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307.00</w:t>
                  </w:r>
                </w:p>
              </w:tc>
              <w:tc>
                <w:tcPr>
                  <w:tcW w:w="337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二、外交支出</w:t>
                  </w:r>
                </w:p>
              </w:tc>
              <w:tc>
                <w:tcPr>
                  <w:tcW w:w="60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34</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三、国有资本经营财政拨款</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3</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0.00</w:t>
                  </w:r>
                </w:p>
              </w:tc>
              <w:tc>
                <w:tcPr>
                  <w:tcW w:w="337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三、国防支出</w:t>
                  </w:r>
                </w:p>
              </w:tc>
              <w:tc>
                <w:tcPr>
                  <w:tcW w:w="60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35</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　</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4</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c>
                <w:tcPr>
                  <w:tcW w:w="3376" w:type="dxa"/>
                  <w:gridSpan w:val="2"/>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四、公共安全支出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36</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　</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5</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c>
                <w:tcPr>
                  <w:tcW w:w="3376" w:type="dxa"/>
                  <w:gridSpan w:val="2"/>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五、教育支出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37</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　</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6</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c>
                <w:tcPr>
                  <w:tcW w:w="3376" w:type="dxa"/>
                  <w:gridSpan w:val="2"/>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六、科学技术支出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38</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　</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　</w:t>
                  </w:r>
                </w:p>
              </w:tc>
              <w:tc>
                <w:tcPr>
                  <w:tcW w:w="5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7</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c>
                <w:tcPr>
                  <w:tcW w:w="3376" w:type="dxa"/>
                  <w:gridSpan w:val="2"/>
                  <w:tcBorders>
                    <w:top w:val="nil"/>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七、文化旅游体育与传媒支出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39</w:t>
                  </w:r>
                </w:p>
              </w:tc>
              <w:tc>
                <w:tcPr>
                  <w:tcW w:w="1449" w:type="dxa"/>
                  <w:gridSpan w:val="4"/>
                  <w:tcBorders>
                    <w:top w:val="nil"/>
                    <w:left w:val="nil"/>
                    <w:bottom w:val="single" w:color="auto" w:sz="4" w:space="0"/>
                    <w:right w:val="single" w:color="auto" w:sz="4" w:space="0"/>
                  </w:tcBorders>
                  <w:shd w:val="clear" w:color="auto" w:fill="auto"/>
                  <w:noWrap/>
                  <w:vAlign w:val="center"/>
                </w:tcPr>
                <w:p>
                  <w:pPr>
                    <w:jc w:val="right"/>
                    <w:rPr>
                      <w:rFonts w:cs="Arial" w:asciiTheme="minorEastAsia" w:hAnsiTheme="minorEastAsia"/>
                      <w:sz w:val="22"/>
                    </w:rPr>
                  </w:pPr>
                  <w:r>
                    <w:rPr>
                      <w:rFonts w:hint="eastAsia" w:cs="Arial" w:asciiTheme="minorEastAsia" w:hAnsiTheme="minorEastAsia"/>
                      <w:sz w:val="22"/>
                    </w:rPr>
                    <w:t>1,921.95</w:t>
                  </w:r>
                </w:p>
              </w:tc>
              <w:tc>
                <w:tcPr>
                  <w:tcW w:w="1414" w:type="dxa"/>
                  <w:gridSpan w:val="3"/>
                  <w:tcBorders>
                    <w:top w:val="nil"/>
                    <w:left w:val="nil"/>
                    <w:bottom w:val="single" w:color="auto" w:sz="4" w:space="0"/>
                    <w:right w:val="single" w:color="auto" w:sz="4" w:space="0"/>
                  </w:tcBorders>
                  <w:shd w:val="clear" w:color="auto" w:fill="auto"/>
                  <w:noWrap/>
                  <w:vAlign w:val="center"/>
                </w:tcPr>
                <w:p>
                  <w:pPr>
                    <w:jc w:val="right"/>
                    <w:rPr>
                      <w:rFonts w:cs="Arial" w:asciiTheme="minorEastAsia" w:hAnsiTheme="minorEastAsia"/>
                      <w:sz w:val="22"/>
                    </w:rPr>
                  </w:pPr>
                  <w:r>
                    <w:rPr>
                      <w:rFonts w:hint="eastAsia" w:cs="Arial" w:asciiTheme="minorEastAsia" w:hAnsiTheme="minorEastAsia"/>
                      <w:sz w:val="22"/>
                    </w:rPr>
                    <w:t>1,921.95</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r>
                    <w:rPr>
                      <w:rFonts w:hint="eastAsia" w:cs="宋体" w:asciiTheme="minorEastAsia" w:hAnsiTheme="minorEastAsia"/>
                      <w:kern w:val="0"/>
                      <w:sz w:val="22"/>
                    </w:rPr>
                    <w:t>　</w:t>
                  </w: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8</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nil"/>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八、社会保障和就业支出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40</w:t>
                  </w:r>
                </w:p>
              </w:tc>
              <w:tc>
                <w:tcPr>
                  <w:tcW w:w="1449" w:type="dxa"/>
                  <w:gridSpan w:val="4"/>
                  <w:tcBorders>
                    <w:top w:val="nil"/>
                    <w:left w:val="nil"/>
                    <w:bottom w:val="single" w:color="auto" w:sz="4" w:space="0"/>
                    <w:right w:val="single" w:color="auto" w:sz="4" w:space="0"/>
                  </w:tcBorders>
                  <w:shd w:val="clear" w:color="auto" w:fill="auto"/>
                  <w:noWrap/>
                  <w:vAlign w:val="center"/>
                </w:tcPr>
                <w:p>
                  <w:pPr>
                    <w:jc w:val="right"/>
                    <w:rPr>
                      <w:rFonts w:cs="Arial" w:asciiTheme="minorEastAsia" w:hAnsiTheme="minorEastAsia"/>
                      <w:sz w:val="22"/>
                    </w:rPr>
                  </w:pPr>
                  <w:r>
                    <w:rPr>
                      <w:rFonts w:hint="eastAsia" w:cs="Arial" w:asciiTheme="minorEastAsia" w:hAnsiTheme="minorEastAsia"/>
                      <w:sz w:val="22"/>
                    </w:rPr>
                    <w:t>110.00</w:t>
                  </w:r>
                </w:p>
              </w:tc>
              <w:tc>
                <w:tcPr>
                  <w:tcW w:w="1414" w:type="dxa"/>
                  <w:gridSpan w:val="3"/>
                  <w:tcBorders>
                    <w:top w:val="nil"/>
                    <w:left w:val="nil"/>
                    <w:bottom w:val="single" w:color="auto" w:sz="4" w:space="0"/>
                    <w:right w:val="single" w:color="auto" w:sz="4" w:space="0"/>
                  </w:tcBorders>
                  <w:shd w:val="clear" w:color="auto" w:fill="auto"/>
                  <w:noWrap/>
                  <w:vAlign w:val="center"/>
                </w:tcPr>
                <w:p>
                  <w:pPr>
                    <w:jc w:val="right"/>
                    <w:rPr>
                      <w:rFonts w:cs="Arial" w:asciiTheme="minorEastAsia" w:hAnsiTheme="minorEastAsia"/>
                      <w:sz w:val="22"/>
                    </w:rPr>
                  </w:pPr>
                  <w:r>
                    <w:rPr>
                      <w:rFonts w:hint="eastAsia" w:cs="Arial" w:asciiTheme="minorEastAsia" w:hAnsiTheme="minorEastAsia"/>
                      <w:sz w:val="22"/>
                    </w:rPr>
                    <w:t>110.00</w:t>
                  </w: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9</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nil"/>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九、卫生健康支出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41</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31"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10</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nil"/>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十、节能环保支出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42</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11</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nil"/>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十一、城乡社区支出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43</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12</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nil"/>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十二、农林水支出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44</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13</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nil"/>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十三、交通运输支出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45</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02" w:hRule="atLeast"/>
              </w:trPr>
              <w:tc>
                <w:tcPr>
                  <w:tcW w:w="324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14</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nil"/>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十四、资源勘探工业信息等支出</w:t>
                  </w:r>
                </w:p>
              </w:tc>
              <w:tc>
                <w:tcPr>
                  <w:tcW w:w="601" w:type="dxa"/>
                  <w:gridSpan w:val="2"/>
                  <w:tcBorders>
                    <w:top w:val="nil"/>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46</w:t>
                  </w:r>
                </w:p>
              </w:tc>
              <w:tc>
                <w:tcPr>
                  <w:tcW w:w="144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41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7"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02" w:hRule="atLeast"/>
              </w:trPr>
              <w:tc>
                <w:tcPr>
                  <w:tcW w:w="32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15</w:t>
                  </w:r>
                </w:p>
              </w:tc>
              <w:tc>
                <w:tcPr>
                  <w:tcW w:w="1321" w:type="dxa"/>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single" w:color="auto" w:sz="4" w:space="0"/>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十五、商业服务业等支出</w:t>
                  </w:r>
                </w:p>
              </w:tc>
              <w:tc>
                <w:tcPr>
                  <w:tcW w:w="601"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47</w:t>
                  </w:r>
                </w:p>
              </w:tc>
              <w:tc>
                <w:tcPr>
                  <w:tcW w:w="144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414"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02" w:hRule="atLeast"/>
              </w:trPr>
              <w:tc>
                <w:tcPr>
                  <w:tcW w:w="32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inorEastAsia" w:hAnsiTheme="minorEastAsia"/>
                      <w:kern w:val="0"/>
                      <w:sz w:val="22"/>
                    </w:rPr>
                  </w:pPr>
                </w:p>
              </w:tc>
              <w:tc>
                <w:tcPr>
                  <w:tcW w:w="508"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16</w:t>
                  </w:r>
                </w:p>
              </w:tc>
              <w:tc>
                <w:tcPr>
                  <w:tcW w:w="1321" w:type="dxa"/>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3376" w:type="dxa"/>
                  <w:gridSpan w:val="2"/>
                  <w:tcBorders>
                    <w:top w:val="single" w:color="auto" w:sz="4" w:space="0"/>
                    <w:left w:val="nil"/>
                    <w:bottom w:val="single" w:color="auto" w:sz="4" w:space="0"/>
                    <w:right w:val="single" w:color="auto" w:sz="4" w:space="0"/>
                  </w:tcBorders>
                  <w:shd w:val="clear" w:color="auto" w:fill="auto"/>
                  <w:noWrap/>
                  <w:vAlign w:val="center"/>
                </w:tcPr>
                <w:p>
                  <w:pPr>
                    <w:rPr>
                      <w:rFonts w:cs="Arial" w:asciiTheme="minorEastAsia" w:hAnsiTheme="minorEastAsia"/>
                      <w:sz w:val="22"/>
                    </w:rPr>
                  </w:pPr>
                  <w:r>
                    <w:rPr>
                      <w:rFonts w:hint="eastAsia" w:cs="Arial" w:asciiTheme="minorEastAsia" w:hAnsiTheme="minorEastAsia"/>
                      <w:sz w:val="22"/>
                    </w:rPr>
                    <w:t>十六、金融支出</w:t>
                  </w:r>
                </w:p>
              </w:tc>
              <w:tc>
                <w:tcPr>
                  <w:tcW w:w="601"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cs="Arial" w:asciiTheme="minorEastAsia" w:hAnsiTheme="minorEastAsia"/>
                      <w:sz w:val="22"/>
                    </w:rPr>
                  </w:pPr>
                  <w:r>
                    <w:rPr>
                      <w:rFonts w:hint="eastAsia" w:cs="Arial" w:asciiTheme="minorEastAsia" w:hAnsiTheme="minorEastAsia"/>
                      <w:sz w:val="22"/>
                    </w:rPr>
                    <w:t>48</w:t>
                  </w:r>
                </w:p>
              </w:tc>
              <w:tc>
                <w:tcPr>
                  <w:tcW w:w="144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414"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c>
                <w:tcPr>
                  <w:tcW w:w="169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cs="宋体" w:asciiTheme="minorEastAsia" w:hAnsiTheme="minorEastAsia"/>
                      <w:kern w:val="0"/>
                      <w:sz w:val="22"/>
                    </w:rPr>
                  </w:pPr>
                </w:p>
              </w:tc>
            </w:tr>
            <w:tr>
              <w:tblPrEx>
                <w:tblLayout w:type="fixed"/>
                <w:tblCellMar>
                  <w:top w:w="0" w:type="dxa"/>
                  <w:left w:w="108" w:type="dxa"/>
                  <w:bottom w:w="0" w:type="dxa"/>
                  <w:right w:w="108" w:type="dxa"/>
                </w:tblCellMar>
              </w:tblPrEx>
              <w:trPr>
                <w:trHeight w:val="402" w:hRule="atLeast"/>
              </w:trPr>
              <w:tc>
                <w:tcPr>
                  <w:tcW w:w="5077"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收入</w:t>
                  </w:r>
                </w:p>
              </w:tc>
              <w:tc>
                <w:tcPr>
                  <w:tcW w:w="10228" w:type="dxa"/>
                  <w:gridSpan w:val="15"/>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支出</w:t>
                  </w:r>
                </w:p>
              </w:tc>
            </w:tr>
            <w:tr>
              <w:tblPrEx>
                <w:tblLayout w:type="fixed"/>
                <w:tblCellMar>
                  <w:top w:w="0" w:type="dxa"/>
                  <w:left w:w="108" w:type="dxa"/>
                  <w:bottom w:w="0" w:type="dxa"/>
                  <w:right w:w="108" w:type="dxa"/>
                </w:tblCellMar>
              </w:tblPrEx>
              <w:trPr>
                <w:trHeight w:val="630"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项    目</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行次</w:t>
                  </w:r>
                </w:p>
              </w:tc>
              <w:tc>
                <w:tcPr>
                  <w:tcW w:w="132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金额</w:t>
                  </w:r>
                </w:p>
              </w:tc>
              <w:tc>
                <w:tcPr>
                  <w:tcW w:w="3542"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项    目</w:t>
                  </w:r>
                </w:p>
              </w:tc>
              <w:tc>
                <w:tcPr>
                  <w:tcW w:w="59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行次</w:t>
                  </w:r>
                </w:p>
              </w:tc>
              <w:tc>
                <w:tcPr>
                  <w:tcW w:w="115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合计</w:t>
                  </w:r>
                </w:p>
              </w:tc>
              <w:tc>
                <w:tcPr>
                  <w:tcW w:w="141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一般公共预算财政拨款</w:t>
                  </w:r>
                </w:p>
              </w:tc>
              <w:tc>
                <w:tcPr>
                  <w:tcW w:w="183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政府性基金预算财政拨款</w:t>
                  </w:r>
                </w:p>
              </w:tc>
              <w:tc>
                <w:tcPr>
                  <w:tcW w:w="169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国有资本经营预算财政拨款</w:t>
                  </w: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栏    次</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2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3542"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栏    次</w:t>
                  </w:r>
                </w:p>
              </w:tc>
              <w:tc>
                <w:tcPr>
                  <w:tcW w:w="59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15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41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83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17</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十七、援助其他地区支出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49</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18</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十八、自然资源海洋气象等支出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50</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19</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十九、住房保障支出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51</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150.00</w:t>
                  </w: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150.00</w:t>
                  </w: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20</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二十、粮油物资储备支出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52</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21</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二十一、国有资本经营预算支出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53</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22</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二十二、灾害防治及应急管理支出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54</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23</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二十三、其他支出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55</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267.96</w:t>
                  </w: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267.96</w:t>
                  </w: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24</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二十四、债务还本支出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56</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25</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二十五、债务付息支出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57</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43"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26</w:t>
                  </w:r>
                </w:p>
              </w:tc>
              <w:tc>
                <w:tcPr>
                  <w:tcW w:w="13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542" w:type="dxa"/>
                  <w:gridSpan w:val="3"/>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2"/>
                    </w:rPr>
                  </w:pPr>
                  <w:r>
                    <w:rPr>
                      <w:rFonts w:hint="eastAsia" w:ascii="宋体" w:hAnsi="宋体" w:eastAsia="宋体" w:cs="Arial"/>
                      <w:sz w:val="22"/>
                    </w:rPr>
                    <w:t>二十六、抗疫特别国债安排的支出</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58</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本年收入合计</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27</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2,489.00</w:t>
                  </w:r>
                </w:p>
              </w:tc>
              <w:tc>
                <w:tcPr>
                  <w:tcW w:w="3542"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59</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2,449.92</w:t>
                  </w: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2,181.95</w:t>
                  </w: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267.96</w:t>
                  </w: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年初财政拨款结转和结余</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28</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14.88</w:t>
                  </w:r>
                </w:p>
              </w:tc>
              <w:tc>
                <w:tcPr>
                  <w:tcW w:w="3542"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60</w:t>
                  </w:r>
                </w:p>
              </w:tc>
              <w:tc>
                <w:tcPr>
                  <w:tcW w:w="115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53.96</w:t>
                  </w:r>
                </w:p>
              </w:tc>
              <w:tc>
                <w:tcPr>
                  <w:tcW w:w="141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0.05</w:t>
                  </w: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53.91</w:t>
                  </w:r>
                </w:p>
              </w:tc>
              <w:tc>
                <w:tcPr>
                  <w:tcW w:w="1691"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29</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3542"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61</w:t>
                  </w:r>
                </w:p>
              </w:tc>
              <w:tc>
                <w:tcPr>
                  <w:tcW w:w="1150" w:type="dxa"/>
                  <w:gridSpan w:val="2"/>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30</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14.88</w:t>
                  </w:r>
                </w:p>
              </w:tc>
              <w:tc>
                <w:tcPr>
                  <w:tcW w:w="3542"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62</w:t>
                  </w:r>
                </w:p>
              </w:tc>
              <w:tc>
                <w:tcPr>
                  <w:tcW w:w="1150" w:type="dxa"/>
                  <w:gridSpan w:val="2"/>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31</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3542"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9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2"/>
                    </w:rPr>
                  </w:pPr>
                  <w:r>
                    <w:rPr>
                      <w:rFonts w:hint="eastAsia" w:ascii="宋体" w:hAnsi="宋体" w:eastAsia="宋体" w:cs="Arial"/>
                      <w:sz w:val="22"/>
                    </w:rPr>
                    <w:t>63</w:t>
                  </w:r>
                </w:p>
              </w:tc>
              <w:tc>
                <w:tcPr>
                  <w:tcW w:w="1150" w:type="dxa"/>
                  <w:gridSpan w:val="2"/>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415" w:type="dxa"/>
                  <w:gridSpan w:val="3"/>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835" w:type="dxa"/>
                  <w:gridSpan w:val="3"/>
                  <w:tcBorders>
                    <w:top w:val="nil"/>
                    <w:left w:val="nil"/>
                    <w:bottom w:val="single" w:color="auto" w:sz="4" w:space="0"/>
                    <w:right w:val="single" w:color="auto" w:sz="4" w:space="0"/>
                  </w:tcBorders>
                  <w:shd w:val="clear" w:color="auto" w:fill="auto"/>
                  <w:noWrap/>
                  <w:vAlign w:val="bottom"/>
                </w:tcPr>
                <w:p>
                  <w:pPr>
                    <w:jc w:val="right"/>
                    <w:rPr>
                      <w:rFonts w:ascii="宋体" w:hAnsi="宋体" w:eastAsia="宋体" w:cs="Arial"/>
                      <w:sz w:val="22"/>
                    </w:rPr>
                  </w:pP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313"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总计</w:t>
                  </w:r>
                </w:p>
              </w:tc>
              <w:tc>
                <w:tcPr>
                  <w:tcW w:w="443"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32</w:t>
                  </w:r>
                </w:p>
              </w:tc>
              <w:tc>
                <w:tcPr>
                  <w:tcW w:w="13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2,503.88</w:t>
                  </w:r>
                </w:p>
              </w:tc>
              <w:tc>
                <w:tcPr>
                  <w:tcW w:w="3542"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595" w:type="dxa"/>
                  <w:gridSpan w:val="2"/>
                  <w:tcBorders>
                    <w:top w:val="nil"/>
                    <w:left w:val="nil"/>
                    <w:bottom w:val="single" w:color="auto" w:sz="4" w:space="0"/>
                    <w:right w:val="single" w:color="auto" w:sz="4" w:space="0"/>
                  </w:tcBorders>
                  <w:shd w:val="clear" w:color="000000" w:fill="FFFFFF"/>
                  <w:noWrap/>
                  <w:vAlign w:val="center"/>
                </w:tcPr>
                <w:p>
                  <w:pPr>
                    <w:jc w:val="center"/>
                    <w:rPr>
                      <w:rFonts w:ascii="宋体" w:hAnsi="宋体" w:eastAsia="宋体" w:cs="Arial"/>
                      <w:sz w:val="22"/>
                    </w:rPr>
                  </w:pPr>
                  <w:r>
                    <w:rPr>
                      <w:rFonts w:hint="eastAsia" w:ascii="宋体" w:hAnsi="宋体" w:eastAsia="宋体" w:cs="Arial"/>
                      <w:sz w:val="22"/>
                    </w:rPr>
                    <w:t>64</w:t>
                  </w:r>
                </w:p>
              </w:tc>
              <w:tc>
                <w:tcPr>
                  <w:tcW w:w="1150" w:type="dxa"/>
                  <w:gridSpan w:val="2"/>
                  <w:tcBorders>
                    <w:top w:val="nil"/>
                    <w:left w:val="nil"/>
                    <w:bottom w:val="single" w:color="auto" w:sz="4" w:space="0"/>
                    <w:right w:val="single" w:color="auto" w:sz="4" w:space="0"/>
                  </w:tcBorders>
                  <w:shd w:val="clear" w:color="000000" w:fill="FFFFFF"/>
                  <w:noWrap/>
                  <w:vAlign w:val="center"/>
                </w:tcPr>
                <w:p>
                  <w:pPr>
                    <w:jc w:val="right"/>
                    <w:rPr>
                      <w:rFonts w:ascii="宋体" w:hAnsi="宋体" w:eastAsia="宋体" w:cs="Arial"/>
                      <w:sz w:val="22"/>
                    </w:rPr>
                  </w:pPr>
                  <w:r>
                    <w:rPr>
                      <w:rFonts w:hint="eastAsia" w:ascii="宋体" w:hAnsi="宋体" w:eastAsia="宋体" w:cs="Arial"/>
                      <w:sz w:val="22"/>
                    </w:rPr>
                    <w:t>2,503.88</w:t>
                  </w:r>
                </w:p>
              </w:tc>
              <w:tc>
                <w:tcPr>
                  <w:tcW w:w="1415" w:type="dxa"/>
                  <w:gridSpan w:val="3"/>
                  <w:tcBorders>
                    <w:top w:val="nil"/>
                    <w:left w:val="nil"/>
                    <w:bottom w:val="single" w:color="auto" w:sz="4" w:space="0"/>
                    <w:right w:val="single" w:color="auto" w:sz="4" w:space="0"/>
                  </w:tcBorders>
                  <w:shd w:val="clear" w:color="000000" w:fill="FFFFFF"/>
                  <w:noWrap/>
                  <w:vAlign w:val="center"/>
                </w:tcPr>
                <w:p>
                  <w:pPr>
                    <w:jc w:val="right"/>
                    <w:rPr>
                      <w:rFonts w:ascii="宋体" w:hAnsi="宋体" w:eastAsia="宋体" w:cs="Arial"/>
                      <w:sz w:val="22"/>
                    </w:rPr>
                  </w:pPr>
                  <w:r>
                    <w:rPr>
                      <w:rFonts w:hint="eastAsia" w:ascii="宋体" w:hAnsi="宋体" w:eastAsia="宋体" w:cs="Arial"/>
                      <w:sz w:val="22"/>
                    </w:rPr>
                    <w:t>2,182.00</w:t>
                  </w:r>
                </w:p>
              </w:tc>
              <w:tc>
                <w:tcPr>
                  <w:tcW w:w="1835" w:type="dxa"/>
                  <w:gridSpan w:val="3"/>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2"/>
                    </w:rPr>
                  </w:pPr>
                  <w:r>
                    <w:rPr>
                      <w:rFonts w:hint="eastAsia" w:ascii="宋体" w:hAnsi="宋体" w:eastAsia="宋体" w:cs="Arial"/>
                      <w:sz w:val="22"/>
                    </w:rPr>
                    <w:t>321.88</w:t>
                  </w:r>
                </w:p>
              </w:tc>
              <w:tc>
                <w:tcPr>
                  <w:tcW w:w="16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585" w:hRule="atLeast"/>
              </w:trPr>
              <w:tc>
                <w:tcPr>
                  <w:tcW w:w="15305" w:type="dxa"/>
                  <w:gridSpan w:val="19"/>
                  <w:tcBorders>
                    <w:top w:val="nil"/>
                    <w:left w:val="nil"/>
                    <w:bottom w:val="nil"/>
                    <w:right w:val="nil"/>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注：本表反映部门本年度一般公共预算财政拨款、政府性基金预算财政拨款和国有资本经营预算财政拨款的总收支和年末结转结余情况.</w:t>
                  </w:r>
                </w:p>
              </w:tc>
            </w:tr>
          </w:tbl>
          <w:p>
            <w:pPr>
              <w:widowControl/>
              <w:jc w:val="center"/>
              <w:rPr>
                <w:rFonts w:ascii="华文中宋" w:hAnsi="华文中宋" w:eastAsia="华文中宋" w:cs="宋体"/>
                <w:color w:val="000000"/>
                <w:kern w:val="0"/>
                <w:sz w:val="22"/>
              </w:rPr>
            </w:pPr>
          </w:p>
        </w:tc>
      </w:tr>
    </w:tbl>
    <w:p>
      <w:pPr>
        <w:widowControl/>
        <w:jc w:val="center"/>
        <w:rPr>
          <w:rFonts w:ascii="Times New Roman" w:hAnsi="Times New Roman" w:eastAsia="方正小标宋_GBK" w:cs="Times New Roman"/>
          <w:kern w:val="0"/>
          <w:sz w:val="36"/>
          <w:szCs w:val="36"/>
        </w:rPr>
      </w:pPr>
      <w:bookmarkStart w:id="0" w:name="RANGE!A1:F16"/>
      <w:r>
        <w:rPr>
          <w:rFonts w:hint="eastAsia" w:ascii="Times New Roman" w:hAnsi="Times New Roman" w:eastAsia="方正小标宋_GBK" w:cs="Times New Roman"/>
          <w:kern w:val="0"/>
          <w:sz w:val="36"/>
          <w:szCs w:val="36"/>
        </w:rPr>
        <w:t>五、</w:t>
      </w:r>
      <w:r>
        <w:rPr>
          <w:rFonts w:ascii="Times New Roman" w:hAnsi="Times New Roman" w:eastAsia="方正小标宋_GBK" w:cs="Times New Roman"/>
          <w:kern w:val="0"/>
          <w:sz w:val="36"/>
          <w:szCs w:val="36"/>
        </w:rPr>
        <w:t>一般公共预算财政拨款支出决算表</w:t>
      </w:r>
      <w:bookmarkEnd w:id="0"/>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 xml:space="preserve">湖南省体操运动管理中心                                                                                                     </w:t>
      </w:r>
      <w:r>
        <w:rPr>
          <w:rFonts w:ascii="Times New Roman" w:hAnsi="Times New Roman" w:eastAsia="仿宋_GB2312" w:cs="Times New Roman"/>
          <w:color w:val="000000"/>
          <w:kern w:val="0"/>
          <w:szCs w:val="21"/>
        </w:rPr>
        <w:t>公开05表</w:t>
      </w:r>
    </w:p>
    <w:p>
      <w:pPr>
        <w:widowControl/>
        <w:ind w:firstLine="7245" w:firstLineChars="3450"/>
        <w:jc w:val="left"/>
        <w:rPr>
          <w:rFonts w:ascii="Times New Roman" w:hAnsi="Times New Roman" w:eastAsia="宋体" w:cs="Times New Roman"/>
          <w:color w:val="000000"/>
          <w:kern w:val="0"/>
          <w:sz w:val="20"/>
          <w:szCs w:val="20"/>
        </w:rPr>
      </w:pPr>
      <w:r>
        <w:rPr>
          <w:rFonts w:hint="eastAsia" w:ascii="Times New Roman" w:hAnsi="Times New Roman" w:eastAsia="仿宋_GB2312" w:cs="Times New Roman"/>
          <w:color w:val="000000"/>
          <w:kern w:val="0"/>
          <w:szCs w:val="21"/>
        </w:rPr>
        <w:t xml:space="preserve">2021年度                                                     </w:t>
      </w:r>
      <w:r>
        <w:rPr>
          <w:rFonts w:ascii="Times New Roman" w:hAnsi="Times New Roman" w:eastAsia="仿宋_GB2312" w:cs="Times New Roman"/>
          <w:color w:val="000000"/>
          <w:kern w:val="0"/>
          <w:szCs w:val="21"/>
        </w:rPr>
        <w:t>单位：万元</w:t>
      </w:r>
    </w:p>
    <w:tbl>
      <w:tblPr>
        <w:tblStyle w:val="6"/>
        <w:tblW w:w="14219" w:type="dxa"/>
        <w:jc w:val="center"/>
        <w:tblInd w:w="0" w:type="dxa"/>
        <w:tblLayout w:type="fixed"/>
        <w:tblCellMar>
          <w:top w:w="0" w:type="dxa"/>
          <w:left w:w="108" w:type="dxa"/>
          <w:bottom w:w="0" w:type="dxa"/>
          <w:right w:w="108" w:type="dxa"/>
        </w:tblCellMar>
      </w:tblPr>
      <w:tblGrid>
        <w:gridCol w:w="1200"/>
        <w:gridCol w:w="4023"/>
        <w:gridCol w:w="2504"/>
        <w:gridCol w:w="3492"/>
        <w:gridCol w:w="3000"/>
      </w:tblGrid>
      <w:tr>
        <w:tblPrEx>
          <w:tblLayout w:type="fixed"/>
          <w:tblCellMar>
            <w:top w:w="0" w:type="dxa"/>
            <w:left w:w="108" w:type="dxa"/>
            <w:bottom w:w="0" w:type="dxa"/>
            <w:right w:w="108" w:type="dxa"/>
          </w:tblCellMar>
        </w:tblPrEx>
        <w:trPr>
          <w:trHeight w:val="405" w:hRule="atLeast"/>
          <w:jc w:val="center"/>
        </w:trPr>
        <w:tc>
          <w:tcPr>
            <w:tcW w:w="5223"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Times New Roman"/>
                <w:b/>
                <w:kern w:val="0"/>
                <w:sz w:val="22"/>
              </w:rPr>
            </w:pPr>
            <w:r>
              <w:rPr>
                <w:rFonts w:ascii="宋体" w:hAnsi="宋体" w:eastAsia="宋体" w:cs="Times New Roman"/>
                <w:b/>
                <w:kern w:val="0"/>
                <w:sz w:val="22"/>
              </w:rPr>
              <w:t>项目</w:t>
            </w:r>
          </w:p>
        </w:tc>
        <w:tc>
          <w:tcPr>
            <w:tcW w:w="8996"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宋体" w:hAnsi="宋体" w:eastAsia="宋体" w:cs="Times New Roman"/>
                <w:b/>
                <w:kern w:val="0"/>
                <w:sz w:val="22"/>
              </w:rPr>
            </w:pPr>
            <w:r>
              <w:rPr>
                <w:rFonts w:ascii="宋体" w:hAnsi="宋体" w:eastAsia="宋体" w:cs="Times New Roman"/>
                <w:b/>
                <w:kern w:val="0"/>
                <w:sz w:val="22"/>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Times New Roman"/>
                <w:b/>
                <w:kern w:val="0"/>
                <w:sz w:val="22"/>
              </w:rPr>
            </w:pPr>
            <w:r>
              <w:rPr>
                <w:rFonts w:ascii="宋体" w:hAnsi="宋体" w:eastAsia="宋体" w:cs="Times New Roman"/>
                <w:b/>
                <w:kern w:val="0"/>
                <w:sz w:val="22"/>
              </w:rPr>
              <w:t>功能分类科目编码</w:t>
            </w:r>
          </w:p>
        </w:tc>
        <w:tc>
          <w:tcPr>
            <w:tcW w:w="40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Times New Roman"/>
                <w:b/>
                <w:kern w:val="0"/>
                <w:sz w:val="22"/>
              </w:rPr>
            </w:pPr>
            <w:r>
              <w:rPr>
                <w:rFonts w:ascii="宋体" w:hAnsi="宋体" w:eastAsia="宋体" w:cs="Times New Roman"/>
                <w:b/>
                <w:kern w:val="0"/>
                <w:sz w:val="22"/>
              </w:rPr>
              <w:t>科目名称</w:t>
            </w:r>
          </w:p>
        </w:tc>
        <w:tc>
          <w:tcPr>
            <w:tcW w:w="25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Times New Roman"/>
                <w:b/>
                <w:kern w:val="0"/>
                <w:sz w:val="22"/>
              </w:rPr>
            </w:pPr>
            <w:r>
              <w:rPr>
                <w:rFonts w:ascii="宋体" w:hAnsi="宋体" w:eastAsia="宋体" w:cs="Times New Roman"/>
                <w:b/>
                <w:kern w:val="0"/>
                <w:sz w:val="22"/>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Times New Roman"/>
                <w:b/>
                <w:kern w:val="0"/>
                <w:sz w:val="22"/>
              </w:rPr>
            </w:pPr>
            <w:r>
              <w:rPr>
                <w:rFonts w:ascii="宋体" w:hAnsi="宋体" w:eastAsia="宋体" w:cs="Times New Roman"/>
                <w:b/>
                <w:kern w:val="0"/>
                <w:sz w:val="22"/>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宋体" w:hAnsi="宋体" w:eastAsia="宋体" w:cs="Times New Roman"/>
                <w:b/>
                <w:kern w:val="0"/>
                <w:sz w:val="22"/>
              </w:rPr>
            </w:pPr>
            <w:r>
              <w:rPr>
                <w:rFonts w:ascii="宋体" w:hAnsi="宋体" w:eastAsia="宋体" w:cs="Times New Roman"/>
                <w:b/>
                <w:kern w:val="0"/>
                <w:sz w:val="22"/>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Times New Roman"/>
                <w:kern w:val="0"/>
                <w:sz w:val="22"/>
              </w:rPr>
            </w:pPr>
          </w:p>
        </w:tc>
        <w:tc>
          <w:tcPr>
            <w:tcW w:w="402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Times New Roman"/>
                <w:kern w:val="0"/>
                <w:sz w:val="22"/>
              </w:rPr>
            </w:pPr>
          </w:p>
        </w:tc>
        <w:tc>
          <w:tcPr>
            <w:tcW w:w="25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Times New Roman"/>
                <w:kern w:val="0"/>
                <w:sz w:val="22"/>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Times New Roman"/>
                <w:kern w:val="0"/>
                <w:sz w:val="22"/>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宋体" w:hAnsi="宋体" w:eastAsia="宋体" w:cs="Times New Roman"/>
                <w:kern w:val="0"/>
                <w:sz w:val="22"/>
              </w:rPr>
            </w:pPr>
          </w:p>
        </w:tc>
      </w:tr>
      <w:tr>
        <w:tblPrEx>
          <w:tblLayout w:type="fixed"/>
          <w:tblCellMar>
            <w:top w:w="0" w:type="dxa"/>
            <w:left w:w="108" w:type="dxa"/>
            <w:bottom w:w="0" w:type="dxa"/>
            <w:right w:w="108" w:type="dxa"/>
          </w:tblCellMar>
        </w:tblPrEx>
        <w:trPr>
          <w:trHeight w:val="312"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Times New Roman"/>
                <w:kern w:val="0"/>
                <w:sz w:val="22"/>
              </w:rPr>
            </w:pPr>
          </w:p>
        </w:tc>
        <w:tc>
          <w:tcPr>
            <w:tcW w:w="402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Times New Roman"/>
                <w:kern w:val="0"/>
                <w:sz w:val="22"/>
              </w:rPr>
            </w:pPr>
          </w:p>
        </w:tc>
        <w:tc>
          <w:tcPr>
            <w:tcW w:w="25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Times New Roman"/>
                <w:kern w:val="0"/>
                <w:sz w:val="22"/>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Times New Roman"/>
                <w:kern w:val="0"/>
                <w:sz w:val="22"/>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宋体" w:hAnsi="宋体" w:eastAsia="宋体" w:cs="Times New Roman"/>
                <w:kern w:val="0"/>
                <w:sz w:val="22"/>
              </w:rPr>
            </w:pPr>
          </w:p>
        </w:tc>
      </w:tr>
      <w:tr>
        <w:tblPrEx>
          <w:tblLayout w:type="fixed"/>
          <w:tblCellMar>
            <w:top w:w="0" w:type="dxa"/>
            <w:left w:w="108" w:type="dxa"/>
            <w:bottom w:w="0" w:type="dxa"/>
            <w:right w:w="108" w:type="dxa"/>
          </w:tblCellMar>
        </w:tblPrEx>
        <w:trPr>
          <w:trHeight w:val="342" w:hRule="atLeast"/>
          <w:jc w:val="center"/>
        </w:trPr>
        <w:tc>
          <w:tcPr>
            <w:tcW w:w="5223"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Times New Roman"/>
                <w:kern w:val="0"/>
                <w:sz w:val="22"/>
              </w:rPr>
            </w:pPr>
            <w:r>
              <w:rPr>
                <w:rFonts w:ascii="宋体" w:hAnsi="宋体" w:eastAsia="宋体" w:cs="Times New Roman"/>
                <w:kern w:val="0"/>
                <w:sz w:val="22"/>
              </w:rPr>
              <w:t>栏次</w:t>
            </w:r>
          </w:p>
        </w:tc>
        <w:tc>
          <w:tcPr>
            <w:tcW w:w="2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Times New Roman"/>
                <w:kern w:val="0"/>
                <w:sz w:val="22"/>
              </w:rPr>
            </w:pPr>
            <w:r>
              <w:rPr>
                <w:rFonts w:ascii="宋体" w:hAnsi="宋体" w:eastAsia="宋体" w:cs="Times New Roman"/>
                <w:kern w:val="0"/>
                <w:sz w:val="22"/>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Times New Roman"/>
                <w:kern w:val="0"/>
                <w:sz w:val="22"/>
              </w:rPr>
            </w:pPr>
            <w:r>
              <w:rPr>
                <w:rFonts w:ascii="宋体" w:hAnsi="宋体" w:eastAsia="宋体" w:cs="Times New Roman"/>
                <w:kern w:val="0"/>
                <w:sz w:val="22"/>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Times New Roman"/>
                <w:kern w:val="0"/>
                <w:sz w:val="22"/>
              </w:rPr>
            </w:pPr>
            <w:r>
              <w:rPr>
                <w:rFonts w:ascii="宋体" w:hAnsi="宋体" w:eastAsia="宋体" w:cs="Times New Roman"/>
                <w:kern w:val="0"/>
                <w:sz w:val="22"/>
              </w:rPr>
              <w:t>3</w:t>
            </w:r>
          </w:p>
        </w:tc>
      </w:tr>
      <w:tr>
        <w:tblPrEx>
          <w:tblLayout w:type="fixed"/>
          <w:tblCellMar>
            <w:top w:w="0" w:type="dxa"/>
            <w:left w:w="108" w:type="dxa"/>
            <w:bottom w:w="0" w:type="dxa"/>
            <w:right w:w="108" w:type="dxa"/>
          </w:tblCellMar>
        </w:tblPrEx>
        <w:trPr>
          <w:trHeight w:val="450" w:hRule="atLeast"/>
          <w:jc w:val="center"/>
        </w:trPr>
        <w:tc>
          <w:tcPr>
            <w:tcW w:w="5223"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Times New Roman"/>
                <w:kern w:val="0"/>
                <w:sz w:val="22"/>
              </w:rPr>
            </w:pPr>
            <w:r>
              <w:rPr>
                <w:rFonts w:ascii="宋体" w:hAnsi="宋体" w:eastAsia="宋体" w:cs="Times New Roman"/>
                <w:kern w:val="0"/>
                <w:sz w:val="22"/>
              </w:rPr>
              <w:t>合计</w:t>
            </w:r>
          </w:p>
        </w:tc>
        <w:tc>
          <w:tcPr>
            <w:tcW w:w="2504"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2,181.95</w:t>
            </w:r>
          </w:p>
        </w:tc>
        <w:tc>
          <w:tcPr>
            <w:tcW w:w="3492"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2,021.95</w:t>
            </w:r>
          </w:p>
        </w:tc>
        <w:tc>
          <w:tcPr>
            <w:tcW w:w="3000" w:type="dxa"/>
            <w:tcBorders>
              <w:top w:val="nil"/>
              <w:left w:val="nil"/>
              <w:bottom w:val="single" w:color="auto" w:sz="4" w:space="0"/>
              <w:right w:val="single" w:color="auto" w:sz="8"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160.00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207</w:t>
            </w:r>
          </w:p>
        </w:tc>
        <w:tc>
          <w:tcPr>
            <w:tcW w:w="4023" w:type="dxa"/>
            <w:tcBorders>
              <w:top w:val="nil"/>
              <w:left w:val="nil"/>
              <w:bottom w:val="single" w:color="auto" w:sz="4"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文化旅游体育与传媒支出</w:t>
            </w:r>
          </w:p>
        </w:tc>
        <w:tc>
          <w:tcPr>
            <w:tcW w:w="2504"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1,921.95</w:t>
            </w:r>
          </w:p>
        </w:tc>
        <w:tc>
          <w:tcPr>
            <w:tcW w:w="3492"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1,761.95</w:t>
            </w:r>
          </w:p>
        </w:tc>
        <w:tc>
          <w:tcPr>
            <w:tcW w:w="3000" w:type="dxa"/>
            <w:tcBorders>
              <w:top w:val="nil"/>
              <w:left w:val="nil"/>
              <w:bottom w:val="single" w:color="auto" w:sz="4" w:space="0"/>
              <w:right w:val="single" w:color="auto" w:sz="8"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160.00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20703</w:t>
            </w:r>
          </w:p>
        </w:tc>
        <w:tc>
          <w:tcPr>
            <w:tcW w:w="4023" w:type="dxa"/>
            <w:tcBorders>
              <w:top w:val="nil"/>
              <w:left w:val="nil"/>
              <w:bottom w:val="single" w:color="auto" w:sz="4"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体育</w:t>
            </w:r>
          </w:p>
        </w:tc>
        <w:tc>
          <w:tcPr>
            <w:tcW w:w="2504"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1,921.95</w:t>
            </w:r>
          </w:p>
        </w:tc>
        <w:tc>
          <w:tcPr>
            <w:tcW w:w="3492"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1,761.95</w:t>
            </w:r>
          </w:p>
        </w:tc>
        <w:tc>
          <w:tcPr>
            <w:tcW w:w="3000" w:type="dxa"/>
            <w:tcBorders>
              <w:top w:val="nil"/>
              <w:left w:val="nil"/>
              <w:bottom w:val="single" w:color="auto" w:sz="4" w:space="0"/>
              <w:right w:val="single" w:color="auto" w:sz="8"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160.00</w:t>
            </w:r>
          </w:p>
        </w:tc>
      </w:tr>
      <w:tr>
        <w:tblPrEx>
          <w:tblLayout w:type="fixed"/>
          <w:tblCellMar>
            <w:top w:w="0" w:type="dxa"/>
            <w:left w:w="108" w:type="dxa"/>
            <w:bottom w:w="0" w:type="dxa"/>
            <w:right w:w="108" w:type="dxa"/>
          </w:tblCellMar>
        </w:tblPrEx>
        <w:trPr>
          <w:trHeight w:val="33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2070304</w:t>
            </w:r>
          </w:p>
        </w:tc>
        <w:tc>
          <w:tcPr>
            <w:tcW w:w="4023" w:type="dxa"/>
            <w:tcBorders>
              <w:top w:val="nil"/>
              <w:left w:val="nil"/>
              <w:bottom w:val="single" w:color="auto" w:sz="4"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 xml:space="preserve">  运动项目管理</w:t>
            </w:r>
          </w:p>
        </w:tc>
        <w:tc>
          <w:tcPr>
            <w:tcW w:w="2504"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1,761.95</w:t>
            </w:r>
          </w:p>
        </w:tc>
        <w:tc>
          <w:tcPr>
            <w:tcW w:w="3492"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1,761.95</w:t>
            </w:r>
          </w:p>
        </w:tc>
        <w:tc>
          <w:tcPr>
            <w:tcW w:w="3000" w:type="dxa"/>
            <w:tcBorders>
              <w:top w:val="nil"/>
              <w:left w:val="nil"/>
              <w:bottom w:val="single" w:color="auto" w:sz="4" w:space="0"/>
              <w:right w:val="single" w:color="auto" w:sz="8"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 xml:space="preserve"> </w:t>
            </w:r>
          </w:p>
        </w:tc>
      </w:tr>
      <w:tr>
        <w:tblPrEx>
          <w:tblLayout w:type="fixed"/>
          <w:tblCellMar>
            <w:top w:w="0" w:type="dxa"/>
            <w:left w:w="108" w:type="dxa"/>
            <w:bottom w:w="0" w:type="dxa"/>
            <w:right w:w="108" w:type="dxa"/>
          </w:tblCellMar>
        </w:tblPrEx>
        <w:trPr>
          <w:trHeight w:val="424"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2070305</w:t>
            </w:r>
          </w:p>
        </w:tc>
        <w:tc>
          <w:tcPr>
            <w:tcW w:w="4023" w:type="dxa"/>
            <w:tcBorders>
              <w:top w:val="nil"/>
              <w:left w:val="nil"/>
              <w:bottom w:val="single" w:color="auto" w:sz="4"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 xml:space="preserve">  体育竞赛</w:t>
            </w:r>
          </w:p>
        </w:tc>
        <w:tc>
          <w:tcPr>
            <w:tcW w:w="2504"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130.00</w:t>
            </w:r>
          </w:p>
        </w:tc>
        <w:tc>
          <w:tcPr>
            <w:tcW w:w="3492"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 xml:space="preserve"> </w:t>
            </w:r>
          </w:p>
        </w:tc>
        <w:tc>
          <w:tcPr>
            <w:tcW w:w="3000" w:type="dxa"/>
            <w:tcBorders>
              <w:top w:val="nil"/>
              <w:left w:val="nil"/>
              <w:bottom w:val="single" w:color="auto" w:sz="4" w:space="0"/>
              <w:right w:val="single" w:color="auto" w:sz="8"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130.00</w:t>
            </w:r>
          </w:p>
        </w:tc>
      </w:tr>
      <w:tr>
        <w:tblPrEx>
          <w:tblLayout w:type="fixed"/>
          <w:tblCellMar>
            <w:top w:w="0" w:type="dxa"/>
            <w:left w:w="108" w:type="dxa"/>
            <w:bottom w:w="0" w:type="dxa"/>
            <w:right w:w="108" w:type="dxa"/>
          </w:tblCellMar>
        </w:tblPrEx>
        <w:trPr>
          <w:trHeight w:val="402"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2070399</w:t>
            </w:r>
          </w:p>
        </w:tc>
        <w:tc>
          <w:tcPr>
            <w:tcW w:w="4023" w:type="dxa"/>
            <w:tcBorders>
              <w:top w:val="nil"/>
              <w:left w:val="nil"/>
              <w:bottom w:val="single" w:color="auto" w:sz="4"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 xml:space="preserve">  其他体育支出</w:t>
            </w:r>
          </w:p>
        </w:tc>
        <w:tc>
          <w:tcPr>
            <w:tcW w:w="2504"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30.00</w:t>
            </w:r>
          </w:p>
        </w:tc>
        <w:tc>
          <w:tcPr>
            <w:tcW w:w="3492" w:type="dxa"/>
            <w:tcBorders>
              <w:top w:val="nil"/>
              <w:left w:val="nil"/>
              <w:bottom w:val="single" w:color="auto" w:sz="4" w:space="0"/>
              <w:right w:val="single" w:color="auto" w:sz="4"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 xml:space="preserve"> </w:t>
            </w:r>
          </w:p>
        </w:tc>
        <w:tc>
          <w:tcPr>
            <w:tcW w:w="3000" w:type="dxa"/>
            <w:tcBorders>
              <w:top w:val="nil"/>
              <w:left w:val="nil"/>
              <w:bottom w:val="single" w:color="auto" w:sz="4" w:space="0"/>
              <w:right w:val="single" w:color="auto" w:sz="8" w:space="0"/>
            </w:tcBorders>
            <w:shd w:val="clear" w:color="auto" w:fill="auto"/>
            <w:vAlign w:val="center"/>
          </w:tcPr>
          <w:p>
            <w:pPr>
              <w:jc w:val="right"/>
              <w:rPr>
                <w:rFonts w:cs="Arial" w:asciiTheme="minorEastAsia" w:hAnsiTheme="minorEastAsia"/>
                <w:sz w:val="22"/>
              </w:rPr>
            </w:pPr>
            <w:r>
              <w:rPr>
                <w:rFonts w:hint="eastAsia" w:cs="Arial" w:asciiTheme="minorEastAsia" w:hAnsiTheme="minorEastAsia"/>
                <w:sz w:val="22"/>
              </w:rPr>
              <w:t>30.00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208</w:t>
            </w:r>
          </w:p>
        </w:tc>
        <w:tc>
          <w:tcPr>
            <w:tcW w:w="4023" w:type="dxa"/>
            <w:tcBorders>
              <w:top w:val="nil"/>
              <w:left w:val="nil"/>
              <w:bottom w:val="single" w:color="auto" w:sz="8"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社会保障和就业支出</w:t>
            </w:r>
          </w:p>
        </w:tc>
        <w:tc>
          <w:tcPr>
            <w:tcW w:w="2504" w:type="dxa"/>
            <w:tcBorders>
              <w:top w:val="nil"/>
              <w:left w:val="nil"/>
              <w:bottom w:val="single" w:color="auto" w:sz="8"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110.00</w:t>
            </w:r>
          </w:p>
        </w:tc>
        <w:tc>
          <w:tcPr>
            <w:tcW w:w="3492" w:type="dxa"/>
            <w:tcBorders>
              <w:top w:val="nil"/>
              <w:left w:val="nil"/>
              <w:bottom w:val="single" w:color="auto" w:sz="8"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110.00</w:t>
            </w:r>
          </w:p>
        </w:tc>
        <w:tc>
          <w:tcPr>
            <w:tcW w:w="3000" w:type="dxa"/>
            <w:tcBorders>
              <w:top w:val="nil"/>
              <w:left w:val="nil"/>
              <w:bottom w:val="single" w:color="auto" w:sz="8" w:space="0"/>
              <w:right w:val="single" w:color="auto" w:sz="8"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 xml:space="preserve">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20805</w:t>
            </w:r>
          </w:p>
        </w:tc>
        <w:tc>
          <w:tcPr>
            <w:tcW w:w="4023" w:type="dxa"/>
            <w:tcBorders>
              <w:top w:val="nil"/>
              <w:left w:val="nil"/>
              <w:bottom w:val="single" w:color="auto" w:sz="8"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行政事业单位养老支出</w:t>
            </w:r>
          </w:p>
        </w:tc>
        <w:tc>
          <w:tcPr>
            <w:tcW w:w="2504" w:type="dxa"/>
            <w:tcBorders>
              <w:top w:val="nil"/>
              <w:left w:val="nil"/>
              <w:bottom w:val="single" w:color="auto" w:sz="8"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110.00</w:t>
            </w:r>
          </w:p>
        </w:tc>
        <w:tc>
          <w:tcPr>
            <w:tcW w:w="3492" w:type="dxa"/>
            <w:tcBorders>
              <w:top w:val="nil"/>
              <w:left w:val="nil"/>
              <w:bottom w:val="single" w:color="auto" w:sz="8" w:space="0"/>
              <w:right w:val="single" w:color="auto" w:sz="4"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110.00</w:t>
            </w:r>
          </w:p>
        </w:tc>
        <w:tc>
          <w:tcPr>
            <w:tcW w:w="3000" w:type="dxa"/>
            <w:tcBorders>
              <w:top w:val="nil"/>
              <w:left w:val="nil"/>
              <w:bottom w:val="single" w:color="auto" w:sz="8" w:space="0"/>
              <w:right w:val="single" w:color="auto" w:sz="8" w:space="0"/>
            </w:tcBorders>
            <w:shd w:val="clear" w:color="auto" w:fill="auto"/>
            <w:vAlign w:val="center"/>
          </w:tcPr>
          <w:p>
            <w:pPr>
              <w:jc w:val="right"/>
              <w:rPr>
                <w:rFonts w:cs="Arial" w:asciiTheme="minorEastAsia" w:hAnsiTheme="minorEastAsia"/>
                <w:b/>
                <w:bCs/>
                <w:sz w:val="22"/>
              </w:rPr>
            </w:pPr>
            <w:r>
              <w:rPr>
                <w:rFonts w:hint="eastAsia" w:cs="Arial" w:asciiTheme="minorEastAsia" w:hAnsiTheme="minorEastAsia"/>
                <w:b/>
                <w:bCs/>
                <w:sz w:val="22"/>
              </w:rPr>
              <w:t xml:space="preserve"> </w:t>
            </w:r>
          </w:p>
        </w:tc>
      </w:tr>
      <w:tr>
        <w:tblPrEx>
          <w:tblLayout w:type="fixed"/>
          <w:tblCellMar>
            <w:top w:w="0" w:type="dxa"/>
            <w:left w:w="108" w:type="dxa"/>
            <w:bottom w:w="0" w:type="dxa"/>
            <w:right w:w="108" w:type="dxa"/>
          </w:tblCellMar>
        </w:tblPrEx>
        <w:trPr>
          <w:trHeight w:val="382"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2080505</w:t>
            </w:r>
          </w:p>
        </w:tc>
        <w:tc>
          <w:tcPr>
            <w:tcW w:w="4023" w:type="dxa"/>
            <w:tcBorders>
              <w:top w:val="nil"/>
              <w:left w:val="nil"/>
              <w:bottom w:val="single" w:color="auto" w:sz="8"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 xml:space="preserve">  机关事业单位基本养老保险缴费支出</w:t>
            </w:r>
          </w:p>
        </w:tc>
        <w:tc>
          <w:tcPr>
            <w:tcW w:w="2504" w:type="dxa"/>
            <w:tcBorders>
              <w:top w:val="nil"/>
              <w:left w:val="nil"/>
              <w:bottom w:val="single" w:color="auto" w:sz="8" w:space="0"/>
              <w:right w:val="single" w:color="auto" w:sz="4" w:space="0"/>
            </w:tcBorders>
            <w:shd w:val="clear" w:color="auto" w:fill="auto"/>
            <w:vAlign w:val="center"/>
          </w:tcPr>
          <w:p>
            <w:pPr>
              <w:jc w:val="right"/>
              <w:rPr>
                <w:rFonts w:cs="Arial" w:asciiTheme="minorEastAsia" w:hAnsiTheme="minorEastAsia"/>
                <w:bCs/>
                <w:sz w:val="22"/>
              </w:rPr>
            </w:pPr>
            <w:r>
              <w:rPr>
                <w:rFonts w:hint="eastAsia" w:cs="Arial" w:asciiTheme="minorEastAsia" w:hAnsiTheme="minorEastAsia"/>
                <w:bCs/>
                <w:sz w:val="22"/>
              </w:rPr>
              <w:t>110.00</w:t>
            </w:r>
          </w:p>
        </w:tc>
        <w:tc>
          <w:tcPr>
            <w:tcW w:w="3492" w:type="dxa"/>
            <w:tcBorders>
              <w:top w:val="nil"/>
              <w:left w:val="nil"/>
              <w:bottom w:val="single" w:color="auto" w:sz="8" w:space="0"/>
              <w:right w:val="single" w:color="auto" w:sz="4" w:space="0"/>
            </w:tcBorders>
            <w:shd w:val="clear" w:color="auto" w:fill="auto"/>
            <w:vAlign w:val="center"/>
          </w:tcPr>
          <w:p>
            <w:pPr>
              <w:jc w:val="right"/>
              <w:rPr>
                <w:rFonts w:cs="Arial" w:asciiTheme="minorEastAsia" w:hAnsiTheme="minorEastAsia"/>
                <w:bCs/>
                <w:sz w:val="22"/>
              </w:rPr>
            </w:pPr>
            <w:r>
              <w:rPr>
                <w:rFonts w:hint="eastAsia" w:cs="Arial" w:asciiTheme="minorEastAsia" w:hAnsiTheme="minorEastAsia"/>
                <w:bCs/>
                <w:sz w:val="22"/>
              </w:rPr>
              <w:t>110.00</w:t>
            </w:r>
          </w:p>
        </w:tc>
        <w:tc>
          <w:tcPr>
            <w:tcW w:w="3000" w:type="dxa"/>
            <w:tcBorders>
              <w:top w:val="nil"/>
              <w:left w:val="nil"/>
              <w:bottom w:val="single" w:color="auto" w:sz="8" w:space="0"/>
              <w:right w:val="single" w:color="auto" w:sz="8" w:space="0"/>
            </w:tcBorders>
            <w:shd w:val="clear" w:color="auto" w:fill="auto"/>
            <w:vAlign w:val="center"/>
          </w:tcPr>
          <w:p>
            <w:pPr>
              <w:jc w:val="right"/>
              <w:rPr>
                <w:rFonts w:cs="Arial" w:asciiTheme="minorEastAsia" w:hAnsiTheme="minorEastAsia"/>
                <w:bCs/>
                <w:sz w:val="22"/>
              </w:rPr>
            </w:pPr>
            <w:r>
              <w:rPr>
                <w:rFonts w:hint="eastAsia" w:cs="Arial" w:asciiTheme="minorEastAsia" w:hAnsiTheme="minorEastAsia"/>
                <w:bCs/>
                <w:sz w:val="22"/>
              </w:rPr>
              <w:t xml:space="preserve">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221</w:t>
            </w:r>
          </w:p>
        </w:tc>
        <w:tc>
          <w:tcPr>
            <w:tcW w:w="4023" w:type="dxa"/>
            <w:tcBorders>
              <w:top w:val="nil"/>
              <w:left w:val="nil"/>
              <w:bottom w:val="single" w:color="auto" w:sz="8"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住房保障支出</w:t>
            </w:r>
          </w:p>
        </w:tc>
        <w:tc>
          <w:tcPr>
            <w:tcW w:w="2504"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Times New Roman"/>
                <w:b/>
                <w:kern w:val="0"/>
                <w:sz w:val="22"/>
              </w:rPr>
            </w:pPr>
            <w:r>
              <w:rPr>
                <w:rFonts w:ascii="宋体" w:hAnsi="宋体" w:eastAsia="宋体" w:cs="Times New Roman"/>
                <w:b/>
                <w:kern w:val="0"/>
                <w:sz w:val="22"/>
              </w:rPr>
              <w:t xml:space="preserve">150.00 </w:t>
            </w:r>
          </w:p>
        </w:tc>
        <w:tc>
          <w:tcPr>
            <w:tcW w:w="3492"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Times New Roman"/>
                <w:b/>
                <w:kern w:val="0"/>
                <w:sz w:val="22"/>
              </w:rPr>
            </w:pPr>
            <w:r>
              <w:rPr>
                <w:rFonts w:ascii="宋体" w:hAnsi="宋体" w:eastAsia="宋体" w:cs="Times New Roman"/>
                <w:b/>
                <w:kern w:val="0"/>
                <w:sz w:val="22"/>
              </w:rPr>
              <w:t xml:space="preserve">150.00 </w:t>
            </w:r>
          </w:p>
        </w:tc>
        <w:tc>
          <w:tcPr>
            <w:tcW w:w="3000" w:type="dxa"/>
            <w:tcBorders>
              <w:top w:val="nil"/>
              <w:left w:val="nil"/>
              <w:bottom w:val="single" w:color="auto" w:sz="8" w:space="0"/>
              <w:right w:val="single" w:color="auto" w:sz="8" w:space="0"/>
            </w:tcBorders>
            <w:shd w:val="clear" w:color="auto" w:fill="auto"/>
            <w:vAlign w:val="bottom"/>
          </w:tcPr>
          <w:p>
            <w:pPr>
              <w:widowControl/>
              <w:jc w:val="right"/>
              <w:rPr>
                <w:rFonts w:ascii="宋体" w:hAnsi="宋体" w:eastAsia="宋体" w:cs="Times New Roman"/>
                <w:b/>
                <w:kern w:val="0"/>
                <w:sz w:val="22"/>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22102</w:t>
            </w:r>
          </w:p>
        </w:tc>
        <w:tc>
          <w:tcPr>
            <w:tcW w:w="4023" w:type="dxa"/>
            <w:tcBorders>
              <w:top w:val="nil"/>
              <w:left w:val="nil"/>
              <w:bottom w:val="single" w:color="auto" w:sz="8" w:space="0"/>
              <w:right w:val="single" w:color="auto" w:sz="4" w:space="0"/>
            </w:tcBorders>
            <w:shd w:val="clear" w:color="auto" w:fill="auto"/>
            <w:vAlign w:val="center"/>
          </w:tcPr>
          <w:p>
            <w:pPr>
              <w:rPr>
                <w:rFonts w:ascii="宋体" w:hAnsi="宋体" w:eastAsia="宋体" w:cs="Arial"/>
                <w:b/>
                <w:bCs/>
                <w:sz w:val="22"/>
              </w:rPr>
            </w:pPr>
            <w:r>
              <w:rPr>
                <w:rFonts w:hint="eastAsia" w:ascii="宋体" w:hAnsi="宋体" w:eastAsia="宋体" w:cs="Arial"/>
                <w:b/>
                <w:bCs/>
                <w:sz w:val="22"/>
              </w:rPr>
              <w:t>住房改革支出</w:t>
            </w:r>
          </w:p>
        </w:tc>
        <w:tc>
          <w:tcPr>
            <w:tcW w:w="2504"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Times New Roman"/>
                <w:b/>
                <w:kern w:val="0"/>
                <w:sz w:val="22"/>
              </w:rPr>
            </w:pPr>
            <w:r>
              <w:rPr>
                <w:rFonts w:ascii="宋体" w:hAnsi="宋体" w:eastAsia="宋体" w:cs="Times New Roman"/>
                <w:b/>
                <w:kern w:val="0"/>
                <w:sz w:val="22"/>
              </w:rPr>
              <w:t xml:space="preserve">150.00 </w:t>
            </w:r>
          </w:p>
        </w:tc>
        <w:tc>
          <w:tcPr>
            <w:tcW w:w="3492"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Times New Roman"/>
                <w:b/>
                <w:kern w:val="0"/>
                <w:sz w:val="22"/>
              </w:rPr>
            </w:pPr>
            <w:r>
              <w:rPr>
                <w:rFonts w:ascii="宋体" w:hAnsi="宋体" w:eastAsia="宋体" w:cs="Times New Roman"/>
                <w:b/>
                <w:kern w:val="0"/>
                <w:sz w:val="22"/>
              </w:rPr>
              <w:t xml:space="preserve">150.00 </w:t>
            </w:r>
          </w:p>
        </w:tc>
        <w:tc>
          <w:tcPr>
            <w:tcW w:w="3000" w:type="dxa"/>
            <w:tcBorders>
              <w:top w:val="nil"/>
              <w:left w:val="nil"/>
              <w:bottom w:val="single" w:color="auto" w:sz="8" w:space="0"/>
              <w:right w:val="single" w:color="auto" w:sz="8" w:space="0"/>
            </w:tcBorders>
            <w:shd w:val="clear" w:color="auto" w:fill="auto"/>
            <w:vAlign w:val="bottom"/>
          </w:tcPr>
          <w:p>
            <w:pPr>
              <w:widowControl/>
              <w:jc w:val="right"/>
              <w:rPr>
                <w:rFonts w:ascii="宋体" w:hAnsi="宋体" w:eastAsia="宋体" w:cs="Times New Roman"/>
                <w:b/>
                <w:kern w:val="0"/>
                <w:sz w:val="22"/>
              </w:rPr>
            </w:pPr>
          </w:p>
        </w:tc>
      </w:tr>
      <w:tr>
        <w:tblPrEx>
          <w:tblLayout w:type="fixed"/>
          <w:tblCellMar>
            <w:top w:w="0" w:type="dxa"/>
            <w:left w:w="108" w:type="dxa"/>
            <w:bottom w:w="0" w:type="dxa"/>
            <w:right w:w="108" w:type="dxa"/>
          </w:tblCellMar>
        </w:tblPrEx>
        <w:trPr>
          <w:trHeight w:val="33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2210201</w:t>
            </w:r>
          </w:p>
        </w:tc>
        <w:tc>
          <w:tcPr>
            <w:tcW w:w="4023" w:type="dxa"/>
            <w:tcBorders>
              <w:top w:val="nil"/>
              <w:left w:val="nil"/>
              <w:bottom w:val="single" w:color="auto" w:sz="8" w:space="0"/>
              <w:right w:val="single" w:color="auto" w:sz="4" w:space="0"/>
            </w:tcBorders>
            <w:shd w:val="clear" w:color="auto" w:fill="auto"/>
            <w:vAlign w:val="center"/>
          </w:tcPr>
          <w:p>
            <w:pPr>
              <w:rPr>
                <w:rFonts w:ascii="宋体" w:hAnsi="宋体" w:eastAsia="宋体" w:cs="Arial"/>
                <w:sz w:val="22"/>
              </w:rPr>
            </w:pPr>
            <w:r>
              <w:rPr>
                <w:rFonts w:hint="eastAsia" w:ascii="宋体" w:hAnsi="宋体" w:eastAsia="宋体" w:cs="Arial"/>
                <w:sz w:val="22"/>
              </w:rPr>
              <w:t xml:space="preserve">  住房公积金</w:t>
            </w:r>
          </w:p>
        </w:tc>
        <w:tc>
          <w:tcPr>
            <w:tcW w:w="2504"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Times New Roman"/>
                <w:kern w:val="0"/>
                <w:sz w:val="22"/>
              </w:rPr>
            </w:pPr>
            <w:r>
              <w:rPr>
                <w:rFonts w:ascii="宋体" w:hAnsi="宋体" w:eastAsia="宋体" w:cs="Times New Roman"/>
                <w:kern w:val="0"/>
                <w:sz w:val="22"/>
              </w:rPr>
              <w:t xml:space="preserve">150.00 </w:t>
            </w:r>
          </w:p>
        </w:tc>
        <w:tc>
          <w:tcPr>
            <w:tcW w:w="3492"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Times New Roman"/>
                <w:kern w:val="0"/>
                <w:sz w:val="22"/>
              </w:rPr>
            </w:pPr>
            <w:r>
              <w:rPr>
                <w:rFonts w:ascii="宋体" w:hAnsi="宋体" w:eastAsia="宋体" w:cs="Times New Roman"/>
                <w:kern w:val="0"/>
                <w:sz w:val="22"/>
              </w:rPr>
              <w:t xml:space="preserve">150.00 </w:t>
            </w:r>
          </w:p>
        </w:tc>
        <w:tc>
          <w:tcPr>
            <w:tcW w:w="3000" w:type="dxa"/>
            <w:tcBorders>
              <w:top w:val="nil"/>
              <w:left w:val="nil"/>
              <w:bottom w:val="single" w:color="auto" w:sz="8" w:space="0"/>
              <w:right w:val="single" w:color="auto" w:sz="8" w:space="0"/>
            </w:tcBorders>
            <w:shd w:val="clear" w:color="auto" w:fill="auto"/>
            <w:vAlign w:val="bottom"/>
          </w:tcPr>
          <w:p>
            <w:pPr>
              <w:widowControl/>
              <w:jc w:val="right"/>
              <w:rPr>
                <w:rFonts w:ascii="宋体" w:hAnsi="宋体" w:eastAsia="宋体" w:cs="Times New Roman"/>
                <w:kern w:val="0"/>
                <w:sz w:val="22"/>
              </w:rPr>
            </w:pP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宋体" w:hAnsi="宋体" w:eastAsia="宋体" w:cs="Times New Roman"/>
                <w:kern w:val="0"/>
                <w:szCs w:val="21"/>
              </w:rPr>
            </w:pPr>
            <w:r>
              <w:rPr>
                <w:rFonts w:ascii="宋体" w:hAnsi="宋体" w:eastAsia="宋体"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tbl>
      <w:tblPr>
        <w:tblStyle w:val="6"/>
        <w:tblW w:w="15614" w:type="dxa"/>
        <w:tblInd w:w="0" w:type="dxa"/>
        <w:tblLayout w:type="fixed"/>
        <w:tblCellMar>
          <w:top w:w="0" w:type="dxa"/>
          <w:left w:w="108" w:type="dxa"/>
          <w:bottom w:w="0" w:type="dxa"/>
          <w:right w:w="108" w:type="dxa"/>
        </w:tblCellMar>
      </w:tblPr>
      <w:tblGrid>
        <w:gridCol w:w="1213"/>
        <w:gridCol w:w="3489"/>
        <w:gridCol w:w="1682"/>
        <w:gridCol w:w="1228"/>
        <w:gridCol w:w="2222"/>
        <w:gridCol w:w="1804"/>
        <w:gridCol w:w="1332"/>
        <w:gridCol w:w="1705"/>
        <w:gridCol w:w="69"/>
        <w:gridCol w:w="870"/>
      </w:tblGrid>
      <w:tr>
        <w:tblPrEx>
          <w:tblLayout w:type="fixed"/>
          <w:tblCellMar>
            <w:top w:w="0" w:type="dxa"/>
            <w:left w:w="108" w:type="dxa"/>
            <w:bottom w:w="0" w:type="dxa"/>
            <w:right w:w="108" w:type="dxa"/>
          </w:tblCellMar>
        </w:tblPrEx>
        <w:trPr>
          <w:trHeight w:val="113" w:hRule="atLeast"/>
        </w:trPr>
        <w:tc>
          <w:tcPr>
            <w:tcW w:w="15614"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1" w:name="RANGE!A1:I34"/>
          </w:p>
          <w:p>
            <w:pPr>
              <w:widowControl/>
              <w:jc w:val="center"/>
              <w:rPr>
                <w:rFonts w:hint="eastAsia" w:ascii="华文中宋" w:hAnsi="华文中宋" w:eastAsia="华文中宋" w:cs="宋体"/>
                <w:color w:val="000000"/>
                <w:kern w:val="0"/>
                <w:sz w:val="36"/>
                <w:szCs w:val="36"/>
              </w:rPr>
            </w:pPr>
          </w:p>
          <w:p>
            <w:pPr>
              <w:widowControl/>
              <w:jc w:val="center"/>
              <w:rPr>
                <w:rFonts w:ascii="华文中宋" w:hAnsi="华文中宋" w:eastAsia="华文中宋" w:cs="宋体"/>
                <w:color w:val="000000"/>
                <w:kern w:val="0"/>
                <w:sz w:val="36"/>
                <w:szCs w:val="36"/>
              </w:rPr>
            </w:pPr>
            <w:r>
              <w:rPr>
                <w:rFonts w:hint="eastAsia" w:ascii="华文中宋" w:hAnsi="华文中宋" w:eastAsia="华文中宋" w:cs="宋体"/>
                <w:color w:val="000000"/>
                <w:kern w:val="0"/>
                <w:sz w:val="36"/>
                <w:szCs w:val="36"/>
              </w:rPr>
              <w:t>六、一般公共预算财政拨款基本支出决算表</w:t>
            </w:r>
            <w:bookmarkEnd w:id="1"/>
          </w:p>
          <w:p>
            <w:pPr>
              <w:widowControl/>
              <w:rPr>
                <w:rFonts w:ascii="Times New Roman" w:hAnsi="Times New Roman" w:eastAsia="仿宋_GB2312" w:cs="Times New Roman"/>
                <w:color w:val="000000"/>
                <w:kern w:val="0"/>
                <w:szCs w:val="21"/>
              </w:rPr>
            </w:pPr>
            <w:r>
              <w:rPr>
                <w:rFonts w:cs="Times New Roman" w:asciiTheme="minorEastAsia" w:hAnsiTheme="minorEastAsia"/>
                <w:color w:val="000000"/>
                <w:kern w:val="0"/>
                <w:szCs w:val="21"/>
              </w:rPr>
              <w:t>部门：</w:t>
            </w:r>
            <w:r>
              <w:rPr>
                <w:rFonts w:hint="eastAsia" w:cs="Times New Roman" w:asciiTheme="minorEastAsia" w:hAnsiTheme="minorEastAsia"/>
                <w:color w:val="000000"/>
                <w:kern w:val="0"/>
                <w:szCs w:val="21"/>
              </w:rPr>
              <w:t xml:space="preserve">湖南省体操运动管理中心  </w:t>
            </w:r>
            <w:r>
              <w:rPr>
                <w:rFonts w:hint="eastAsia" w:ascii="Times New Roman" w:hAnsi="Times New Roman" w:eastAsia="仿宋_GB2312" w:cs="Times New Roman"/>
                <w:color w:val="000000"/>
                <w:kern w:val="0"/>
                <w:szCs w:val="21"/>
              </w:rPr>
              <w:t xml:space="preserve">                                                                                                            公开06表</w:t>
            </w:r>
          </w:p>
          <w:p>
            <w:pPr>
              <w:widowControl/>
              <w:ind w:firstLine="7140" w:firstLineChars="3400"/>
              <w:jc w:val="lef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202</w:t>
            </w:r>
            <w:r>
              <w:rPr>
                <w:rFonts w:hint="eastAsia" w:ascii="Times New Roman" w:hAnsi="Times New Roman" w:eastAsia="仿宋_GB2312" w:cs="Times New Roman"/>
                <w:color w:val="000000"/>
                <w:kern w:val="0"/>
                <w:szCs w:val="21"/>
                <w:lang w:val="en-US" w:eastAsia="zh-CN"/>
              </w:rPr>
              <w:t>1</w:t>
            </w:r>
            <w:r>
              <w:rPr>
                <w:rFonts w:hint="eastAsia" w:ascii="Times New Roman" w:hAnsi="Times New Roman" w:eastAsia="仿宋_GB2312" w:cs="Times New Roman"/>
                <w:color w:val="000000"/>
                <w:kern w:val="0"/>
                <w:szCs w:val="21"/>
              </w:rPr>
              <w:t>年度                                                            单位：万元</w:t>
            </w:r>
          </w:p>
        </w:tc>
      </w:tr>
      <w:tr>
        <w:tblPrEx>
          <w:tblLayout w:type="fixed"/>
          <w:tblCellMar>
            <w:top w:w="0" w:type="dxa"/>
            <w:left w:w="108" w:type="dxa"/>
            <w:bottom w:w="0" w:type="dxa"/>
            <w:right w:w="108" w:type="dxa"/>
          </w:tblCellMar>
        </w:tblPrEx>
        <w:trPr>
          <w:trHeight w:val="113" w:hRule="atLeast"/>
        </w:trPr>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4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22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2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80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33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177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1,788.00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194.95</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692.20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2.99</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44.35</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295.00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366.62</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1.39</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110.00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54.38</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3.29</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96.00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26.43</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24.00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9.71</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150.00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9.83</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9.59</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39.00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30216</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15.60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0.05</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10.72</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1.18</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28.85</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32.00</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87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5.61</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vMerge w:val="restart"/>
            <w:tcBorders>
              <w:top w:val="nil"/>
              <w:left w:val="nil"/>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1774" w:type="dxa"/>
            <w:gridSpan w:val="2"/>
            <w:vMerge w:val="restart"/>
            <w:tcBorders>
              <w:top w:val="nil"/>
              <w:left w:val="nil"/>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870" w:type="dxa"/>
            <w:vMerge w:val="restart"/>
            <w:tcBorders>
              <w:top w:val="nil"/>
              <w:left w:val="nil"/>
              <w:right w:val="single" w:color="auto" w:sz="4" w:space="0"/>
            </w:tcBorders>
            <w:shd w:val="clear" w:color="auto" w:fill="auto"/>
            <w:noWrap/>
            <w:vAlign w:val="center"/>
          </w:tcPr>
          <w:p>
            <w:pPr>
              <w:widowControl/>
              <w:jc w:val="righ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0.80</w:t>
            </w:r>
          </w:p>
        </w:tc>
        <w:tc>
          <w:tcPr>
            <w:tcW w:w="1332"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p>
        </w:tc>
        <w:tc>
          <w:tcPr>
            <w:tcW w:w="1774" w:type="dxa"/>
            <w:gridSpan w:val="2"/>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p>
        </w:tc>
        <w:tc>
          <w:tcPr>
            <w:tcW w:w="870"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2.00</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5.90</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xml:space="preserve">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Layout w:type="fixed"/>
          <w:tblCellMar>
            <w:top w:w="0" w:type="dxa"/>
            <w:left w:w="108" w:type="dxa"/>
            <w:bottom w:w="0" w:type="dxa"/>
            <w:right w:w="108" w:type="dxa"/>
          </w:tblCellMar>
        </w:tblPrEx>
        <w:trPr>
          <w:trHeight w:val="284" w:hRule="exact"/>
        </w:trPr>
        <w:tc>
          <w:tcPr>
            <w:tcW w:w="121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　</w:t>
            </w:r>
          </w:p>
        </w:tc>
        <w:tc>
          <w:tcPr>
            <w:tcW w:w="122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2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80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23.48</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77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Layout w:type="fixed"/>
          <w:tblCellMar>
            <w:top w:w="0" w:type="dxa"/>
            <w:left w:w="108" w:type="dxa"/>
            <w:bottom w:w="0" w:type="dxa"/>
            <w:right w:w="108" w:type="dxa"/>
          </w:tblCellMar>
        </w:tblPrEx>
        <w:trPr>
          <w:trHeight w:val="284" w:hRule="exact"/>
        </w:trPr>
        <w:tc>
          <w:tcPr>
            <w:tcW w:w="470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68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ascii="宋体" w:hAnsi="宋体" w:eastAsia="宋体" w:cs="Arial"/>
                <w:szCs w:val="21"/>
              </w:rPr>
              <w:t xml:space="preserve">2,184.49 </w:t>
            </w:r>
          </w:p>
          <w:p>
            <w:pPr>
              <w:widowControl/>
              <w:jc w:val="right"/>
              <w:rPr>
                <w:rFonts w:ascii="宋体" w:hAnsi="宋体" w:eastAsia="宋体" w:cs="Arial"/>
                <w:szCs w:val="21"/>
              </w:rPr>
            </w:pPr>
            <w:r>
              <w:rPr>
                <w:rFonts w:hint="eastAsia" w:ascii="宋体" w:hAnsi="宋体" w:eastAsia="宋体" w:cs="Arial"/>
                <w:szCs w:val="21"/>
              </w:rPr>
              <w:t>　21,844,900.00</w:t>
            </w:r>
          </w:p>
        </w:tc>
        <w:tc>
          <w:tcPr>
            <w:tcW w:w="829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93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Cs w:val="21"/>
              </w:rPr>
            </w:pPr>
            <w:r>
              <w:rPr>
                <w:rFonts w:hint="eastAsia" w:ascii="宋体" w:hAnsi="宋体" w:eastAsia="宋体" w:cs="Arial"/>
                <w:szCs w:val="21"/>
              </w:rPr>
              <w:t>194.95</w:t>
            </w:r>
          </w:p>
        </w:tc>
      </w:tr>
      <w:tr>
        <w:tblPrEx>
          <w:tblLayout w:type="fixed"/>
          <w:tblCellMar>
            <w:top w:w="0" w:type="dxa"/>
            <w:left w:w="108" w:type="dxa"/>
            <w:bottom w:w="0" w:type="dxa"/>
            <w:right w:w="108" w:type="dxa"/>
          </w:tblCellMar>
        </w:tblPrEx>
        <w:trPr>
          <w:trHeight w:val="284" w:hRule="exact"/>
        </w:trPr>
        <w:tc>
          <w:tcPr>
            <w:tcW w:w="15614" w:type="dxa"/>
            <w:gridSpan w:val="10"/>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p>
            <w:pPr>
              <w:widowControl/>
              <w:jc w:val="left"/>
              <w:rPr>
                <w:rFonts w:ascii="宋体" w:hAnsi="宋体" w:eastAsia="宋体" w:cs="宋体"/>
                <w:color w:val="000000"/>
                <w:kern w:val="0"/>
                <w:szCs w:val="24"/>
              </w:rPr>
            </w:pPr>
          </w:p>
          <w:p>
            <w:pPr>
              <w:widowControl/>
              <w:jc w:val="left"/>
              <w:rPr>
                <w:rFonts w:ascii="宋体" w:hAnsi="宋体" w:eastAsia="宋体" w:cs="宋体"/>
                <w:color w:val="000000"/>
                <w:kern w:val="0"/>
                <w:szCs w:val="24"/>
              </w:rPr>
            </w:pPr>
          </w:p>
        </w:tc>
      </w:tr>
    </w:tbl>
    <w:p>
      <w:pPr>
        <w:widowControl/>
        <w:jc w:val="center"/>
        <w:rPr>
          <w:rFonts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both"/>
        <w:rPr>
          <w:rFonts w:hint="eastAsia"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七、一般公共预算财政拨款“三公”经费支出决算表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 xml:space="preserve">湖南省体操运动管理中心                                                                                                         </w:t>
      </w:r>
      <w:r>
        <w:rPr>
          <w:rFonts w:ascii="Times New Roman" w:hAnsi="Times New Roman" w:eastAsia="仿宋_GB2312" w:cs="Times New Roman"/>
          <w:color w:val="000000"/>
          <w:kern w:val="0"/>
          <w:szCs w:val="21"/>
        </w:rPr>
        <w:t>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firstLine="7035" w:firstLineChars="3350"/>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2021年度                                                         </w:t>
      </w:r>
      <w:r>
        <w:rPr>
          <w:rFonts w:ascii="Times New Roman" w:hAnsi="Times New Roman" w:eastAsia="仿宋_GB2312" w:cs="Times New Roman"/>
          <w:color w:val="000000"/>
          <w:kern w:val="0"/>
          <w:szCs w:val="21"/>
        </w:rPr>
        <w:t>单位：万元</w:t>
      </w:r>
    </w:p>
    <w:tbl>
      <w:tblPr>
        <w:tblStyle w:val="6"/>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0.9</w:t>
            </w:r>
            <w:r>
              <w:rPr>
                <w:rFonts w:ascii="仿宋" w:hAnsi="仿宋" w:eastAsia="仿宋" w:cs="Arial"/>
                <w:szCs w:val="21"/>
              </w:rPr>
              <w:t xml:space="preserve"> </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ascii="仿宋" w:hAnsi="仿宋" w:eastAsia="仿宋" w:cs="Arial"/>
                <w:szCs w:val="21"/>
              </w:rPr>
              <w:t xml:space="preserve"> </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0.80</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ascii="仿宋" w:hAnsi="仿宋" w:eastAsia="仿宋" w:cs="Arial"/>
                <w:szCs w:val="21"/>
              </w:rPr>
              <w:t xml:space="preserve"> </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0.8</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0.1</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0.85</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 xml:space="preserve"> </w:t>
            </w:r>
            <w:r>
              <w:rPr>
                <w:rFonts w:ascii="仿宋" w:hAnsi="仿宋" w:eastAsia="仿宋" w:cs="Arial"/>
                <w:szCs w:val="21"/>
              </w:rPr>
              <w:t xml:space="preserve"> </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0.80</w:t>
            </w:r>
            <w:r>
              <w:rPr>
                <w:rFonts w:ascii="仿宋" w:hAnsi="仿宋" w:eastAsia="仿宋" w:cs="Arial"/>
                <w:szCs w:val="21"/>
              </w:rPr>
              <w:t xml:space="preserve"> </w:t>
            </w:r>
          </w:p>
        </w:tc>
        <w:tc>
          <w:tcPr>
            <w:tcW w:w="1220" w:type="dxa"/>
            <w:tcBorders>
              <w:top w:val="nil"/>
              <w:left w:val="nil"/>
              <w:bottom w:val="single" w:color="auto" w:sz="8" w:space="0"/>
              <w:right w:val="single" w:color="auto" w:sz="4" w:space="0"/>
            </w:tcBorders>
            <w:shd w:val="clear" w:color="auto" w:fill="auto"/>
            <w:vAlign w:val="bottom"/>
          </w:tcPr>
          <w:p>
            <w:pPr>
              <w:jc w:val="right"/>
              <w:rPr>
                <w:rFonts w:ascii="仿宋" w:hAnsi="仿宋" w:eastAsia="仿宋" w:cs="Arial"/>
                <w:szCs w:val="21"/>
              </w:rPr>
            </w:pPr>
            <w:r>
              <w:rPr>
                <w:rFonts w:ascii="仿宋" w:hAnsi="仿宋" w:eastAsia="仿宋" w:cs="Arial"/>
                <w:szCs w:val="21"/>
              </w:rPr>
              <w:t xml:space="preserve"> </w:t>
            </w:r>
          </w:p>
        </w:tc>
        <w:tc>
          <w:tcPr>
            <w:tcW w:w="1220" w:type="dxa"/>
            <w:tcBorders>
              <w:top w:val="nil"/>
              <w:left w:val="nil"/>
              <w:bottom w:val="single" w:color="auto" w:sz="8" w:space="0"/>
              <w:right w:val="nil"/>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0.8</w:t>
            </w:r>
          </w:p>
        </w:tc>
        <w:tc>
          <w:tcPr>
            <w:tcW w:w="1220" w:type="dxa"/>
            <w:tcBorders>
              <w:top w:val="nil"/>
              <w:left w:val="single" w:color="auto" w:sz="4" w:space="0"/>
              <w:bottom w:val="single" w:color="auto" w:sz="8" w:space="0"/>
              <w:right w:val="single" w:color="auto" w:sz="8" w:space="0"/>
            </w:tcBorders>
            <w:shd w:val="clear" w:color="auto" w:fill="auto"/>
            <w:vAlign w:val="bottom"/>
          </w:tcPr>
          <w:p>
            <w:pPr>
              <w:jc w:val="right"/>
              <w:rPr>
                <w:rFonts w:ascii="仿宋" w:hAnsi="仿宋" w:eastAsia="仿宋" w:cs="Arial"/>
                <w:szCs w:val="21"/>
              </w:rPr>
            </w:pPr>
            <w:r>
              <w:rPr>
                <w:rFonts w:hint="eastAsia" w:ascii="仿宋" w:hAnsi="仿宋" w:eastAsia="仿宋" w:cs="Arial"/>
                <w:szCs w:val="21"/>
              </w:rPr>
              <w:t>0.05</w:t>
            </w:r>
          </w:p>
        </w:tc>
      </w:tr>
    </w:tbl>
    <w:p>
      <w:pPr>
        <w:widowControl/>
        <w:jc w:val="left"/>
        <w:rPr>
          <w:rFonts w:ascii="宋体" w:eastAsia="宋体" w:cs="宋体"/>
          <w:kern w:val="0"/>
          <w:szCs w:val="21"/>
        </w:rPr>
      </w:pPr>
      <w:r>
        <w:rPr>
          <w:rFonts w:hint="eastAsia" w:ascii="宋体" w:eastAsia="宋体" w:cs="宋体"/>
          <w:kern w:val="0"/>
          <w:szCs w:val="21"/>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Cs w:val="21"/>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hint="eastAsia" w:ascii="Times New Roman" w:hAnsi="Times New Roman" w:eastAsia="方正小标宋_GBK" w:cs="Times New Roman"/>
          <w:kern w:val="0"/>
          <w:sz w:val="36"/>
          <w:szCs w:val="36"/>
        </w:rPr>
        <w:t>八、</w:t>
      </w:r>
      <w:r>
        <w:rPr>
          <w:rFonts w:ascii="Times New Roman" w:hAnsi="Times New Roman" w:eastAsia="方正小标宋_GBK" w:cs="Times New Roman"/>
          <w:kern w:val="0"/>
          <w:sz w:val="36"/>
          <w:szCs w:val="36"/>
        </w:rPr>
        <w:t>政府性基金预算财政拨款收入支出决算表</w:t>
      </w:r>
    </w:p>
    <w:p>
      <w:pPr>
        <w:widowControl/>
        <w:rPr>
          <w:rFonts w:cs="Times New Roman" w:asciiTheme="minorEastAsia" w:hAnsiTheme="minorEastAsia"/>
          <w:color w:val="000000"/>
          <w:kern w:val="0"/>
          <w:sz w:val="22"/>
        </w:rPr>
      </w:pPr>
      <w:r>
        <w:rPr>
          <w:rFonts w:cs="Times New Roman" w:asciiTheme="minorEastAsia" w:hAnsiTheme="minorEastAsia"/>
          <w:color w:val="000000"/>
          <w:kern w:val="0"/>
          <w:sz w:val="22"/>
        </w:rPr>
        <w:t>部门：</w:t>
      </w:r>
      <w:r>
        <w:rPr>
          <w:rFonts w:hint="eastAsia" w:cs="Times New Roman" w:asciiTheme="minorEastAsia" w:hAnsiTheme="minorEastAsia"/>
          <w:color w:val="000000"/>
          <w:kern w:val="0"/>
          <w:sz w:val="22"/>
        </w:rPr>
        <w:t xml:space="preserve">湖南省体操运动管理中心                                                                                                       </w:t>
      </w:r>
      <w:r>
        <w:rPr>
          <w:rFonts w:cs="Times New Roman" w:asciiTheme="minorEastAsia" w:hAnsiTheme="minorEastAsia"/>
          <w:color w:val="000000"/>
          <w:kern w:val="0"/>
          <w:sz w:val="22"/>
        </w:rPr>
        <w:t>公开08表</w:t>
      </w:r>
    </w:p>
    <w:p>
      <w:pPr>
        <w:widowControl/>
        <w:ind w:firstLine="7700" w:firstLineChars="3500"/>
        <w:rPr>
          <w:rFonts w:cs="Times New Roman" w:asciiTheme="minorEastAsia" w:hAnsiTheme="minorEastAsia"/>
          <w:color w:val="000000"/>
          <w:kern w:val="0"/>
          <w:sz w:val="22"/>
        </w:rPr>
      </w:pPr>
      <w:r>
        <w:rPr>
          <w:rFonts w:hint="eastAsia" w:cs="Times New Roman" w:asciiTheme="minorEastAsia" w:hAnsiTheme="minorEastAsia"/>
          <w:color w:val="000000"/>
          <w:kern w:val="0"/>
          <w:sz w:val="22"/>
        </w:rPr>
        <w:t xml:space="preserve">2021年度                                                    </w:t>
      </w:r>
      <w:r>
        <w:rPr>
          <w:rFonts w:cs="Times New Roman" w:asciiTheme="minorEastAsia" w:hAnsiTheme="minorEastAsia"/>
          <w:color w:val="000000"/>
          <w:kern w:val="0"/>
          <w:sz w:val="22"/>
        </w:rPr>
        <w:t>单位：万元</w:t>
      </w:r>
    </w:p>
    <w:tbl>
      <w:tblPr>
        <w:tblStyle w:val="6"/>
        <w:tblW w:w="1499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4"/>
        <w:gridCol w:w="3854"/>
        <w:gridCol w:w="1984"/>
        <w:gridCol w:w="1701"/>
        <w:gridCol w:w="1418"/>
        <w:gridCol w:w="1417"/>
        <w:gridCol w:w="1418"/>
        <w:gridCol w:w="21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0" w:hRule="atLeast"/>
        </w:trPr>
        <w:tc>
          <w:tcPr>
            <w:tcW w:w="4928" w:type="dxa"/>
            <w:gridSpan w:val="2"/>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项目</w:t>
            </w:r>
          </w:p>
        </w:tc>
        <w:tc>
          <w:tcPr>
            <w:tcW w:w="1984" w:type="dxa"/>
            <w:vMerge w:val="restart"/>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年初结转和结余</w:t>
            </w:r>
          </w:p>
        </w:tc>
        <w:tc>
          <w:tcPr>
            <w:tcW w:w="1701" w:type="dxa"/>
            <w:vMerge w:val="restart"/>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本年收入</w:t>
            </w:r>
          </w:p>
        </w:tc>
        <w:tc>
          <w:tcPr>
            <w:tcW w:w="4253" w:type="dxa"/>
            <w:gridSpan w:val="3"/>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本年支出</w:t>
            </w:r>
          </w:p>
        </w:tc>
        <w:tc>
          <w:tcPr>
            <w:tcW w:w="2126" w:type="dxa"/>
            <w:vMerge w:val="restart"/>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vMerge w:val="restart"/>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功能分类科目编码</w:t>
            </w:r>
          </w:p>
        </w:tc>
        <w:tc>
          <w:tcPr>
            <w:tcW w:w="3854" w:type="dxa"/>
            <w:vMerge w:val="restart"/>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科目名称</w:t>
            </w:r>
          </w:p>
        </w:tc>
        <w:tc>
          <w:tcPr>
            <w:tcW w:w="1984" w:type="dxa"/>
            <w:vMerge w:val="continue"/>
            <w:vAlign w:val="center"/>
          </w:tcPr>
          <w:p>
            <w:pPr>
              <w:widowControl/>
              <w:jc w:val="left"/>
              <w:rPr>
                <w:rFonts w:cs="Times New Roman" w:asciiTheme="minorEastAsia" w:hAnsiTheme="minorEastAsia"/>
                <w:b/>
                <w:kern w:val="0"/>
                <w:sz w:val="22"/>
              </w:rPr>
            </w:pPr>
          </w:p>
        </w:tc>
        <w:tc>
          <w:tcPr>
            <w:tcW w:w="1701" w:type="dxa"/>
            <w:vMerge w:val="continue"/>
            <w:vAlign w:val="center"/>
          </w:tcPr>
          <w:p>
            <w:pPr>
              <w:widowControl/>
              <w:jc w:val="left"/>
              <w:rPr>
                <w:rFonts w:cs="Times New Roman" w:asciiTheme="minorEastAsia" w:hAnsiTheme="minorEastAsia"/>
                <w:b/>
                <w:kern w:val="0"/>
                <w:sz w:val="22"/>
              </w:rPr>
            </w:pPr>
          </w:p>
        </w:tc>
        <w:tc>
          <w:tcPr>
            <w:tcW w:w="1418" w:type="dxa"/>
            <w:vMerge w:val="restart"/>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小计</w:t>
            </w:r>
          </w:p>
        </w:tc>
        <w:tc>
          <w:tcPr>
            <w:tcW w:w="1417" w:type="dxa"/>
            <w:vMerge w:val="restart"/>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基本支出</w:t>
            </w:r>
          </w:p>
        </w:tc>
        <w:tc>
          <w:tcPr>
            <w:tcW w:w="1418" w:type="dxa"/>
            <w:vMerge w:val="restart"/>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项目支出</w:t>
            </w:r>
          </w:p>
        </w:tc>
        <w:tc>
          <w:tcPr>
            <w:tcW w:w="2126" w:type="dxa"/>
            <w:vMerge w:val="continue"/>
            <w:vAlign w:val="center"/>
          </w:tcPr>
          <w:p>
            <w:pPr>
              <w:widowControl/>
              <w:jc w:val="left"/>
              <w:rPr>
                <w:rFonts w:cs="Times New Roman" w:asciiTheme="minorEastAsia" w:hAnsiTheme="minorEastAsia"/>
                <w:b/>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vMerge w:val="continue"/>
            <w:vAlign w:val="center"/>
          </w:tcPr>
          <w:p>
            <w:pPr>
              <w:widowControl/>
              <w:jc w:val="left"/>
              <w:rPr>
                <w:rFonts w:cs="Times New Roman" w:asciiTheme="minorEastAsia" w:hAnsiTheme="minorEastAsia"/>
                <w:kern w:val="0"/>
                <w:sz w:val="22"/>
              </w:rPr>
            </w:pPr>
          </w:p>
        </w:tc>
        <w:tc>
          <w:tcPr>
            <w:tcW w:w="3854" w:type="dxa"/>
            <w:vMerge w:val="continue"/>
            <w:vAlign w:val="center"/>
          </w:tcPr>
          <w:p>
            <w:pPr>
              <w:widowControl/>
              <w:jc w:val="left"/>
              <w:rPr>
                <w:rFonts w:cs="Times New Roman" w:asciiTheme="minorEastAsia" w:hAnsiTheme="minorEastAsia"/>
                <w:kern w:val="0"/>
                <w:sz w:val="22"/>
              </w:rPr>
            </w:pPr>
          </w:p>
        </w:tc>
        <w:tc>
          <w:tcPr>
            <w:tcW w:w="1984" w:type="dxa"/>
            <w:vMerge w:val="continue"/>
            <w:vAlign w:val="center"/>
          </w:tcPr>
          <w:p>
            <w:pPr>
              <w:widowControl/>
              <w:jc w:val="left"/>
              <w:rPr>
                <w:rFonts w:cs="Times New Roman" w:asciiTheme="minorEastAsia" w:hAnsiTheme="minorEastAsia"/>
                <w:kern w:val="0"/>
                <w:sz w:val="22"/>
              </w:rPr>
            </w:pPr>
          </w:p>
        </w:tc>
        <w:tc>
          <w:tcPr>
            <w:tcW w:w="1701" w:type="dxa"/>
            <w:vMerge w:val="continue"/>
            <w:vAlign w:val="center"/>
          </w:tcPr>
          <w:p>
            <w:pPr>
              <w:widowControl/>
              <w:jc w:val="left"/>
              <w:rPr>
                <w:rFonts w:cs="Times New Roman" w:asciiTheme="minorEastAsia" w:hAnsiTheme="minorEastAsia"/>
                <w:kern w:val="0"/>
                <w:sz w:val="22"/>
              </w:rPr>
            </w:pPr>
          </w:p>
        </w:tc>
        <w:tc>
          <w:tcPr>
            <w:tcW w:w="1418" w:type="dxa"/>
            <w:vMerge w:val="continue"/>
            <w:vAlign w:val="center"/>
          </w:tcPr>
          <w:p>
            <w:pPr>
              <w:widowControl/>
              <w:jc w:val="left"/>
              <w:rPr>
                <w:rFonts w:cs="Times New Roman" w:asciiTheme="minorEastAsia" w:hAnsiTheme="minorEastAsia"/>
                <w:kern w:val="0"/>
                <w:sz w:val="22"/>
              </w:rPr>
            </w:pPr>
          </w:p>
        </w:tc>
        <w:tc>
          <w:tcPr>
            <w:tcW w:w="1417" w:type="dxa"/>
            <w:vMerge w:val="continue"/>
            <w:vAlign w:val="center"/>
          </w:tcPr>
          <w:p>
            <w:pPr>
              <w:widowControl/>
              <w:jc w:val="left"/>
              <w:rPr>
                <w:rFonts w:cs="Times New Roman" w:asciiTheme="minorEastAsia" w:hAnsiTheme="minorEastAsia"/>
                <w:kern w:val="0"/>
                <w:sz w:val="22"/>
              </w:rPr>
            </w:pPr>
          </w:p>
        </w:tc>
        <w:tc>
          <w:tcPr>
            <w:tcW w:w="1418" w:type="dxa"/>
            <w:vMerge w:val="continue"/>
            <w:vAlign w:val="center"/>
          </w:tcPr>
          <w:p>
            <w:pPr>
              <w:widowControl/>
              <w:jc w:val="left"/>
              <w:rPr>
                <w:rFonts w:cs="Times New Roman" w:asciiTheme="minorEastAsia" w:hAnsiTheme="minorEastAsia"/>
                <w:kern w:val="0"/>
                <w:sz w:val="22"/>
              </w:rPr>
            </w:pPr>
          </w:p>
        </w:tc>
        <w:tc>
          <w:tcPr>
            <w:tcW w:w="2126" w:type="dxa"/>
            <w:vMerge w:val="continue"/>
            <w:vAlign w:val="center"/>
          </w:tcPr>
          <w:p>
            <w:pPr>
              <w:widowControl/>
              <w:jc w:val="left"/>
              <w:rPr>
                <w:rFonts w:cs="Times New Roman" w:asciiTheme="minorEastAsia" w:hAnsiTheme="minorEastAsia"/>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vMerge w:val="continue"/>
            <w:vAlign w:val="center"/>
          </w:tcPr>
          <w:p>
            <w:pPr>
              <w:widowControl/>
              <w:jc w:val="left"/>
              <w:rPr>
                <w:rFonts w:cs="Times New Roman" w:asciiTheme="minorEastAsia" w:hAnsiTheme="minorEastAsia"/>
                <w:kern w:val="0"/>
                <w:sz w:val="22"/>
              </w:rPr>
            </w:pPr>
          </w:p>
        </w:tc>
        <w:tc>
          <w:tcPr>
            <w:tcW w:w="3854" w:type="dxa"/>
            <w:vMerge w:val="continue"/>
            <w:vAlign w:val="center"/>
          </w:tcPr>
          <w:p>
            <w:pPr>
              <w:widowControl/>
              <w:jc w:val="left"/>
              <w:rPr>
                <w:rFonts w:cs="Times New Roman" w:asciiTheme="minorEastAsia" w:hAnsiTheme="minorEastAsia"/>
                <w:kern w:val="0"/>
                <w:sz w:val="22"/>
              </w:rPr>
            </w:pPr>
          </w:p>
        </w:tc>
        <w:tc>
          <w:tcPr>
            <w:tcW w:w="1984" w:type="dxa"/>
            <w:vMerge w:val="continue"/>
            <w:vAlign w:val="center"/>
          </w:tcPr>
          <w:p>
            <w:pPr>
              <w:widowControl/>
              <w:jc w:val="left"/>
              <w:rPr>
                <w:rFonts w:cs="Times New Roman" w:asciiTheme="minorEastAsia" w:hAnsiTheme="minorEastAsia"/>
                <w:kern w:val="0"/>
                <w:sz w:val="22"/>
              </w:rPr>
            </w:pPr>
          </w:p>
        </w:tc>
        <w:tc>
          <w:tcPr>
            <w:tcW w:w="1701" w:type="dxa"/>
            <w:vMerge w:val="continue"/>
            <w:vAlign w:val="center"/>
          </w:tcPr>
          <w:p>
            <w:pPr>
              <w:widowControl/>
              <w:jc w:val="left"/>
              <w:rPr>
                <w:rFonts w:cs="Times New Roman" w:asciiTheme="minorEastAsia" w:hAnsiTheme="minorEastAsia"/>
                <w:kern w:val="0"/>
                <w:sz w:val="22"/>
              </w:rPr>
            </w:pPr>
          </w:p>
        </w:tc>
        <w:tc>
          <w:tcPr>
            <w:tcW w:w="1418" w:type="dxa"/>
            <w:vMerge w:val="continue"/>
            <w:vAlign w:val="center"/>
          </w:tcPr>
          <w:p>
            <w:pPr>
              <w:widowControl/>
              <w:jc w:val="left"/>
              <w:rPr>
                <w:rFonts w:cs="Times New Roman" w:asciiTheme="minorEastAsia" w:hAnsiTheme="minorEastAsia"/>
                <w:kern w:val="0"/>
                <w:sz w:val="22"/>
              </w:rPr>
            </w:pPr>
          </w:p>
        </w:tc>
        <w:tc>
          <w:tcPr>
            <w:tcW w:w="1417" w:type="dxa"/>
            <w:vMerge w:val="continue"/>
            <w:vAlign w:val="center"/>
          </w:tcPr>
          <w:p>
            <w:pPr>
              <w:widowControl/>
              <w:jc w:val="left"/>
              <w:rPr>
                <w:rFonts w:cs="Times New Roman" w:asciiTheme="minorEastAsia" w:hAnsiTheme="minorEastAsia"/>
                <w:kern w:val="0"/>
                <w:sz w:val="22"/>
              </w:rPr>
            </w:pPr>
          </w:p>
        </w:tc>
        <w:tc>
          <w:tcPr>
            <w:tcW w:w="1418" w:type="dxa"/>
            <w:vMerge w:val="continue"/>
            <w:vAlign w:val="center"/>
          </w:tcPr>
          <w:p>
            <w:pPr>
              <w:widowControl/>
              <w:jc w:val="left"/>
              <w:rPr>
                <w:rFonts w:cs="Times New Roman" w:asciiTheme="minorEastAsia" w:hAnsiTheme="minorEastAsia"/>
                <w:kern w:val="0"/>
                <w:sz w:val="22"/>
              </w:rPr>
            </w:pPr>
          </w:p>
        </w:tc>
        <w:tc>
          <w:tcPr>
            <w:tcW w:w="2126" w:type="dxa"/>
            <w:vMerge w:val="continue"/>
            <w:vAlign w:val="center"/>
          </w:tcPr>
          <w:p>
            <w:pPr>
              <w:widowControl/>
              <w:jc w:val="left"/>
              <w:rPr>
                <w:rFonts w:cs="Times New Roman" w:asciiTheme="minorEastAsia" w:hAnsiTheme="minorEastAsia"/>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4928" w:type="dxa"/>
            <w:gridSpan w:val="2"/>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栏次</w:t>
            </w:r>
          </w:p>
        </w:tc>
        <w:tc>
          <w:tcPr>
            <w:tcW w:w="1984" w:type="dxa"/>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1</w:t>
            </w:r>
          </w:p>
        </w:tc>
        <w:tc>
          <w:tcPr>
            <w:tcW w:w="1701" w:type="dxa"/>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2</w:t>
            </w:r>
          </w:p>
        </w:tc>
        <w:tc>
          <w:tcPr>
            <w:tcW w:w="1418" w:type="dxa"/>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3</w:t>
            </w:r>
          </w:p>
        </w:tc>
        <w:tc>
          <w:tcPr>
            <w:tcW w:w="1417" w:type="dxa"/>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4</w:t>
            </w:r>
          </w:p>
        </w:tc>
        <w:tc>
          <w:tcPr>
            <w:tcW w:w="1418" w:type="dxa"/>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5</w:t>
            </w:r>
          </w:p>
        </w:tc>
        <w:tc>
          <w:tcPr>
            <w:tcW w:w="2126" w:type="dxa"/>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4928" w:type="dxa"/>
            <w:gridSpan w:val="2"/>
            <w:shd w:val="clear" w:color="auto" w:fill="auto"/>
            <w:vAlign w:val="center"/>
          </w:tcPr>
          <w:p>
            <w:pPr>
              <w:widowControl/>
              <w:jc w:val="center"/>
              <w:rPr>
                <w:rFonts w:cs="Times New Roman" w:asciiTheme="minorEastAsia" w:hAnsiTheme="minorEastAsia"/>
                <w:b/>
                <w:kern w:val="0"/>
                <w:sz w:val="22"/>
              </w:rPr>
            </w:pPr>
            <w:r>
              <w:rPr>
                <w:rFonts w:cs="Times New Roman" w:asciiTheme="minorEastAsia" w:hAnsiTheme="minorEastAsia"/>
                <w:b/>
                <w:kern w:val="0"/>
                <w:sz w:val="22"/>
              </w:rPr>
              <w:t>合计</w:t>
            </w:r>
          </w:p>
        </w:tc>
        <w:tc>
          <w:tcPr>
            <w:tcW w:w="1984"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14.88</w:t>
            </w:r>
          </w:p>
        </w:tc>
        <w:tc>
          <w:tcPr>
            <w:tcW w:w="1701"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307.00</w:t>
            </w:r>
            <w:r>
              <w:rPr>
                <w:rFonts w:cs="Arial" w:asciiTheme="minorEastAsia" w:hAnsiTheme="minorEastAsia"/>
                <w:b/>
                <w:bCs/>
                <w:sz w:val="22"/>
              </w:rPr>
              <w:t xml:space="preserve"> </w:t>
            </w:r>
          </w:p>
        </w:tc>
        <w:tc>
          <w:tcPr>
            <w:tcW w:w="1418"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267.96</w:t>
            </w:r>
            <w:r>
              <w:rPr>
                <w:rFonts w:cs="Arial" w:asciiTheme="minorEastAsia" w:hAnsiTheme="minorEastAsia"/>
                <w:b/>
                <w:bCs/>
                <w:sz w:val="22"/>
              </w:rPr>
              <w:t xml:space="preserve"> </w:t>
            </w:r>
          </w:p>
        </w:tc>
        <w:tc>
          <w:tcPr>
            <w:tcW w:w="1417" w:type="dxa"/>
            <w:shd w:val="clear" w:color="auto" w:fill="auto"/>
            <w:vAlign w:val="bottom"/>
          </w:tcPr>
          <w:p>
            <w:pPr>
              <w:jc w:val="right"/>
              <w:rPr>
                <w:rFonts w:cs="Arial" w:asciiTheme="minorEastAsia" w:hAnsiTheme="minorEastAsia"/>
                <w:b/>
                <w:bCs/>
                <w:sz w:val="22"/>
              </w:rPr>
            </w:pPr>
            <w:r>
              <w:rPr>
                <w:rFonts w:cs="Arial" w:asciiTheme="minorEastAsia" w:hAnsiTheme="minorEastAsia"/>
                <w:b/>
                <w:bCs/>
                <w:sz w:val="22"/>
              </w:rPr>
              <w:t xml:space="preserve"> </w:t>
            </w:r>
          </w:p>
        </w:tc>
        <w:tc>
          <w:tcPr>
            <w:tcW w:w="1418"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267.96</w:t>
            </w:r>
            <w:r>
              <w:rPr>
                <w:rFonts w:cs="Arial" w:asciiTheme="minorEastAsia" w:hAnsiTheme="minorEastAsia"/>
                <w:b/>
                <w:bCs/>
                <w:sz w:val="22"/>
              </w:rPr>
              <w:t xml:space="preserve"> </w:t>
            </w:r>
          </w:p>
        </w:tc>
        <w:tc>
          <w:tcPr>
            <w:tcW w:w="2126"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53.91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shd w:val="clear" w:color="auto" w:fill="auto"/>
            <w:vAlign w:val="center"/>
          </w:tcPr>
          <w:p>
            <w:pPr>
              <w:rPr>
                <w:rFonts w:cs="Arial" w:asciiTheme="minorEastAsia" w:hAnsiTheme="minorEastAsia"/>
                <w:b/>
                <w:bCs/>
                <w:sz w:val="22"/>
              </w:rPr>
            </w:pPr>
            <w:r>
              <w:rPr>
                <w:rFonts w:hint="eastAsia" w:cs="Arial" w:asciiTheme="minorEastAsia" w:hAnsiTheme="minorEastAsia"/>
                <w:b/>
                <w:bCs/>
                <w:sz w:val="22"/>
              </w:rPr>
              <w:t>229</w:t>
            </w:r>
          </w:p>
        </w:tc>
        <w:tc>
          <w:tcPr>
            <w:tcW w:w="3854" w:type="dxa"/>
            <w:shd w:val="clear" w:color="auto" w:fill="auto"/>
            <w:vAlign w:val="center"/>
          </w:tcPr>
          <w:p>
            <w:pPr>
              <w:rPr>
                <w:rFonts w:cs="Arial" w:asciiTheme="minorEastAsia" w:hAnsiTheme="minorEastAsia"/>
                <w:b/>
                <w:bCs/>
                <w:sz w:val="22"/>
              </w:rPr>
            </w:pPr>
            <w:r>
              <w:rPr>
                <w:rFonts w:hint="eastAsia" w:cs="Arial" w:asciiTheme="minorEastAsia" w:hAnsiTheme="minorEastAsia"/>
                <w:b/>
                <w:bCs/>
                <w:sz w:val="22"/>
              </w:rPr>
              <w:t>其他支出</w:t>
            </w:r>
          </w:p>
        </w:tc>
        <w:tc>
          <w:tcPr>
            <w:tcW w:w="1984"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14.88</w:t>
            </w:r>
            <w:r>
              <w:rPr>
                <w:rFonts w:cs="Arial" w:asciiTheme="minorEastAsia" w:hAnsiTheme="minorEastAsia"/>
                <w:b/>
                <w:bCs/>
                <w:sz w:val="22"/>
              </w:rPr>
              <w:t xml:space="preserve"> </w:t>
            </w:r>
          </w:p>
        </w:tc>
        <w:tc>
          <w:tcPr>
            <w:tcW w:w="1701"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307.00</w:t>
            </w:r>
          </w:p>
        </w:tc>
        <w:tc>
          <w:tcPr>
            <w:tcW w:w="1418"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267.96</w:t>
            </w:r>
            <w:r>
              <w:rPr>
                <w:rFonts w:cs="Arial" w:asciiTheme="minorEastAsia" w:hAnsiTheme="minorEastAsia"/>
                <w:b/>
                <w:bCs/>
                <w:sz w:val="22"/>
              </w:rPr>
              <w:t xml:space="preserve"> </w:t>
            </w:r>
          </w:p>
        </w:tc>
        <w:tc>
          <w:tcPr>
            <w:tcW w:w="1417"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 xml:space="preserve"> </w:t>
            </w:r>
            <w:r>
              <w:rPr>
                <w:rFonts w:cs="Arial" w:asciiTheme="minorEastAsia" w:hAnsiTheme="minorEastAsia"/>
                <w:b/>
                <w:bCs/>
                <w:sz w:val="22"/>
              </w:rPr>
              <w:t xml:space="preserve"> </w:t>
            </w:r>
          </w:p>
        </w:tc>
        <w:tc>
          <w:tcPr>
            <w:tcW w:w="1418"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267.96</w:t>
            </w:r>
            <w:r>
              <w:rPr>
                <w:rFonts w:cs="Arial" w:asciiTheme="minorEastAsia" w:hAnsiTheme="minorEastAsia"/>
                <w:b/>
                <w:bCs/>
                <w:sz w:val="22"/>
              </w:rPr>
              <w:t xml:space="preserve"> </w:t>
            </w:r>
          </w:p>
        </w:tc>
        <w:tc>
          <w:tcPr>
            <w:tcW w:w="2126"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53.91</w:t>
            </w:r>
            <w:r>
              <w:rPr>
                <w:rFonts w:cs="Arial" w:asciiTheme="minorEastAsia" w:hAnsiTheme="minorEastAsia"/>
                <w:b/>
                <w:bCs/>
                <w:sz w:val="22"/>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shd w:val="clear" w:color="auto" w:fill="auto"/>
            <w:vAlign w:val="center"/>
          </w:tcPr>
          <w:p>
            <w:pPr>
              <w:rPr>
                <w:rFonts w:cs="Arial" w:asciiTheme="minorEastAsia" w:hAnsiTheme="minorEastAsia"/>
                <w:b/>
                <w:bCs/>
                <w:sz w:val="22"/>
              </w:rPr>
            </w:pPr>
            <w:r>
              <w:rPr>
                <w:rFonts w:hint="eastAsia" w:cs="Arial" w:asciiTheme="minorEastAsia" w:hAnsiTheme="minorEastAsia"/>
                <w:b/>
                <w:bCs/>
                <w:sz w:val="22"/>
              </w:rPr>
              <w:t>22960</w:t>
            </w:r>
          </w:p>
        </w:tc>
        <w:tc>
          <w:tcPr>
            <w:tcW w:w="3854" w:type="dxa"/>
            <w:shd w:val="clear" w:color="auto" w:fill="auto"/>
            <w:vAlign w:val="center"/>
          </w:tcPr>
          <w:p>
            <w:pPr>
              <w:rPr>
                <w:rFonts w:cs="Arial" w:asciiTheme="minorEastAsia" w:hAnsiTheme="minorEastAsia"/>
                <w:b/>
                <w:bCs/>
                <w:sz w:val="22"/>
              </w:rPr>
            </w:pPr>
            <w:r>
              <w:rPr>
                <w:rFonts w:hint="eastAsia" w:cs="Arial" w:asciiTheme="minorEastAsia" w:hAnsiTheme="minorEastAsia"/>
                <w:b/>
                <w:bCs/>
                <w:sz w:val="22"/>
              </w:rPr>
              <w:t>彩票公益金安排的支出</w:t>
            </w:r>
          </w:p>
        </w:tc>
        <w:tc>
          <w:tcPr>
            <w:tcW w:w="1984" w:type="dxa"/>
            <w:shd w:val="clear" w:color="auto" w:fill="auto"/>
            <w:vAlign w:val="bottom"/>
          </w:tcPr>
          <w:p>
            <w:pPr>
              <w:jc w:val="right"/>
              <w:rPr>
                <w:rFonts w:cs="Arial" w:asciiTheme="minorEastAsia" w:hAnsiTheme="minorEastAsia"/>
                <w:b/>
                <w:bCs/>
                <w:sz w:val="22"/>
              </w:rPr>
            </w:pPr>
            <w:r>
              <w:rPr>
                <w:rFonts w:cs="Arial" w:asciiTheme="minorEastAsia" w:hAnsiTheme="minorEastAsia"/>
                <w:b/>
                <w:bCs/>
                <w:sz w:val="22"/>
              </w:rPr>
              <w:t>14</w:t>
            </w:r>
            <w:r>
              <w:rPr>
                <w:rFonts w:hint="eastAsia" w:cs="Arial" w:asciiTheme="minorEastAsia" w:hAnsiTheme="minorEastAsia"/>
                <w:b/>
                <w:bCs/>
                <w:sz w:val="22"/>
              </w:rPr>
              <w:t>.88</w:t>
            </w:r>
            <w:r>
              <w:rPr>
                <w:rFonts w:cs="Arial" w:asciiTheme="minorEastAsia" w:hAnsiTheme="minorEastAsia"/>
                <w:b/>
                <w:bCs/>
                <w:sz w:val="22"/>
              </w:rPr>
              <w:t xml:space="preserve"> </w:t>
            </w:r>
          </w:p>
        </w:tc>
        <w:tc>
          <w:tcPr>
            <w:tcW w:w="1701"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307.00</w:t>
            </w:r>
          </w:p>
        </w:tc>
        <w:tc>
          <w:tcPr>
            <w:tcW w:w="1418"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267.96</w:t>
            </w:r>
            <w:r>
              <w:rPr>
                <w:rFonts w:cs="Arial" w:asciiTheme="minorEastAsia" w:hAnsiTheme="minorEastAsia"/>
                <w:b/>
                <w:bCs/>
                <w:sz w:val="22"/>
              </w:rPr>
              <w:t xml:space="preserve"> </w:t>
            </w:r>
          </w:p>
        </w:tc>
        <w:tc>
          <w:tcPr>
            <w:tcW w:w="1417" w:type="dxa"/>
            <w:shd w:val="clear" w:color="auto" w:fill="auto"/>
            <w:vAlign w:val="bottom"/>
          </w:tcPr>
          <w:p>
            <w:pPr>
              <w:jc w:val="right"/>
              <w:rPr>
                <w:rFonts w:cs="Arial" w:asciiTheme="minorEastAsia" w:hAnsiTheme="minorEastAsia"/>
                <w:b/>
                <w:bCs/>
                <w:sz w:val="22"/>
              </w:rPr>
            </w:pPr>
            <w:r>
              <w:rPr>
                <w:rFonts w:cs="Arial" w:asciiTheme="minorEastAsia" w:hAnsiTheme="minorEastAsia"/>
                <w:b/>
                <w:bCs/>
                <w:sz w:val="22"/>
              </w:rPr>
              <w:t xml:space="preserve"> </w:t>
            </w:r>
          </w:p>
        </w:tc>
        <w:tc>
          <w:tcPr>
            <w:tcW w:w="1418"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267.96</w:t>
            </w:r>
            <w:r>
              <w:rPr>
                <w:rFonts w:cs="Arial" w:asciiTheme="minorEastAsia" w:hAnsiTheme="minorEastAsia"/>
                <w:b/>
                <w:bCs/>
                <w:sz w:val="22"/>
              </w:rPr>
              <w:t xml:space="preserve"> </w:t>
            </w:r>
          </w:p>
        </w:tc>
        <w:tc>
          <w:tcPr>
            <w:tcW w:w="2126" w:type="dxa"/>
            <w:shd w:val="clear" w:color="auto" w:fill="auto"/>
            <w:vAlign w:val="bottom"/>
          </w:tcPr>
          <w:p>
            <w:pPr>
              <w:jc w:val="right"/>
              <w:rPr>
                <w:rFonts w:cs="Arial" w:asciiTheme="minorEastAsia" w:hAnsiTheme="minorEastAsia"/>
                <w:b/>
                <w:bCs/>
                <w:sz w:val="22"/>
              </w:rPr>
            </w:pPr>
            <w:r>
              <w:rPr>
                <w:rFonts w:hint="eastAsia" w:cs="Arial" w:asciiTheme="minorEastAsia" w:hAnsiTheme="minorEastAsia"/>
                <w:b/>
                <w:bCs/>
                <w:sz w:val="22"/>
              </w:rPr>
              <w:t>53.91</w:t>
            </w:r>
            <w:r>
              <w:rPr>
                <w:rFonts w:cs="Arial" w:asciiTheme="minorEastAsia" w:hAnsiTheme="minorEastAsia"/>
                <w:b/>
                <w:bCs/>
                <w:sz w:val="22"/>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shd w:val="clear" w:color="auto" w:fill="auto"/>
            <w:vAlign w:val="center"/>
          </w:tcPr>
          <w:p>
            <w:pPr>
              <w:rPr>
                <w:rFonts w:cs="Arial" w:asciiTheme="minorEastAsia" w:hAnsiTheme="minorEastAsia"/>
                <w:sz w:val="22"/>
              </w:rPr>
            </w:pPr>
            <w:r>
              <w:rPr>
                <w:rFonts w:hint="eastAsia" w:cs="Arial" w:asciiTheme="minorEastAsia" w:hAnsiTheme="minorEastAsia"/>
                <w:sz w:val="22"/>
              </w:rPr>
              <w:t>2296003</w:t>
            </w:r>
          </w:p>
        </w:tc>
        <w:tc>
          <w:tcPr>
            <w:tcW w:w="3854" w:type="dxa"/>
            <w:shd w:val="clear" w:color="auto" w:fill="auto"/>
            <w:vAlign w:val="center"/>
          </w:tcPr>
          <w:p>
            <w:pPr>
              <w:rPr>
                <w:rFonts w:cs="Arial" w:asciiTheme="minorEastAsia" w:hAnsiTheme="minorEastAsia"/>
                <w:sz w:val="22"/>
              </w:rPr>
            </w:pPr>
            <w:r>
              <w:rPr>
                <w:rFonts w:hint="eastAsia" w:cs="Arial" w:asciiTheme="minorEastAsia" w:hAnsiTheme="minorEastAsia"/>
                <w:sz w:val="22"/>
              </w:rPr>
              <w:t xml:space="preserve">  用于体育事业的彩票公益金支出</w:t>
            </w:r>
          </w:p>
        </w:tc>
        <w:tc>
          <w:tcPr>
            <w:tcW w:w="1984" w:type="dxa"/>
            <w:shd w:val="clear" w:color="auto" w:fill="auto"/>
            <w:vAlign w:val="center"/>
          </w:tcPr>
          <w:p>
            <w:pPr>
              <w:jc w:val="right"/>
              <w:rPr>
                <w:rFonts w:cs="Arial" w:asciiTheme="minorEastAsia" w:hAnsiTheme="minorEastAsia"/>
                <w:bCs/>
                <w:sz w:val="22"/>
              </w:rPr>
            </w:pPr>
            <w:r>
              <w:rPr>
                <w:rFonts w:cs="Arial" w:asciiTheme="minorEastAsia" w:hAnsiTheme="minorEastAsia"/>
                <w:bCs/>
                <w:sz w:val="22"/>
              </w:rPr>
              <w:t>14</w:t>
            </w:r>
            <w:r>
              <w:rPr>
                <w:rFonts w:hint="eastAsia" w:cs="Arial" w:asciiTheme="minorEastAsia" w:hAnsiTheme="minorEastAsia"/>
                <w:bCs/>
                <w:sz w:val="22"/>
              </w:rPr>
              <w:t>.88</w:t>
            </w:r>
            <w:r>
              <w:rPr>
                <w:rFonts w:cs="Arial" w:asciiTheme="minorEastAsia" w:hAnsiTheme="minorEastAsia"/>
                <w:bCs/>
                <w:sz w:val="22"/>
              </w:rPr>
              <w:t xml:space="preserve"> </w:t>
            </w:r>
          </w:p>
        </w:tc>
        <w:tc>
          <w:tcPr>
            <w:tcW w:w="1701" w:type="dxa"/>
            <w:shd w:val="clear" w:color="auto" w:fill="auto"/>
            <w:vAlign w:val="center"/>
          </w:tcPr>
          <w:p>
            <w:pPr>
              <w:jc w:val="right"/>
              <w:rPr>
                <w:rFonts w:cs="Arial" w:asciiTheme="minorEastAsia" w:hAnsiTheme="minorEastAsia"/>
                <w:bCs/>
                <w:sz w:val="22"/>
              </w:rPr>
            </w:pPr>
            <w:r>
              <w:rPr>
                <w:rFonts w:hint="eastAsia" w:cs="Arial" w:asciiTheme="minorEastAsia" w:hAnsiTheme="minorEastAsia"/>
                <w:bCs/>
                <w:sz w:val="22"/>
              </w:rPr>
              <w:t>307</w:t>
            </w:r>
            <w:r>
              <w:rPr>
                <w:rFonts w:cs="Arial" w:asciiTheme="minorEastAsia" w:hAnsiTheme="minorEastAsia"/>
                <w:bCs/>
                <w:sz w:val="22"/>
              </w:rPr>
              <w:t xml:space="preserve">.00 </w:t>
            </w:r>
          </w:p>
        </w:tc>
        <w:tc>
          <w:tcPr>
            <w:tcW w:w="1418" w:type="dxa"/>
            <w:shd w:val="clear" w:color="auto" w:fill="auto"/>
            <w:vAlign w:val="center"/>
          </w:tcPr>
          <w:p>
            <w:pPr>
              <w:jc w:val="right"/>
              <w:rPr>
                <w:rFonts w:cs="Arial" w:asciiTheme="minorEastAsia" w:hAnsiTheme="minorEastAsia"/>
                <w:bCs/>
                <w:sz w:val="22"/>
              </w:rPr>
            </w:pPr>
            <w:r>
              <w:rPr>
                <w:rFonts w:hint="eastAsia" w:cs="Arial" w:asciiTheme="minorEastAsia" w:hAnsiTheme="minorEastAsia"/>
                <w:bCs/>
                <w:sz w:val="22"/>
              </w:rPr>
              <w:t>267.96</w:t>
            </w:r>
          </w:p>
        </w:tc>
        <w:tc>
          <w:tcPr>
            <w:tcW w:w="1417" w:type="dxa"/>
            <w:shd w:val="clear" w:color="auto" w:fill="auto"/>
            <w:vAlign w:val="center"/>
          </w:tcPr>
          <w:p>
            <w:pPr>
              <w:jc w:val="right"/>
              <w:rPr>
                <w:rFonts w:cs="Arial" w:asciiTheme="minorEastAsia" w:hAnsiTheme="minorEastAsia"/>
                <w:bCs/>
                <w:sz w:val="22"/>
              </w:rPr>
            </w:pPr>
            <w:r>
              <w:rPr>
                <w:rFonts w:cs="Arial" w:asciiTheme="minorEastAsia" w:hAnsiTheme="minorEastAsia"/>
                <w:bCs/>
                <w:sz w:val="22"/>
              </w:rPr>
              <w:t xml:space="preserve"> </w:t>
            </w:r>
          </w:p>
        </w:tc>
        <w:tc>
          <w:tcPr>
            <w:tcW w:w="1418" w:type="dxa"/>
            <w:shd w:val="clear" w:color="auto" w:fill="auto"/>
            <w:vAlign w:val="center"/>
          </w:tcPr>
          <w:p>
            <w:pPr>
              <w:jc w:val="right"/>
              <w:rPr>
                <w:rFonts w:cs="Arial" w:asciiTheme="minorEastAsia" w:hAnsiTheme="minorEastAsia"/>
                <w:bCs/>
                <w:sz w:val="22"/>
              </w:rPr>
            </w:pPr>
            <w:r>
              <w:rPr>
                <w:rFonts w:hint="eastAsia" w:cs="Arial" w:asciiTheme="minorEastAsia" w:hAnsiTheme="minorEastAsia"/>
                <w:bCs/>
                <w:sz w:val="22"/>
              </w:rPr>
              <w:t>267.96</w:t>
            </w:r>
            <w:r>
              <w:rPr>
                <w:rFonts w:cs="Arial" w:asciiTheme="minorEastAsia" w:hAnsiTheme="minorEastAsia"/>
                <w:bCs/>
                <w:sz w:val="22"/>
              </w:rPr>
              <w:t xml:space="preserve"> </w:t>
            </w:r>
          </w:p>
        </w:tc>
        <w:tc>
          <w:tcPr>
            <w:tcW w:w="2126" w:type="dxa"/>
            <w:shd w:val="clear" w:color="auto" w:fill="auto"/>
            <w:vAlign w:val="center"/>
          </w:tcPr>
          <w:p>
            <w:pPr>
              <w:jc w:val="right"/>
              <w:rPr>
                <w:rFonts w:cs="Arial" w:asciiTheme="minorEastAsia" w:hAnsiTheme="minorEastAsia"/>
                <w:bCs/>
                <w:sz w:val="22"/>
              </w:rPr>
            </w:pPr>
            <w:r>
              <w:rPr>
                <w:rFonts w:hint="eastAsia" w:cs="Arial" w:asciiTheme="minorEastAsia" w:hAnsiTheme="minorEastAsia"/>
                <w:bCs/>
                <w:sz w:val="22"/>
              </w:rPr>
              <w:t>53.91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shd w:val="clear" w:color="auto" w:fill="auto"/>
            <w:vAlign w:val="center"/>
          </w:tcPr>
          <w:p>
            <w:pPr>
              <w:widowControl/>
              <w:jc w:val="center"/>
              <w:rPr>
                <w:rFonts w:cs="Times New Roman" w:asciiTheme="minorEastAsia" w:hAnsiTheme="minorEastAsia"/>
                <w:kern w:val="0"/>
                <w:sz w:val="22"/>
              </w:rPr>
            </w:pPr>
            <w:r>
              <w:rPr>
                <w:rFonts w:cs="Times New Roman" w:asciiTheme="minorEastAsia" w:hAnsiTheme="minorEastAsia"/>
                <w:kern w:val="0"/>
                <w:sz w:val="22"/>
              </w:rPr>
              <w:t>　</w:t>
            </w:r>
          </w:p>
        </w:tc>
        <w:tc>
          <w:tcPr>
            <w:tcW w:w="3854"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984"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701"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8"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7"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8"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2126"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shd w:val="clear" w:color="auto" w:fill="auto"/>
            <w:vAlign w:val="center"/>
          </w:tcPr>
          <w:p>
            <w:pPr>
              <w:widowControl/>
              <w:jc w:val="center"/>
              <w:rPr>
                <w:rFonts w:cs="Times New Roman" w:asciiTheme="minorEastAsia" w:hAnsiTheme="minorEastAsia"/>
                <w:kern w:val="0"/>
                <w:sz w:val="22"/>
              </w:rPr>
            </w:pPr>
            <w:r>
              <w:rPr>
                <w:rFonts w:cs="Times New Roman" w:asciiTheme="minorEastAsia" w:hAnsiTheme="minorEastAsia"/>
                <w:kern w:val="0"/>
                <w:sz w:val="22"/>
              </w:rPr>
              <w:t>　</w:t>
            </w:r>
          </w:p>
        </w:tc>
        <w:tc>
          <w:tcPr>
            <w:tcW w:w="3854"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984"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701"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8"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7"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8"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2126"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74" w:type="dxa"/>
            <w:shd w:val="clear" w:color="auto" w:fill="auto"/>
            <w:vAlign w:val="center"/>
          </w:tcPr>
          <w:p>
            <w:pPr>
              <w:widowControl/>
              <w:jc w:val="center"/>
              <w:rPr>
                <w:rFonts w:cs="Times New Roman" w:asciiTheme="minorEastAsia" w:hAnsiTheme="minorEastAsia"/>
                <w:kern w:val="0"/>
                <w:sz w:val="22"/>
              </w:rPr>
            </w:pPr>
            <w:r>
              <w:rPr>
                <w:rFonts w:cs="Times New Roman" w:asciiTheme="minorEastAsia" w:hAnsiTheme="minorEastAsia"/>
                <w:kern w:val="0"/>
                <w:sz w:val="22"/>
              </w:rPr>
              <w:t>　</w:t>
            </w:r>
          </w:p>
        </w:tc>
        <w:tc>
          <w:tcPr>
            <w:tcW w:w="3854"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984"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701"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8"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7"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1418"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c>
          <w:tcPr>
            <w:tcW w:w="2126" w:type="dxa"/>
            <w:shd w:val="clear" w:color="auto" w:fill="auto"/>
            <w:vAlign w:val="center"/>
          </w:tcPr>
          <w:p>
            <w:pPr>
              <w:widowControl/>
              <w:jc w:val="left"/>
              <w:rPr>
                <w:rFonts w:cs="Times New Roman" w:asciiTheme="minorEastAsia" w:hAnsiTheme="minorEastAsia"/>
                <w:kern w:val="0"/>
                <w:sz w:val="22"/>
              </w:rPr>
            </w:pPr>
            <w:r>
              <w:rPr>
                <w:rFonts w:cs="Times New Roman" w:asciiTheme="minorEastAsia" w:hAnsiTheme="minorEastAsia"/>
                <w:kern w:val="0"/>
                <w:sz w:val="22"/>
              </w:rPr>
              <w:t>　</w:t>
            </w:r>
          </w:p>
        </w:tc>
      </w:tr>
    </w:tbl>
    <w:p>
      <w:pPr>
        <w:widowControl/>
        <w:jc w:val="left"/>
        <w:rPr>
          <w:rFonts w:cs="Times New Roman" w:asciiTheme="minorEastAsia" w:hAnsiTheme="minorEastAsia"/>
          <w:kern w:val="0"/>
          <w:sz w:val="22"/>
        </w:rPr>
      </w:pPr>
      <w:r>
        <w:rPr>
          <w:rFonts w:cs="Times New Roman" w:asciiTheme="minorEastAsia" w:hAnsiTheme="minorEastAsia"/>
          <w:kern w:val="0"/>
          <w:sz w:val="22"/>
        </w:rPr>
        <w:t>注：本表反映部门本年度政府性基金预算财政拨款收入、支出及结转和结余情况</w:t>
      </w:r>
    </w:p>
    <w:p>
      <w:pPr>
        <w:widowControl/>
        <w:jc w:val="left"/>
        <w:rPr>
          <w:rFonts w:asciiTheme="minorEastAsia" w:hAnsiTheme="minorEastAsia"/>
          <w:sz w:val="22"/>
        </w:rPr>
      </w:pPr>
      <w:r>
        <w:rPr>
          <w:rFonts w:asciiTheme="minorEastAsia" w:hAnsiTheme="minorEastAsia"/>
          <w:sz w:val="22"/>
        </w:rPr>
        <w:br w:type="page"/>
      </w:r>
    </w:p>
    <w:tbl>
      <w:tblPr>
        <w:tblStyle w:val="6"/>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Times New Roman" w:hAnsi="Times New Roman" w:eastAsia="方正小标宋_GBK" w:cs="Times New Roman"/>
                <w:kern w:val="0"/>
                <w:sz w:val="36"/>
                <w:szCs w:val="36"/>
              </w:rPr>
              <w:t>九、国有资本经营预算财政拨款支出决算表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483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color w:val="000000"/>
                <w:kern w:val="0"/>
                <w:sz w:val="20"/>
                <w:szCs w:val="20"/>
              </w:rPr>
              <w:t>部门：湖南省体操运动管理中心</w:t>
            </w: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2021年度</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xml:space="preserve">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注：本表反映部门本年度国有资本经营预算财政拨款支出情况。</w:t>
            </w:r>
          </w:p>
        </w:tc>
      </w:tr>
    </w:tbl>
    <w:p>
      <w:pPr>
        <w:pStyle w:val="11"/>
        <w:rPr>
          <w:sz w:val="72"/>
          <w:szCs w:val="72"/>
        </w:rPr>
        <w:sectPr>
          <w:pgSz w:w="16838" w:h="11906" w:orient="landscape"/>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第三部分</w:t>
      </w:r>
    </w:p>
    <w:p>
      <w:pPr>
        <w:jc w:val="center"/>
        <w:rPr>
          <w:rFonts w:ascii="黑体" w:eastAsia="黑体" w:cs="黑体"/>
          <w:color w:val="000000"/>
          <w:kern w:val="0"/>
          <w:sz w:val="84"/>
          <w:szCs w:val="84"/>
        </w:rPr>
      </w:pPr>
    </w:p>
    <w:p>
      <w:pPr>
        <w:jc w:val="center"/>
        <w:rPr>
          <w:rFonts w:ascii="黑体" w:eastAsia="黑体" w:cs="黑体"/>
          <w:color w:val="000000"/>
          <w:kern w:val="0"/>
          <w:sz w:val="84"/>
          <w:szCs w:val="84"/>
        </w:rPr>
      </w:pPr>
      <w:r>
        <w:rPr>
          <w:rFonts w:ascii="黑体" w:eastAsia="黑体" w:cs="黑体"/>
          <w:color w:val="000000"/>
          <w:kern w:val="0"/>
          <w:sz w:val="84"/>
          <w:szCs w:val="84"/>
        </w:rPr>
        <w:t>20</w:t>
      </w:r>
      <w:r>
        <w:rPr>
          <w:rFonts w:hint="eastAsia" w:ascii="黑体" w:eastAsia="黑体" w:cs="黑体"/>
          <w:color w:val="000000"/>
          <w:kern w:val="0"/>
          <w:sz w:val="84"/>
          <w:szCs w:val="84"/>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sz w:val="32"/>
          <w:szCs w:val="32"/>
        </w:rPr>
        <w:t>2021年度收、支总计2503.88万元，与上年相比，减少490.84万元，减少16.39%。</w:t>
      </w:r>
      <w:r>
        <w:rPr>
          <w:rFonts w:hint="eastAsia" w:asciiTheme="minorEastAsia" w:hAnsiTheme="minorEastAsia" w:eastAsiaTheme="minorEastAsia"/>
          <w:color w:val="000000" w:themeColor="text1"/>
          <w:sz w:val="32"/>
          <w:szCs w:val="32"/>
          <w14:textFill>
            <w14:solidFill>
              <w14:schemeClr w14:val="tx1"/>
            </w14:solidFill>
          </w14:textFill>
        </w:rPr>
        <w:t>主要原因分析：湖南省财政厅根据国务院相关文件及政策，按比例压减一般性支出经费及非“刚性和重点项目支出”经费拨款，用于保障基本民生，支持扶贫、农业、教育、生态环保等重点领域。</w:t>
      </w:r>
    </w:p>
    <w:p>
      <w:pPr>
        <w:pStyle w:val="11"/>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2021年度本单位收入合计2489.00万元，其中：财政拨款收入2489.00万元，占100%；上级补助收入0万元，占0%；事业收入0万元，占0%；经营收入0万元，占0%；附属单位上缴收入0万元，占0%；其他收入0万元，占0%。</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2021年度本单位支出合计2449.92万元，其中：基本支出2021.95万元，占82.54%；项目支出427.96万元，占17.46%；上缴上级支出0万元，占0%；经营支出0万元，占0%；对附属单位补助支出0万元，占0%。</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收、支总计2503.88万元，与上年相比，减少490.84万元，减少16.39%。主要原因分析：湖南省财政厅根据国务院相关文件及政策，按比例压减一般性支出经费及非“刚性和重点项目支出”经费拨款，用于保障基本民生，支持扶贫、农业、教育、生态环保等重点领域。</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sz w:val="32"/>
          <w:szCs w:val="32"/>
        </w:rPr>
        <w:t>2021年度财政拨款支出2181.95万元，占本年支出合计的</w:t>
      </w:r>
      <w:r>
        <w:rPr>
          <w:rFonts w:hint="eastAsia" w:asciiTheme="minorEastAsia" w:hAnsiTheme="minorEastAsia" w:eastAsiaTheme="minorEastAsia"/>
          <w:sz w:val="32"/>
          <w:szCs w:val="32"/>
          <w:lang w:val="en-US" w:eastAsia="zh-CN"/>
        </w:rPr>
        <w:t>89.07</w:t>
      </w:r>
      <w:r>
        <w:rPr>
          <w:rFonts w:hint="eastAsia" w:asciiTheme="minorEastAsia" w:hAnsiTheme="minorEastAsia" w:eastAsiaTheme="minorEastAsia"/>
          <w:sz w:val="32"/>
          <w:szCs w:val="32"/>
        </w:rPr>
        <w:t>%，与上年相比，财政拨款支出减少436.93万元，减少16.69%，</w:t>
      </w:r>
      <w:r>
        <w:rPr>
          <w:rFonts w:hint="eastAsia" w:asciiTheme="minorEastAsia" w:hAnsiTheme="minorEastAsia" w:eastAsiaTheme="minorEastAsia"/>
          <w:color w:val="000000" w:themeColor="text1"/>
          <w:sz w:val="32"/>
          <w:szCs w:val="32"/>
          <w14:textFill>
            <w14:solidFill>
              <w14:schemeClr w14:val="tx1"/>
            </w14:solidFill>
          </w14:textFill>
        </w:rPr>
        <w:t>主要是因为湖南省财政厅根据国务院相关文件及政策，按比例压减一般性支出经费及非“刚性和重点项目支出”经费拨款。</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2021年度财政拨款支出2181.95万元，主要用于以下方面：文化旅游体育与传媒（类）支出1921.95万元，占88.09%；社会保障和就业（类）支出110.00万元，占5.04%；住房保障（类）支出150.00万元，占6.87%。</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2021年度财政拨款支出年初预算数为2162.00万元，支出决算数为2181.95万元，完成年初预算的109.93%，其中：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1、文化旅游体育与传媒支出（类）体育（款）运动项目管理（项）。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年初预算1762.00万元，支出决算1761.95万元，完成年初预算99.99%。决算数小于预算数的主要原因是“三公经费”中的“公务接待费”年末结余0.05万元。</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2、文化旅游体育与传媒支出（类）体育（款）体育竞赛（项）。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年初预算110.00万元，支出决算130.00万元，完成年初预算118.18%，决算数大于预算数的主要原因是追加了全运会参赛经费（体操、蹦床、攀岩项目）20.00万元。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3、文化旅游体育与传媒支出（类）体育（款）其他体育支出（项）。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年初预算30.00万元，支出决算30.00万元，年初预算完成年初预算100%。</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4、社会保障和就业支出（类）行政事业单位养老支出（款）机关事业单位基本养老保险缴费支出（项）。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年初预算110.00万元，支出决算110.00万元，完成年初预算100%。</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5、住房保障支出（类）住房改革支出（款）住房公积金（项）。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年初预算150.00万元，支出决算150.00万元，完成年初预算100%。</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六、一般公共预算财政拨款基本支出决算情况说明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2021年度财政拨款基本支出2021.95万元，其中：</w:t>
      </w:r>
    </w:p>
    <w:p>
      <w:pPr>
        <w:pStyle w:val="11"/>
        <w:numPr>
          <w:ilvl w:val="0"/>
          <w:numId w:val="2"/>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人员经费1827.00万元，占基本支出的90.36%,主要包括基本工资、津贴补贴、伙食补助费、绩效工资、机关事业单位基本养老保险缴费、职工基本医疗保险缴费、其他社会保险缴费、住房公积金、医疗费、退休费、抚恤金、生活补助、奖励金、其他对个人和家庭的补助支出；</w:t>
      </w:r>
    </w:p>
    <w:p>
      <w:pPr>
        <w:pStyle w:val="11"/>
        <w:numPr>
          <w:ilvl w:val="0"/>
          <w:numId w:val="2"/>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用经费194.95万元，占基本支出的9.64%，主要包括办公费、水费、电费、邮电费、物业管理费、差旅费、维修（护）费、公务接待费、劳务费、工会经费、公务用车运行维护费、其他交通费用、其他商品和服务支出。</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七、一般公共预算财政拨款三公经费支出决算情况说明</w:t>
      </w:r>
    </w:p>
    <w:p>
      <w:pPr>
        <w:pStyle w:val="11"/>
        <w:rPr>
          <w:rFonts w:asciiTheme="minorEastAsia" w:hAnsiTheme="minorEastAsia" w:eastAsiaTheme="minorEastAsia"/>
          <w:b/>
          <w:color w:val="auto"/>
          <w:sz w:val="32"/>
          <w:szCs w:val="32"/>
        </w:rPr>
      </w:pPr>
      <w:r>
        <w:rPr>
          <w:rFonts w:hint="eastAsia" w:asciiTheme="minorEastAsia" w:hAnsiTheme="minorEastAsia" w:eastAsiaTheme="minorEastAsia"/>
          <w:b/>
          <w:sz w:val="32"/>
          <w:szCs w:val="32"/>
        </w:rPr>
        <w:t xml:space="preserve">  （一）</w:t>
      </w:r>
      <w:r>
        <w:rPr>
          <w:rFonts w:hint="eastAsia" w:asciiTheme="minorEastAsia" w:hAnsiTheme="minorEastAsia" w:eastAsiaTheme="minorEastAsia"/>
          <w:b/>
          <w:color w:val="auto"/>
          <w:sz w:val="32"/>
          <w:szCs w:val="32"/>
        </w:rPr>
        <w:t>“三公”经费财政拨款支出决算总体情况说明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2021年度“三公”经费财政拨款支出预算为0.90万元，支出决算数为0.85万元，完成预算数的94.44%，其中：</w:t>
      </w:r>
    </w:p>
    <w:p>
      <w:pPr>
        <w:pStyle w:val="11"/>
        <w:numPr>
          <w:ilvl w:val="0"/>
          <w:numId w:val="3"/>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因公出国（境）支出预算为0万元，支出决算为0万元，</w:t>
      </w:r>
      <w:r>
        <w:rPr>
          <w:rFonts w:hint="eastAsia" w:asciiTheme="minorEastAsia" w:hAnsiTheme="minorEastAsia" w:eastAsiaTheme="minorEastAsia"/>
          <w:sz w:val="32"/>
          <w:szCs w:val="32"/>
          <w:lang w:val="en-US" w:eastAsia="zh-CN"/>
        </w:rPr>
        <w:t>与上年持平，由于预算数为0，无法计算百分比</w:t>
      </w:r>
      <w:r>
        <w:rPr>
          <w:rFonts w:hint="eastAsia" w:asciiTheme="minorEastAsia" w:hAnsiTheme="minorEastAsia" w:eastAsiaTheme="minorEastAsia"/>
          <w:sz w:val="32"/>
          <w:szCs w:val="32"/>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公务接待费支出预算为0.10万元，支出决算为0.05万元，完成预算数的50%，决算数小于年初预算数的主要原因是本单位继续积极贯彻落实中央、省委关于厉行节约的要求，从严控制公务接待；与上年相比减少0.18万元，减少78.26%,减少的主要原因是厉行节约，严格报销制度，进一步规范公务接待费管理</w:t>
      </w:r>
      <w:r>
        <w:rPr>
          <w:rFonts w:hint="eastAsia" w:asciiTheme="minorEastAsia" w:hAnsiTheme="minorEastAsia" w:eastAsiaTheme="minorEastAsia"/>
          <w:sz w:val="32"/>
          <w:szCs w:val="32"/>
          <w:lang w:eastAsia="zh-CN"/>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3、公务用车购置费支出预算为0万元，支出决算为0万元，</w:t>
      </w:r>
      <w:r>
        <w:rPr>
          <w:rFonts w:hint="eastAsia" w:asciiTheme="minorEastAsia" w:hAnsiTheme="minorEastAsia" w:eastAsiaTheme="minorEastAsia"/>
          <w:sz w:val="32"/>
          <w:szCs w:val="32"/>
          <w:lang w:val="en-US" w:eastAsia="zh-CN"/>
        </w:rPr>
        <w:t>与上年持平，</w:t>
      </w:r>
      <w:bookmarkStart w:id="2" w:name="_GoBack"/>
      <w:bookmarkEnd w:id="2"/>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4、公车运行维护费支出预算为0.8万元，支出决算为0.80万元，完成预算数的100%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与上年持平；</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2021年度本单位“三公”经费财政拨款支出决算中，公务接待费支出决算0.05万元，占5.88%,因公出国（境）费支出决算0.00万元，占0%,公务用车购置费及运行维护费支出决算0.80万元，占94.12%。其中：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1、因公出国（境）费支出决算为0.00万元，全年安排因公出国（境）团组0个，累计0人次。</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0.05万元，全年共接待来访团组1个、来宾2人次，为国内公务接待，主要是接待广东体育职业技术学院-体育管理学院经广东省教育厅和广东省体育局批准，“广东省攀岩队‘校办’模式的研究”和“广东省攀岩队多元化办队模式的研究”两项课题调研活动发生的接待支出。</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3、公务用车购置费及运行维护费支出支出决算为0.80万元，完成预算的100%，其中：公务用车购置费0万元，本单位更新公务用车0辆。</w:t>
      </w:r>
      <w:r>
        <w:rPr>
          <w:rFonts w:hint="eastAsia" w:asciiTheme="minorEastAsia" w:hAnsiTheme="minorEastAsia" w:eastAsiaTheme="minorEastAsia"/>
          <w:color w:val="auto"/>
          <w:sz w:val="32"/>
          <w:szCs w:val="32"/>
        </w:rPr>
        <w:t>公务</w:t>
      </w:r>
      <w:r>
        <w:rPr>
          <w:rFonts w:hint="eastAsia" w:asciiTheme="minorEastAsia" w:hAnsiTheme="minorEastAsia" w:eastAsiaTheme="minorEastAsia"/>
          <w:sz w:val="32"/>
          <w:szCs w:val="32"/>
        </w:rPr>
        <w:t>用车运行维护费0.80万元，主要是车辆保险费、信息化管理平台服务费、加油费、维修费等支出，截止2021年12月31日，我单位开支财政拨款的公务用车保有量为</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 xml:space="preserve">辆。 </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八、政府性基金预算收入支出决算情况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2021年度政府性基金预算财政拨款收入307.00万元；年初结转和结余14.88万元；支出267.97万元，其中基本支出0.00万元，项目支出267.97万元；年末结转和结余53.91万元。具体情况如下：</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其他支出（类）彩票公益金安排的支出（款）用于体育事业的彩票公益金支出（项）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年初预算307.00万元，支出决算267.97万元，完成年初预算87.28%，决算数小于预算数的主要原因：“高端人才激励经费”项目资金结余45.04万元、“体育场体操训练教学综合楼工程尾款”项目资金结余8.87万元。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政府性基金拨款支出预算均为项目支出,主要用于奥运争光竞技体育事业支出部分，年末结转资金主要为用于“高端人才激励经费”项目和“体育场体操训练教学综合楼工程尾款”项目的支出。</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九、机关运行经费支出说明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本单位2021年度机关运行经费支出0万元，与上年持平，主要是因为本单位不属于行政单位和参照公务员法管理事业单位，而是属于公益一类事业单位，没有涉及到机关运行经费支出。</w:t>
      </w:r>
    </w:p>
    <w:p>
      <w:pPr>
        <w:pStyle w:val="11"/>
        <w:rPr>
          <w:rFonts w:hAnsi="黑体"/>
          <w:b/>
          <w:sz w:val="32"/>
          <w:szCs w:val="32"/>
        </w:rPr>
      </w:pPr>
      <w:r>
        <w:rPr>
          <w:rFonts w:hint="eastAsia" w:hAnsi="黑体"/>
          <w:b/>
          <w:sz w:val="32"/>
          <w:szCs w:val="32"/>
        </w:rPr>
        <w:t>十、一般性支出情况</w:t>
      </w:r>
      <w:r>
        <w:rPr>
          <w:rFonts w:hint="eastAsia" w:hAnsi="黑体"/>
          <w:b/>
          <w:sz w:val="32"/>
          <w:szCs w:val="32"/>
          <w:lang w:eastAsia="zh-CN"/>
        </w:rPr>
        <w:t>说明</w:t>
      </w:r>
    </w:p>
    <w:p>
      <w:pPr>
        <w:pStyle w:val="11"/>
        <w:ind w:firstLine="640" w:firstLineChars="200"/>
        <w:rPr>
          <w:rFonts w:hAnsi="黑体"/>
          <w:b/>
          <w:sz w:val="32"/>
          <w:szCs w:val="32"/>
        </w:rPr>
      </w:pPr>
      <w:r>
        <w:rPr>
          <w:rFonts w:hint="eastAsia" w:asciiTheme="minorEastAsia" w:hAnsiTheme="minorEastAsia" w:eastAsiaTheme="minorEastAsia"/>
          <w:sz w:val="32"/>
          <w:szCs w:val="32"/>
        </w:rPr>
        <w:t>2021年本单位开支会议费0万元，用于召开0次会议，人数0人；开支培训费0万元，用于开展0次培训，人数0人；举办0次节庆、晚会、论坛、赛事等活动，开支0万元。均与上年持平，主要是因为本单位没有召开大型会议及培训。</w:t>
      </w:r>
    </w:p>
    <w:p>
      <w:pPr>
        <w:pStyle w:val="11"/>
        <w:rPr>
          <w:rFonts w:hint="eastAsia" w:hAnsi="黑体"/>
          <w:b/>
          <w:sz w:val="32"/>
          <w:szCs w:val="32"/>
        </w:rPr>
      </w:pPr>
    </w:p>
    <w:p>
      <w:pPr>
        <w:pStyle w:val="11"/>
        <w:rPr>
          <w:rFonts w:hAnsi="黑体"/>
          <w:b/>
          <w:sz w:val="32"/>
          <w:szCs w:val="32"/>
        </w:rPr>
      </w:pPr>
      <w:r>
        <w:rPr>
          <w:rFonts w:hint="eastAsia" w:hAnsi="黑体"/>
          <w:b/>
          <w:sz w:val="32"/>
          <w:szCs w:val="32"/>
        </w:rPr>
        <w:t>十一、政府采购支出说明</w:t>
      </w:r>
    </w:p>
    <w:p>
      <w:pPr>
        <w:pStyle w:val="11"/>
        <w:ind w:firstLine="640" w:firstLineChars="200"/>
        <w:rPr>
          <w:rFonts w:ascii="宋体" w:hAnsi="宋体" w:eastAsia="宋体"/>
          <w:sz w:val="32"/>
          <w:szCs w:val="32"/>
        </w:rPr>
      </w:pPr>
      <w:r>
        <w:rPr>
          <w:rFonts w:hint="eastAsia" w:asciiTheme="minorEastAsia" w:hAnsiTheme="minorEastAsia" w:eastAsiaTheme="minorEastAsia"/>
          <w:sz w:val="32"/>
          <w:szCs w:val="32"/>
        </w:rPr>
        <w:t>本单位2021年度政府采购支出总额0万元，其中：政府采购货物支出0万元、政府采购工程支出0万元、政府采购服务支出0万元。授予中小企业合同金额0万元，占政府采购支出总额的0%，其中：授予小微企业合同金额0万元，</w:t>
      </w:r>
      <w:r>
        <w:rPr>
          <w:rFonts w:hint="eastAsia" w:ascii="宋体" w:hAnsi="宋体" w:eastAsia="宋体"/>
          <w:sz w:val="32"/>
          <w:szCs w:val="32"/>
        </w:rPr>
        <w:t>占授予中小企业合同金额的0%；货物采购授予中小企业合同金额占货物支出金额的0%，工程采购授予中小企业合同金额占工程支出金额的0%，服务采购授予中小企业合同金额占服务支出金额的0%</w:t>
      </w:r>
      <w:r>
        <w:rPr>
          <w:rFonts w:hint="eastAsia" w:ascii="宋体" w:hAnsi="宋体" w:eastAsia="宋体"/>
          <w:sz w:val="32"/>
          <w:szCs w:val="32"/>
          <w:lang w:eastAsia="zh-CN"/>
        </w:rPr>
        <w:t>（</w:t>
      </w:r>
      <w:r>
        <w:rPr>
          <w:rFonts w:hint="eastAsia" w:ascii="宋体" w:hAnsi="宋体" w:eastAsia="宋体"/>
          <w:sz w:val="32"/>
          <w:szCs w:val="32"/>
          <w:lang w:val="en-US" w:eastAsia="zh-CN"/>
        </w:rPr>
        <w:t>注：由于</w:t>
      </w:r>
      <w:r>
        <w:rPr>
          <w:rFonts w:hint="eastAsia" w:asciiTheme="minorEastAsia" w:hAnsiTheme="minorEastAsia" w:eastAsiaTheme="minorEastAsia"/>
          <w:sz w:val="32"/>
          <w:szCs w:val="32"/>
        </w:rPr>
        <w:t>2021年度政府采购支出总额0万元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无法计算百分比</w:t>
      </w:r>
      <w:r>
        <w:rPr>
          <w:rFonts w:hint="eastAsia" w:ascii="宋体" w:hAnsi="宋体" w:eastAsia="宋体"/>
          <w:sz w:val="32"/>
          <w:szCs w:val="32"/>
          <w:lang w:eastAsia="zh-CN"/>
        </w:rPr>
        <w:t>）</w:t>
      </w:r>
      <w:r>
        <w:rPr>
          <w:rFonts w:hint="eastAsia" w:ascii="宋体" w:hAnsi="宋体" w:eastAsia="宋体"/>
          <w:sz w:val="32"/>
          <w:szCs w:val="32"/>
        </w:rPr>
        <w:t>。</w:t>
      </w:r>
    </w:p>
    <w:p>
      <w:pPr>
        <w:pStyle w:val="11"/>
        <w:rPr>
          <w:rFonts w:hAnsi="黑体"/>
          <w:b/>
          <w:sz w:val="32"/>
          <w:szCs w:val="32"/>
        </w:rPr>
      </w:pPr>
      <w:r>
        <w:rPr>
          <w:rFonts w:hint="eastAsia" w:hAnsi="黑体"/>
          <w:b/>
          <w:sz w:val="32"/>
          <w:szCs w:val="32"/>
        </w:rPr>
        <w:t>十二、国有资产占用情况说明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w:t>
      </w:r>
      <w:r>
        <w:rPr>
          <w:rFonts w:hint="eastAsia" w:asciiTheme="minorEastAsia" w:hAnsiTheme="minorEastAsia" w:eastAsiaTheme="minorEastAsia"/>
          <w:sz w:val="32"/>
          <w:szCs w:val="32"/>
          <w:lang w:eastAsia="zh-CN"/>
        </w:rPr>
        <w:t>一</w:t>
      </w:r>
      <w:r>
        <w:rPr>
          <w:rFonts w:hint="eastAsia" w:asciiTheme="minorEastAsia" w:hAnsiTheme="minorEastAsia" w:eastAsiaTheme="minorEastAsia"/>
          <w:sz w:val="32"/>
          <w:szCs w:val="32"/>
        </w:rPr>
        <w:t>辆，其中：主要领导干部用车0辆、机要通信用车0辆、应急保障用车0辆、执法执勤用车0辆、特种专业技术用车0辆、其他用车</w:t>
      </w:r>
      <w:r>
        <w:rPr>
          <w:rFonts w:hint="eastAsia" w:asciiTheme="minorEastAsia" w:hAnsiTheme="minorEastAsia" w:eastAsiaTheme="minorEastAsia"/>
          <w:sz w:val="32"/>
          <w:szCs w:val="32"/>
          <w:lang w:eastAsia="zh-CN"/>
        </w:rPr>
        <w:t>一</w:t>
      </w:r>
      <w:r>
        <w:rPr>
          <w:rFonts w:hint="eastAsia" w:asciiTheme="minorEastAsia" w:hAnsiTheme="minorEastAsia" w:eastAsiaTheme="minorEastAsia"/>
          <w:sz w:val="32"/>
          <w:szCs w:val="32"/>
        </w:rPr>
        <w:t>辆，其他用车主要是用于运动员食堂采购用；单位价值50万元以上通用设备</w:t>
      </w:r>
      <w:r>
        <w:rPr>
          <w:rFonts w:hint="eastAsia" w:asciiTheme="minorEastAsia" w:hAnsiTheme="minorEastAsia" w:eastAsiaTheme="minorEastAsia"/>
          <w:sz w:val="32"/>
          <w:szCs w:val="32"/>
          <w:lang w:eastAsia="zh-CN"/>
        </w:rPr>
        <w:t>一</w:t>
      </w:r>
      <w:r>
        <w:rPr>
          <w:rFonts w:hint="eastAsia" w:asciiTheme="minorEastAsia" w:hAnsiTheme="minorEastAsia" w:eastAsiaTheme="minorEastAsia"/>
          <w:sz w:val="32"/>
          <w:szCs w:val="32"/>
        </w:rPr>
        <w:t>台（套）；单位价值100万元以上专用设备0台（套）。</w:t>
      </w:r>
    </w:p>
    <w:p>
      <w:pPr>
        <w:pStyle w:val="11"/>
        <w:rPr>
          <w:rFonts w:hint="eastAsia" w:ascii="宋体" w:hAnsi="宋体" w:eastAsia="宋体" w:cs="宋体"/>
          <w:b/>
          <w:sz w:val="32"/>
          <w:szCs w:val="32"/>
        </w:rPr>
      </w:pPr>
      <w:r>
        <w:rPr>
          <w:rFonts w:hint="eastAsia" w:ascii="宋体" w:hAnsi="宋体" w:eastAsia="宋体" w:cs="宋体"/>
          <w:b/>
          <w:sz w:val="32"/>
          <w:szCs w:val="32"/>
        </w:rPr>
        <w:t>十三、</w:t>
      </w:r>
      <w:r>
        <w:rPr>
          <w:rFonts w:hint="eastAsia" w:hAnsi="黑体"/>
          <w:b/>
          <w:sz w:val="32"/>
          <w:szCs w:val="32"/>
        </w:rPr>
        <w:t>202</w:t>
      </w:r>
      <w:r>
        <w:rPr>
          <w:rFonts w:hint="eastAsia" w:hAnsi="黑体"/>
          <w:b/>
          <w:sz w:val="32"/>
          <w:szCs w:val="32"/>
          <w:lang w:val="en-US" w:eastAsia="zh-CN"/>
        </w:rPr>
        <w:t>1</w:t>
      </w:r>
      <w:r>
        <w:rPr>
          <w:rFonts w:hint="eastAsia" w:hAnsi="黑体"/>
          <w:b/>
          <w:sz w:val="32"/>
          <w:szCs w:val="32"/>
        </w:rPr>
        <w:t>年度预算绩效情况的说明</w:t>
      </w:r>
    </w:p>
    <w:p>
      <w:pPr>
        <w:autoSpaceDE w:val="0"/>
        <w:autoSpaceDN w:val="0"/>
        <w:adjustRightInd w:val="0"/>
        <w:jc w:val="left"/>
        <w:rPr>
          <w:rFonts w:ascii="宋体" w:hAnsi="宋体" w:eastAsia="宋体" w:cs="黑体"/>
          <w:color w:val="000000"/>
          <w:kern w:val="0"/>
          <w:sz w:val="32"/>
          <w:szCs w:val="32"/>
        </w:rPr>
      </w:pPr>
      <w:r>
        <w:rPr>
          <w:rFonts w:hint="eastAsia" w:ascii="宋体" w:hAnsi="宋体" w:eastAsia="宋体" w:cs="黑体"/>
          <w:b/>
          <w:bCs/>
          <w:color w:val="000000"/>
          <w:kern w:val="0"/>
          <w:sz w:val="32"/>
          <w:szCs w:val="32"/>
        </w:rPr>
        <w:t>（</w:t>
      </w:r>
      <w:r>
        <w:rPr>
          <w:rFonts w:hint="eastAsia" w:cs="黑体" w:asciiTheme="minorEastAsia" w:hAnsiTheme="minorEastAsia"/>
          <w:b/>
          <w:bCs/>
          <w:color w:val="000000"/>
          <w:kern w:val="0"/>
          <w:sz w:val="32"/>
          <w:szCs w:val="32"/>
        </w:rPr>
        <w:t>一）</w:t>
      </w:r>
      <w:r>
        <w:rPr>
          <w:rFonts w:hint="eastAsia" w:ascii="宋体" w:hAnsi="宋体" w:eastAsia="宋体" w:cs="黑体"/>
          <w:b/>
          <w:bCs/>
          <w:color w:val="000000"/>
          <w:kern w:val="0"/>
          <w:sz w:val="32"/>
          <w:szCs w:val="32"/>
        </w:rPr>
        <w:t>绩效管理评价工作开展情况</w:t>
      </w:r>
      <w:r>
        <w:rPr>
          <w:rFonts w:hint="eastAsia" w:ascii="宋体" w:hAnsi="宋体" w:eastAsia="宋体" w:cs="黑体"/>
          <w:color w:val="000000"/>
          <w:kern w:val="0"/>
          <w:sz w:val="32"/>
          <w:szCs w:val="32"/>
        </w:rPr>
        <w:t>。</w:t>
      </w:r>
    </w:p>
    <w:p>
      <w:pPr>
        <w:autoSpaceDE w:val="0"/>
        <w:autoSpaceDN w:val="0"/>
        <w:adjustRightInd w:val="0"/>
        <w:ind w:firstLine="640" w:firstLineChars="200"/>
        <w:jc w:val="left"/>
        <w:rPr>
          <w:rFonts w:ascii="宋体" w:hAnsi="宋体" w:eastAsia="宋体" w:cs="黑体"/>
          <w:color w:val="000000"/>
          <w:kern w:val="0"/>
          <w:sz w:val="32"/>
          <w:szCs w:val="32"/>
        </w:rPr>
      </w:pPr>
      <w:r>
        <w:rPr>
          <w:rFonts w:hint="eastAsia" w:ascii="宋体" w:hAnsi="宋体" w:eastAsia="宋体" w:cs="黑体"/>
          <w:color w:val="000000"/>
          <w:kern w:val="0"/>
          <w:sz w:val="32"/>
          <w:szCs w:val="32"/>
        </w:rPr>
        <w:t>根据预算绩效管理要求，</w:t>
      </w:r>
      <w:r>
        <w:rPr>
          <w:rFonts w:hint="eastAsia" w:cs="黑体" w:asciiTheme="minorEastAsia" w:hAnsiTheme="minorEastAsia"/>
          <w:color w:val="000000"/>
          <w:kern w:val="0"/>
          <w:sz w:val="32"/>
          <w:szCs w:val="32"/>
        </w:rPr>
        <w:t>本单位</w:t>
      </w:r>
    </w:p>
    <w:p>
      <w:pPr>
        <w:autoSpaceDE w:val="0"/>
        <w:autoSpaceDN w:val="0"/>
        <w:adjustRightInd w:val="0"/>
        <w:ind w:firstLine="640" w:firstLineChars="200"/>
        <w:jc w:val="left"/>
        <w:rPr>
          <w:rFonts w:ascii="宋体" w:hAnsi="宋体" w:eastAsia="宋体" w:cs="黑体"/>
          <w:color w:val="000000"/>
          <w:kern w:val="0"/>
          <w:sz w:val="32"/>
          <w:szCs w:val="32"/>
        </w:rPr>
      </w:pPr>
      <w:r>
        <w:rPr>
          <w:rFonts w:hint="eastAsia" w:cs="黑体" w:asciiTheme="minorEastAsia" w:hAnsiTheme="minorEastAsia"/>
          <w:color w:val="000000"/>
          <w:kern w:val="0"/>
          <w:sz w:val="32"/>
          <w:szCs w:val="32"/>
        </w:rPr>
        <w:t>1、</w:t>
      </w:r>
      <w:r>
        <w:rPr>
          <w:rFonts w:hint="eastAsia" w:ascii="宋体" w:hAnsi="宋体" w:eastAsia="宋体" w:cs="黑体"/>
          <w:color w:val="000000"/>
          <w:kern w:val="0"/>
          <w:sz w:val="32"/>
          <w:szCs w:val="32"/>
        </w:rPr>
        <w:t>组织对</w:t>
      </w:r>
      <w:r>
        <w:rPr>
          <w:rFonts w:cs="黑体" w:asciiTheme="minorEastAsia" w:hAnsiTheme="minorEastAsia"/>
          <w:color w:val="000000"/>
          <w:kern w:val="0"/>
          <w:sz w:val="32"/>
          <w:szCs w:val="32"/>
        </w:rPr>
        <w:t>2021</w:t>
      </w:r>
      <w:r>
        <w:rPr>
          <w:rFonts w:hint="eastAsia" w:ascii="宋体" w:hAnsi="宋体" w:eastAsia="宋体" w:cs="黑体"/>
          <w:color w:val="000000"/>
          <w:kern w:val="0"/>
          <w:sz w:val="32"/>
          <w:szCs w:val="32"/>
        </w:rPr>
        <w:t>年度一般公共预算项目支出全面开展绩效自评，其中，一级项目</w:t>
      </w:r>
      <w:r>
        <w:rPr>
          <w:rFonts w:hint="eastAsia" w:cs="黑体" w:asciiTheme="minorEastAsia" w:hAnsiTheme="minorEastAsia"/>
          <w:color w:val="000000"/>
          <w:kern w:val="0"/>
          <w:sz w:val="32"/>
          <w:szCs w:val="32"/>
        </w:rPr>
        <w:t>1</w:t>
      </w:r>
      <w:r>
        <w:rPr>
          <w:rFonts w:hint="eastAsia" w:ascii="宋体" w:hAnsi="宋体" w:eastAsia="宋体" w:cs="黑体"/>
          <w:color w:val="000000"/>
          <w:kern w:val="0"/>
          <w:sz w:val="32"/>
          <w:szCs w:val="32"/>
        </w:rPr>
        <w:t>个，二级项目</w:t>
      </w:r>
      <w:r>
        <w:rPr>
          <w:rFonts w:hint="eastAsia" w:cs="黑体" w:asciiTheme="minorEastAsia" w:hAnsiTheme="minorEastAsia"/>
          <w:color w:val="000000"/>
          <w:kern w:val="0"/>
          <w:sz w:val="32"/>
          <w:szCs w:val="32"/>
        </w:rPr>
        <w:t>4</w:t>
      </w:r>
      <w:r>
        <w:rPr>
          <w:rFonts w:hint="eastAsia" w:ascii="宋体" w:hAnsi="宋体" w:eastAsia="宋体" w:cs="黑体"/>
          <w:color w:val="000000"/>
          <w:kern w:val="0"/>
          <w:sz w:val="32"/>
          <w:szCs w:val="32"/>
        </w:rPr>
        <w:t>个，共涉及资金</w:t>
      </w:r>
      <w:r>
        <w:rPr>
          <w:rFonts w:hint="eastAsia" w:cs="黑体" w:asciiTheme="minorEastAsia" w:hAnsiTheme="minorEastAsia"/>
          <w:color w:val="000000"/>
          <w:kern w:val="0"/>
          <w:sz w:val="32"/>
          <w:szCs w:val="32"/>
        </w:rPr>
        <w:t>160.00</w:t>
      </w:r>
      <w:r>
        <w:rPr>
          <w:rFonts w:ascii="宋体" w:hAnsi="宋体" w:eastAsia="宋体" w:cs="黑体"/>
          <w:color w:val="000000"/>
          <w:kern w:val="0"/>
          <w:sz w:val="32"/>
          <w:szCs w:val="32"/>
        </w:rPr>
        <w:t xml:space="preserve"> </w:t>
      </w:r>
      <w:r>
        <w:rPr>
          <w:rFonts w:hint="eastAsia" w:ascii="宋体" w:hAnsi="宋体" w:eastAsia="宋体" w:cs="黑体"/>
          <w:color w:val="000000"/>
          <w:kern w:val="0"/>
          <w:sz w:val="32"/>
          <w:szCs w:val="32"/>
        </w:rPr>
        <w:t>万元，占一般公共预算项目支出总额的</w:t>
      </w:r>
      <w:r>
        <w:rPr>
          <w:rFonts w:hint="eastAsia" w:cs="黑体" w:asciiTheme="minorEastAsia" w:hAnsiTheme="minorEastAsia"/>
          <w:color w:val="000000"/>
          <w:kern w:val="0"/>
          <w:sz w:val="32"/>
          <w:szCs w:val="32"/>
        </w:rPr>
        <w:t>100</w:t>
      </w:r>
      <w:r>
        <w:rPr>
          <w:rFonts w:ascii="宋体" w:hAnsi="宋体" w:eastAsia="宋体" w:cs="黑体"/>
          <w:color w:val="000000"/>
          <w:kern w:val="0"/>
          <w:sz w:val="32"/>
          <w:szCs w:val="32"/>
        </w:rPr>
        <w:t>%</w:t>
      </w:r>
      <w:r>
        <w:rPr>
          <w:rFonts w:hint="eastAsia" w:ascii="宋体" w:hAnsi="宋体" w:eastAsia="宋体" w:cs="黑体"/>
          <w:color w:val="000000"/>
          <w:kern w:val="0"/>
          <w:sz w:val="32"/>
          <w:szCs w:val="32"/>
        </w:rPr>
        <w:t>。</w:t>
      </w:r>
    </w:p>
    <w:p>
      <w:pPr>
        <w:pStyle w:val="11"/>
        <w:ind w:firstLine="640" w:firstLineChars="200"/>
        <w:rPr>
          <w:rFonts w:ascii="宋体" w:hAnsi="宋体" w:eastAsia="宋体"/>
          <w:sz w:val="32"/>
          <w:szCs w:val="32"/>
        </w:rPr>
      </w:pPr>
      <w:r>
        <w:rPr>
          <w:rFonts w:hint="eastAsia" w:asciiTheme="minorEastAsia" w:hAnsiTheme="minorEastAsia" w:eastAsiaTheme="minorEastAsia"/>
          <w:sz w:val="32"/>
          <w:szCs w:val="32"/>
        </w:rPr>
        <w:t>2、</w:t>
      </w:r>
      <w:r>
        <w:rPr>
          <w:rFonts w:hint="eastAsia" w:ascii="宋体" w:hAnsi="宋体" w:eastAsia="宋体"/>
          <w:sz w:val="32"/>
          <w:szCs w:val="32"/>
        </w:rPr>
        <w:t>组织对</w:t>
      </w:r>
      <w:r>
        <w:rPr>
          <w:rFonts w:ascii="宋体" w:hAnsi="宋体" w:eastAsia="宋体"/>
          <w:sz w:val="32"/>
          <w:szCs w:val="32"/>
        </w:rPr>
        <w:t>2021</w:t>
      </w:r>
      <w:r>
        <w:rPr>
          <w:rFonts w:hint="eastAsia" w:ascii="宋体" w:hAnsi="宋体" w:eastAsia="宋体"/>
          <w:sz w:val="32"/>
          <w:szCs w:val="32"/>
        </w:rPr>
        <w:t>年度</w:t>
      </w:r>
      <w:r>
        <w:rPr>
          <w:rFonts w:hint="eastAsia" w:asciiTheme="minorEastAsia" w:hAnsiTheme="minorEastAsia" w:eastAsiaTheme="minorEastAsia"/>
          <w:sz w:val="32"/>
          <w:szCs w:val="32"/>
        </w:rPr>
        <w:t>“高端人才激励经费、人才引进经费</w:t>
      </w:r>
      <w:r>
        <w:rPr>
          <w:rFonts w:hint="eastAsia" w:ascii="宋体" w:hAnsi="宋体" w:eastAsia="宋体"/>
          <w:sz w:val="32"/>
          <w:szCs w:val="32"/>
        </w:rPr>
        <w:t>、</w:t>
      </w:r>
      <w:r>
        <w:rPr>
          <w:rFonts w:hint="eastAsia" w:asciiTheme="minorEastAsia" w:hAnsiTheme="minorEastAsia" w:eastAsiaTheme="minorEastAsia"/>
          <w:sz w:val="32"/>
          <w:szCs w:val="32"/>
        </w:rPr>
        <w:t>体育场体操训练教学综合楼工程尾款、训练经费、医疗后勤保障经费、运动员伙食费用、专用器材购置经费”</w:t>
      </w:r>
      <w:r>
        <w:rPr>
          <w:rFonts w:hint="eastAsia" w:ascii="宋体" w:hAnsi="宋体" w:eastAsia="宋体"/>
          <w:sz w:val="32"/>
          <w:szCs w:val="32"/>
        </w:rPr>
        <w:t>等</w:t>
      </w:r>
      <w:r>
        <w:rPr>
          <w:rFonts w:hint="eastAsia" w:asciiTheme="minorEastAsia" w:hAnsiTheme="minorEastAsia" w:eastAsiaTheme="minorEastAsia"/>
          <w:sz w:val="32"/>
          <w:szCs w:val="32"/>
        </w:rPr>
        <w:t>7</w:t>
      </w:r>
      <w:r>
        <w:rPr>
          <w:rFonts w:hint="eastAsia" w:ascii="宋体" w:hAnsi="宋体" w:eastAsia="宋体"/>
          <w:sz w:val="32"/>
          <w:szCs w:val="32"/>
        </w:rPr>
        <w:t>个政府性基金预算项目支出开展绩效自评，共涉及资金</w:t>
      </w:r>
      <w:r>
        <w:rPr>
          <w:rFonts w:hint="eastAsia" w:asciiTheme="minorEastAsia" w:hAnsiTheme="minorEastAsia" w:eastAsiaTheme="minorEastAsia"/>
          <w:sz w:val="32"/>
          <w:szCs w:val="32"/>
        </w:rPr>
        <w:t>267.97</w:t>
      </w:r>
      <w:r>
        <w:rPr>
          <w:rFonts w:ascii="宋体" w:hAnsi="宋体" w:eastAsia="宋体"/>
          <w:sz w:val="32"/>
          <w:szCs w:val="32"/>
        </w:rPr>
        <w:t xml:space="preserve"> </w:t>
      </w:r>
      <w:r>
        <w:rPr>
          <w:rFonts w:hint="eastAsia" w:ascii="宋体" w:hAnsi="宋体" w:eastAsia="宋体"/>
          <w:sz w:val="32"/>
          <w:szCs w:val="32"/>
        </w:rPr>
        <w:t>万元，占政府性基金预算项目支出总额的</w:t>
      </w:r>
      <w:r>
        <w:rPr>
          <w:rFonts w:hint="eastAsia" w:asciiTheme="minorEastAsia" w:hAnsiTheme="minorEastAsia" w:eastAsiaTheme="minorEastAsia"/>
          <w:sz w:val="32"/>
          <w:szCs w:val="32"/>
        </w:rPr>
        <w:t>100</w:t>
      </w:r>
      <w:r>
        <w:rPr>
          <w:rFonts w:ascii="宋体" w:hAnsi="宋体" w:eastAsia="宋体"/>
          <w:sz w:val="32"/>
          <w:szCs w:val="32"/>
        </w:rPr>
        <w:t>%</w:t>
      </w:r>
      <w:r>
        <w:rPr>
          <w:rFonts w:hint="eastAsia" w:ascii="宋体" w:hAnsi="宋体" w:eastAsia="宋体"/>
          <w:sz w:val="32"/>
          <w:szCs w:val="32"/>
        </w:rPr>
        <w:t>。</w:t>
      </w:r>
    </w:p>
    <w:p>
      <w:pPr>
        <w:pStyle w:val="11"/>
        <w:ind w:firstLine="640" w:firstLineChars="200"/>
        <w:rPr>
          <w:rFonts w:ascii="宋体" w:hAnsi="宋体" w:eastAsia="宋体"/>
          <w:sz w:val="32"/>
          <w:szCs w:val="32"/>
        </w:rPr>
      </w:pPr>
      <w:r>
        <w:rPr>
          <w:rFonts w:hint="eastAsia" w:asciiTheme="minorEastAsia" w:hAnsiTheme="minorEastAsia" w:eastAsiaTheme="minorEastAsia"/>
          <w:sz w:val="32"/>
          <w:szCs w:val="32"/>
        </w:rPr>
        <w:t>3、</w:t>
      </w:r>
      <w:r>
        <w:rPr>
          <w:rFonts w:hint="eastAsia" w:ascii="宋体" w:hAnsi="宋体" w:eastAsia="宋体"/>
          <w:sz w:val="32"/>
          <w:szCs w:val="32"/>
        </w:rPr>
        <w:t>组织对</w:t>
      </w:r>
      <w:r>
        <w:rPr>
          <w:rFonts w:ascii="宋体" w:hAnsi="宋体" w:eastAsia="宋体"/>
          <w:sz w:val="32"/>
          <w:szCs w:val="32"/>
        </w:rPr>
        <w:t xml:space="preserve">2021 </w:t>
      </w:r>
      <w:r>
        <w:rPr>
          <w:rFonts w:hint="eastAsia" w:ascii="宋体" w:hAnsi="宋体" w:eastAsia="宋体"/>
          <w:sz w:val="32"/>
          <w:szCs w:val="32"/>
        </w:rPr>
        <w:t>年度</w:t>
      </w:r>
      <w:r>
        <w:rPr>
          <w:rFonts w:hint="eastAsia" w:asciiTheme="minorEastAsia" w:hAnsiTheme="minorEastAsia" w:eastAsiaTheme="minorEastAsia"/>
          <w:sz w:val="32"/>
          <w:szCs w:val="32"/>
        </w:rPr>
        <w:t>0</w:t>
      </w:r>
      <w:r>
        <w:rPr>
          <w:rFonts w:hint="eastAsia" w:ascii="宋体" w:hAnsi="宋体" w:eastAsia="宋体"/>
          <w:sz w:val="32"/>
          <w:szCs w:val="32"/>
        </w:rPr>
        <w:t>个国有资本经营预算项目支出开展绩效自评，共涉及资金</w:t>
      </w:r>
      <w:r>
        <w:rPr>
          <w:rFonts w:hint="eastAsia" w:asciiTheme="minorEastAsia" w:hAnsiTheme="minorEastAsia" w:eastAsiaTheme="minorEastAsia"/>
          <w:sz w:val="32"/>
          <w:szCs w:val="32"/>
        </w:rPr>
        <w:t>0.00</w:t>
      </w:r>
      <w:r>
        <w:rPr>
          <w:rFonts w:hint="eastAsia" w:ascii="宋体" w:hAnsi="宋体" w:eastAsia="宋体"/>
          <w:sz w:val="32"/>
          <w:szCs w:val="32"/>
        </w:rPr>
        <w:t>万元，占国有资本经营预算项目支出总额的</w:t>
      </w:r>
      <w:r>
        <w:rPr>
          <w:rFonts w:hint="eastAsia" w:asciiTheme="minorEastAsia" w:hAnsiTheme="minorEastAsia" w:eastAsiaTheme="minorEastAsia"/>
          <w:sz w:val="32"/>
          <w:szCs w:val="32"/>
        </w:rPr>
        <w:t>0</w:t>
      </w:r>
      <w:r>
        <w:rPr>
          <w:rFonts w:ascii="宋体" w:hAnsi="宋体" w:eastAsia="宋体"/>
          <w:sz w:val="32"/>
          <w:szCs w:val="32"/>
        </w:rPr>
        <w:t>%</w:t>
      </w:r>
      <w:r>
        <w:rPr>
          <w:rFonts w:hint="eastAsia" w:ascii="宋体" w:hAnsi="宋体" w:eastAsia="宋体"/>
          <w:sz w:val="32"/>
          <w:szCs w:val="32"/>
        </w:rPr>
        <w:t>。</w:t>
      </w:r>
    </w:p>
    <w:p>
      <w:pPr>
        <w:autoSpaceDE w:val="0"/>
        <w:autoSpaceDN w:val="0"/>
        <w:adjustRightInd w:val="0"/>
        <w:ind w:firstLine="640" w:firstLineChars="200"/>
        <w:jc w:val="left"/>
        <w:rPr>
          <w:rFonts w:ascii="宋体" w:hAnsi="宋体" w:eastAsia="宋体" w:cs="黑体"/>
          <w:color w:val="000000"/>
          <w:kern w:val="0"/>
          <w:sz w:val="32"/>
          <w:szCs w:val="32"/>
        </w:rPr>
      </w:pPr>
      <w:r>
        <w:rPr>
          <w:rFonts w:hint="eastAsia" w:cs="黑体" w:asciiTheme="minorEastAsia" w:hAnsiTheme="minorEastAsia"/>
          <w:color w:val="000000"/>
          <w:kern w:val="0"/>
          <w:sz w:val="32"/>
          <w:szCs w:val="32"/>
        </w:rPr>
        <w:t>4、</w:t>
      </w:r>
      <w:r>
        <w:rPr>
          <w:rFonts w:hint="eastAsia" w:ascii="宋体" w:hAnsi="宋体" w:eastAsia="宋体" w:cs="黑体"/>
          <w:color w:val="000000"/>
          <w:kern w:val="0"/>
          <w:sz w:val="32"/>
          <w:szCs w:val="32"/>
        </w:rPr>
        <w:t>组织对</w:t>
      </w:r>
      <w:r>
        <w:rPr>
          <w:rFonts w:hint="eastAsia" w:cs="黑体" w:asciiTheme="minorEastAsia" w:hAnsiTheme="minorEastAsia"/>
          <w:color w:val="000000"/>
          <w:kern w:val="0"/>
          <w:sz w:val="32"/>
          <w:szCs w:val="32"/>
        </w:rPr>
        <w:t>“备战奥运会经费、备战全运会经费、运动员常年赛成绩奖、全运会参赛经费（体操、蹦床、攀岩项目）、高端人才激励经费、人才引进经费</w:t>
      </w:r>
      <w:r>
        <w:rPr>
          <w:rFonts w:hint="eastAsia" w:ascii="宋体" w:hAnsi="宋体" w:eastAsia="宋体" w:cs="黑体"/>
          <w:color w:val="000000"/>
          <w:kern w:val="0"/>
          <w:sz w:val="32"/>
          <w:szCs w:val="32"/>
        </w:rPr>
        <w:t>、</w:t>
      </w:r>
      <w:r>
        <w:rPr>
          <w:rFonts w:hint="eastAsia" w:cs="黑体" w:asciiTheme="minorEastAsia" w:hAnsiTheme="minorEastAsia"/>
          <w:color w:val="000000"/>
          <w:kern w:val="0"/>
          <w:sz w:val="32"/>
          <w:szCs w:val="32"/>
        </w:rPr>
        <w:t>体育场体操训练教学综合楼工程尾款、训练经费、医疗后勤保障经费、运动员伙食费用、专用器材购置经费”11</w:t>
      </w:r>
      <w:r>
        <w:rPr>
          <w:rFonts w:hint="eastAsia" w:ascii="宋体" w:hAnsi="宋体" w:eastAsia="宋体" w:cs="黑体"/>
          <w:color w:val="000000"/>
          <w:kern w:val="0"/>
          <w:sz w:val="32"/>
          <w:szCs w:val="32"/>
        </w:rPr>
        <w:t>个项目开展了部门评价，涉及一般公共预算支出</w:t>
      </w:r>
      <w:r>
        <w:rPr>
          <w:rFonts w:hint="eastAsia" w:cs="黑体" w:asciiTheme="minorEastAsia" w:hAnsiTheme="minorEastAsia"/>
          <w:color w:val="000000"/>
          <w:kern w:val="0"/>
          <w:sz w:val="32"/>
          <w:szCs w:val="32"/>
        </w:rPr>
        <w:t>160.00</w:t>
      </w:r>
      <w:r>
        <w:rPr>
          <w:rFonts w:hint="eastAsia" w:ascii="宋体" w:hAnsi="宋体" w:eastAsia="宋体" w:cs="黑体"/>
          <w:color w:val="000000"/>
          <w:kern w:val="0"/>
          <w:sz w:val="32"/>
          <w:szCs w:val="32"/>
        </w:rPr>
        <w:t>万元，政府性基金预算支出</w:t>
      </w:r>
      <w:r>
        <w:rPr>
          <w:rFonts w:hint="eastAsia" w:cs="黑体" w:asciiTheme="minorEastAsia" w:hAnsiTheme="minorEastAsia"/>
          <w:color w:val="000000"/>
          <w:kern w:val="0"/>
          <w:sz w:val="32"/>
          <w:szCs w:val="32"/>
        </w:rPr>
        <w:t>267.97</w:t>
      </w:r>
      <w:r>
        <w:rPr>
          <w:rFonts w:hint="eastAsia" w:ascii="宋体" w:hAnsi="宋体" w:eastAsia="宋体" w:cs="黑体"/>
          <w:color w:val="000000"/>
          <w:kern w:val="0"/>
          <w:sz w:val="32"/>
          <w:szCs w:val="32"/>
        </w:rPr>
        <w:t>万元，国有资本经营预算支出</w:t>
      </w:r>
      <w:r>
        <w:rPr>
          <w:rFonts w:hint="eastAsia" w:cs="黑体" w:asciiTheme="minorEastAsia" w:hAnsiTheme="minorEastAsia"/>
          <w:color w:val="000000"/>
          <w:kern w:val="0"/>
          <w:sz w:val="32"/>
          <w:szCs w:val="32"/>
        </w:rPr>
        <w:t>0.00</w:t>
      </w:r>
      <w:r>
        <w:rPr>
          <w:rFonts w:hint="eastAsia" w:ascii="宋体" w:hAnsi="宋体" w:eastAsia="宋体" w:cs="黑体"/>
          <w:color w:val="000000"/>
          <w:kern w:val="0"/>
          <w:sz w:val="32"/>
          <w:szCs w:val="32"/>
        </w:rPr>
        <w:t>万元。从评价情况来看，</w:t>
      </w:r>
      <w:r>
        <w:rPr>
          <w:rFonts w:hint="eastAsia" w:cs="黑体" w:asciiTheme="minorEastAsia" w:hAnsiTheme="minorEastAsia"/>
          <w:color w:val="000000"/>
          <w:kern w:val="0"/>
          <w:sz w:val="32"/>
          <w:szCs w:val="32"/>
        </w:rPr>
        <w:t>并从产出、效益、满意度指标三大项指标逐一评分，项目支出基本合理、规范、有效，社会效益较好，服务对象满意度较高，</w:t>
      </w:r>
      <w:r>
        <w:rPr>
          <w:rFonts w:hint="eastAsia" w:ascii="宋体" w:hAnsi="宋体" w:eastAsia="宋体" w:cs="黑体"/>
          <w:color w:val="000000"/>
          <w:kern w:val="0"/>
          <w:sz w:val="32"/>
          <w:szCs w:val="32"/>
        </w:rPr>
        <w:t>。</w:t>
      </w:r>
    </w:p>
    <w:p>
      <w:pPr>
        <w:jc w:val="left"/>
        <w:rPr>
          <w:rFonts w:cs="黑体" w:asciiTheme="minorEastAsia" w:hAnsiTheme="minorEastAsia"/>
          <w:color w:val="000000"/>
          <w:kern w:val="0"/>
          <w:sz w:val="32"/>
          <w:szCs w:val="32"/>
        </w:rPr>
      </w:pPr>
      <w:r>
        <w:rPr>
          <w:rFonts w:hint="eastAsia" w:ascii="宋体" w:hAnsi="宋体" w:cs="黑体"/>
          <w:color w:val="000000"/>
          <w:kern w:val="0"/>
          <w:sz w:val="32"/>
          <w:szCs w:val="32"/>
        </w:rPr>
        <w:t xml:space="preserve">   5、</w:t>
      </w:r>
      <w:r>
        <w:rPr>
          <w:rFonts w:hint="eastAsia" w:ascii="宋体" w:hAnsi="宋体" w:eastAsia="宋体" w:cs="黑体"/>
          <w:color w:val="000000"/>
          <w:kern w:val="0"/>
          <w:sz w:val="32"/>
          <w:szCs w:val="32"/>
        </w:rPr>
        <w:t>组织对</w:t>
      </w:r>
      <w:r>
        <w:rPr>
          <w:rFonts w:hint="eastAsia" w:ascii="宋体" w:hAnsi="宋体" w:cs="黑体"/>
          <w:color w:val="000000"/>
          <w:kern w:val="0"/>
          <w:sz w:val="32"/>
          <w:szCs w:val="32"/>
        </w:rPr>
        <w:t>本</w:t>
      </w:r>
      <w:r>
        <w:rPr>
          <w:rFonts w:hint="eastAsia" w:ascii="宋体" w:hAnsi="宋体" w:eastAsia="宋体" w:cs="黑体"/>
          <w:color w:val="000000"/>
          <w:kern w:val="0"/>
          <w:sz w:val="32"/>
          <w:szCs w:val="32"/>
        </w:rPr>
        <w:t>单位开展整体支出绩效评价，涉及一般公共预算支出</w:t>
      </w:r>
      <w:r>
        <w:rPr>
          <w:rFonts w:hint="eastAsia" w:cs="黑体" w:asciiTheme="minorEastAsia" w:hAnsiTheme="minorEastAsia"/>
          <w:color w:val="000000"/>
          <w:kern w:val="0"/>
          <w:sz w:val="32"/>
          <w:szCs w:val="32"/>
        </w:rPr>
        <w:t>2181.95</w:t>
      </w:r>
      <w:r>
        <w:rPr>
          <w:rFonts w:hint="eastAsia" w:ascii="宋体" w:hAnsi="宋体" w:eastAsia="宋体" w:cs="黑体"/>
          <w:color w:val="000000"/>
          <w:kern w:val="0"/>
          <w:sz w:val="32"/>
          <w:szCs w:val="32"/>
        </w:rPr>
        <w:t>万元，政府性基金预算支出</w:t>
      </w:r>
      <w:r>
        <w:rPr>
          <w:rFonts w:hint="eastAsia" w:ascii="宋体" w:hAnsi="宋体" w:cs="黑体"/>
          <w:color w:val="000000"/>
          <w:kern w:val="0"/>
          <w:sz w:val="32"/>
          <w:szCs w:val="32"/>
        </w:rPr>
        <w:t>267.97</w:t>
      </w:r>
      <w:r>
        <w:rPr>
          <w:rFonts w:hint="eastAsia" w:ascii="宋体" w:hAnsi="宋体" w:eastAsia="宋体" w:cs="黑体"/>
          <w:color w:val="000000"/>
          <w:kern w:val="0"/>
          <w:sz w:val="32"/>
          <w:szCs w:val="32"/>
        </w:rPr>
        <w:t>万元。从评价情况来看，</w:t>
      </w:r>
      <w:r>
        <w:rPr>
          <w:rFonts w:hint="eastAsia" w:ascii="宋体" w:hAnsi="宋体" w:cs="黑体"/>
          <w:color w:val="000000"/>
          <w:kern w:val="0"/>
          <w:sz w:val="32"/>
          <w:szCs w:val="32"/>
        </w:rPr>
        <w:t>并</w:t>
      </w:r>
      <w:r>
        <w:rPr>
          <w:rFonts w:hint="eastAsia" w:cs="黑体" w:asciiTheme="minorEastAsia" w:hAnsiTheme="minorEastAsia"/>
          <w:color w:val="000000"/>
          <w:kern w:val="0"/>
          <w:sz w:val="32"/>
          <w:szCs w:val="32"/>
        </w:rPr>
        <w:t>从产出、效益、满意度指标三大项指标逐一评分，整体支出基本合理、规范、有效，社会效益较好，服务对象满意度较高。</w:t>
      </w:r>
    </w:p>
    <w:p>
      <w:pPr>
        <w:jc w:val="left"/>
        <w:rPr>
          <w:rFonts w:ascii="宋体" w:hAnsi="宋体" w:cs="黑体"/>
          <w:b/>
          <w:color w:val="000000"/>
          <w:kern w:val="0"/>
          <w:sz w:val="32"/>
          <w:szCs w:val="32"/>
        </w:rPr>
      </w:pPr>
      <w:r>
        <w:rPr>
          <w:rFonts w:hint="eastAsia" w:ascii="宋体" w:hAnsi="宋体" w:cs="黑体"/>
          <w:b/>
          <w:color w:val="000000"/>
          <w:kern w:val="0"/>
          <w:sz w:val="32"/>
          <w:szCs w:val="32"/>
        </w:rPr>
        <w:t xml:space="preserve">    </w:t>
      </w:r>
      <w:r>
        <w:rPr>
          <w:rFonts w:hint="eastAsia" w:ascii="宋体" w:hAnsi="宋体" w:eastAsia="宋体" w:cs="黑体"/>
          <w:b/>
          <w:color w:val="000000"/>
          <w:kern w:val="0"/>
          <w:sz w:val="32"/>
          <w:szCs w:val="32"/>
        </w:rPr>
        <w:t>（</w:t>
      </w:r>
      <w:r>
        <w:rPr>
          <w:rFonts w:hint="eastAsia" w:ascii="宋体" w:hAnsi="宋体" w:cs="黑体"/>
          <w:b/>
          <w:color w:val="000000"/>
          <w:kern w:val="0"/>
          <w:sz w:val="32"/>
          <w:szCs w:val="32"/>
        </w:rPr>
        <w:t>二</w:t>
      </w:r>
      <w:r>
        <w:rPr>
          <w:rFonts w:hint="eastAsia" w:ascii="宋体" w:hAnsi="宋体" w:eastAsia="宋体" w:cs="黑体"/>
          <w:b/>
          <w:color w:val="000000"/>
          <w:kern w:val="0"/>
          <w:sz w:val="32"/>
          <w:szCs w:val="32"/>
        </w:rPr>
        <w:t>）部门决算中项目绩效自评结果（如有）。</w:t>
      </w:r>
    </w:p>
    <w:p>
      <w:pPr>
        <w:autoSpaceDE w:val="0"/>
        <w:autoSpaceDN w:val="0"/>
        <w:adjustRightInd w:val="0"/>
        <w:ind w:firstLine="640" w:firstLineChars="200"/>
        <w:jc w:val="left"/>
        <w:rPr>
          <w:rFonts w:ascii="宋体" w:hAnsi="宋体" w:eastAsia="宋体" w:cs="黑体"/>
          <w:color w:val="000000"/>
          <w:kern w:val="0"/>
          <w:sz w:val="32"/>
          <w:szCs w:val="32"/>
        </w:rPr>
      </w:pPr>
      <w:r>
        <w:rPr>
          <w:rFonts w:hint="eastAsia" w:ascii="宋体" w:hAnsi="宋体" w:cs="黑体"/>
          <w:color w:val="000000"/>
          <w:kern w:val="0"/>
          <w:sz w:val="32"/>
          <w:szCs w:val="32"/>
        </w:rPr>
        <w:t>本单位的部门</w:t>
      </w:r>
      <w:r>
        <w:rPr>
          <w:rFonts w:hint="eastAsia" w:ascii="宋体" w:hAnsi="宋体" w:eastAsia="宋体" w:cs="黑体"/>
          <w:color w:val="000000"/>
          <w:kern w:val="0"/>
          <w:sz w:val="32"/>
          <w:szCs w:val="32"/>
        </w:rPr>
        <w:t>决算中</w:t>
      </w:r>
      <w:r>
        <w:rPr>
          <w:rFonts w:hint="eastAsia" w:ascii="宋体" w:hAnsi="宋体" w:cs="黑体"/>
          <w:color w:val="000000"/>
          <w:kern w:val="0"/>
          <w:sz w:val="32"/>
          <w:szCs w:val="32"/>
        </w:rPr>
        <w:t>无</w:t>
      </w:r>
      <w:r>
        <w:rPr>
          <w:rFonts w:hint="eastAsia" w:ascii="宋体" w:hAnsi="宋体" w:eastAsia="宋体" w:cs="黑体"/>
          <w:color w:val="000000"/>
          <w:kern w:val="0"/>
          <w:sz w:val="32"/>
          <w:szCs w:val="32"/>
        </w:rPr>
        <w:t>项目绩效自评结果</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rPr>
        <w:t>（</w:t>
      </w:r>
      <w:r>
        <w:rPr>
          <w:rFonts w:hint="eastAsia" w:ascii="宋体" w:hAnsi="宋体" w:cs="黑体"/>
          <w:b/>
          <w:color w:val="000000"/>
          <w:kern w:val="0"/>
          <w:sz w:val="32"/>
          <w:szCs w:val="32"/>
        </w:rPr>
        <w:t>三</w:t>
      </w:r>
      <w:r>
        <w:rPr>
          <w:rFonts w:hint="eastAsia" w:ascii="宋体" w:hAnsi="宋体" w:eastAsia="宋体" w:cs="黑体"/>
          <w:b/>
          <w:color w:val="000000"/>
          <w:kern w:val="0"/>
          <w:sz w:val="32"/>
          <w:szCs w:val="32"/>
        </w:rPr>
        <w:t>）部门评价项目绩效评价结果。</w:t>
      </w:r>
    </w:p>
    <w:p>
      <w:pPr>
        <w:spacing w:line="360" w:lineRule="auto"/>
        <w:ind w:firstLine="569" w:firstLineChars="271"/>
        <w:jc w:val="left"/>
        <w:rPr>
          <w:rFonts w:cs="黑体" w:asciiTheme="minorEastAsia" w:hAnsiTheme="minorEastAsia"/>
          <w:color w:val="000000"/>
          <w:kern w:val="0"/>
          <w:sz w:val="32"/>
          <w:szCs w:val="32"/>
        </w:rPr>
      </w:pPr>
      <w:r>
        <w:rPr>
          <w:rFonts w:hint="eastAsia"/>
        </w:rPr>
        <w:t xml:space="preserve"> </w:t>
      </w:r>
      <w:r>
        <w:rPr>
          <w:rFonts w:hint="eastAsia" w:ascii="宋体" w:hAnsi="宋体" w:cs="黑体"/>
          <w:color w:val="000000"/>
          <w:kern w:val="0"/>
          <w:sz w:val="32"/>
          <w:szCs w:val="32"/>
        </w:rPr>
        <w:t xml:space="preserve">  根据《湖南省财政厅关于开展2021年度部门整体支出绩效自评工作的通知》（湘财绩〔2022〕1号）文件精神，</w:t>
      </w:r>
    </w:p>
    <w:p>
      <w:pPr>
        <w:spacing w:line="360" w:lineRule="auto"/>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我</w:t>
      </w:r>
      <w:r>
        <w:rPr>
          <w:rFonts w:hint="eastAsia" w:cs="黑体" w:asciiTheme="minorEastAsia" w:hAnsiTheme="minorEastAsia"/>
          <w:color w:val="000000"/>
          <w:kern w:val="0"/>
          <w:sz w:val="32"/>
          <w:szCs w:val="32"/>
          <w:lang w:eastAsia="zh-CN"/>
        </w:rPr>
        <w:t>单位</w:t>
      </w:r>
      <w:r>
        <w:rPr>
          <w:rFonts w:cs="黑体" w:asciiTheme="minorEastAsia" w:hAnsiTheme="minorEastAsia"/>
          <w:color w:val="000000"/>
          <w:kern w:val="0"/>
          <w:sz w:val="32"/>
          <w:szCs w:val="32"/>
        </w:rPr>
        <w:t>积极开展</w:t>
      </w:r>
      <w:r>
        <w:rPr>
          <w:rFonts w:hint="eastAsia" w:cs="黑体" w:asciiTheme="minorEastAsia" w:hAnsiTheme="minorEastAsia"/>
          <w:color w:val="000000"/>
          <w:kern w:val="0"/>
          <w:sz w:val="32"/>
          <w:szCs w:val="32"/>
          <w:lang w:eastAsia="zh-CN"/>
        </w:rPr>
        <w:t>了</w:t>
      </w:r>
      <w:r>
        <w:rPr>
          <w:rFonts w:cs="黑体" w:asciiTheme="minorEastAsia" w:hAnsiTheme="minorEastAsia"/>
          <w:color w:val="000000"/>
          <w:kern w:val="0"/>
          <w:sz w:val="32"/>
          <w:szCs w:val="32"/>
        </w:rPr>
        <w:t>202</w:t>
      </w:r>
      <w:r>
        <w:rPr>
          <w:rFonts w:hint="eastAsia" w:cs="黑体" w:asciiTheme="minorEastAsia" w:hAnsiTheme="minorEastAsia"/>
          <w:color w:val="000000"/>
          <w:kern w:val="0"/>
          <w:sz w:val="32"/>
          <w:szCs w:val="32"/>
          <w:lang w:val="en-US" w:eastAsia="zh-CN"/>
        </w:rPr>
        <w:t>1</w:t>
      </w:r>
      <w:r>
        <w:rPr>
          <w:rFonts w:cs="黑体" w:asciiTheme="minorEastAsia" w:hAnsiTheme="minorEastAsia"/>
          <w:color w:val="000000"/>
          <w:kern w:val="0"/>
          <w:sz w:val="32"/>
          <w:szCs w:val="32"/>
        </w:rPr>
        <w:t>年部门整体支出绩效评价工作</w:t>
      </w:r>
      <w:r>
        <w:rPr>
          <w:rFonts w:hint="eastAsia" w:cs="黑体" w:asciiTheme="minorEastAsia" w:hAnsiTheme="minorEastAsia"/>
          <w:color w:val="000000"/>
          <w:kern w:val="0"/>
          <w:sz w:val="32"/>
          <w:szCs w:val="32"/>
          <w:lang w:eastAsia="zh-CN"/>
        </w:rPr>
        <w:t>，</w:t>
      </w:r>
      <w:r>
        <w:rPr>
          <w:rFonts w:cs="黑体" w:asciiTheme="minorEastAsia" w:hAnsiTheme="minorEastAsia"/>
          <w:color w:val="000000"/>
          <w:kern w:val="0"/>
          <w:sz w:val="32"/>
          <w:szCs w:val="32"/>
        </w:rPr>
        <w:t>并按照要求及时将部门整体支出绩效自评报告在本单位的</w:t>
      </w:r>
      <w:r>
        <w:rPr>
          <w:rFonts w:hint="eastAsia" w:ascii="宋体" w:hAnsi="宋体" w:cs="黑体"/>
          <w:color w:val="000000"/>
          <w:kern w:val="0"/>
          <w:sz w:val="32"/>
          <w:szCs w:val="32"/>
        </w:rPr>
        <w:t>公布栏中</w:t>
      </w:r>
      <w:r>
        <w:rPr>
          <w:rFonts w:hint="eastAsia" w:ascii="宋体" w:hAnsi="宋体" w:cs="黑体"/>
          <w:color w:val="000000"/>
          <w:kern w:val="0"/>
          <w:sz w:val="32"/>
          <w:szCs w:val="32"/>
          <w:lang w:eastAsia="zh-CN"/>
        </w:rPr>
        <w:t>进行了</w:t>
      </w:r>
      <w:r>
        <w:rPr>
          <w:rFonts w:cs="黑体" w:asciiTheme="minorEastAsia" w:hAnsiTheme="minorEastAsia"/>
          <w:color w:val="000000"/>
          <w:kern w:val="0"/>
          <w:sz w:val="32"/>
          <w:szCs w:val="32"/>
        </w:rPr>
        <w:t>公开</w:t>
      </w:r>
      <w:r>
        <w:rPr>
          <w:rFonts w:hint="eastAsia" w:asciiTheme="minorEastAsia" w:hAnsiTheme="minorEastAsia" w:eastAsiaTheme="minorEastAsia"/>
          <w:sz w:val="32"/>
          <w:szCs w:val="32"/>
        </w:rPr>
        <w:t>（详见附件）</w:t>
      </w:r>
      <w:r>
        <w:rPr>
          <w:rFonts w:cs="黑体" w:asciiTheme="minorEastAsia" w:hAnsiTheme="minorEastAsia"/>
          <w:color w:val="000000"/>
          <w:kern w:val="0"/>
          <w:sz w:val="32"/>
          <w:szCs w:val="32"/>
        </w:rPr>
        <w:t>。</w:t>
      </w:r>
    </w:p>
    <w:p>
      <w:pPr>
        <w:rPr>
          <w:rFonts w:ascii="宋体" w:hAnsi="宋体" w:cs="黑体"/>
          <w:color w:val="000000"/>
          <w:kern w:val="0"/>
          <w:sz w:val="32"/>
          <w:szCs w:val="32"/>
        </w:rPr>
      </w:pPr>
    </w:p>
    <w:p>
      <w:pPr>
        <w:pStyle w:val="11"/>
        <w:jc w:val="center"/>
        <w:rPr>
          <w:rFonts w:ascii="宋体" w:hAnsi="宋体" w:eastAsia="宋体"/>
          <w:sz w:val="32"/>
          <w:szCs w:val="32"/>
        </w:rPr>
      </w:pPr>
    </w:p>
    <w:p>
      <w:pPr>
        <w:pStyle w:val="11"/>
        <w:rPr>
          <w:sz w:val="72"/>
          <w:szCs w:val="72"/>
        </w:rPr>
      </w:pPr>
    </w:p>
    <w:p>
      <w:pPr>
        <w:pStyle w:val="11"/>
        <w:rPr>
          <w:rFonts w:hAnsi="黑体"/>
          <w:b/>
          <w:sz w:val="32"/>
          <w:szCs w:val="32"/>
        </w:rPr>
      </w:pPr>
    </w:p>
    <w:p>
      <w:pPr>
        <w:pStyle w:val="11"/>
        <w:rPr>
          <w:rFonts w:hAnsi="黑体"/>
          <w:b/>
          <w:sz w:val="32"/>
          <w:szCs w:val="32"/>
        </w:rPr>
      </w:pPr>
    </w:p>
    <w:p>
      <w:pPr>
        <w:pStyle w:val="11"/>
        <w:rPr>
          <w:rFonts w:hAnsi="黑体"/>
          <w:b/>
          <w:sz w:val="32"/>
          <w:szCs w:val="32"/>
        </w:rPr>
      </w:pPr>
    </w:p>
    <w:p>
      <w:pPr>
        <w:pStyle w:val="11"/>
        <w:rPr>
          <w:rFonts w:hAnsi="黑体"/>
          <w:b/>
          <w:sz w:val="32"/>
          <w:szCs w:val="32"/>
        </w:rPr>
      </w:pPr>
    </w:p>
    <w:p>
      <w:pPr>
        <w:pStyle w:val="11"/>
        <w:rPr>
          <w:rFonts w:hAnsi="黑体"/>
          <w:b/>
          <w:sz w:val="32"/>
          <w:szCs w:val="32"/>
        </w:rPr>
      </w:pPr>
    </w:p>
    <w:p>
      <w:pPr>
        <w:pStyle w:val="11"/>
        <w:rPr>
          <w:rFonts w:hAnsi="黑体"/>
          <w:b/>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第四部分</w:t>
      </w:r>
    </w:p>
    <w:p>
      <w:pPr>
        <w:jc w:val="center"/>
        <w:rPr>
          <w:rFonts w:ascii="黑体" w:eastAsia="黑体" w:cs="黑体"/>
          <w:color w:val="000000"/>
          <w:kern w:val="0"/>
          <w:sz w:val="84"/>
          <w:szCs w:val="84"/>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一、财政拨款收入：指省财政当年拨付的资金。</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二、政府性基金预算财政拨款：指当年拨付的用于体育事业的体彩公益金。</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三、年初结转和结余：指以前年度支出预算因客观条件变化未执行完毕、结转到本年度按有关规定继续使用的资金。</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四、基本支出：是指本单位为保障机构正常运转、完成日常工作任务所必需的开支，其内容包括人员经费和日常公用经费两部分。</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五、项目支出：是指湖南省体育局在基本支出之外，为完成特定的业务工作任务或事业发展目标所发生的支出。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六、文化旅游体育与传媒支出（类）体育（款）运动项目管理（项）：主要反映本单位的日常管理支出。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七、文化旅游体育与传媒支出（类）体育（款）体育竞赛（项）：主要反映本单位参加及备战综合性运动会及单项体育比赛的支出。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文化旅游体育与传媒支出（类）体育（款）其他体育支出（项）：主要反映除行政运行、一般行政管理事务、机关服务、运动项目管理、体育竞赛、体育场馆、群众体育、体育交流与合作项目外其他用于体育方面的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九、社会保障和就业支出（类）行政事业单位养老支出（款）机关事业单位基本养老保险缴费支出（项）：主要反       映本单位实施养老保险制度由本单位缴纳的基本养老保险缴费支出。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住房保障支出（类）住房改革支出（款）住房公积金（项）：指本单位按照人力资源和社会保障部、财政部及《住房公积金管理条例》的规定，由单位及其在职职工以职工工资为缴存基数，分别按照一定比例缴存的长期住房储金。事业单位缴存基数包括国家统一规定的岗位工资、薪级工资、绩效工资、特殊岗位津贴等。单位和职工住房公积金缴存比例均不得低于5%，不得高于12%。</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十一、其他支出（类）彩票公益金安排的支出（款） 用于体育事业的彩票公益金支出（项）：指不能划分到上述功能科目的其他政府支出，如：用于体育事业的体育彩票公益金支出。</w:t>
      </w:r>
    </w:p>
    <w:p>
      <w:pPr>
        <w:ind w:firstLine="640" w:firstLineChars="200"/>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rPr>
        <w:t>十二、“三公”经费：纳入省（市/县）财政预算管理的“三公“经费，是指用一般公共预算拨款安排的公务接待费、公务用车购置及运行维护费和因公出国（境）费。其中</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lang w:val="en-US" w:eastAsia="zh-CN"/>
        </w:rPr>
        <w:t xml:space="preserve">                             1、1、因公出国（境）费支出口径：主要反映文化旅游体育与传媒支出（类）体育（款）运动项目管理（项）中基本支出中的本单位公务出国（境）的国际旅费、国外城市间交通费、住宿费、伙食费、培训费、公杂费等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本单位无因公出国（境）费支出。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公务接待费支出口径：主要反映文化旅游体育与传媒支出（类）体育（款）运动项目管理（项）中基本支出中的本单位按规定开支的各类公务接待费用。</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3、</w:t>
      </w:r>
      <w:r>
        <w:rPr>
          <w:rFonts w:hint="eastAsia" w:cs="黑体" w:asciiTheme="minorEastAsia" w:hAnsiTheme="minorEastAsia"/>
          <w:color w:val="000000"/>
          <w:kern w:val="0"/>
          <w:sz w:val="32"/>
          <w:szCs w:val="32"/>
        </w:rPr>
        <w:t>公务用车购置及运行维护费支出口径：主要反映文化旅游体育与传媒支出（类）体育（款）运动项目管理（项）中基本支出中的本单位</w:t>
      </w:r>
      <w:r>
        <w:rPr>
          <w:rFonts w:hint="eastAsia" w:cs="黑体" w:asciiTheme="minorEastAsia" w:hAnsiTheme="minorEastAsia"/>
          <w:color w:val="000000"/>
          <w:kern w:val="0"/>
          <w:sz w:val="32"/>
          <w:szCs w:val="32"/>
          <w:lang w:eastAsia="zh-CN"/>
        </w:rPr>
        <w:t>公务用车车辆购置支出（含车辆购置税），经及</w:t>
      </w:r>
      <w:r>
        <w:rPr>
          <w:rFonts w:hint="eastAsia" w:cs="黑体" w:asciiTheme="minorEastAsia" w:hAnsiTheme="minorEastAsia"/>
          <w:color w:val="000000"/>
          <w:kern w:val="0"/>
          <w:sz w:val="32"/>
          <w:szCs w:val="32"/>
        </w:rPr>
        <w:t>按规定保留的公务用车燃料费、维修费、过桥过路费、保险费等支出。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十三</w:t>
      </w:r>
      <w:r>
        <w:rPr>
          <w:rFonts w:hint="eastAsia" w:cs="黑体" w:asciiTheme="minorEastAsia" w:hAnsiTheme="minorEastAsia"/>
          <w:color w:val="000000"/>
          <w:kern w:val="0"/>
          <w:sz w:val="32"/>
          <w:szCs w:val="32"/>
        </w:rPr>
        <w:t>、机关运行经费：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本单位单位属于事业单位，没有机关运行经费。</w:t>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rPr>
          <w:sz w:val="72"/>
          <w:szCs w:val="72"/>
        </w:rPr>
      </w:pPr>
    </w:p>
    <w:p>
      <w:pPr>
        <w:jc w:val="center"/>
        <w:rPr>
          <w:rFonts w:hint="eastAsia" w:ascii="黑体" w:eastAsia="黑体" w:cs="黑体"/>
          <w:color w:val="000000"/>
          <w:kern w:val="0"/>
          <w:sz w:val="84"/>
          <w:szCs w:val="84"/>
        </w:rPr>
      </w:pPr>
    </w:p>
    <w:p>
      <w:pPr>
        <w:jc w:val="center"/>
        <w:rPr>
          <w:rFonts w:hint="eastAsia" w:ascii="黑体" w:eastAsia="黑体" w:cs="黑体"/>
          <w:color w:val="000000"/>
          <w:kern w:val="0"/>
          <w:sz w:val="84"/>
          <w:szCs w:val="84"/>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第五部分</w:t>
      </w:r>
    </w:p>
    <w:p>
      <w:pPr>
        <w:jc w:val="center"/>
        <w:rPr>
          <w:rFonts w:ascii="黑体" w:eastAsia="黑体" w:cs="黑体"/>
          <w:color w:val="000000"/>
          <w:kern w:val="0"/>
          <w:sz w:val="84"/>
          <w:szCs w:val="84"/>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880" w:firstLineChars="200"/>
        <w:rPr>
          <w:rFonts w:ascii="黑体" w:hAnsi="黑体" w:eastAsia="黑体" w:cs="黑体"/>
          <w:b/>
          <w:bCs/>
          <w:color w:val="000000" w:themeColor="text1"/>
          <w:sz w:val="44"/>
          <w:szCs w:val="44"/>
          <w14:textFill>
            <w14:solidFill>
              <w14:schemeClr w14:val="tx1"/>
            </w14:solidFill>
          </w14:textFill>
        </w:rPr>
      </w:pPr>
      <w:r>
        <w:rPr>
          <w:rFonts w:hint="eastAsia" w:ascii="黑体" w:hAnsi="黑体" w:eastAsia="黑体" w:cs="黑体"/>
          <w:b/>
          <w:bCs/>
          <w:color w:val="000000" w:themeColor="text1"/>
          <w:sz w:val="44"/>
          <w:szCs w:val="44"/>
          <w14:textFill>
            <w14:solidFill>
              <w14:schemeClr w14:val="tx1"/>
            </w14:solidFill>
          </w14:textFill>
        </w:rPr>
        <w:t>202</w:t>
      </w:r>
      <w:r>
        <w:rPr>
          <w:rFonts w:ascii="黑体" w:hAnsi="黑体" w:eastAsia="黑体" w:cs="黑体"/>
          <w:b/>
          <w:bCs/>
          <w:color w:val="000000" w:themeColor="text1"/>
          <w:sz w:val="44"/>
          <w:szCs w:val="44"/>
          <w14:textFill>
            <w14:solidFill>
              <w14:schemeClr w14:val="tx1"/>
            </w14:solidFill>
          </w14:textFill>
        </w:rPr>
        <w:t>1</w:t>
      </w:r>
      <w:r>
        <w:rPr>
          <w:rFonts w:hint="eastAsia" w:ascii="黑体" w:hAnsi="黑体" w:eastAsia="黑体" w:cs="黑体"/>
          <w:b/>
          <w:bCs/>
          <w:color w:val="000000" w:themeColor="text1"/>
          <w:sz w:val="44"/>
          <w:szCs w:val="44"/>
          <w14:textFill>
            <w14:solidFill>
              <w14:schemeClr w14:val="tx1"/>
            </w14:solidFill>
          </w14:textFill>
        </w:rPr>
        <w:t>年度湖南省体操运动管理中心</w:t>
      </w:r>
    </w:p>
    <w:p>
      <w:pPr>
        <w:jc w:val="center"/>
        <w:rPr>
          <w:rFonts w:ascii="黑体" w:hAnsi="黑体" w:eastAsia="黑体" w:cs="黑体"/>
          <w:b/>
          <w:bCs/>
          <w:color w:val="000000" w:themeColor="text1"/>
          <w:sz w:val="44"/>
          <w:szCs w:val="44"/>
          <w14:textFill>
            <w14:solidFill>
              <w14:schemeClr w14:val="tx1"/>
            </w14:solidFill>
          </w14:textFill>
        </w:rPr>
      </w:pPr>
      <w:r>
        <w:rPr>
          <w:rFonts w:hint="eastAsia" w:ascii="黑体" w:hAnsi="黑体" w:eastAsia="黑体" w:cs="黑体"/>
          <w:b/>
          <w:bCs/>
          <w:color w:val="000000" w:themeColor="text1"/>
          <w:sz w:val="44"/>
          <w:szCs w:val="44"/>
          <w14:textFill>
            <w14:solidFill>
              <w14:schemeClr w14:val="tx1"/>
            </w14:solidFill>
          </w14:textFill>
        </w:rPr>
        <w:t>部门整体支出绩效自评报告</w:t>
      </w:r>
    </w:p>
    <w:p>
      <w:pPr>
        <w:widowControl/>
        <w:adjustRightInd w:val="0"/>
        <w:snapToGrid w:val="0"/>
        <w:spacing w:line="360" w:lineRule="auto"/>
        <w:contextualSpacing/>
        <w:rPr>
          <w:rFonts w:ascii="Times New Roman" w:hAnsi="Times New Roman" w:eastAsia="黑体"/>
          <w:color w:val="000000" w:themeColor="text1"/>
          <w:sz w:val="32"/>
          <w:szCs w:val="32"/>
          <w14:textFill>
            <w14:solidFill>
              <w14:schemeClr w14:val="tx1"/>
            </w14:solidFill>
          </w14:textFill>
        </w:rPr>
      </w:pPr>
    </w:p>
    <w:p>
      <w:pPr>
        <w:adjustRightInd w:val="0"/>
        <w:snapToGrid w:val="0"/>
        <w:spacing w:line="360" w:lineRule="auto"/>
        <w:ind w:firstLine="640" w:firstLineChars="200"/>
        <w:contextualSpacing/>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根据《湖南省财政厅关于开展20</w:t>
      </w:r>
      <w:r>
        <w:rPr>
          <w:rFonts w:cs="黑体" w:asciiTheme="minorEastAsia" w:hAnsiTheme="minorEastAsia"/>
          <w:color w:val="000000"/>
          <w:kern w:val="0"/>
          <w:sz w:val="32"/>
          <w:szCs w:val="32"/>
        </w:rPr>
        <w:t>21</w:t>
      </w:r>
      <w:r>
        <w:rPr>
          <w:rFonts w:hint="eastAsia" w:cs="黑体" w:asciiTheme="minorEastAsia" w:hAnsiTheme="minorEastAsia"/>
          <w:color w:val="000000"/>
          <w:kern w:val="0"/>
          <w:sz w:val="32"/>
          <w:szCs w:val="32"/>
        </w:rPr>
        <w:t>年度部门整体支出绩效自评工作的通知》（湘财绩〔202</w:t>
      </w:r>
      <w:r>
        <w:rPr>
          <w:rFonts w:cs="黑体" w:asciiTheme="minorEastAsia" w:hAnsiTheme="minorEastAsia"/>
          <w:color w:val="000000"/>
          <w:kern w:val="0"/>
          <w:sz w:val="32"/>
          <w:szCs w:val="32"/>
        </w:rPr>
        <w:t>2</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号）要求，湖南省体操运动管理中心组织绩效自评工作小组于202</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年</w:t>
      </w:r>
      <w:r>
        <w:rPr>
          <w:rFonts w:cs="黑体" w:asciiTheme="minorEastAsia" w:hAnsiTheme="minorEastAsia"/>
          <w:color w:val="000000"/>
          <w:kern w:val="0"/>
          <w:sz w:val="32"/>
          <w:szCs w:val="32"/>
        </w:rPr>
        <w:t>4</w:t>
      </w:r>
      <w:r>
        <w:rPr>
          <w:rFonts w:hint="eastAsia" w:cs="黑体" w:asciiTheme="minorEastAsia" w:hAnsiTheme="minorEastAsia"/>
          <w:color w:val="000000"/>
          <w:kern w:val="0"/>
          <w:sz w:val="32"/>
          <w:szCs w:val="32"/>
        </w:rPr>
        <w:t>月</w:t>
      </w:r>
      <w:r>
        <w:rPr>
          <w:rFonts w:cs="黑体" w:asciiTheme="minorEastAsia" w:hAnsiTheme="minorEastAsia"/>
          <w:color w:val="000000"/>
          <w:kern w:val="0"/>
          <w:sz w:val="32"/>
          <w:szCs w:val="32"/>
        </w:rPr>
        <w:t>15</w:t>
      </w:r>
      <w:r>
        <w:rPr>
          <w:rFonts w:hint="eastAsia" w:cs="黑体" w:asciiTheme="minorEastAsia" w:hAnsiTheme="minorEastAsia"/>
          <w:color w:val="000000"/>
          <w:kern w:val="0"/>
          <w:sz w:val="32"/>
          <w:szCs w:val="32"/>
        </w:rPr>
        <w:t>日至</w:t>
      </w:r>
      <w:r>
        <w:rPr>
          <w:rFonts w:cs="黑体" w:asciiTheme="minorEastAsia" w:hAnsiTheme="minorEastAsia"/>
          <w:color w:val="000000"/>
          <w:kern w:val="0"/>
          <w:sz w:val="32"/>
          <w:szCs w:val="32"/>
        </w:rPr>
        <w:t>4</w:t>
      </w:r>
      <w:r>
        <w:rPr>
          <w:rFonts w:hint="eastAsia" w:cs="黑体" w:asciiTheme="minorEastAsia" w:hAnsiTheme="minorEastAsia"/>
          <w:color w:val="000000"/>
          <w:kern w:val="0"/>
          <w:sz w:val="32"/>
          <w:szCs w:val="32"/>
        </w:rPr>
        <w:t>月</w:t>
      </w:r>
      <w:r>
        <w:rPr>
          <w:rFonts w:cs="黑体" w:asciiTheme="minorEastAsia" w:hAnsiTheme="minorEastAsia"/>
          <w:color w:val="000000"/>
          <w:kern w:val="0"/>
          <w:sz w:val="32"/>
          <w:szCs w:val="32"/>
        </w:rPr>
        <w:t>24</w:t>
      </w:r>
      <w:r>
        <w:rPr>
          <w:rFonts w:hint="eastAsia" w:cs="黑体" w:asciiTheme="minorEastAsia" w:hAnsiTheme="minorEastAsia"/>
          <w:color w:val="000000"/>
          <w:kern w:val="0"/>
          <w:sz w:val="32"/>
          <w:szCs w:val="32"/>
        </w:rPr>
        <w:t>日对部门整体支出进行了绩效评价。根据财政支出绩效评价的有关规定，形成本评价报告。</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一、部门（</w:t>
      </w:r>
      <w:r>
        <w:rPr>
          <w:rFonts w:cs="黑体" w:asciiTheme="minorEastAsia" w:hAnsiTheme="minorEastAsia"/>
          <w:b/>
          <w:color w:val="000000"/>
          <w:kern w:val="0"/>
          <w:sz w:val="32"/>
          <w:szCs w:val="32"/>
        </w:rPr>
        <w:t>单位</w:t>
      </w: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基本情况</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（一）主要职能</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体操训练竞赛、促进体育运动发展；体操优秀运动队管理、后备人才培养；竞赛组织、表演赛组织；承办项目注册、教练员培训、裁判员培训、场地器材管理、群众体操项目培训、相关体育技术鉴定及咨询等。</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（二）机构设置</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湖南省体操运动管理中心成立于1985年，主管单位为湖南省体育局，是全额财政拨款的事业单位。内设机构1</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个，分别为：办公室、训练科、行政科、体操学校、体操队、蹦床队、攀岩队、卫生所、工会、膳食科。</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（三）人员情况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w:t>
      </w:r>
      <w:r>
        <w:rPr>
          <w:rFonts w:cs="黑体" w:asciiTheme="minorEastAsia" w:hAnsiTheme="minorEastAsia"/>
          <w:color w:val="000000"/>
          <w:kern w:val="0"/>
          <w:sz w:val="32"/>
          <w:szCs w:val="32"/>
        </w:rPr>
        <w:t>21</w:t>
      </w:r>
      <w:r>
        <w:rPr>
          <w:rFonts w:hint="eastAsia" w:cs="黑体" w:asciiTheme="minorEastAsia" w:hAnsiTheme="minorEastAsia"/>
          <w:color w:val="000000"/>
          <w:kern w:val="0"/>
          <w:sz w:val="32"/>
          <w:szCs w:val="32"/>
        </w:rPr>
        <w:t>年12月底，湖南省体操运动管理中心事业编制人数</w:t>
      </w:r>
      <w:r>
        <w:rPr>
          <w:rFonts w:cs="黑体" w:asciiTheme="minorEastAsia" w:hAnsiTheme="minorEastAsia"/>
          <w:color w:val="000000"/>
          <w:kern w:val="0"/>
          <w:sz w:val="32"/>
          <w:szCs w:val="32"/>
        </w:rPr>
        <w:t>220</w:t>
      </w:r>
      <w:r>
        <w:rPr>
          <w:rFonts w:hint="eastAsia" w:cs="黑体" w:asciiTheme="minorEastAsia" w:hAnsiTheme="minorEastAsia"/>
          <w:color w:val="000000"/>
          <w:kern w:val="0"/>
          <w:sz w:val="32"/>
          <w:szCs w:val="32"/>
        </w:rPr>
        <w:t>人，年末实有在职人数为13</w:t>
      </w:r>
      <w:r>
        <w:rPr>
          <w:rFonts w:cs="黑体" w:asciiTheme="minorEastAsia" w:hAnsiTheme="minorEastAsia"/>
          <w:color w:val="000000"/>
          <w:kern w:val="0"/>
          <w:sz w:val="32"/>
          <w:szCs w:val="32"/>
        </w:rPr>
        <w:t>4</w:t>
      </w:r>
      <w:r>
        <w:rPr>
          <w:rFonts w:hint="eastAsia" w:cs="黑体" w:asciiTheme="minorEastAsia" w:hAnsiTheme="minorEastAsia"/>
          <w:color w:val="000000"/>
          <w:kern w:val="0"/>
          <w:sz w:val="32"/>
          <w:szCs w:val="32"/>
        </w:rPr>
        <w:t>人（教练员</w:t>
      </w:r>
      <w:r>
        <w:rPr>
          <w:rFonts w:cs="黑体" w:asciiTheme="minorEastAsia" w:hAnsiTheme="minorEastAsia"/>
          <w:color w:val="000000"/>
          <w:kern w:val="0"/>
          <w:sz w:val="32"/>
          <w:szCs w:val="32"/>
        </w:rPr>
        <w:t>26</w:t>
      </w:r>
      <w:r>
        <w:rPr>
          <w:rFonts w:hint="eastAsia" w:cs="黑体" w:asciiTheme="minorEastAsia" w:hAnsiTheme="minorEastAsia"/>
          <w:color w:val="000000"/>
          <w:kern w:val="0"/>
          <w:sz w:val="32"/>
          <w:szCs w:val="32"/>
        </w:rPr>
        <w:t>人、运动员</w:t>
      </w:r>
      <w:r>
        <w:rPr>
          <w:rFonts w:cs="黑体" w:asciiTheme="minorEastAsia" w:hAnsiTheme="minorEastAsia"/>
          <w:color w:val="000000"/>
          <w:kern w:val="0"/>
          <w:sz w:val="32"/>
          <w:szCs w:val="32"/>
        </w:rPr>
        <w:t>83</w:t>
      </w:r>
      <w:r>
        <w:rPr>
          <w:rFonts w:hint="eastAsia" w:cs="黑体" w:asciiTheme="minorEastAsia" w:hAnsiTheme="minorEastAsia"/>
          <w:color w:val="000000"/>
          <w:kern w:val="0"/>
          <w:sz w:val="32"/>
          <w:szCs w:val="32"/>
        </w:rPr>
        <w:t>人、管理人员</w:t>
      </w:r>
      <w:r>
        <w:rPr>
          <w:rFonts w:cs="黑体" w:asciiTheme="minorEastAsia" w:hAnsiTheme="minorEastAsia"/>
          <w:color w:val="000000"/>
          <w:kern w:val="0"/>
          <w:sz w:val="32"/>
          <w:szCs w:val="32"/>
        </w:rPr>
        <w:t>25</w:t>
      </w:r>
      <w:r>
        <w:rPr>
          <w:rFonts w:hint="eastAsia" w:cs="黑体" w:asciiTheme="minorEastAsia" w:hAnsiTheme="minorEastAsia"/>
          <w:color w:val="000000"/>
          <w:kern w:val="0"/>
          <w:sz w:val="32"/>
          <w:szCs w:val="32"/>
        </w:rPr>
        <w:t>人），退休人员4</w:t>
      </w:r>
      <w:r>
        <w:rPr>
          <w:rFonts w:cs="黑体" w:asciiTheme="minorEastAsia" w:hAnsiTheme="minorEastAsia"/>
          <w:color w:val="000000"/>
          <w:kern w:val="0"/>
          <w:sz w:val="32"/>
          <w:szCs w:val="32"/>
        </w:rPr>
        <w:t>8</w:t>
      </w:r>
      <w:r>
        <w:rPr>
          <w:rFonts w:hint="eastAsia" w:cs="黑体" w:asciiTheme="minorEastAsia" w:hAnsiTheme="minorEastAsia"/>
          <w:color w:val="000000"/>
          <w:kern w:val="0"/>
          <w:sz w:val="32"/>
          <w:szCs w:val="32"/>
        </w:rPr>
        <w:t>人（已纳入社保），试训人员9人，集训人员3</w:t>
      </w:r>
      <w:r>
        <w:rPr>
          <w:rFonts w:cs="黑体" w:asciiTheme="minorEastAsia" w:hAnsiTheme="minorEastAsia"/>
          <w:color w:val="000000"/>
          <w:kern w:val="0"/>
          <w:sz w:val="32"/>
          <w:szCs w:val="32"/>
        </w:rPr>
        <w:t>6人</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长期聘用人员</w:t>
      </w:r>
      <w:r>
        <w:rPr>
          <w:rFonts w:hint="eastAsia" w:cs="黑体" w:asciiTheme="minorEastAsia" w:hAnsiTheme="minorEastAsia"/>
          <w:color w:val="000000"/>
          <w:kern w:val="0"/>
          <w:sz w:val="32"/>
          <w:szCs w:val="32"/>
        </w:rPr>
        <w:t>2</w:t>
      </w:r>
      <w:r>
        <w:rPr>
          <w:rFonts w:cs="黑体" w:asciiTheme="minorEastAsia" w:hAnsiTheme="minorEastAsia"/>
          <w:color w:val="000000"/>
          <w:kern w:val="0"/>
          <w:sz w:val="32"/>
          <w:szCs w:val="32"/>
        </w:rPr>
        <w:t>3人</w:t>
      </w:r>
      <w:r>
        <w:rPr>
          <w:rFonts w:hint="eastAsia" w:cs="黑体" w:asciiTheme="minorEastAsia" w:hAnsiTheme="minorEastAsia"/>
          <w:color w:val="000000"/>
          <w:kern w:val="0"/>
          <w:sz w:val="32"/>
          <w:szCs w:val="32"/>
        </w:rPr>
        <w:t>。在职人员控制率为</w:t>
      </w:r>
      <w:r>
        <w:rPr>
          <w:rFonts w:cs="黑体" w:asciiTheme="minorEastAsia" w:hAnsiTheme="minorEastAsia"/>
          <w:color w:val="000000"/>
          <w:kern w:val="0"/>
          <w:sz w:val="32"/>
          <w:szCs w:val="32"/>
        </w:rPr>
        <w:t>60.91%</w:t>
      </w:r>
      <w:r>
        <w:rPr>
          <w:rFonts w:hint="eastAsia" w:cs="黑体" w:asciiTheme="minorEastAsia" w:hAnsiTheme="minorEastAsia"/>
          <w:color w:val="000000"/>
          <w:kern w:val="0"/>
          <w:sz w:val="32"/>
          <w:szCs w:val="32"/>
        </w:rPr>
        <w:t>，所有在职人员都在编制内，无超编人员。</w:t>
      </w:r>
    </w:p>
    <w:p>
      <w:pPr>
        <w:adjustRightInd w:val="0"/>
        <w:snapToGrid w:val="0"/>
        <w:spacing w:line="360" w:lineRule="auto"/>
        <w:ind w:firstLine="640" w:firstLineChars="200"/>
        <w:contextualSpacing/>
        <w:outlineLvl w:val="1"/>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（四）资金情况</w:t>
      </w:r>
    </w:p>
    <w:p>
      <w:pPr>
        <w:adjustRightInd w:val="0"/>
        <w:snapToGrid w:val="0"/>
        <w:spacing w:line="360" w:lineRule="auto"/>
        <w:ind w:firstLine="640" w:firstLineChars="200"/>
        <w:contextualSpacing/>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本年收入情况：年初预算安排</w:t>
      </w:r>
      <w:r>
        <w:rPr>
          <w:rFonts w:cs="黑体" w:asciiTheme="minorEastAsia" w:hAnsiTheme="minorEastAsia"/>
          <w:color w:val="000000"/>
          <w:kern w:val="0"/>
          <w:sz w:val="32"/>
          <w:szCs w:val="32"/>
        </w:rPr>
        <w:t>2,469.00</w:t>
      </w:r>
      <w:r>
        <w:rPr>
          <w:rFonts w:hint="eastAsia" w:cs="黑体" w:asciiTheme="minorEastAsia" w:hAnsiTheme="minorEastAsia"/>
          <w:color w:val="000000"/>
          <w:kern w:val="0"/>
          <w:sz w:val="32"/>
          <w:szCs w:val="32"/>
        </w:rPr>
        <w:t>万元，本年安排财政拨款收入</w:t>
      </w:r>
      <w:r>
        <w:rPr>
          <w:rFonts w:cs="黑体" w:asciiTheme="minorEastAsia" w:hAnsiTheme="minorEastAsia"/>
          <w:color w:val="000000"/>
          <w:kern w:val="0"/>
          <w:sz w:val="32"/>
          <w:szCs w:val="32"/>
        </w:rPr>
        <w:t>2,469.00</w:t>
      </w:r>
      <w:r>
        <w:rPr>
          <w:rFonts w:hint="eastAsia" w:cs="黑体" w:asciiTheme="minorEastAsia" w:hAnsiTheme="minorEastAsia"/>
          <w:color w:val="000000"/>
          <w:kern w:val="0"/>
          <w:sz w:val="32"/>
          <w:szCs w:val="32"/>
        </w:rPr>
        <w:t>万元，其中：一般公共预算拨款</w:t>
      </w:r>
      <w:r>
        <w:rPr>
          <w:rFonts w:cs="黑体" w:asciiTheme="minorEastAsia" w:hAnsiTheme="minorEastAsia"/>
          <w:color w:val="000000"/>
          <w:kern w:val="0"/>
          <w:sz w:val="32"/>
          <w:szCs w:val="32"/>
        </w:rPr>
        <w:t>2,162.00</w:t>
      </w:r>
      <w:r>
        <w:rPr>
          <w:rFonts w:hint="eastAsia" w:cs="黑体" w:asciiTheme="minorEastAsia" w:hAnsiTheme="minorEastAsia"/>
          <w:color w:val="000000"/>
          <w:kern w:val="0"/>
          <w:sz w:val="32"/>
          <w:szCs w:val="32"/>
        </w:rPr>
        <w:t>万元（包含基本支出2</w:t>
      </w:r>
      <w:r>
        <w:rPr>
          <w:rFonts w:cs="黑体" w:asciiTheme="minorEastAsia" w:hAnsiTheme="minorEastAsia"/>
          <w:color w:val="000000"/>
          <w:kern w:val="0"/>
          <w:sz w:val="32"/>
          <w:szCs w:val="32"/>
        </w:rPr>
        <w:t>,022.00万元</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项目支出</w:t>
      </w:r>
      <w:r>
        <w:rPr>
          <w:rFonts w:hint="eastAsia" w:cs="黑体" w:asciiTheme="minorEastAsia" w:hAnsiTheme="minorEastAsia"/>
          <w:color w:val="000000"/>
          <w:kern w:val="0"/>
          <w:sz w:val="32"/>
          <w:szCs w:val="32"/>
        </w:rPr>
        <w:t>1</w:t>
      </w:r>
      <w:r>
        <w:rPr>
          <w:rFonts w:cs="黑体" w:asciiTheme="minorEastAsia" w:hAnsiTheme="minorEastAsia"/>
          <w:color w:val="000000"/>
          <w:kern w:val="0"/>
          <w:sz w:val="32"/>
          <w:szCs w:val="32"/>
        </w:rPr>
        <w:t>40.00万元</w:t>
      </w:r>
      <w:r>
        <w:rPr>
          <w:rFonts w:hint="eastAsia" w:cs="黑体" w:asciiTheme="minorEastAsia" w:hAnsiTheme="minorEastAsia"/>
          <w:color w:val="000000"/>
          <w:kern w:val="0"/>
          <w:sz w:val="32"/>
          <w:szCs w:val="32"/>
        </w:rPr>
        <w:t>）、政府性基金拨款</w:t>
      </w:r>
      <w:r>
        <w:rPr>
          <w:rFonts w:cs="黑体" w:asciiTheme="minorEastAsia" w:hAnsiTheme="minorEastAsia"/>
          <w:color w:val="000000"/>
          <w:kern w:val="0"/>
          <w:sz w:val="32"/>
          <w:szCs w:val="32"/>
        </w:rPr>
        <w:t>307.00</w:t>
      </w:r>
      <w:r>
        <w:rPr>
          <w:rFonts w:hint="eastAsia" w:cs="黑体" w:asciiTheme="minorEastAsia" w:hAnsiTheme="minorEastAsia"/>
          <w:color w:val="000000"/>
          <w:kern w:val="0"/>
          <w:sz w:val="32"/>
          <w:szCs w:val="32"/>
        </w:rPr>
        <w:t>万元；上年结转和结余资金</w:t>
      </w:r>
      <w:r>
        <w:rPr>
          <w:rFonts w:cs="黑体" w:asciiTheme="minorEastAsia" w:hAnsiTheme="minorEastAsia"/>
          <w:color w:val="000000"/>
          <w:kern w:val="0"/>
          <w:sz w:val="32"/>
          <w:szCs w:val="32"/>
        </w:rPr>
        <w:t>14.88</w:t>
      </w:r>
      <w:r>
        <w:rPr>
          <w:rFonts w:hint="eastAsia" w:cs="黑体" w:asciiTheme="minorEastAsia" w:hAnsiTheme="minorEastAsia"/>
          <w:color w:val="000000"/>
          <w:kern w:val="0"/>
          <w:sz w:val="32"/>
          <w:szCs w:val="32"/>
        </w:rPr>
        <w:t>万元，其中政府性基金拨款1</w:t>
      </w:r>
      <w:r>
        <w:rPr>
          <w:rFonts w:cs="黑体" w:asciiTheme="minorEastAsia" w:hAnsiTheme="minorEastAsia"/>
          <w:color w:val="000000"/>
          <w:kern w:val="0"/>
          <w:sz w:val="32"/>
          <w:szCs w:val="32"/>
        </w:rPr>
        <w:t>4.88万元</w:t>
      </w:r>
      <w:r>
        <w:rPr>
          <w:rFonts w:hint="eastAsia" w:cs="黑体" w:asciiTheme="minorEastAsia" w:hAnsiTheme="minorEastAsia"/>
          <w:color w:val="000000"/>
          <w:kern w:val="0"/>
          <w:sz w:val="32"/>
          <w:szCs w:val="32"/>
        </w:rPr>
        <w:t>；本年追加</w:t>
      </w:r>
      <w:r>
        <w:rPr>
          <w:rFonts w:cs="黑体" w:asciiTheme="minorEastAsia" w:hAnsiTheme="minorEastAsia"/>
          <w:color w:val="000000"/>
          <w:kern w:val="0"/>
          <w:sz w:val="32"/>
          <w:szCs w:val="32"/>
        </w:rPr>
        <w:t>20.00</w:t>
      </w:r>
      <w:r>
        <w:rPr>
          <w:rFonts w:hint="eastAsia" w:cs="黑体" w:asciiTheme="minorEastAsia" w:hAnsiTheme="minorEastAsia"/>
          <w:color w:val="000000"/>
          <w:kern w:val="0"/>
          <w:sz w:val="32"/>
          <w:szCs w:val="32"/>
        </w:rPr>
        <w:t>万元，其中一般公共预算拨款2</w:t>
      </w:r>
      <w:r>
        <w:rPr>
          <w:rFonts w:cs="黑体" w:asciiTheme="minorEastAsia" w:hAnsiTheme="minorEastAsia"/>
          <w:color w:val="000000"/>
          <w:kern w:val="0"/>
          <w:sz w:val="32"/>
          <w:szCs w:val="32"/>
        </w:rPr>
        <w:t>0.00万元</w:t>
      </w:r>
      <w:r>
        <w:rPr>
          <w:rFonts w:hint="eastAsia" w:cs="黑体" w:asciiTheme="minorEastAsia" w:hAnsiTheme="minorEastAsia"/>
          <w:color w:val="000000"/>
          <w:kern w:val="0"/>
          <w:sz w:val="32"/>
          <w:szCs w:val="32"/>
        </w:rPr>
        <w:t>，本年合计收入</w:t>
      </w:r>
      <w:r>
        <w:rPr>
          <w:rFonts w:cs="黑体" w:asciiTheme="minorEastAsia" w:hAnsiTheme="minorEastAsia"/>
          <w:color w:val="000000"/>
          <w:kern w:val="0"/>
          <w:sz w:val="32"/>
          <w:szCs w:val="32"/>
        </w:rPr>
        <w:t>2,503.88</w:t>
      </w:r>
      <w:r>
        <w:rPr>
          <w:rFonts w:hint="eastAsia" w:cs="黑体" w:asciiTheme="minorEastAsia" w:hAnsiTheme="minorEastAsia"/>
          <w:color w:val="000000"/>
          <w:kern w:val="0"/>
          <w:sz w:val="32"/>
          <w:szCs w:val="32"/>
        </w:rPr>
        <w:t>万元。</w:t>
      </w:r>
    </w:p>
    <w:p>
      <w:pPr>
        <w:adjustRightInd w:val="0"/>
        <w:snapToGrid w:val="0"/>
        <w:spacing w:line="360" w:lineRule="auto"/>
        <w:ind w:firstLine="640" w:firstLineChars="200"/>
        <w:contextualSpacing/>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本年支出情况：基本支出</w:t>
      </w:r>
      <w:r>
        <w:rPr>
          <w:rFonts w:cs="黑体" w:asciiTheme="minorEastAsia" w:hAnsiTheme="minorEastAsia"/>
          <w:color w:val="000000"/>
          <w:kern w:val="0"/>
          <w:sz w:val="32"/>
          <w:szCs w:val="32"/>
        </w:rPr>
        <w:t>2,021.95</w:t>
      </w:r>
      <w:r>
        <w:rPr>
          <w:rFonts w:hint="eastAsia" w:cs="黑体" w:asciiTheme="minorEastAsia" w:hAnsiTheme="minorEastAsia"/>
          <w:color w:val="000000"/>
          <w:kern w:val="0"/>
          <w:sz w:val="32"/>
          <w:szCs w:val="32"/>
        </w:rPr>
        <w:t>万元（一般公共预算拨款</w:t>
      </w:r>
      <w:r>
        <w:rPr>
          <w:rFonts w:cs="黑体" w:asciiTheme="minorEastAsia" w:hAnsiTheme="minorEastAsia"/>
          <w:color w:val="000000"/>
          <w:kern w:val="0"/>
          <w:sz w:val="32"/>
          <w:szCs w:val="32"/>
        </w:rPr>
        <w:t>2,021.95</w:t>
      </w:r>
      <w:r>
        <w:rPr>
          <w:rFonts w:hint="eastAsia" w:cs="黑体" w:asciiTheme="minorEastAsia" w:hAnsiTheme="minorEastAsia"/>
          <w:color w:val="000000"/>
          <w:kern w:val="0"/>
          <w:sz w:val="32"/>
          <w:szCs w:val="32"/>
        </w:rPr>
        <w:t>万元），预算执行率为1</w:t>
      </w:r>
      <w:r>
        <w:rPr>
          <w:rFonts w:cs="黑体" w:asciiTheme="minorEastAsia" w:hAnsiTheme="minorEastAsia"/>
          <w:color w:val="000000"/>
          <w:kern w:val="0"/>
          <w:sz w:val="32"/>
          <w:szCs w:val="32"/>
        </w:rPr>
        <w:t>00</w:t>
      </w:r>
      <w:r>
        <w:rPr>
          <w:rFonts w:hint="eastAsia" w:cs="黑体" w:asciiTheme="minorEastAsia" w:hAnsiTheme="minorEastAsia"/>
          <w:color w:val="000000"/>
          <w:kern w:val="0"/>
          <w:sz w:val="32"/>
          <w:szCs w:val="32"/>
        </w:rPr>
        <w:t>%；项目支出</w:t>
      </w:r>
      <w:r>
        <w:rPr>
          <w:rFonts w:cs="黑体" w:asciiTheme="minorEastAsia" w:hAnsiTheme="minorEastAsia"/>
          <w:color w:val="000000"/>
          <w:kern w:val="0"/>
          <w:sz w:val="32"/>
          <w:szCs w:val="32"/>
        </w:rPr>
        <w:t>427.97</w:t>
      </w:r>
      <w:r>
        <w:rPr>
          <w:rFonts w:hint="eastAsia" w:cs="黑体" w:asciiTheme="minorEastAsia" w:hAnsiTheme="minorEastAsia"/>
          <w:color w:val="000000"/>
          <w:kern w:val="0"/>
          <w:sz w:val="32"/>
          <w:szCs w:val="32"/>
        </w:rPr>
        <w:t>万元（其中：一般公共预算拨款</w:t>
      </w:r>
      <w:r>
        <w:rPr>
          <w:rFonts w:cs="黑体" w:asciiTheme="minorEastAsia" w:hAnsiTheme="minorEastAsia"/>
          <w:color w:val="000000"/>
          <w:kern w:val="0"/>
          <w:sz w:val="32"/>
          <w:szCs w:val="32"/>
        </w:rPr>
        <w:t>160.00</w:t>
      </w:r>
      <w:r>
        <w:rPr>
          <w:rFonts w:hint="eastAsia" w:cs="黑体" w:asciiTheme="minorEastAsia" w:hAnsiTheme="minorEastAsia"/>
          <w:color w:val="000000"/>
          <w:kern w:val="0"/>
          <w:sz w:val="32"/>
          <w:szCs w:val="32"/>
        </w:rPr>
        <w:t>万元；政府性基金拨款</w:t>
      </w:r>
      <w:r>
        <w:rPr>
          <w:rFonts w:cs="黑体" w:asciiTheme="minorEastAsia" w:hAnsiTheme="minorEastAsia"/>
          <w:color w:val="000000"/>
          <w:kern w:val="0"/>
          <w:sz w:val="32"/>
          <w:szCs w:val="32"/>
        </w:rPr>
        <w:t>267.97</w:t>
      </w:r>
      <w:r>
        <w:rPr>
          <w:rFonts w:hint="eastAsia" w:cs="黑体" w:asciiTheme="minorEastAsia" w:hAnsiTheme="minorEastAsia"/>
          <w:color w:val="000000"/>
          <w:kern w:val="0"/>
          <w:sz w:val="32"/>
          <w:szCs w:val="32"/>
        </w:rPr>
        <w:t>万元），预算执行率为8</w:t>
      </w:r>
      <w:r>
        <w:rPr>
          <w:rFonts w:cs="黑体" w:asciiTheme="minorEastAsia" w:hAnsiTheme="minorEastAsia"/>
          <w:color w:val="000000"/>
          <w:kern w:val="0"/>
          <w:sz w:val="32"/>
          <w:szCs w:val="32"/>
        </w:rPr>
        <w:t>8.81</w:t>
      </w:r>
      <w:r>
        <w:rPr>
          <w:rFonts w:hint="eastAsia" w:cs="黑体" w:asciiTheme="minorEastAsia" w:hAnsiTheme="minorEastAsia"/>
          <w:color w:val="000000"/>
          <w:kern w:val="0"/>
          <w:sz w:val="32"/>
          <w:szCs w:val="32"/>
        </w:rPr>
        <w:t>%，合计支出</w:t>
      </w:r>
      <w:r>
        <w:rPr>
          <w:rFonts w:cs="黑体" w:asciiTheme="minorEastAsia" w:hAnsiTheme="minorEastAsia"/>
          <w:color w:val="000000"/>
          <w:kern w:val="0"/>
          <w:sz w:val="32"/>
          <w:szCs w:val="32"/>
        </w:rPr>
        <w:t>2</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449.92</w:t>
      </w:r>
      <w:r>
        <w:rPr>
          <w:rFonts w:hint="eastAsia" w:cs="黑体" w:asciiTheme="minorEastAsia" w:hAnsiTheme="minorEastAsia"/>
          <w:color w:val="000000"/>
          <w:kern w:val="0"/>
          <w:sz w:val="32"/>
          <w:szCs w:val="32"/>
        </w:rPr>
        <w:t>万元，预算执行率为9</w:t>
      </w:r>
      <w:r>
        <w:rPr>
          <w:rFonts w:cs="黑体" w:asciiTheme="minorEastAsia" w:hAnsiTheme="minorEastAsia"/>
          <w:color w:val="000000"/>
          <w:kern w:val="0"/>
          <w:sz w:val="32"/>
          <w:szCs w:val="32"/>
        </w:rPr>
        <w:t>7.84</w:t>
      </w:r>
      <w:r>
        <w:rPr>
          <w:rFonts w:hint="eastAsia" w:cs="黑体" w:asciiTheme="minorEastAsia" w:hAnsiTheme="minorEastAsia"/>
          <w:color w:val="000000"/>
          <w:kern w:val="0"/>
          <w:sz w:val="32"/>
          <w:szCs w:val="32"/>
        </w:rPr>
        <w:t>%。</w:t>
      </w:r>
    </w:p>
    <w:p>
      <w:pPr>
        <w:widowControl/>
        <w:spacing w:line="360" w:lineRule="auto"/>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2021年年初结转和结余14.88万元，本年决算收入2,489.00万元，本年决算支出2,449.92万元，年末结转和结余53.96万元。</w:t>
      </w:r>
      <w:r>
        <w:rPr>
          <w:rFonts w:hint="eastAsia" w:cs="黑体" w:asciiTheme="minorEastAsia" w:hAnsiTheme="minorEastAsia"/>
          <w:color w:val="000000"/>
          <w:kern w:val="0"/>
          <w:sz w:val="32"/>
          <w:szCs w:val="32"/>
        </w:rPr>
        <w:t>结余原因为“公务接待费”结余0</w:t>
      </w:r>
      <w:r>
        <w:rPr>
          <w:rFonts w:cs="黑体" w:asciiTheme="minorEastAsia" w:hAnsiTheme="minorEastAsia"/>
          <w:color w:val="000000"/>
          <w:kern w:val="0"/>
          <w:sz w:val="32"/>
          <w:szCs w:val="32"/>
        </w:rPr>
        <w:t>.05万元</w:t>
      </w:r>
      <w:r>
        <w:rPr>
          <w:rFonts w:hint="eastAsia" w:cs="黑体" w:asciiTheme="minorEastAsia" w:hAnsiTheme="minorEastAsia"/>
          <w:color w:val="000000"/>
          <w:kern w:val="0"/>
          <w:sz w:val="32"/>
          <w:szCs w:val="32"/>
        </w:rPr>
        <w:t>、“体育彩票公益金支出-高端人才激励经费”结余</w:t>
      </w:r>
      <w:r>
        <w:rPr>
          <w:rFonts w:cs="黑体" w:asciiTheme="minorEastAsia" w:hAnsiTheme="minorEastAsia"/>
          <w:color w:val="000000"/>
          <w:kern w:val="0"/>
          <w:sz w:val="32"/>
          <w:szCs w:val="32"/>
        </w:rPr>
        <w:t>45.04</w:t>
      </w:r>
      <w:r>
        <w:rPr>
          <w:rFonts w:hint="eastAsia" w:cs="黑体" w:asciiTheme="minorEastAsia" w:hAnsiTheme="minorEastAsia"/>
          <w:color w:val="000000"/>
          <w:kern w:val="0"/>
          <w:sz w:val="32"/>
          <w:szCs w:val="32"/>
        </w:rPr>
        <w:t>万元、“体育彩票公益金支出-体育场体操训练教学综合楼工程尾款”结余</w:t>
      </w:r>
      <w:r>
        <w:rPr>
          <w:rFonts w:cs="黑体" w:asciiTheme="minorEastAsia" w:hAnsiTheme="minorEastAsia"/>
          <w:color w:val="000000"/>
          <w:kern w:val="0"/>
          <w:sz w:val="32"/>
          <w:szCs w:val="32"/>
        </w:rPr>
        <w:t>8.87</w:t>
      </w:r>
      <w:r>
        <w:rPr>
          <w:rFonts w:hint="eastAsia" w:cs="黑体" w:asciiTheme="minorEastAsia" w:hAnsiTheme="minorEastAsia"/>
          <w:color w:val="000000"/>
          <w:kern w:val="0"/>
          <w:sz w:val="32"/>
          <w:szCs w:val="32"/>
        </w:rPr>
        <w:t>万元。</w:t>
      </w:r>
    </w:p>
    <w:p>
      <w:pPr>
        <w:spacing w:line="360" w:lineRule="auto"/>
        <w:ind w:firstLine="640" w:firstLineChars="200"/>
        <w:jc w:val="cente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w:t>
      </w:r>
      <w:r>
        <w:rPr>
          <w:rFonts w:cs="黑体" w:asciiTheme="minorEastAsia" w:hAnsiTheme="minorEastAsia"/>
          <w:color w:val="000000"/>
          <w:kern w:val="0"/>
          <w:sz w:val="32"/>
          <w:szCs w:val="32"/>
        </w:rPr>
        <w:t>21</w:t>
      </w:r>
      <w:r>
        <w:rPr>
          <w:rFonts w:hint="eastAsia" w:cs="黑体" w:asciiTheme="minorEastAsia" w:hAnsiTheme="minorEastAsia"/>
          <w:color w:val="000000"/>
          <w:kern w:val="0"/>
          <w:sz w:val="32"/>
          <w:szCs w:val="32"/>
        </w:rPr>
        <w:t>年度预算收支总表</w:t>
      </w:r>
    </w:p>
    <w:p>
      <w:pPr>
        <w:spacing w:line="360" w:lineRule="auto"/>
        <w:ind w:firstLine="560" w:firstLineChars="200"/>
        <w:jc w:val="righ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单位：万元</w:t>
      </w:r>
    </w:p>
    <w:tbl>
      <w:tblPr>
        <w:tblStyle w:val="7"/>
        <w:tblW w:w="8522" w:type="dxa"/>
        <w:tblInd w:w="0" w:type="dxa"/>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
      <w:tblGrid>
        <w:gridCol w:w="2187"/>
        <w:gridCol w:w="1890"/>
        <w:gridCol w:w="2333"/>
        <w:gridCol w:w="2112"/>
      </w:tblGrid>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blHeader/>
        </w:trPr>
        <w:tc>
          <w:tcPr>
            <w:tcW w:w="4077" w:type="dxa"/>
            <w:gridSpan w:val="2"/>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收入小计</w:t>
            </w:r>
          </w:p>
        </w:tc>
        <w:tc>
          <w:tcPr>
            <w:tcW w:w="2333"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一般公共预算财政经费拨款</w:t>
            </w:r>
          </w:p>
        </w:tc>
        <w:tc>
          <w:tcPr>
            <w:tcW w:w="2112"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政府性基金拨款</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187" w:type="dxa"/>
            <w:vAlign w:val="center"/>
          </w:tcPr>
          <w:p>
            <w:pPr>
              <w:adjustRightInd w:val="0"/>
              <w:snapToGrid w:val="0"/>
              <w:contextualSpacing/>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年初部门预算数</w:t>
            </w:r>
          </w:p>
        </w:tc>
        <w:tc>
          <w:tcPr>
            <w:tcW w:w="1890" w:type="dxa"/>
            <w:vAlign w:val="center"/>
          </w:tcPr>
          <w:p>
            <w:pPr>
              <w:widowControl/>
              <w:jc w:val="right"/>
              <w:rPr>
                <w:rFonts w:ascii="Arial Narrow" w:hAnsi="Arial Narrow" w:eastAsia="仿宋_GB2312"/>
                <w:color w:val="000000"/>
                <w:kern w:val="0"/>
                <w:szCs w:val="21"/>
              </w:rPr>
            </w:pPr>
            <w:r>
              <w:rPr>
                <w:rFonts w:ascii="Arial Narrow" w:hAnsi="Arial Narrow" w:eastAsia="仿宋_GB2312"/>
                <w:color w:val="000000"/>
                <w:szCs w:val="21"/>
              </w:rPr>
              <w:t>2,469.00</w:t>
            </w:r>
          </w:p>
        </w:tc>
        <w:tc>
          <w:tcPr>
            <w:tcW w:w="23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2,162.00</w:t>
            </w:r>
          </w:p>
        </w:tc>
        <w:tc>
          <w:tcPr>
            <w:tcW w:w="2112"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307.00</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187" w:type="dxa"/>
            <w:vAlign w:val="center"/>
          </w:tcPr>
          <w:p>
            <w:pPr>
              <w:adjustRightInd w:val="0"/>
              <w:snapToGrid w:val="0"/>
              <w:contextualSpacing/>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部门调整预算数（指标下达数）</w:t>
            </w:r>
          </w:p>
        </w:tc>
        <w:tc>
          <w:tcPr>
            <w:tcW w:w="1890"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34.88</w:t>
            </w:r>
          </w:p>
        </w:tc>
        <w:tc>
          <w:tcPr>
            <w:tcW w:w="23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20.00</w:t>
            </w:r>
          </w:p>
        </w:tc>
        <w:tc>
          <w:tcPr>
            <w:tcW w:w="2112"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14.88</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187"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收入预算数</w:t>
            </w:r>
          </w:p>
        </w:tc>
        <w:tc>
          <w:tcPr>
            <w:tcW w:w="1890"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2,503.88</w:t>
            </w:r>
          </w:p>
        </w:tc>
        <w:tc>
          <w:tcPr>
            <w:tcW w:w="23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2,182.00</w:t>
            </w:r>
          </w:p>
        </w:tc>
        <w:tc>
          <w:tcPr>
            <w:tcW w:w="2112"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321.88</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187" w:type="dxa"/>
            <w:vAlign w:val="center"/>
          </w:tcPr>
          <w:p>
            <w:pPr>
              <w:adjustRightInd w:val="0"/>
              <w:snapToGrid w:val="0"/>
              <w:contextualSpacing/>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其中：年初预算</w:t>
            </w:r>
          </w:p>
        </w:tc>
        <w:tc>
          <w:tcPr>
            <w:tcW w:w="1890"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2,469.00</w:t>
            </w:r>
          </w:p>
        </w:tc>
        <w:tc>
          <w:tcPr>
            <w:tcW w:w="23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2,162.00</w:t>
            </w:r>
          </w:p>
        </w:tc>
        <w:tc>
          <w:tcPr>
            <w:tcW w:w="2112"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307.00</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187" w:type="dxa"/>
            <w:vAlign w:val="center"/>
          </w:tcPr>
          <w:p>
            <w:pPr>
              <w:adjustRightInd w:val="0"/>
              <w:snapToGrid w:val="0"/>
              <w:contextualSpacing/>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上年结余</w:t>
            </w:r>
          </w:p>
        </w:tc>
        <w:tc>
          <w:tcPr>
            <w:tcW w:w="1890"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14.88</w:t>
            </w:r>
          </w:p>
        </w:tc>
        <w:tc>
          <w:tcPr>
            <w:tcW w:w="23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2112"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14.88</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187" w:type="dxa"/>
            <w:vAlign w:val="center"/>
          </w:tcPr>
          <w:p>
            <w:pPr>
              <w:adjustRightInd w:val="0"/>
              <w:snapToGrid w:val="0"/>
              <w:ind w:firstLine="630" w:firstLineChars="300"/>
              <w:contextualSpacing/>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本年追加</w:t>
            </w:r>
          </w:p>
        </w:tc>
        <w:tc>
          <w:tcPr>
            <w:tcW w:w="1890"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20.00</w:t>
            </w:r>
          </w:p>
        </w:tc>
        <w:tc>
          <w:tcPr>
            <w:tcW w:w="23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20.00</w:t>
            </w:r>
          </w:p>
        </w:tc>
        <w:tc>
          <w:tcPr>
            <w:tcW w:w="2112"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r>
    </w:tbl>
    <w:p>
      <w:pPr>
        <w:adjustRightInd w:val="0"/>
        <w:snapToGrid w:val="0"/>
        <w:spacing w:line="360" w:lineRule="auto"/>
        <w:contextualSpacing/>
        <w:jc w:val="left"/>
        <w:rPr>
          <w:rFonts w:ascii="仿宋_GB2312" w:hAnsi="仿宋_GB2312" w:eastAsia="仿宋_GB2312" w:cs="仿宋_GB2312"/>
          <w:color w:val="000000" w:themeColor="text1"/>
          <w:sz w:val="16"/>
          <w:szCs w:val="28"/>
          <w14:textFill>
            <w14:solidFill>
              <w14:schemeClr w14:val="tx1"/>
            </w14:solidFill>
          </w14:textFill>
        </w:rPr>
      </w:pPr>
    </w:p>
    <w:tbl>
      <w:tblPr>
        <w:tblStyle w:val="7"/>
        <w:tblW w:w="8612" w:type="dxa"/>
        <w:tblInd w:w="0" w:type="dxa"/>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
      <w:tblGrid>
        <w:gridCol w:w="1464"/>
        <w:gridCol w:w="1155"/>
        <w:gridCol w:w="1174"/>
        <w:gridCol w:w="1276"/>
        <w:gridCol w:w="1133"/>
        <w:gridCol w:w="1276"/>
        <w:gridCol w:w="1134"/>
      </w:tblGrid>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blHeader/>
        </w:trPr>
        <w:tc>
          <w:tcPr>
            <w:tcW w:w="2619" w:type="dxa"/>
            <w:gridSpan w:val="2"/>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支出小计</w:t>
            </w:r>
          </w:p>
        </w:tc>
        <w:tc>
          <w:tcPr>
            <w:tcW w:w="117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基本支出</w:t>
            </w:r>
          </w:p>
        </w:tc>
        <w:tc>
          <w:tcPr>
            <w:tcW w:w="1276"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其中：基本支出-一般公共预算拨款支出</w:t>
            </w:r>
          </w:p>
        </w:tc>
        <w:tc>
          <w:tcPr>
            <w:tcW w:w="1133"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项目支出</w:t>
            </w:r>
          </w:p>
        </w:tc>
        <w:tc>
          <w:tcPr>
            <w:tcW w:w="1276"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其中：项目支出-一般公共预算拨款支出</w:t>
            </w:r>
          </w:p>
        </w:tc>
        <w:tc>
          <w:tcPr>
            <w:tcW w:w="113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其中：项目支出-政府性基金拨款支出</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146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年初部门预算</w:t>
            </w:r>
          </w:p>
        </w:tc>
        <w:tc>
          <w:tcPr>
            <w:tcW w:w="1155" w:type="dxa"/>
            <w:vAlign w:val="center"/>
          </w:tcPr>
          <w:p>
            <w:pPr>
              <w:widowControl/>
              <w:jc w:val="right"/>
              <w:rPr>
                <w:rFonts w:ascii="Arial Narrow" w:hAnsi="Arial Narrow" w:eastAsia="仿宋_GB2312"/>
                <w:color w:val="000000"/>
                <w:kern w:val="0"/>
                <w:szCs w:val="21"/>
              </w:rPr>
            </w:pPr>
            <w:r>
              <w:rPr>
                <w:rFonts w:ascii="Arial Narrow" w:hAnsi="Arial Narrow" w:eastAsia="仿宋_GB2312"/>
                <w:color w:val="000000"/>
                <w:szCs w:val="21"/>
              </w:rPr>
              <w:t xml:space="preserve">2,469.00 </w:t>
            </w:r>
          </w:p>
        </w:tc>
        <w:tc>
          <w:tcPr>
            <w:tcW w:w="117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2,022.00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11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447.00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140.00 </w:t>
            </w:r>
          </w:p>
        </w:tc>
        <w:tc>
          <w:tcPr>
            <w:tcW w:w="113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307.00 </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146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部门调整预算数（指标下达数）</w:t>
            </w:r>
          </w:p>
        </w:tc>
        <w:tc>
          <w:tcPr>
            <w:tcW w:w="1155"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34.88 </w:t>
            </w:r>
          </w:p>
        </w:tc>
        <w:tc>
          <w:tcPr>
            <w:tcW w:w="1174" w:type="dxa"/>
            <w:vAlign w:val="center"/>
          </w:tcPr>
          <w:p>
            <w:pPr>
              <w:jc w:val="right"/>
              <w:rPr>
                <w:rFonts w:ascii="Arial Narrow" w:hAnsi="Arial Narrow" w:eastAsia="仿宋_GB2312"/>
                <w:color w:val="000000"/>
                <w:szCs w:val="21"/>
              </w:rPr>
            </w:pPr>
          </w:p>
        </w:tc>
        <w:tc>
          <w:tcPr>
            <w:tcW w:w="1276" w:type="dxa"/>
            <w:vAlign w:val="center"/>
          </w:tcPr>
          <w:p>
            <w:pPr>
              <w:jc w:val="right"/>
              <w:rPr>
                <w:rFonts w:ascii="Arial Narrow" w:hAnsi="Arial Narrow" w:eastAsia="仿宋_GB2312"/>
                <w:color w:val="000000"/>
                <w:szCs w:val="21"/>
              </w:rPr>
            </w:pPr>
          </w:p>
        </w:tc>
        <w:tc>
          <w:tcPr>
            <w:tcW w:w="11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34.88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20.00 </w:t>
            </w:r>
          </w:p>
        </w:tc>
        <w:tc>
          <w:tcPr>
            <w:tcW w:w="113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14.88 </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146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年末结余</w:t>
            </w:r>
          </w:p>
        </w:tc>
        <w:tc>
          <w:tcPr>
            <w:tcW w:w="1155"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53.96 </w:t>
            </w:r>
          </w:p>
        </w:tc>
        <w:tc>
          <w:tcPr>
            <w:tcW w:w="117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0.05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11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53.91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113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53.91 </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146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支出决算数</w:t>
            </w:r>
          </w:p>
        </w:tc>
        <w:tc>
          <w:tcPr>
            <w:tcW w:w="1155"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2,449.92 </w:t>
            </w:r>
          </w:p>
        </w:tc>
        <w:tc>
          <w:tcPr>
            <w:tcW w:w="117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2,021.95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2,021.95 </w:t>
            </w:r>
          </w:p>
        </w:tc>
        <w:tc>
          <w:tcPr>
            <w:tcW w:w="11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427.97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160.00 </w:t>
            </w:r>
          </w:p>
        </w:tc>
        <w:tc>
          <w:tcPr>
            <w:tcW w:w="113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267.97 </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146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其中：年初预算</w:t>
            </w:r>
          </w:p>
        </w:tc>
        <w:tc>
          <w:tcPr>
            <w:tcW w:w="1155" w:type="dxa"/>
            <w:vAlign w:val="center"/>
          </w:tcPr>
          <w:p>
            <w:pPr>
              <w:jc w:val="right"/>
              <w:rPr>
                <w:rFonts w:ascii="Arial Narrow" w:hAnsi="Arial Narrow" w:eastAsia="仿宋_GB2312"/>
                <w:color w:val="000000"/>
                <w:szCs w:val="21"/>
              </w:rPr>
            </w:pPr>
            <w:r>
              <w:rPr>
                <w:rFonts w:hint="eastAsia" w:ascii="Arial Narrow" w:hAnsi="Arial Narrow" w:eastAsia="仿宋_GB2312"/>
                <w:color w:val="000000"/>
                <w:szCs w:val="21"/>
              </w:rPr>
              <w:t xml:space="preserve">2,415.04 </w:t>
            </w:r>
          </w:p>
        </w:tc>
        <w:tc>
          <w:tcPr>
            <w:tcW w:w="1174" w:type="dxa"/>
            <w:vAlign w:val="center"/>
          </w:tcPr>
          <w:p>
            <w:pPr>
              <w:jc w:val="right"/>
              <w:rPr>
                <w:rFonts w:ascii="Arial Narrow" w:hAnsi="Arial Narrow" w:eastAsia="仿宋_GB2312"/>
                <w:color w:val="000000"/>
                <w:szCs w:val="21"/>
              </w:rPr>
            </w:pPr>
            <w:r>
              <w:rPr>
                <w:rFonts w:hint="eastAsia" w:ascii="Arial Narrow" w:hAnsi="Arial Narrow" w:eastAsia="仿宋_GB2312"/>
                <w:color w:val="000000"/>
                <w:szCs w:val="21"/>
              </w:rPr>
              <w:t xml:space="preserve">2,021.95 </w:t>
            </w:r>
          </w:p>
        </w:tc>
        <w:tc>
          <w:tcPr>
            <w:tcW w:w="1276" w:type="dxa"/>
            <w:vAlign w:val="center"/>
          </w:tcPr>
          <w:p>
            <w:pPr>
              <w:jc w:val="right"/>
              <w:rPr>
                <w:rFonts w:ascii="Arial Narrow" w:hAnsi="Arial Narrow" w:eastAsia="仿宋_GB2312"/>
                <w:color w:val="000000"/>
                <w:szCs w:val="21"/>
              </w:rPr>
            </w:pPr>
            <w:r>
              <w:rPr>
                <w:rFonts w:hint="eastAsia" w:ascii="Arial Narrow" w:hAnsi="Arial Narrow" w:eastAsia="仿宋_GB2312"/>
                <w:color w:val="000000"/>
                <w:szCs w:val="21"/>
              </w:rPr>
              <w:t>　</w:t>
            </w:r>
          </w:p>
        </w:tc>
        <w:tc>
          <w:tcPr>
            <w:tcW w:w="1133" w:type="dxa"/>
            <w:vAlign w:val="center"/>
          </w:tcPr>
          <w:p>
            <w:pPr>
              <w:jc w:val="right"/>
              <w:rPr>
                <w:rFonts w:ascii="Arial Narrow" w:hAnsi="Arial Narrow" w:eastAsia="仿宋_GB2312"/>
                <w:color w:val="000000"/>
                <w:szCs w:val="21"/>
              </w:rPr>
            </w:pPr>
            <w:r>
              <w:rPr>
                <w:rFonts w:hint="eastAsia" w:ascii="Arial Narrow" w:hAnsi="Arial Narrow" w:eastAsia="仿宋_GB2312"/>
                <w:color w:val="000000"/>
                <w:szCs w:val="21"/>
              </w:rPr>
              <w:t xml:space="preserve">   393.09 </w:t>
            </w:r>
          </w:p>
        </w:tc>
        <w:tc>
          <w:tcPr>
            <w:tcW w:w="1276" w:type="dxa"/>
            <w:vAlign w:val="center"/>
          </w:tcPr>
          <w:p>
            <w:pPr>
              <w:jc w:val="right"/>
              <w:rPr>
                <w:rFonts w:ascii="Arial Narrow" w:hAnsi="Arial Narrow" w:eastAsia="仿宋_GB2312"/>
                <w:color w:val="000000"/>
                <w:szCs w:val="21"/>
              </w:rPr>
            </w:pPr>
            <w:r>
              <w:rPr>
                <w:rFonts w:hint="eastAsia" w:ascii="Arial Narrow" w:hAnsi="Arial Narrow" w:eastAsia="仿宋_GB2312"/>
                <w:color w:val="000000"/>
                <w:szCs w:val="21"/>
              </w:rPr>
              <w:t xml:space="preserve">140.00 </w:t>
            </w:r>
          </w:p>
        </w:tc>
        <w:tc>
          <w:tcPr>
            <w:tcW w:w="1134" w:type="dxa"/>
            <w:vAlign w:val="center"/>
          </w:tcPr>
          <w:p>
            <w:pPr>
              <w:jc w:val="right"/>
              <w:rPr>
                <w:rFonts w:ascii="Arial Narrow" w:hAnsi="Arial Narrow" w:eastAsia="仿宋_GB2312"/>
                <w:color w:val="000000"/>
                <w:szCs w:val="21"/>
              </w:rPr>
            </w:pPr>
            <w:r>
              <w:rPr>
                <w:rFonts w:hint="eastAsia" w:ascii="Arial Narrow" w:hAnsi="Arial Narrow" w:eastAsia="仿宋_GB2312"/>
                <w:color w:val="000000"/>
                <w:szCs w:val="21"/>
              </w:rPr>
              <w:t xml:space="preserve">253.09 </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146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上年结余</w:t>
            </w:r>
          </w:p>
        </w:tc>
        <w:tc>
          <w:tcPr>
            <w:tcW w:w="1155"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14.88 </w:t>
            </w:r>
          </w:p>
        </w:tc>
        <w:tc>
          <w:tcPr>
            <w:tcW w:w="117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11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14.88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113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14.88 </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1464" w:type="dxa"/>
            <w:vAlign w:val="center"/>
          </w:tcPr>
          <w:p>
            <w:pPr>
              <w:adjustRightInd w:val="0"/>
              <w:snapToGrid w:val="0"/>
              <w:contextualSpacing/>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本年追加</w:t>
            </w:r>
          </w:p>
        </w:tc>
        <w:tc>
          <w:tcPr>
            <w:tcW w:w="1155"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20.00 </w:t>
            </w:r>
          </w:p>
        </w:tc>
        <w:tc>
          <w:tcPr>
            <w:tcW w:w="117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c>
          <w:tcPr>
            <w:tcW w:w="1133"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20.00 </w:t>
            </w:r>
          </w:p>
        </w:tc>
        <w:tc>
          <w:tcPr>
            <w:tcW w:w="1276"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xml:space="preserve">20.00 </w:t>
            </w:r>
          </w:p>
        </w:tc>
        <w:tc>
          <w:tcPr>
            <w:tcW w:w="1134" w:type="dxa"/>
            <w:vAlign w:val="center"/>
          </w:tcPr>
          <w:p>
            <w:pPr>
              <w:jc w:val="right"/>
              <w:rPr>
                <w:rFonts w:ascii="Arial Narrow" w:hAnsi="Arial Narrow" w:eastAsia="仿宋_GB2312"/>
                <w:color w:val="000000"/>
                <w:szCs w:val="21"/>
              </w:rPr>
            </w:pPr>
            <w:r>
              <w:rPr>
                <w:rFonts w:ascii="Arial Narrow" w:hAnsi="Arial Narrow" w:eastAsia="仿宋_GB2312"/>
                <w:color w:val="000000"/>
                <w:szCs w:val="21"/>
              </w:rPr>
              <w:t>　</w:t>
            </w:r>
          </w:p>
        </w:tc>
      </w:tr>
    </w:tbl>
    <w:p>
      <w:pPr>
        <w:spacing w:line="360" w:lineRule="auto"/>
        <w:ind w:firstLine="640" w:firstLineChars="200"/>
        <w:outlineLvl w:val="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w:t>
      </w:r>
      <w:r>
        <w:rPr>
          <w:rFonts w:cs="黑体" w:asciiTheme="minorEastAsia" w:hAnsiTheme="minorEastAsia"/>
          <w:b/>
          <w:color w:val="000000"/>
          <w:kern w:val="0"/>
          <w:sz w:val="32"/>
          <w:szCs w:val="32"/>
        </w:rPr>
        <w:t>一般公共预算支出情况</w:t>
      </w:r>
    </w:p>
    <w:p>
      <w:pPr>
        <w:spacing w:line="360" w:lineRule="auto"/>
        <w:ind w:firstLine="640" w:firstLineChars="200"/>
        <w:outlineLvl w:val="1"/>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w:t>
      </w:r>
      <w:r>
        <w:rPr>
          <w:rFonts w:cs="黑体" w:asciiTheme="minorEastAsia" w:hAnsiTheme="minorEastAsia"/>
          <w:b/>
          <w:color w:val="000000"/>
          <w:kern w:val="0"/>
          <w:sz w:val="32"/>
          <w:szCs w:val="32"/>
        </w:rPr>
        <w:t>基本支出情况</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1、一般公共预算财政拨款基本支出情况</w:t>
      </w:r>
    </w:p>
    <w:p>
      <w:pPr>
        <w:adjustRightInd w:val="0"/>
        <w:snapToGrid w:val="0"/>
        <w:spacing w:line="360" w:lineRule="auto"/>
        <w:ind w:firstLine="640" w:firstLineChars="200"/>
        <w:contextualSpacing/>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（1）一般公共预算财政拨款基本支出预、决算情况</w:t>
      </w:r>
    </w:p>
    <w:p>
      <w:pPr>
        <w:adjustRightInd w:val="0"/>
        <w:snapToGrid w:val="0"/>
        <w:spacing w:line="360" w:lineRule="auto"/>
        <w:ind w:firstLine="560" w:firstLineChars="200"/>
        <w:contextualSpacing/>
        <w:jc w:val="right"/>
        <w:rPr>
          <w:rFonts w:ascii="仿宋_GB2312" w:hAnsi="仿宋_GB2312" w:eastAsia="仿宋_GB2312" w:cs="仿宋_GB2312"/>
          <w:color w:val="000000" w:themeColor="text1"/>
          <w:sz w:val="28"/>
          <w:szCs w:val="28"/>
          <w:highlight w:val="yellow"/>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单位：万元</w:t>
      </w:r>
    </w:p>
    <w:tbl>
      <w:tblPr>
        <w:tblStyle w:val="6"/>
        <w:tblW w:w="8379"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032"/>
        <w:gridCol w:w="1945"/>
        <w:gridCol w:w="1984"/>
        <w:gridCol w:w="1418"/>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54" w:hRule="atLeast"/>
          <w:tblHeader/>
        </w:trPr>
        <w:tc>
          <w:tcPr>
            <w:tcW w:w="3032" w:type="dxa"/>
            <w:tcBorders>
              <w:top w:val="single" w:color="000000" w:sz="12" w:space="0"/>
              <w:left w:val="nil"/>
              <w:bottom w:val="dotted" w:color="000000" w:sz="4" w:space="0"/>
              <w:right w:val="dotted" w:color="000000" w:sz="4" w:space="0"/>
            </w:tcBorders>
            <w:vAlign w:val="center"/>
          </w:tcPr>
          <w:p>
            <w:pPr>
              <w:jc w:val="center"/>
              <w:rPr>
                <w:rFonts w:ascii="仿宋_GB2312" w:hAnsi="Arial Narrow" w:eastAsia="仿宋_GB2312"/>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项  目</w:t>
            </w:r>
          </w:p>
        </w:tc>
        <w:tc>
          <w:tcPr>
            <w:tcW w:w="1945" w:type="dxa"/>
            <w:tcBorders>
              <w:top w:val="single" w:color="000000" w:sz="12" w:space="0"/>
              <w:left w:val="dotted" w:color="000000" w:sz="4" w:space="0"/>
              <w:bottom w:val="dotted" w:color="000000" w:sz="4" w:space="0"/>
              <w:right w:val="dotted" w:color="000000" w:sz="4" w:space="0"/>
            </w:tcBorders>
            <w:vAlign w:val="center"/>
          </w:tcPr>
          <w:p>
            <w:pPr>
              <w:jc w:val="center"/>
              <w:rPr>
                <w:rFonts w:ascii="仿宋_GB2312" w:hAnsi="Arial Narrow" w:eastAsia="仿宋_GB2312"/>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预算数</w:t>
            </w:r>
          </w:p>
        </w:tc>
        <w:tc>
          <w:tcPr>
            <w:tcW w:w="1984" w:type="dxa"/>
            <w:tcBorders>
              <w:top w:val="single" w:color="000000" w:sz="12" w:space="0"/>
              <w:left w:val="dotted" w:color="000000" w:sz="4" w:space="0"/>
              <w:bottom w:val="dotted" w:color="000000" w:sz="4" w:space="0"/>
              <w:right w:val="dotted" w:color="000000" w:sz="4" w:space="0"/>
            </w:tcBorders>
            <w:vAlign w:val="center"/>
          </w:tcPr>
          <w:p>
            <w:pPr>
              <w:jc w:val="center"/>
              <w:rPr>
                <w:rFonts w:ascii="仿宋_GB2312" w:hAnsi="Arial Narrow" w:eastAsia="仿宋_GB2312"/>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决算数</w:t>
            </w:r>
          </w:p>
        </w:tc>
        <w:tc>
          <w:tcPr>
            <w:tcW w:w="1418" w:type="dxa"/>
            <w:tcBorders>
              <w:top w:val="single" w:color="000000" w:sz="12" w:space="0"/>
              <w:left w:val="dotted" w:color="000000" w:sz="4" w:space="0"/>
              <w:bottom w:val="dotted" w:color="000000" w:sz="4" w:space="0"/>
              <w:right w:val="nil"/>
            </w:tcBorders>
            <w:vAlign w:val="center"/>
          </w:tcPr>
          <w:p>
            <w:pPr>
              <w:jc w:val="center"/>
              <w:rPr>
                <w:rFonts w:ascii="仿宋_GB2312" w:hAnsi="Arial Narrow" w:eastAsia="仿宋_GB2312"/>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差异</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3032" w:type="dxa"/>
            <w:tcBorders>
              <w:top w:val="dotted" w:color="000000" w:sz="4" w:space="0"/>
              <w:left w:val="nil"/>
              <w:bottom w:val="dotted" w:color="000000" w:sz="4" w:space="0"/>
              <w:right w:val="dotted" w:color="000000" w:sz="4" w:space="0"/>
            </w:tcBorders>
            <w:vAlign w:val="center"/>
          </w:tcPr>
          <w:p>
            <w:pPr>
              <w:jc w:val="left"/>
              <w:textAlignment w:val="center"/>
              <w:rPr>
                <w:rFonts w:ascii="仿宋_GB2312" w:hAnsi="??_GB2312" w:eastAsia="仿宋_GB2312" w:cs="??_GB2312"/>
                <w:color w:val="000000" w:themeColor="text1"/>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基本支出</w:t>
            </w:r>
          </w:p>
        </w:tc>
        <w:tc>
          <w:tcPr>
            <w:tcW w:w="1945" w:type="dxa"/>
            <w:tcBorders>
              <w:top w:val="dotted" w:color="000000" w:sz="4" w:space="0"/>
              <w:left w:val="dotted" w:color="000000" w:sz="4" w:space="0"/>
              <w:bottom w:val="dotted" w:color="000000" w:sz="4" w:space="0"/>
              <w:right w:val="dotted" w:color="000000" w:sz="4" w:space="0"/>
            </w:tcBorders>
            <w:vAlign w:val="center"/>
          </w:tcPr>
          <w:p>
            <w:pPr>
              <w:jc w:val="right"/>
              <w:textAlignment w:val="center"/>
              <w:rPr>
                <w:rFonts w:ascii="仿宋_GB2312" w:hAnsi="Arial Narrow" w:eastAsia="仿宋_GB2312" w:cs="Arial Narrow"/>
                <w:color w:val="000000" w:themeColor="text1"/>
                <w:szCs w:val="21"/>
                <w14:textFill>
                  <w14:solidFill>
                    <w14:schemeClr w14:val="tx1"/>
                  </w14:solidFill>
                </w14:textFill>
              </w:rPr>
            </w:pPr>
          </w:p>
        </w:tc>
        <w:tc>
          <w:tcPr>
            <w:tcW w:w="1984" w:type="dxa"/>
            <w:tcBorders>
              <w:top w:val="dotted" w:color="000000" w:sz="4" w:space="0"/>
              <w:left w:val="dotted" w:color="000000" w:sz="4" w:space="0"/>
              <w:bottom w:val="dotted" w:color="000000" w:sz="4" w:space="0"/>
              <w:right w:val="dotted" w:color="000000" w:sz="4" w:space="0"/>
            </w:tcBorders>
            <w:vAlign w:val="center"/>
          </w:tcPr>
          <w:p>
            <w:pPr>
              <w:jc w:val="right"/>
              <w:textAlignment w:val="center"/>
              <w:rPr>
                <w:rFonts w:ascii="仿宋_GB2312" w:hAnsi="Arial Narrow" w:eastAsia="仿宋_GB2312" w:cs="Arial Narrow"/>
                <w:color w:val="000000" w:themeColor="text1"/>
                <w:szCs w:val="21"/>
                <w14:textFill>
                  <w14:solidFill>
                    <w14:schemeClr w14:val="tx1"/>
                  </w14:solidFill>
                </w14:textFill>
              </w:rPr>
            </w:pPr>
          </w:p>
        </w:tc>
        <w:tc>
          <w:tcPr>
            <w:tcW w:w="1418" w:type="dxa"/>
            <w:tcBorders>
              <w:top w:val="dotted" w:color="000000" w:sz="4" w:space="0"/>
              <w:left w:val="dotted" w:color="000000" w:sz="4" w:space="0"/>
              <w:bottom w:val="dotted" w:color="000000" w:sz="4" w:space="0"/>
              <w:right w:val="nil"/>
            </w:tcBorders>
            <w:vAlign w:val="center"/>
          </w:tcPr>
          <w:p>
            <w:pPr>
              <w:jc w:val="right"/>
              <w:textAlignment w:val="center"/>
              <w:rPr>
                <w:rFonts w:ascii="仿宋_GB2312" w:hAnsi="Arial Narrow" w:eastAsia="仿宋_GB2312" w:cs="Arial Narrow"/>
                <w:color w:val="000000" w:themeColor="text1"/>
                <w:szCs w:val="21"/>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3032" w:type="dxa"/>
            <w:tcBorders>
              <w:top w:val="dotted" w:color="000000" w:sz="4" w:space="0"/>
              <w:left w:val="nil"/>
              <w:bottom w:val="dotted" w:color="000000" w:sz="4" w:space="0"/>
              <w:right w:val="dotted" w:color="000000" w:sz="4" w:space="0"/>
            </w:tcBorders>
            <w:vAlign w:val="center"/>
          </w:tcPr>
          <w:p>
            <w:pPr>
              <w:jc w:val="left"/>
              <w:textAlignment w:val="center"/>
              <w:rPr>
                <w:rFonts w:ascii="仿宋_GB2312" w:hAnsi="??_GB2312" w:eastAsia="仿宋_GB2312" w:cs="??_GB2312"/>
                <w:color w:val="000000" w:themeColor="text1"/>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其中</w:t>
            </w:r>
            <w:r>
              <w:rPr>
                <w:rFonts w:ascii="仿宋_GB2312" w:hAnsi="??_GB2312" w:eastAsia="仿宋_GB2312" w:cs="??_GB2312"/>
                <w:color w:val="000000" w:themeColor="text1"/>
                <w:kern w:val="0"/>
                <w:szCs w:val="21"/>
                <w14:textFill>
                  <w14:solidFill>
                    <w14:schemeClr w14:val="tx1"/>
                  </w14:solidFill>
                </w14:textFill>
              </w:rPr>
              <w:t>:</w:t>
            </w:r>
            <w:r>
              <w:rPr>
                <w:rFonts w:hint="eastAsia" w:ascii="仿宋_GB2312" w:hAnsi="??_GB2312" w:eastAsia="仿宋_GB2312" w:cs="??_GB2312"/>
                <w:color w:val="000000" w:themeColor="text1"/>
                <w:kern w:val="0"/>
                <w:szCs w:val="21"/>
                <w14:textFill>
                  <w14:solidFill>
                    <w14:schemeClr w14:val="tx1"/>
                  </w14:solidFill>
                </w14:textFill>
              </w:rPr>
              <w:t>人员经费</w:t>
            </w:r>
          </w:p>
        </w:tc>
        <w:tc>
          <w:tcPr>
            <w:tcW w:w="1945" w:type="dxa"/>
            <w:tcBorders>
              <w:top w:val="dotted" w:color="000000" w:sz="4" w:space="0"/>
              <w:left w:val="dotted" w:color="000000" w:sz="4" w:space="0"/>
              <w:bottom w:val="dotted" w:color="000000" w:sz="4" w:space="0"/>
              <w:right w:val="dotted" w:color="000000" w:sz="4" w:space="0"/>
            </w:tcBorders>
            <w:vAlign w:val="center"/>
          </w:tcPr>
          <w:p>
            <w:pPr>
              <w:widowControl/>
              <w:jc w:val="right"/>
              <w:rPr>
                <w:rFonts w:ascii="Arial Narrow" w:hAnsi="Arial Narrow" w:eastAsia="仿宋_GB2312"/>
                <w:color w:val="000000"/>
                <w:kern w:val="0"/>
                <w:szCs w:val="21"/>
              </w:rPr>
            </w:pPr>
            <w:r>
              <w:rPr>
                <w:rFonts w:ascii="Arial Narrow" w:hAnsi="Arial Narrow" w:eastAsia="仿宋_GB2312"/>
                <w:color w:val="000000"/>
                <w:szCs w:val="21"/>
              </w:rPr>
              <w:t>1,827.00</w:t>
            </w:r>
          </w:p>
        </w:tc>
        <w:tc>
          <w:tcPr>
            <w:tcW w:w="1984" w:type="dxa"/>
            <w:tcBorders>
              <w:top w:val="dotted" w:color="000000" w:sz="4" w:space="0"/>
              <w:left w:val="dotted" w:color="000000" w:sz="4" w:space="0"/>
              <w:bottom w:val="dotted" w:color="000000" w:sz="4" w:space="0"/>
              <w:right w:val="dotted" w:color="000000" w:sz="4" w:space="0"/>
            </w:tcBorders>
            <w:vAlign w:val="center"/>
          </w:tcPr>
          <w:p>
            <w:pPr>
              <w:jc w:val="right"/>
              <w:rPr>
                <w:rFonts w:ascii="Arial Narrow" w:hAnsi="Arial Narrow" w:eastAsia="仿宋_GB2312"/>
                <w:color w:val="000000"/>
                <w:szCs w:val="21"/>
              </w:rPr>
            </w:pPr>
            <w:r>
              <w:rPr>
                <w:rFonts w:ascii="Arial Narrow" w:hAnsi="Arial Narrow" w:eastAsia="仿宋_GB2312"/>
                <w:color w:val="000000"/>
                <w:szCs w:val="21"/>
              </w:rPr>
              <w:t>1,827.00</w:t>
            </w:r>
          </w:p>
        </w:tc>
        <w:tc>
          <w:tcPr>
            <w:tcW w:w="1418" w:type="dxa"/>
            <w:tcBorders>
              <w:top w:val="dotted" w:color="000000" w:sz="4" w:space="0"/>
              <w:left w:val="dotted" w:color="000000" w:sz="4" w:space="0"/>
              <w:bottom w:val="dotted" w:color="000000" w:sz="4" w:space="0"/>
              <w:right w:val="nil"/>
            </w:tcBorders>
            <w:vAlign w:val="center"/>
          </w:tcPr>
          <w:p>
            <w:pPr>
              <w:jc w:val="right"/>
              <w:rPr>
                <w:rFonts w:ascii="Arial Narrow" w:hAnsi="Arial Narrow" w:eastAsia="仿宋_GB2312"/>
                <w:color w:val="00000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3032" w:type="dxa"/>
            <w:tcBorders>
              <w:top w:val="dotted" w:color="000000" w:sz="4" w:space="0"/>
              <w:left w:val="nil"/>
              <w:bottom w:val="dotted" w:color="000000" w:sz="4" w:space="0"/>
              <w:right w:val="dotted" w:color="000000" w:sz="4" w:space="0"/>
            </w:tcBorders>
            <w:vAlign w:val="center"/>
          </w:tcPr>
          <w:p>
            <w:pPr>
              <w:ind w:firstLine="630" w:firstLineChars="300"/>
              <w:jc w:val="left"/>
              <w:textAlignment w:val="center"/>
              <w:rPr>
                <w:rFonts w:ascii="仿宋_GB2312" w:hAnsi="??_GB2312" w:eastAsia="仿宋_GB2312" w:cs="??_GB2312"/>
                <w:color w:val="000000" w:themeColor="text1"/>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日常公用经费</w:t>
            </w:r>
          </w:p>
        </w:tc>
        <w:tc>
          <w:tcPr>
            <w:tcW w:w="1945" w:type="dxa"/>
            <w:tcBorders>
              <w:top w:val="dotted" w:color="000000" w:sz="4" w:space="0"/>
              <w:left w:val="dotted" w:color="000000" w:sz="4" w:space="0"/>
              <w:bottom w:val="dotted" w:color="000000" w:sz="4" w:space="0"/>
              <w:right w:val="dotted" w:color="000000" w:sz="4" w:space="0"/>
            </w:tcBorders>
            <w:vAlign w:val="center"/>
          </w:tcPr>
          <w:p>
            <w:pPr>
              <w:jc w:val="right"/>
              <w:rPr>
                <w:rFonts w:ascii="Arial Narrow" w:hAnsi="Arial Narrow" w:eastAsia="仿宋_GB2312"/>
                <w:color w:val="000000"/>
                <w:szCs w:val="21"/>
              </w:rPr>
            </w:pPr>
            <w:r>
              <w:rPr>
                <w:rFonts w:ascii="Arial Narrow" w:hAnsi="Arial Narrow" w:eastAsia="仿宋_GB2312"/>
                <w:color w:val="000000"/>
                <w:szCs w:val="21"/>
              </w:rPr>
              <w:t>195.00</w:t>
            </w:r>
          </w:p>
        </w:tc>
        <w:tc>
          <w:tcPr>
            <w:tcW w:w="1984" w:type="dxa"/>
            <w:tcBorders>
              <w:top w:val="dotted" w:color="000000" w:sz="4" w:space="0"/>
              <w:left w:val="dotted" w:color="000000" w:sz="4" w:space="0"/>
              <w:bottom w:val="dotted" w:color="000000" w:sz="4" w:space="0"/>
              <w:right w:val="dotted" w:color="000000" w:sz="4" w:space="0"/>
            </w:tcBorders>
            <w:vAlign w:val="center"/>
          </w:tcPr>
          <w:p>
            <w:pPr>
              <w:jc w:val="right"/>
              <w:rPr>
                <w:rFonts w:ascii="Arial Narrow" w:hAnsi="Arial Narrow" w:eastAsia="仿宋_GB2312"/>
                <w:color w:val="000000"/>
                <w:szCs w:val="21"/>
              </w:rPr>
            </w:pPr>
            <w:r>
              <w:rPr>
                <w:rFonts w:ascii="Arial Narrow" w:hAnsi="Arial Narrow" w:eastAsia="仿宋_GB2312"/>
                <w:color w:val="000000"/>
                <w:szCs w:val="21"/>
              </w:rPr>
              <w:t>194.95</w:t>
            </w:r>
          </w:p>
        </w:tc>
        <w:tc>
          <w:tcPr>
            <w:tcW w:w="1418" w:type="dxa"/>
            <w:tcBorders>
              <w:top w:val="dotted" w:color="000000" w:sz="4" w:space="0"/>
              <w:left w:val="dotted" w:color="000000" w:sz="4" w:space="0"/>
              <w:bottom w:val="dotted" w:color="000000" w:sz="4" w:space="0"/>
              <w:right w:val="nil"/>
            </w:tcBorders>
            <w:vAlign w:val="center"/>
          </w:tcPr>
          <w:p>
            <w:pPr>
              <w:jc w:val="right"/>
              <w:rPr>
                <w:rFonts w:ascii="Arial Narrow" w:hAnsi="Arial Narrow" w:eastAsia="仿宋_GB2312"/>
                <w:color w:val="000000"/>
                <w:szCs w:val="21"/>
              </w:rPr>
            </w:pPr>
            <w:r>
              <w:rPr>
                <w:rFonts w:ascii="Arial Narrow" w:hAnsi="Arial Narrow" w:eastAsia="仿宋_GB2312"/>
                <w:color w:val="000000"/>
                <w:szCs w:val="21"/>
              </w:rPr>
              <w:t>0.05</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3032" w:type="dxa"/>
            <w:tcBorders>
              <w:top w:val="dotted" w:color="000000" w:sz="4" w:space="0"/>
              <w:left w:val="nil"/>
              <w:bottom w:val="single" w:color="000000" w:sz="12" w:space="0"/>
              <w:right w:val="dotted" w:color="000000" w:sz="4" w:space="0"/>
            </w:tcBorders>
            <w:vAlign w:val="center"/>
          </w:tcPr>
          <w:p>
            <w:pPr>
              <w:jc w:val="center"/>
              <w:rPr>
                <w:rFonts w:ascii="仿宋_GB2312" w:hAnsi="Arial Narrow" w:eastAsia="仿宋_GB2312"/>
                <w:i/>
                <w:color w:val="000000" w:themeColor="text1"/>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合  计</w:t>
            </w:r>
          </w:p>
        </w:tc>
        <w:tc>
          <w:tcPr>
            <w:tcW w:w="1945" w:type="dxa"/>
            <w:tcBorders>
              <w:top w:val="dotted" w:color="000000" w:sz="4" w:space="0"/>
              <w:left w:val="dotted" w:color="000000" w:sz="4" w:space="0"/>
              <w:bottom w:val="single" w:color="000000" w:sz="12" w:space="0"/>
              <w:right w:val="dotted" w:color="000000" w:sz="4" w:space="0"/>
            </w:tcBorders>
            <w:vAlign w:val="center"/>
          </w:tcPr>
          <w:p>
            <w:pPr>
              <w:jc w:val="right"/>
              <w:rPr>
                <w:rFonts w:ascii="Arial Narrow" w:hAnsi="Arial Narrow" w:eastAsia="仿宋_GB2312"/>
                <w:color w:val="000000"/>
                <w:szCs w:val="21"/>
              </w:rPr>
            </w:pPr>
            <w:r>
              <w:rPr>
                <w:rFonts w:ascii="Arial Narrow" w:hAnsi="Arial Narrow" w:eastAsia="仿宋_GB2312"/>
                <w:color w:val="000000"/>
                <w:szCs w:val="21"/>
              </w:rPr>
              <w:t>2,022.00</w:t>
            </w:r>
          </w:p>
        </w:tc>
        <w:tc>
          <w:tcPr>
            <w:tcW w:w="1984" w:type="dxa"/>
            <w:tcBorders>
              <w:top w:val="dotted" w:color="000000" w:sz="4" w:space="0"/>
              <w:left w:val="dotted" w:color="000000" w:sz="4" w:space="0"/>
              <w:bottom w:val="single" w:color="000000" w:sz="12" w:space="0"/>
              <w:right w:val="dotted" w:color="000000" w:sz="4" w:space="0"/>
            </w:tcBorders>
            <w:vAlign w:val="center"/>
          </w:tcPr>
          <w:p>
            <w:pPr>
              <w:jc w:val="right"/>
              <w:rPr>
                <w:rFonts w:ascii="Arial Narrow" w:hAnsi="Arial Narrow" w:eastAsia="仿宋_GB2312"/>
                <w:color w:val="000000"/>
                <w:szCs w:val="21"/>
              </w:rPr>
            </w:pPr>
            <w:r>
              <w:rPr>
                <w:rFonts w:ascii="Arial Narrow" w:hAnsi="Arial Narrow" w:eastAsia="仿宋_GB2312"/>
                <w:color w:val="000000"/>
                <w:szCs w:val="21"/>
              </w:rPr>
              <w:t>2,021.95</w:t>
            </w:r>
          </w:p>
        </w:tc>
        <w:tc>
          <w:tcPr>
            <w:tcW w:w="1418" w:type="dxa"/>
            <w:tcBorders>
              <w:top w:val="dotted" w:color="000000" w:sz="4" w:space="0"/>
              <w:left w:val="dotted" w:color="000000" w:sz="4" w:space="0"/>
              <w:bottom w:val="single" w:color="000000" w:sz="12" w:space="0"/>
              <w:right w:val="nil"/>
            </w:tcBorders>
            <w:vAlign w:val="center"/>
          </w:tcPr>
          <w:p>
            <w:pPr>
              <w:jc w:val="right"/>
              <w:rPr>
                <w:rFonts w:ascii="Arial Narrow" w:hAnsi="Arial Narrow" w:eastAsia="仿宋_GB2312"/>
                <w:color w:val="000000"/>
                <w:szCs w:val="21"/>
              </w:rPr>
            </w:pPr>
            <w:r>
              <w:rPr>
                <w:rFonts w:ascii="Arial Narrow" w:hAnsi="Arial Narrow" w:eastAsia="仿宋_GB2312"/>
                <w:color w:val="000000"/>
                <w:szCs w:val="21"/>
              </w:rPr>
              <w:t>0.05</w:t>
            </w:r>
          </w:p>
        </w:tc>
      </w:tr>
    </w:tbl>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（2）基本支出预算数（全口径，含上年结余、年初预算、二次分配及追加）</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w:t>
      </w:r>
      <w:r>
        <w:rPr>
          <w:rFonts w:cs="黑体" w:asciiTheme="minorEastAsia" w:hAnsiTheme="minorEastAsia"/>
          <w:color w:val="000000"/>
          <w:kern w:val="0"/>
          <w:sz w:val="32"/>
          <w:szCs w:val="32"/>
        </w:rPr>
        <w:t>21</w:t>
      </w:r>
      <w:r>
        <w:rPr>
          <w:rFonts w:hint="eastAsia" w:cs="黑体" w:asciiTheme="minorEastAsia" w:hAnsiTheme="minorEastAsia"/>
          <w:color w:val="000000"/>
          <w:kern w:val="0"/>
          <w:sz w:val="32"/>
          <w:szCs w:val="32"/>
        </w:rPr>
        <w:t>年基本支出预算数</w:t>
      </w:r>
      <w:r>
        <w:rPr>
          <w:rFonts w:cs="黑体" w:asciiTheme="minorEastAsia" w:hAnsiTheme="minorEastAsia"/>
          <w:color w:val="000000"/>
          <w:kern w:val="0"/>
          <w:sz w:val="32"/>
          <w:szCs w:val="32"/>
        </w:rPr>
        <w:t>2,022.00</w:t>
      </w:r>
      <w:r>
        <w:rPr>
          <w:rFonts w:hint="eastAsia" w:cs="黑体" w:asciiTheme="minorEastAsia" w:hAnsiTheme="minorEastAsia"/>
          <w:color w:val="000000"/>
          <w:kern w:val="0"/>
          <w:sz w:val="32"/>
          <w:szCs w:val="32"/>
        </w:rPr>
        <w:t>万元，其中：20</w:t>
      </w:r>
      <w:r>
        <w:rPr>
          <w:rFonts w:cs="黑体" w:asciiTheme="minorEastAsia" w:hAnsiTheme="minorEastAsia"/>
          <w:color w:val="000000"/>
          <w:kern w:val="0"/>
          <w:sz w:val="32"/>
          <w:szCs w:val="32"/>
        </w:rPr>
        <w:t>21</w:t>
      </w:r>
      <w:r>
        <w:rPr>
          <w:rFonts w:hint="eastAsia" w:cs="黑体" w:asciiTheme="minorEastAsia" w:hAnsiTheme="minorEastAsia"/>
          <w:color w:val="000000"/>
          <w:kern w:val="0"/>
          <w:sz w:val="32"/>
          <w:szCs w:val="32"/>
        </w:rPr>
        <w:t>年年初预算数2,</w:t>
      </w:r>
      <w:r>
        <w:rPr>
          <w:rFonts w:cs="黑体" w:asciiTheme="minorEastAsia" w:hAnsiTheme="minorEastAsia"/>
          <w:color w:val="000000"/>
          <w:kern w:val="0"/>
          <w:sz w:val="32"/>
          <w:szCs w:val="32"/>
        </w:rPr>
        <w:t>022.00</w:t>
      </w:r>
      <w:r>
        <w:rPr>
          <w:rFonts w:hint="eastAsia" w:cs="黑体" w:asciiTheme="minorEastAsia" w:hAnsiTheme="minorEastAsia"/>
          <w:color w:val="000000"/>
          <w:kern w:val="0"/>
          <w:sz w:val="32"/>
          <w:szCs w:val="32"/>
        </w:rPr>
        <w:t>万元(</w:t>
      </w:r>
      <w:r>
        <w:rPr>
          <w:rFonts w:cs="黑体" w:asciiTheme="minorEastAsia" w:hAnsiTheme="minorEastAsia"/>
          <w:color w:val="000000"/>
          <w:kern w:val="0"/>
          <w:sz w:val="32"/>
          <w:szCs w:val="32"/>
        </w:rPr>
        <w:t>含</w:t>
      </w:r>
      <w:r>
        <w:rPr>
          <w:rFonts w:hint="eastAsia" w:cs="黑体" w:asciiTheme="minorEastAsia" w:hAnsiTheme="minorEastAsia"/>
          <w:color w:val="000000"/>
          <w:kern w:val="0"/>
          <w:sz w:val="32"/>
          <w:szCs w:val="32"/>
        </w:rPr>
        <w:t>工资福利支出</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788.00</w:t>
      </w:r>
      <w:r>
        <w:rPr>
          <w:rFonts w:hint="eastAsia" w:cs="黑体" w:asciiTheme="minorEastAsia" w:hAnsiTheme="minorEastAsia"/>
          <w:color w:val="000000"/>
          <w:kern w:val="0"/>
          <w:sz w:val="32"/>
          <w:szCs w:val="32"/>
        </w:rPr>
        <w:t>万元、商品和服务支出</w:t>
      </w:r>
      <w:r>
        <w:rPr>
          <w:rFonts w:cs="黑体" w:asciiTheme="minorEastAsia" w:hAnsiTheme="minorEastAsia"/>
          <w:color w:val="000000"/>
          <w:kern w:val="0"/>
          <w:sz w:val="32"/>
          <w:szCs w:val="32"/>
        </w:rPr>
        <w:t>195.00万元</w:t>
      </w:r>
      <w:r>
        <w:rPr>
          <w:rFonts w:hint="eastAsia" w:cs="黑体" w:asciiTheme="minorEastAsia" w:hAnsiTheme="minorEastAsia"/>
          <w:color w:val="000000"/>
          <w:kern w:val="0"/>
          <w:sz w:val="32"/>
          <w:szCs w:val="32"/>
        </w:rPr>
        <w:t>、对个人和家庭的补助</w:t>
      </w:r>
      <w:r>
        <w:rPr>
          <w:rFonts w:cs="黑体" w:asciiTheme="minorEastAsia" w:hAnsiTheme="minorEastAsia"/>
          <w:color w:val="000000"/>
          <w:kern w:val="0"/>
          <w:sz w:val="32"/>
          <w:szCs w:val="32"/>
        </w:rPr>
        <w:t>39.00万元</w:t>
      </w:r>
      <w:r>
        <w:rPr>
          <w:rFonts w:hint="eastAsia" w:cs="黑体" w:asciiTheme="minorEastAsia" w:hAnsiTheme="minorEastAsia"/>
          <w:color w:val="000000"/>
          <w:kern w:val="0"/>
          <w:sz w:val="32"/>
          <w:szCs w:val="32"/>
        </w:rPr>
        <w:t>)。</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（3）基本支出决算数</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w:t>
      </w:r>
      <w:r>
        <w:rPr>
          <w:rFonts w:cs="黑体" w:asciiTheme="minorEastAsia" w:hAnsiTheme="minorEastAsia"/>
          <w:color w:val="000000"/>
          <w:kern w:val="0"/>
          <w:sz w:val="32"/>
          <w:szCs w:val="32"/>
        </w:rPr>
        <w:t>21</w:t>
      </w:r>
      <w:r>
        <w:rPr>
          <w:rFonts w:hint="eastAsia" w:cs="黑体" w:asciiTheme="minorEastAsia" w:hAnsiTheme="minorEastAsia"/>
          <w:color w:val="000000"/>
          <w:kern w:val="0"/>
          <w:sz w:val="32"/>
          <w:szCs w:val="32"/>
        </w:rPr>
        <w:t>年基本支出决算数</w:t>
      </w:r>
      <w:r>
        <w:rPr>
          <w:rFonts w:cs="黑体" w:asciiTheme="minorEastAsia" w:hAnsiTheme="minorEastAsia"/>
          <w:color w:val="000000"/>
          <w:kern w:val="0"/>
          <w:sz w:val="32"/>
          <w:szCs w:val="32"/>
        </w:rPr>
        <w:t>2,021.95</w:t>
      </w:r>
      <w:r>
        <w:rPr>
          <w:rFonts w:hint="eastAsia" w:cs="黑体" w:asciiTheme="minorEastAsia" w:hAnsiTheme="minorEastAsia"/>
          <w:color w:val="000000"/>
          <w:kern w:val="0"/>
          <w:sz w:val="32"/>
          <w:szCs w:val="32"/>
        </w:rPr>
        <w:t>万元，其中：工资福利支出</w:t>
      </w:r>
      <w:r>
        <w:rPr>
          <w:rFonts w:cs="黑体" w:asciiTheme="minorEastAsia" w:hAnsiTheme="minorEastAsia"/>
          <w:color w:val="000000"/>
          <w:kern w:val="0"/>
          <w:sz w:val="32"/>
          <w:szCs w:val="32"/>
        </w:rPr>
        <w:t>1,788.00</w:t>
      </w:r>
      <w:r>
        <w:rPr>
          <w:rFonts w:hint="eastAsia" w:cs="黑体" w:asciiTheme="minorEastAsia" w:hAnsiTheme="minorEastAsia"/>
          <w:color w:val="000000"/>
          <w:kern w:val="0"/>
          <w:sz w:val="32"/>
          <w:szCs w:val="32"/>
        </w:rPr>
        <w:t>万元，商品和服务支出</w:t>
      </w:r>
      <w:r>
        <w:rPr>
          <w:rFonts w:cs="黑体" w:asciiTheme="minorEastAsia" w:hAnsiTheme="minorEastAsia"/>
          <w:color w:val="000000"/>
          <w:kern w:val="0"/>
          <w:sz w:val="32"/>
          <w:szCs w:val="32"/>
        </w:rPr>
        <w:t>194.95</w:t>
      </w:r>
      <w:r>
        <w:rPr>
          <w:rFonts w:hint="eastAsia" w:cs="黑体" w:asciiTheme="minorEastAsia" w:hAnsiTheme="minorEastAsia"/>
          <w:color w:val="000000"/>
          <w:kern w:val="0"/>
          <w:sz w:val="32"/>
          <w:szCs w:val="32"/>
        </w:rPr>
        <w:t>万元，对个人家庭的补助</w:t>
      </w:r>
      <w:r>
        <w:rPr>
          <w:rFonts w:cs="黑体" w:asciiTheme="minorEastAsia" w:hAnsiTheme="minorEastAsia"/>
          <w:color w:val="000000"/>
          <w:kern w:val="0"/>
          <w:sz w:val="32"/>
          <w:szCs w:val="32"/>
        </w:rPr>
        <w:t>39.00</w:t>
      </w:r>
      <w:r>
        <w:rPr>
          <w:rFonts w:hint="eastAsia" w:cs="黑体" w:asciiTheme="minorEastAsia" w:hAnsiTheme="minorEastAsia"/>
          <w:color w:val="000000"/>
          <w:kern w:val="0"/>
          <w:sz w:val="32"/>
          <w:szCs w:val="32"/>
        </w:rPr>
        <w:t>万元。</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（4）预决算差异原因</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w:t>
      </w:r>
      <w:r>
        <w:rPr>
          <w:rFonts w:cs="黑体" w:asciiTheme="minorEastAsia" w:hAnsiTheme="minorEastAsia"/>
          <w:color w:val="000000"/>
          <w:kern w:val="0"/>
          <w:sz w:val="32"/>
          <w:szCs w:val="32"/>
        </w:rPr>
        <w:t>21</w:t>
      </w:r>
      <w:r>
        <w:rPr>
          <w:rFonts w:hint="eastAsia" w:cs="黑体" w:asciiTheme="minorEastAsia" w:hAnsiTheme="minorEastAsia"/>
          <w:color w:val="000000"/>
          <w:kern w:val="0"/>
          <w:sz w:val="32"/>
          <w:szCs w:val="32"/>
        </w:rPr>
        <w:t>年度预决算差异</w:t>
      </w:r>
      <w:r>
        <w:rPr>
          <w:rFonts w:cs="黑体" w:asciiTheme="minorEastAsia" w:hAnsiTheme="minorEastAsia"/>
          <w:color w:val="000000"/>
          <w:kern w:val="0"/>
          <w:sz w:val="32"/>
          <w:szCs w:val="32"/>
        </w:rPr>
        <w:t>0.05</w:t>
      </w:r>
      <w:r>
        <w:rPr>
          <w:rFonts w:hint="eastAsia" w:cs="黑体" w:asciiTheme="minorEastAsia" w:hAnsiTheme="minorEastAsia"/>
          <w:color w:val="000000"/>
          <w:kern w:val="0"/>
          <w:sz w:val="32"/>
          <w:szCs w:val="32"/>
        </w:rPr>
        <w:t>万元为结余的“公务接待费”，主要原因为贯彻落实中央八项规定相关部门的要求下，厉行节约、压缩公务接待费、严格执行财务制度，将“三公”经费开支控制在合理区间。</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2、会议费、培训费支出使用</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无。</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3、“三公经费”支出使用和管理情况</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）“三公经费”预算、决算执行情况</w:t>
      </w:r>
    </w:p>
    <w:p>
      <w:pPr>
        <w:spacing w:line="360" w:lineRule="auto"/>
        <w:ind w:firstLine="640" w:firstLineChars="200"/>
        <w:outlineLvl w:val="2"/>
        <w:rPr>
          <w:rFonts w:cs="黑体" w:asciiTheme="minorEastAsia" w:hAnsiTheme="minorEastAsia"/>
          <w:color w:val="000000"/>
          <w:kern w:val="0"/>
          <w:sz w:val="32"/>
          <w:szCs w:val="32"/>
        </w:rPr>
      </w:pPr>
      <w:r>
        <w:rPr>
          <w:rFonts w:cs="黑体" w:asciiTheme="minorEastAsia" w:hAnsiTheme="minorEastAsia"/>
          <w:color w:val="000000"/>
          <w:kern w:val="0"/>
          <w:sz w:val="32"/>
          <w:szCs w:val="32"/>
        </w:rPr>
        <w:t>2021年度“三公经费”预算数0.90万元，决算数0.85万元，</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三公经费</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控制率94.44</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。2021年度“三公经费”决算数与年初预算数相比，减少0.05万元，压缩</w:t>
      </w:r>
      <w:r>
        <w:rPr>
          <w:rFonts w:hint="eastAsia" w:cs="黑体" w:asciiTheme="minorEastAsia" w:hAnsiTheme="minorEastAsia"/>
          <w:color w:val="000000"/>
          <w:kern w:val="0"/>
          <w:sz w:val="32"/>
          <w:szCs w:val="32"/>
        </w:rPr>
        <w:t>2</w:t>
      </w:r>
      <w:r>
        <w:rPr>
          <w:rFonts w:cs="黑体" w:asciiTheme="minorEastAsia" w:hAnsiTheme="minorEastAsia"/>
          <w:color w:val="000000"/>
          <w:kern w:val="0"/>
          <w:sz w:val="32"/>
          <w:szCs w:val="32"/>
        </w:rPr>
        <w:t>4</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84</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。其中公务用车运行维护费减少0.0</w:t>
      </w:r>
      <w:r>
        <w:rPr>
          <w:rFonts w:hint="eastAsia" w:cs="黑体" w:asciiTheme="minorEastAsia" w:hAnsiTheme="minorEastAsia"/>
          <w:color w:val="000000"/>
          <w:kern w:val="0"/>
          <w:sz w:val="32"/>
          <w:szCs w:val="32"/>
        </w:rPr>
        <w:t>0</w:t>
      </w:r>
      <w:r>
        <w:rPr>
          <w:rFonts w:cs="黑体" w:asciiTheme="minorEastAsia" w:hAnsiTheme="minorEastAsia"/>
          <w:color w:val="000000"/>
          <w:kern w:val="0"/>
          <w:sz w:val="32"/>
          <w:szCs w:val="32"/>
        </w:rPr>
        <w:t>万元；公务接待费减少</w:t>
      </w:r>
      <w:r>
        <w:rPr>
          <w:rFonts w:hint="eastAsia" w:cs="黑体" w:asciiTheme="minorEastAsia" w:hAnsiTheme="minorEastAsia"/>
          <w:color w:val="000000"/>
          <w:kern w:val="0"/>
          <w:sz w:val="32"/>
          <w:szCs w:val="32"/>
        </w:rPr>
        <w:t>0</w:t>
      </w:r>
      <w:r>
        <w:rPr>
          <w:rFonts w:cs="黑体" w:asciiTheme="minorEastAsia" w:hAnsiTheme="minorEastAsia"/>
          <w:color w:val="000000"/>
          <w:kern w:val="0"/>
          <w:sz w:val="32"/>
          <w:szCs w:val="32"/>
        </w:rPr>
        <w:t>.77万元，压缩77.00%。明细列表如下：</w:t>
      </w:r>
    </w:p>
    <w:tbl>
      <w:tblPr>
        <w:tblStyle w:val="6"/>
        <w:tblW w:w="872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712"/>
        <w:gridCol w:w="1225"/>
        <w:gridCol w:w="1189"/>
        <w:gridCol w:w="1148"/>
        <w:gridCol w:w="1285"/>
        <w:gridCol w:w="1168"/>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blHeader/>
        </w:trPr>
        <w:tc>
          <w:tcPr>
            <w:tcW w:w="2712" w:type="dxa"/>
            <w:shd w:val="clear" w:color="auto" w:fill="auto"/>
            <w:vAlign w:val="center"/>
          </w:tcPr>
          <w:p>
            <w:pPr>
              <w:widowControl/>
              <w:jc w:val="center"/>
              <w:rPr>
                <w:rFonts w:ascii="仿宋_GB2312" w:hAnsi="宋体" w:eastAsia="仿宋_GB2312" w:cs="宋体"/>
                <w:color w:val="000000" w:themeColor="text1"/>
                <w:kern w:val="0"/>
                <w:sz w:val="24"/>
                <w14:textFill>
                  <w14:solidFill>
                    <w14:schemeClr w14:val="tx1"/>
                  </w14:solidFill>
                </w14:textFill>
              </w:rPr>
            </w:pPr>
            <w:r>
              <w:rPr>
                <w:rFonts w:hint="eastAsia" w:ascii="仿宋_GB2312" w:hAnsi="宋体" w:eastAsia="仿宋_GB2312" w:cs="宋体"/>
                <w:color w:val="000000" w:themeColor="text1"/>
                <w:kern w:val="0"/>
                <w:sz w:val="24"/>
                <w14:textFill>
                  <w14:solidFill>
                    <w14:schemeClr w14:val="tx1"/>
                  </w14:solidFill>
                </w14:textFill>
              </w:rPr>
              <w:t>项 目</w:t>
            </w:r>
          </w:p>
        </w:tc>
        <w:tc>
          <w:tcPr>
            <w:tcW w:w="1225" w:type="dxa"/>
            <w:shd w:val="clear" w:color="auto" w:fill="auto"/>
            <w:vAlign w:val="center"/>
          </w:tcPr>
          <w:p>
            <w:pPr>
              <w:widowControl/>
              <w:jc w:val="center"/>
              <w:rPr>
                <w:rFonts w:ascii="仿宋_GB2312" w:hAnsi="宋体" w:eastAsia="仿宋_GB2312" w:cs="宋体"/>
                <w:color w:val="000000" w:themeColor="text1"/>
                <w:kern w:val="0"/>
                <w:sz w:val="24"/>
                <w14:textFill>
                  <w14:solidFill>
                    <w14:schemeClr w14:val="tx1"/>
                  </w14:solidFill>
                </w14:textFill>
              </w:rPr>
            </w:pPr>
            <w:r>
              <w:rPr>
                <w:rFonts w:hint="eastAsia" w:ascii="仿宋_GB2312" w:hAnsi="宋体" w:eastAsia="仿宋_GB2312" w:cs="宋体"/>
                <w:color w:val="000000" w:themeColor="text1"/>
                <w:kern w:val="0"/>
                <w:sz w:val="24"/>
                <w14:textFill>
                  <w14:solidFill>
                    <w14:schemeClr w14:val="tx1"/>
                  </w14:solidFill>
                </w14:textFill>
              </w:rPr>
              <w:t>预算数</w:t>
            </w:r>
          </w:p>
        </w:tc>
        <w:tc>
          <w:tcPr>
            <w:tcW w:w="1189" w:type="dxa"/>
            <w:shd w:val="clear" w:color="auto" w:fill="auto"/>
            <w:vAlign w:val="center"/>
          </w:tcPr>
          <w:p>
            <w:pPr>
              <w:widowControl/>
              <w:jc w:val="center"/>
              <w:rPr>
                <w:rFonts w:ascii="仿宋_GB2312" w:hAnsi="宋体" w:eastAsia="仿宋_GB2312" w:cs="宋体"/>
                <w:color w:val="000000" w:themeColor="text1"/>
                <w:kern w:val="0"/>
                <w:sz w:val="24"/>
                <w14:textFill>
                  <w14:solidFill>
                    <w14:schemeClr w14:val="tx1"/>
                  </w14:solidFill>
                </w14:textFill>
              </w:rPr>
            </w:pPr>
            <w:r>
              <w:rPr>
                <w:rFonts w:hint="eastAsia" w:ascii="仿宋_GB2312" w:hAnsi="宋体" w:eastAsia="仿宋_GB2312" w:cs="宋体"/>
                <w:color w:val="000000" w:themeColor="text1"/>
                <w:kern w:val="0"/>
                <w:sz w:val="24"/>
                <w14:textFill>
                  <w14:solidFill>
                    <w14:schemeClr w14:val="tx1"/>
                  </w14:solidFill>
                </w14:textFill>
              </w:rPr>
              <w:t>决算数</w:t>
            </w:r>
          </w:p>
        </w:tc>
        <w:tc>
          <w:tcPr>
            <w:tcW w:w="1148" w:type="dxa"/>
            <w:shd w:val="clear" w:color="auto" w:fill="auto"/>
            <w:vAlign w:val="center"/>
          </w:tcPr>
          <w:p>
            <w:pPr>
              <w:widowControl/>
              <w:jc w:val="center"/>
              <w:rPr>
                <w:rFonts w:ascii="仿宋_GB2312" w:hAnsi="宋体" w:eastAsia="仿宋_GB2312" w:cs="宋体"/>
                <w:color w:val="000000" w:themeColor="text1"/>
                <w:kern w:val="0"/>
                <w:sz w:val="24"/>
                <w14:textFill>
                  <w14:solidFill>
                    <w14:schemeClr w14:val="tx1"/>
                  </w14:solidFill>
                </w14:textFill>
              </w:rPr>
            </w:pPr>
            <w:r>
              <w:rPr>
                <w:rFonts w:hint="eastAsia" w:ascii="仿宋_GB2312" w:hAnsi="宋体" w:eastAsia="仿宋_GB2312" w:cs="宋体"/>
                <w:color w:val="000000" w:themeColor="text1"/>
                <w:kern w:val="0"/>
                <w:sz w:val="24"/>
                <w14:textFill>
                  <w14:solidFill>
                    <w14:schemeClr w14:val="tx1"/>
                  </w14:solidFill>
                </w14:textFill>
              </w:rPr>
              <w:t>差异</w:t>
            </w:r>
          </w:p>
        </w:tc>
        <w:tc>
          <w:tcPr>
            <w:tcW w:w="1285" w:type="dxa"/>
            <w:shd w:val="clear" w:color="auto" w:fill="auto"/>
            <w:vAlign w:val="center"/>
          </w:tcPr>
          <w:p>
            <w:pPr>
              <w:widowControl/>
              <w:jc w:val="center"/>
              <w:rPr>
                <w:rFonts w:ascii="仿宋_GB2312" w:hAnsi="宋体" w:eastAsia="仿宋_GB2312" w:cs="宋体"/>
                <w:color w:val="000000" w:themeColor="text1"/>
                <w:kern w:val="0"/>
                <w:sz w:val="24"/>
                <w14:textFill>
                  <w14:solidFill>
                    <w14:schemeClr w14:val="tx1"/>
                  </w14:solidFill>
                </w14:textFill>
              </w:rPr>
            </w:pPr>
            <w:r>
              <w:rPr>
                <w:rFonts w:hint="eastAsia" w:ascii="仿宋_GB2312" w:hAnsi="宋体" w:eastAsia="仿宋_GB2312" w:cs="宋体"/>
                <w:color w:val="000000" w:themeColor="text1"/>
                <w:kern w:val="0"/>
                <w:sz w:val="24"/>
                <w14:textFill>
                  <w14:solidFill>
                    <w14:schemeClr w14:val="tx1"/>
                  </w14:solidFill>
                </w14:textFill>
              </w:rPr>
              <w:t>差异率%</w:t>
            </w:r>
          </w:p>
        </w:tc>
        <w:tc>
          <w:tcPr>
            <w:tcW w:w="1168" w:type="dxa"/>
            <w:shd w:val="clear" w:color="auto" w:fill="auto"/>
            <w:vAlign w:val="center"/>
          </w:tcPr>
          <w:p>
            <w:pPr>
              <w:widowControl/>
              <w:jc w:val="center"/>
              <w:rPr>
                <w:rFonts w:ascii="仿宋_GB2312" w:hAnsi="宋体" w:eastAsia="仿宋_GB2312" w:cs="宋体"/>
                <w:color w:val="000000" w:themeColor="text1"/>
                <w:kern w:val="0"/>
                <w:sz w:val="24"/>
                <w14:textFill>
                  <w14:solidFill>
                    <w14:schemeClr w14:val="tx1"/>
                  </w14:solidFill>
                </w14:textFill>
              </w:rPr>
            </w:pPr>
            <w:r>
              <w:rPr>
                <w:rFonts w:hint="eastAsia" w:ascii="仿宋_GB2312" w:hAnsi="宋体" w:eastAsia="仿宋_GB2312" w:cs="宋体"/>
                <w:color w:val="000000" w:themeColor="text1"/>
                <w:kern w:val="0"/>
                <w:sz w:val="24"/>
                <w14:textFill>
                  <w14:solidFill>
                    <w14:schemeClr w14:val="tx1"/>
                  </w14:solidFill>
                </w14:textFill>
              </w:rPr>
              <w:t>控制率%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2712" w:type="dxa"/>
            <w:shd w:val="clear" w:color="auto" w:fill="auto"/>
            <w:vAlign w:val="center"/>
          </w:tcPr>
          <w:p>
            <w:pPr>
              <w:widowControl/>
              <w:jc w:val="left"/>
              <w:rPr>
                <w:rFonts w:ascii="Arial Narrow" w:hAnsi="Arial Narrow" w:eastAsia="仿宋_GB2312" w:cs="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因公出国（境）费</w:t>
            </w:r>
          </w:p>
        </w:tc>
        <w:tc>
          <w:tcPr>
            <w:tcW w:w="1225" w:type="dxa"/>
            <w:shd w:val="clear" w:color="auto" w:fill="auto"/>
            <w:vAlign w:val="center"/>
          </w:tcPr>
          <w:p>
            <w:pPr>
              <w:jc w:val="right"/>
              <w:rPr>
                <w:rFonts w:ascii="Arial Narrow" w:hAnsi="Arial Narrow"/>
                <w:color w:val="000000" w:themeColor="text1"/>
                <w14:textFill>
                  <w14:solidFill>
                    <w14:schemeClr w14:val="tx1"/>
                  </w14:solidFill>
                </w14:textFill>
              </w:rPr>
            </w:pPr>
          </w:p>
        </w:tc>
        <w:tc>
          <w:tcPr>
            <w:tcW w:w="1189" w:type="dxa"/>
            <w:shd w:val="clear" w:color="auto" w:fill="auto"/>
            <w:vAlign w:val="center"/>
          </w:tcPr>
          <w:p>
            <w:pPr>
              <w:jc w:val="right"/>
              <w:rPr>
                <w:rFonts w:ascii="Arial Narrow" w:hAnsi="Arial Narrow"/>
                <w:color w:val="000000" w:themeColor="text1"/>
                <w14:textFill>
                  <w14:solidFill>
                    <w14:schemeClr w14:val="tx1"/>
                  </w14:solidFill>
                </w14:textFill>
              </w:rPr>
            </w:pPr>
          </w:p>
        </w:tc>
        <w:tc>
          <w:tcPr>
            <w:tcW w:w="1148" w:type="dxa"/>
            <w:shd w:val="clear" w:color="auto" w:fill="auto"/>
            <w:vAlign w:val="center"/>
          </w:tcPr>
          <w:p>
            <w:pPr>
              <w:jc w:val="right"/>
              <w:rPr>
                <w:rFonts w:ascii="Arial Narrow" w:hAnsi="Arial Narrow"/>
                <w:color w:val="000000" w:themeColor="text1"/>
                <w14:textFill>
                  <w14:solidFill>
                    <w14:schemeClr w14:val="tx1"/>
                  </w14:solidFill>
                </w14:textFill>
              </w:rPr>
            </w:pPr>
          </w:p>
        </w:tc>
        <w:tc>
          <w:tcPr>
            <w:tcW w:w="1285" w:type="dxa"/>
            <w:shd w:val="clear" w:color="auto" w:fill="auto"/>
            <w:vAlign w:val="center"/>
          </w:tcPr>
          <w:p>
            <w:pPr>
              <w:jc w:val="right"/>
              <w:rPr>
                <w:rFonts w:ascii="Arial Narrow" w:hAnsi="Arial Narrow"/>
                <w:color w:val="000000" w:themeColor="text1"/>
                <w14:textFill>
                  <w14:solidFill>
                    <w14:schemeClr w14:val="tx1"/>
                  </w14:solidFill>
                </w14:textFill>
              </w:rPr>
            </w:pPr>
          </w:p>
        </w:tc>
        <w:tc>
          <w:tcPr>
            <w:tcW w:w="1168" w:type="dxa"/>
            <w:shd w:val="clear" w:color="auto" w:fill="auto"/>
            <w:vAlign w:val="center"/>
          </w:tcPr>
          <w:p>
            <w:pPr>
              <w:jc w:val="right"/>
              <w:rPr>
                <w:rFonts w:ascii="Arial Narrow" w:hAnsi="Arial Narrow"/>
                <w:color w:val="000000" w:themeColor="text1"/>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2712" w:type="dxa"/>
            <w:shd w:val="clear" w:color="auto" w:fill="auto"/>
            <w:vAlign w:val="center"/>
          </w:tcPr>
          <w:p>
            <w:pPr>
              <w:widowControl/>
              <w:jc w:val="left"/>
              <w:rPr>
                <w:rFonts w:ascii="Arial Narrow" w:hAnsi="Arial Narrow" w:eastAsia="仿宋_GB2312" w:cs="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公务用车购置费</w:t>
            </w:r>
          </w:p>
        </w:tc>
        <w:tc>
          <w:tcPr>
            <w:tcW w:w="1225" w:type="dxa"/>
            <w:shd w:val="clear" w:color="auto" w:fill="auto"/>
            <w:vAlign w:val="center"/>
          </w:tcPr>
          <w:p>
            <w:pPr>
              <w:jc w:val="right"/>
              <w:rPr>
                <w:rFonts w:ascii="Arial Narrow" w:hAnsi="Arial Narrow"/>
                <w:color w:val="000000" w:themeColor="text1"/>
                <w14:textFill>
                  <w14:solidFill>
                    <w14:schemeClr w14:val="tx1"/>
                  </w14:solidFill>
                </w14:textFill>
              </w:rPr>
            </w:pPr>
          </w:p>
        </w:tc>
        <w:tc>
          <w:tcPr>
            <w:tcW w:w="1189" w:type="dxa"/>
            <w:shd w:val="clear" w:color="auto" w:fill="auto"/>
            <w:vAlign w:val="center"/>
          </w:tcPr>
          <w:p>
            <w:pPr>
              <w:jc w:val="right"/>
              <w:rPr>
                <w:rFonts w:ascii="Arial Narrow" w:hAnsi="Arial Narrow"/>
                <w:color w:val="000000" w:themeColor="text1"/>
                <w14:textFill>
                  <w14:solidFill>
                    <w14:schemeClr w14:val="tx1"/>
                  </w14:solidFill>
                </w14:textFill>
              </w:rPr>
            </w:pPr>
          </w:p>
        </w:tc>
        <w:tc>
          <w:tcPr>
            <w:tcW w:w="1148" w:type="dxa"/>
            <w:shd w:val="clear" w:color="auto" w:fill="auto"/>
            <w:vAlign w:val="center"/>
          </w:tcPr>
          <w:p>
            <w:pPr>
              <w:jc w:val="right"/>
              <w:rPr>
                <w:rFonts w:ascii="Arial Narrow" w:hAnsi="Arial Narrow"/>
                <w:color w:val="000000" w:themeColor="text1"/>
                <w14:textFill>
                  <w14:solidFill>
                    <w14:schemeClr w14:val="tx1"/>
                  </w14:solidFill>
                </w14:textFill>
              </w:rPr>
            </w:pPr>
          </w:p>
        </w:tc>
        <w:tc>
          <w:tcPr>
            <w:tcW w:w="1285" w:type="dxa"/>
            <w:shd w:val="clear" w:color="auto" w:fill="auto"/>
            <w:vAlign w:val="center"/>
          </w:tcPr>
          <w:p>
            <w:pPr>
              <w:jc w:val="right"/>
              <w:rPr>
                <w:rFonts w:ascii="Arial Narrow" w:hAnsi="Arial Narrow"/>
                <w:color w:val="000000" w:themeColor="text1"/>
                <w14:textFill>
                  <w14:solidFill>
                    <w14:schemeClr w14:val="tx1"/>
                  </w14:solidFill>
                </w14:textFill>
              </w:rPr>
            </w:pPr>
          </w:p>
        </w:tc>
        <w:tc>
          <w:tcPr>
            <w:tcW w:w="1168" w:type="dxa"/>
            <w:shd w:val="clear" w:color="auto" w:fill="auto"/>
            <w:vAlign w:val="center"/>
          </w:tcPr>
          <w:p>
            <w:pPr>
              <w:jc w:val="right"/>
              <w:rPr>
                <w:rFonts w:ascii="Arial Narrow" w:hAnsi="Arial Narrow"/>
                <w:color w:val="000000" w:themeColor="text1"/>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2712" w:type="dxa"/>
            <w:shd w:val="clear" w:color="auto" w:fill="auto"/>
            <w:noWrap/>
            <w:vAlign w:val="center"/>
          </w:tcPr>
          <w:p>
            <w:pPr>
              <w:widowControl/>
              <w:jc w:val="left"/>
              <w:rPr>
                <w:rFonts w:ascii="Arial Narrow" w:hAnsi="Arial Narrow" w:eastAsia="仿宋_GB2312" w:cs="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公务用车运行维护费</w:t>
            </w:r>
          </w:p>
        </w:tc>
        <w:tc>
          <w:tcPr>
            <w:tcW w:w="1225"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0.80</w:t>
            </w:r>
          </w:p>
        </w:tc>
        <w:tc>
          <w:tcPr>
            <w:tcW w:w="1189"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0.80</w:t>
            </w:r>
          </w:p>
        </w:tc>
        <w:tc>
          <w:tcPr>
            <w:tcW w:w="1148"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0.00</w:t>
            </w:r>
          </w:p>
        </w:tc>
        <w:tc>
          <w:tcPr>
            <w:tcW w:w="1285"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0.00%</w:t>
            </w:r>
          </w:p>
        </w:tc>
        <w:tc>
          <w:tcPr>
            <w:tcW w:w="1168"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2712" w:type="dxa"/>
            <w:shd w:val="clear" w:color="auto" w:fill="auto"/>
            <w:noWrap/>
            <w:vAlign w:val="center"/>
          </w:tcPr>
          <w:p>
            <w:pPr>
              <w:widowControl/>
              <w:jc w:val="left"/>
              <w:rPr>
                <w:rFonts w:ascii="Arial Narrow" w:hAnsi="Arial Narrow" w:eastAsia="仿宋_GB2312" w:cs="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公务接待费</w:t>
            </w:r>
          </w:p>
        </w:tc>
        <w:tc>
          <w:tcPr>
            <w:tcW w:w="1225"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0.10</w:t>
            </w:r>
          </w:p>
        </w:tc>
        <w:tc>
          <w:tcPr>
            <w:tcW w:w="1189"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0.05</w:t>
            </w:r>
          </w:p>
        </w:tc>
        <w:tc>
          <w:tcPr>
            <w:tcW w:w="1148" w:type="dxa"/>
            <w:shd w:val="clear" w:color="auto" w:fill="auto"/>
            <w:vAlign w:val="center"/>
          </w:tcPr>
          <w:p>
            <w:pPr>
              <w:jc w:val="right"/>
              <w:rPr>
                <w:rFonts w:ascii="Arial Narrow" w:hAnsi="Arial Narrow"/>
                <w:color w:val="000000" w:themeColor="text1"/>
                <w14:textFill>
                  <w14:solidFill>
                    <w14:schemeClr w14:val="tx1"/>
                  </w14:solidFill>
                </w14:textFill>
              </w:rPr>
            </w:pPr>
            <w:r>
              <w:rPr>
                <w:rFonts w:hint="eastAsia" w:ascii="Arial Narrow" w:hAnsi="Arial Narrow"/>
                <w:color w:val="000000" w:themeColor="text1"/>
                <w14:textFill>
                  <w14:solidFill>
                    <w14:schemeClr w14:val="tx1"/>
                  </w14:solidFill>
                </w14:textFill>
              </w:rPr>
              <w:t>-</w:t>
            </w:r>
            <w:r>
              <w:rPr>
                <w:rFonts w:ascii="Arial Narrow" w:hAnsi="Arial Narrow"/>
                <w:color w:val="000000" w:themeColor="text1"/>
                <w14:textFill>
                  <w14:solidFill>
                    <w14:schemeClr w14:val="tx1"/>
                  </w14:solidFill>
                </w14:textFill>
              </w:rPr>
              <w:t>0.05</w:t>
            </w:r>
          </w:p>
        </w:tc>
        <w:tc>
          <w:tcPr>
            <w:tcW w:w="1285" w:type="dxa"/>
            <w:shd w:val="clear" w:color="auto" w:fill="auto"/>
            <w:vAlign w:val="center"/>
          </w:tcPr>
          <w:p>
            <w:pPr>
              <w:jc w:val="right"/>
              <w:rPr>
                <w:rFonts w:ascii="Arial Narrow" w:hAnsi="Arial Narrow"/>
                <w:color w:val="000000" w:themeColor="text1"/>
                <w14:textFill>
                  <w14:solidFill>
                    <w14:schemeClr w14:val="tx1"/>
                  </w14:solidFill>
                </w14:textFill>
              </w:rPr>
            </w:pPr>
            <w:r>
              <w:rPr>
                <w:rFonts w:hint="eastAsia" w:ascii="Arial Narrow" w:hAnsi="Arial Narrow"/>
                <w:color w:val="000000" w:themeColor="text1"/>
                <w14:textFill>
                  <w14:solidFill>
                    <w14:schemeClr w14:val="tx1"/>
                  </w14:solidFill>
                </w14:textFill>
              </w:rPr>
              <w:t>-</w:t>
            </w:r>
            <w:r>
              <w:rPr>
                <w:rFonts w:ascii="Arial Narrow" w:hAnsi="Arial Narrow"/>
                <w:color w:val="000000" w:themeColor="text1"/>
                <w14:textFill>
                  <w14:solidFill>
                    <w14:schemeClr w14:val="tx1"/>
                  </w14:solidFill>
                </w14:textFill>
              </w:rPr>
              <w:t>50.00%</w:t>
            </w:r>
          </w:p>
        </w:tc>
        <w:tc>
          <w:tcPr>
            <w:tcW w:w="1168"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50.00%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2712" w:type="dxa"/>
            <w:shd w:val="clear" w:color="auto" w:fill="auto"/>
            <w:vAlign w:val="center"/>
          </w:tcPr>
          <w:p>
            <w:pPr>
              <w:widowControl/>
              <w:jc w:val="center"/>
              <w:rPr>
                <w:rFonts w:ascii="仿宋_GB2312" w:hAnsi="宋体" w:eastAsia="仿宋_GB2312" w:cs="宋体"/>
                <w:color w:val="000000" w:themeColor="text1"/>
                <w:kern w:val="0"/>
                <w:sz w:val="24"/>
                <w14:textFill>
                  <w14:solidFill>
                    <w14:schemeClr w14:val="tx1"/>
                  </w14:solidFill>
                </w14:textFill>
              </w:rPr>
            </w:pPr>
            <w:r>
              <w:rPr>
                <w:rFonts w:hint="eastAsia" w:ascii="仿宋_GB2312" w:hAnsi="宋体" w:eastAsia="仿宋_GB2312" w:cs="宋体"/>
                <w:color w:val="000000" w:themeColor="text1"/>
                <w:kern w:val="0"/>
                <w:sz w:val="24"/>
                <w14:textFill>
                  <w14:solidFill>
                    <w14:schemeClr w14:val="tx1"/>
                  </w14:solidFill>
                </w14:textFill>
              </w:rPr>
              <w:t>合  计</w:t>
            </w:r>
          </w:p>
        </w:tc>
        <w:tc>
          <w:tcPr>
            <w:tcW w:w="1225"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0.90</w:t>
            </w:r>
          </w:p>
        </w:tc>
        <w:tc>
          <w:tcPr>
            <w:tcW w:w="1189"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0.85</w:t>
            </w:r>
          </w:p>
        </w:tc>
        <w:tc>
          <w:tcPr>
            <w:tcW w:w="1148" w:type="dxa"/>
            <w:shd w:val="clear" w:color="auto" w:fill="auto"/>
            <w:vAlign w:val="center"/>
          </w:tcPr>
          <w:p>
            <w:pPr>
              <w:jc w:val="right"/>
              <w:rPr>
                <w:rFonts w:ascii="Arial Narrow" w:hAnsi="Arial Narrow"/>
                <w:color w:val="000000" w:themeColor="text1"/>
                <w14:textFill>
                  <w14:solidFill>
                    <w14:schemeClr w14:val="tx1"/>
                  </w14:solidFill>
                </w14:textFill>
              </w:rPr>
            </w:pPr>
            <w:r>
              <w:rPr>
                <w:rFonts w:hint="eastAsia" w:ascii="Arial Narrow" w:hAnsi="Arial Narrow"/>
                <w:color w:val="000000" w:themeColor="text1"/>
                <w14:textFill>
                  <w14:solidFill>
                    <w14:schemeClr w14:val="tx1"/>
                  </w14:solidFill>
                </w14:textFill>
              </w:rPr>
              <w:t>-</w:t>
            </w:r>
            <w:r>
              <w:rPr>
                <w:rFonts w:ascii="Arial Narrow" w:hAnsi="Arial Narrow"/>
                <w:color w:val="000000" w:themeColor="text1"/>
                <w14:textFill>
                  <w14:solidFill>
                    <w14:schemeClr w14:val="tx1"/>
                  </w14:solidFill>
                </w14:textFill>
              </w:rPr>
              <w:t>0.05</w:t>
            </w:r>
          </w:p>
        </w:tc>
        <w:tc>
          <w:tcPr>
            <w:tcW w:w="1285" w:type="dxa"/>
            <w:shd w:val="clear" w:color="auto" w:fill="auto"/>
            <w:vAlign w:val="center"/>
          </w:tcPr>
          <w:p>
            <w:pPr>
              <w:jc w:val="right"/>
              <w:rPr>
                <w:rFonts w:ascii="Arial Narrow" w:hAnsi="Arial Narrow"/>
                <w:color w:val="000000" w:themeColor="text1"/>
                <w14:textFill>
                  <w14:solidFill>
                    <w14:schemeClr w14:val="tx1"/>
                  </w14:solidFill>
                </w14:textFill>
              </w:rPr>
            </w:pPr>
            <w:r>
              <w:rPr>
                <w:rFonts w:hint="eastAsia" w:ascii="Arial Narrow" w:hAnsi="Arial Narrow"/>
                <w:color w:val="000000" w:themeColor="text1"/>
                <w14:textFill>
                  <w14:solidFill>
                    <w14:schemeClr w14:val="tx1"/>
                  </w14:solidFill>
                </w14:textFill>
              </w:rPr>
              <w:t>-</w:t>
            </w:r>
            <w:r>
              <w:rPr>
                <w:rFonts w:ascii="Arial Narrow" w:hAnsi="Arial Narrow"/>
                <w:color w:val="000000" w:themeColor="text1"/>
                <w14:textFill>
                  <w14:solidFill>
                    <w14:schemeClr w14:val="tx1"/>
                  </w14:solidFill>
                </w14:textFill>
              </w:rPr>
              <w:t>5.56%</w:t>
            </w:r>
          </w:p>
        </w:tc>
        <w:tc>
          <w:tcPr>
            <w:tcW w:w="1168" w:type="dxa"/>
            <w:shd w:val="clear" w:color="auto" w:fill="auto"/>
            <w:vAlign w:val="center"/>
          </w:tcPr>
          <w:p>
            <w:pPr>
              <w:jc w:val="right"/>
              <w:rPr>
                <w:rFonts w:ascii="Arial Narrow" w:hAnsi="Arial Narrow"/>
                <w:color w:val="000000" w:themeColor="text1"/>
                <w14:textFill>
                  <w14:solidFill>
                    <w14:schemeClr w14:val="tx1"/>
                  </w14:solidFill>
                </w14:textFill>
              </w:rPr>
            </w:pPr>
            <w:r>
              <w:rPr>
                <w:rFonts w:ascii="Arial Narrow" w:hAnsi="Arial Narrow"/>
                <w:color w:val="000000" w:themeColor="text1"/>
                <w14:textFill>
                  <w14:solidFill>
                    <w14:schemeClr w14:val="tx1"/>
                  </w14:solidFill>
                </w14:textFill>
              </w:rPr>
              <w:t>94.44%</w:t>
            </w:r>
          </w:p>
        </w:tc>
      </w:tr>
    </w:tbl>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（2）与上年比较，三公经费控制情况</w:t>
      </w:r>
    </w:p>
    <w:p>
      <w:pPr>
        <w:adjustRightInd w:val="0"/>
        <w:snapToGrid w:val="0"/>
        <w:spacing w:line="360" w:lineRule="auto"/>
        <w:ind w:firstLine="640" w:firstLineChars="200"/>
        <w:contextualSpacing/>
        <w:rPr>
          <w:rFonts w:cs="黑体" w:asciiTheme="minorEastAsia" w:hAnsiTheme="minorEastAsia"/>
          <w:color w:val="000000"/>
          <w:kern w:val="0"/>
          <w:sz w:val="32"/>
          <w:szCs w:val="32"/>
        </w:rPr>
      </w:pP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年度“三公经费”决算数</w:t>
      </w:r>
      <w:r>
        <w:rPr>
          <w:rFonts w:cs="黑体" w:asciiTheme="minorEastAsia" w:hAnsiTheme="minorEastAsia"/>
          <w:color w:val="000000"/>
          <w:kern w:val="0"/>
          <w:sz w:val="32"/>
          <w:szCs w:val="32"/>
        </w:rPr>
        <w:t>0.85</w:t>
      </w:r>
      <w:r>
        <w:rPr>
          <w:rFonts w:hint="eastAsia" w:cs="黑体" w:asciiTheme="minorEastAsia" w:hAnsiTheme="minorEastAsia"/>
          <w:color w:val="000000"/>
          <w:kern w:val="0"/>
          <w:sz w:val="32"/>
          <w:szCs w:val="32"/>
        </w:rPr>
        <w:t>万元，</w:t>
      </w:r>
      <w:r>
        <w:rPr>
          <w:rFonts w:cs="黑体" w:asciiTheme="minorEastAsia" w:hAnsiTheme="minorEastAsia"/>
          <w:color w:val="000000"/>
          <w:kern w:val="0"/>
          <w:sz w:val="32"/>
          <w:szCs w:val="32"/>
        </w:rPr>
        <w:t>2020</w:t>
      </w:r>
      <w:r>
        <w:rPr>
          <w:rFonts w:hint="eastAsia" w:cs="黑体" w:asciiTheme="minorEastAsia" w:hAnsiTheme="minorEastAsia"/>
          <w:color w:val="000000"/>
          <w:kern w:val="0"/>
          <w:sz w:val="32"/>
          <w:szCs w:val="32"/>
        </w:rPr>
        <w:t>年度“三公经费”决算数</w:t>
      </w:r>
      <w:r>
        <w:rPr>
          <w:rFonts w:cs="黑体" w:asciiTheme="minorEastAsia" w:hAnsiTheme="minorEastAsia"/>
          <w:color w:val="000000"/>
          <w:kern w:val="0"/>
          <w:sz w:val="32"/>
          <w:szCs w:val="32"/>
        </w:rPr>
        <w:t>2.33</w:t>
      </w:r>
      <w:r>
        <w:rPr>
          <w:rFonts w:hint="eastAsia" w:cs="黑体" w:asciiTheme="minorEastAsia" w:hAnsiTheme="minorEastAsia"/>
          <w:color w:val="000000"/>
          <w:kern w:val="0"/>
          <w:sz w:val="32"/>
          <w:szCs w:val="32"/>
        </w:rPr>
        <w:t>万元，与20</w:t>
      </w:r>
      <w:r>
        <w:rPr>
          <w:rFonts w:cs="黑体" w:asciiTheme="minorEastAsia" w:hAnsiTheme="minorEastAsia"/>
          <w:color w:val="000000"/>
          <w:kern w:val="0"/>
          <w:sz w:val="32"/>
          <w:szCs w:val="32"/>
        </w:rPr>
        <w:t>20</w:t>
      </w:r>
      <w:r>
        <w:rPr>
          <w:rFonts w:hint="eastAsia" w:cs="黑体" w:asciiTheme="minorEastAsia" w:hAnsiTheme="minorEastAsia"/>
          <w:color w:val="000000"/>
          <w:kern w:val="0"/>
          <w:sz w:val="32"/>
          <w:szCs w:val="32"/>
        </w:rPr>
        <w:t>年相比，“三公经费”总计压缩</w:t>
      </w:r>
      <w:r>
        <w:rPr>
          <w:rFonts w:cs="黑体" w:asciiTheme="minorEastAsia" w:hAnsiTheme="minorEastAsia"/>
          <w:color w:val="000000"/>
          <w:kern w:val="0"/>
          <w:sz w:val="32"/>
          <w:szCs w:val="32"/>
        </w:rPr>
        <w:t>1.48</w:t>
      </w:r>
      <w:r>
        <w:rPr>
          <w:rFonts w:hint="eastAsia" w:cs="黑体" w:asciiTheme="minorEastAsia" w:hAnsiTheme="minorEastAsia"/>
          <w:color w:val="000000"/>
          <w:kern w:val="0"/>
          <w:sz w:val="32"/>
          <w:szCs w:val="32"/>
        </w:rPr>
        <w:t>万元，压缩</w:t>
      </w:r>
      <w:r>
        <w:rPr>
          <w:rFonts w:cs="黑体" w:asciiTheme="minorEastAsia" w:hAnsiTheme="minorEastAsia"/>
          <w:color w:val="000000"/>
          <w:kern w:val="0"/>
          <w:sz w:val="32"/>
          <w:szCs w:val="32"/>
        </w:rPr>
        <w:t>63.52%</w:t>
      </w:r>
      <w:r>
        <w:rPr>
          <w:rFonts w:hint="eastAsia" w:cs="黑体" w:asciiTheme="minorEastAsia" w:hAnsiTheme="minorEastAsia"/>
          <w:color w:val="000000"/>
          <w:kern w:val="0"/>
          <w:sz w:val="32"/>
          <w:szCs w:val="32"/>
        </w:rPr>
        <w:t>。其中公务用车运行维护费减少</w:t>
      </w:r>
      <w:r>
        <w:rPr>
          <w:rFonts w:cs="黑体" w:asciiTheme="minorEastAsia" w:hAnsiTheme="minorEastAsia"/>
          <w:color w:val="000000"/>
          <w:kern w:val="0"/>
          <w:sz w:val="32"/>
          <w:szCs w:val="32"/>
        </w:rPr>
        <w:t>1.30</w:t>
      </w:r>
      <w:r>
        <w:rPr>
          <w:rFonts w:hint="eastAsia" w:cs="黑体" w:asciiTheme="minorEastAsia" w:hAnsiTheme="minorEastAsia"/>
          <w:color w:val="000000"/>
          <w:kern w:val="0"/>
          <w:sz w:val="32"/>
          <w:szCs w:val="32"/>
        </w:rPr>
        <w:t>万元，降低</w:t>
      </w:r>
      <w:r>
        <w:rPr>
          <w:rFonts w:cs="黑体" w:asciiTheme="minorEastAsia" w:hAnsiTheme="minorEastAsia"/>
          <w:color w:val="000000"/>
          <w:kern w:val="0"/>
          <w:sz w:val="32"/>
          <w:szCs w:val="32"/>
        </w:rPr>
        <w:t>61.90%</w:t>
      </w:r>
      <w:r>
        <w:rPr>
          <w:rFonts w:hint="eastAsia" w:cs="黑体" w:asciiTheme="minorEastAsia" w:hAnsiTheme="minorEastAsia"/>
          <w:color w:val="000000"/>
          <w:kern w:val="0"/>
          <w:sz w:val="32"/>
          <w:szCs w:val="32"/>
        </w:rPr>
        <w:t>；公务接待费减少</w:t>
      </w:r>
      <w:r>
        <w:rPr>
          <w:rFonts w:cs="黑体" w:asciiTheme="minorEastAsia" w:hAnsiTheme="minorEastAsia"/>
          <w:color w:val="000000"/>
          <w:kern w:val="0"/>
          <w:sz w:val="32"/>
          <w:szCs w:val="32"/>
        </w:rPr>
        <w:t>0.18</w:t>
      </w:r>
      <w:r>
        <w:rPr>
          <w:rFonts w:hint="eastAsia" w:cs="黑体" w:asciiTheme="minorEastAsia" w:hAnsiTheme="minorEastAsia"/>
          <w:color w:val="000000"/>
          <w:kern w:val="0"/>
          <w:sz w:val="32"/>
          <w:szCs w:val="32"/>
        </w:rPr>
        <w:t>万元，降低</w:t>
      </w:r>
      <w:r>
        <w:rPr>
          <w:rFonts w:cs="黑体" w:asciiTheme="minorEastAsia" w:hAnsiTheme="minorEastAsia"/>
          <w:color w:val="000000"/>
          <w:kern w:val="0"/>
          <w:sz w:val="32"/>
          <w:szCs w:val="32"/>
        </w:rPr>
        <w:t>78.26%</w:t>
      </w:r>
      <w:r>
        <w:rPr>
          <w:rFonts w:hint="eastAsia" w:cs="黑体" w:asciiTheme="minorEastAsia" w:hAnsiTheme="minorEastAsia"/>
          <w:color w:val="000000"/>
          <w:kern w:val="0"/>
          <w:sz w:val="32"/>
          <w:szCs w:val="32"/>
        </w:rPr>
        <w:t>。“三公经费”费用比20</w:t>
      </w:r>
      <w:r>
        <w:rPr>
          <w:rFonts w:cs="黑体" w:asciiTheme="minorEastAsia" w:hAnsiTheme="minorEastAsia"/>
          <w:color w:val="000000"/>
          <w:kern w:val="0"/>
          <w:sz w:val="32"/>
          <w:szCs w:val="32"/>
        </w:rPr>
        <w:t>20</w:t>
      </w:r>
      <w:r>
        <w:rPr>
          <w:rFonts w:hint="eastAsia" w:cs="黑体" w:asciiTheme="minorEastAsia" w:hAnsiTheme="minorEastAsia"/>
          <w:color w:val="000000"/>
          <w:kern w:val="0"/>
          <w:sz w:val="32"/>
          <w:szCs w:val="32"/>
        </w:rPr>
        <w:t>年有所降低主要是湖南省体操运动管理中心严格按照中央八项规定等要求严控经费使得该项费用较20</w:t>
      </w:r>
      <w:r>
        <w:rPr>
          <w:rFonts w:cs="黑体" w:asciiTheme="minorEastAsia" w:hAnsiTheme="minorEastAsia"/>
          <w:color w:val="000000"/>
          <w:kern w:val="0"/>
          <w:sz w:val="32"/>
          <w:szCs w:val="32"/>
        </w:rPr>
        <w:t>20</w:t>
      </w:r>
      <w:r>
        <w:rPr>
          <w:rFonts w:hint="eastAsia" w:cs="黑体" w:asciiTheme="minorEastAsia" w:hAnsiTheme="minorEastAsia"/>
          <w:color w:val="000000"/>
          <w:kern w:val="0"/>
          <w:sz w:val="32"/>
          <w:szCs w:val="32"/>
        </w:rPr>
        <w:t>年有所下降。明细列表如下：</w:t>
      </w:r>
    </w:p>
    <w:tbl>
      <w:tblPr>
        <w:tblStyle w:val="6"/>
        <w:tblW w:w="8522" w:type="dxa"/>
        <w:tblInd w:w="0" w:type="dxa"/>
        <w:tblBorders>
          <w:top w:val="single" w:color="auto" w:sz="12" w:space="0"/>
          <w:left w:val="none" w:color="auto" w:sz="0" w:space="0"/>
          <w:bottom w:val="single" w:color="auto" w:sz="12" w:space="0"/>
          <w:right w:val="none" w:color="auto" w:sz="0" w:space="0"/>
          <w:insideH w:val="dotted" w:color="auto" w:sz="2" w:space="0"/>
          <w:insideV w:val="dotted" w:color="auto" w:sz="2" w:space="0"/>
        </w:tblBorders>
        <w:tblLayout w:type="fixed"/>
        <w:tblCellMar>
          <w:top w:w="0" w:type="dxa"/>
          <w:left w:w="108" w:type="dxa"/>
          <w:bottom w:w="0" w:type="dxa"/>
          <w:right w:w="108" w:type="dxa"/>
        </w:tblCellMar>
      </w:tblPr>
      <w:tblGrid>
        <w:gridCol w:w="2662"/>
        <w:gridCol w:w="1529"/>
        <w:gridCol w:w="1529"/>
        <w:gridCol w:w="1579"/>
        <w:gridCol w:w="1223"/>
      </w:tblGrid>
      <w:tr>
        <w:tblPrEx>
          <w:tblBorders>
            <w:top w:val="single" w:color="auto" w:sz="12" w:space="0"/>
            <w:left w:val="none" w:color="auto" w:sz="0" w:space="0"/>
            <w:bottom w:val="single" w:color="auto" w:sz="12" w:space="0"/>
            <w:right w:val="none" w:color="auto" w:sz="0" w:space="0"/>
            <w:insideH w:val="dotted" w:color="auto" w:sz="2" w:space="0"/>
            <w:insideV w:val="dotted" w:color="auto" w:sz="2" w:space="0"/>
          </w:tblBorders>
          <w:tblLayout w:type="fixed"/>
          <w:tblCellMar>
            <w:top w:w="0" w:type="dxa"/>
            <w:left w:w="108" w:type="dxa"/>
            <w:bottom w:w="0" w:type="dxa"/>
            <w:right w:w="108" w:type="dxa"/>
          </w:tblCellMar>
        </w:tblPrEx>
        <w:trPr>
          <w:trHeight w:val="397" w:hRule="atLeast"/>
          <w:tblHeader/>
        </w:trPr>
        <w:tc>
          <w:tcPr>
            <w:tcW w:w="2662" w:type="dxa"/>
            <w:tcBorders>
              <w:top w:val="single" w:color="auto" w:sz="12" w:space="0"/>
            </w:tcBorders>
            <w:noWrap/>
            <w:vAlign w:val="center"/>
          </w:tcPr>
          <w:p>
            <w:pPr>
              <w:widowControl/>
              <w:jc w:val="center"/>
              <w:rPr>
                <w:rFonts w:ascii="Arial Narrow" w:hAnsi="Arial Narrow" w:eastAsia="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项目</w:t>
            </w:r>
          </w:p>
        </w:tc>
        <w:tc>
          <w:tcPr>
            <w:tcW w:w="1529" w:type="dxa"/>
            <w:tcBorders>
              <w:top w:val="single" w:color="auto" w:sz="12" w:space="0"/>
            </w:tcBorders>
            <w:noWrap/>
            <w:vAlign w:val="center"/>
          </w:tcPr>
          <w:p>
            <w:pPr>
              <w:widowControl/>
              <w:jc w:val="center"/>
              <w:rPr>
                <w:rFonts w:ascii="Arial Narrow" w:hAnsi="Arial Narrow" w:eastAsia="仿宋_GB2312" w:cs="Arial Narrow"/>
                <w:color w:val="000000" w:themeColor="text1"/>
                <w14:textFill>
                  <w14:solidFill>
                    <w14:schemeClr w14:val="tx1"/>
                  </w14:solidFill>
                </w14:textFill>
              </w:rPr>
            </w:pPr>
            <w:r>
              <w:rPr>
                <w:rFonts w:ascii="Arial Narrow" w:hAnsi="Arial Narrow" w:eastAsia="仿宋_GB2312" w:cs="Arial Narrow"/>
                <w:color w:val="000000" w:themeColor="text1"/>
                <w14:textFill>
                  <w14:solidFill>
                    <w14:schemeClr w14:val="tx1"/>
                  </w14:solidFill>
                </w14:textFill>
              </w:rPr>
              <w:t>2021</w:t>
            </w:r>
            <w:r>
              <w:rPr>
                <w:rFonts w:hint="eastAsia" w:ascii="Arial Narrow" w:hAnsi="Arial Narrow" w:eastAsia="仿宋_GB2312" w:cs="仿宋_GB2312"/>
                <w:color w:val="000000" w:themeColor="text1"/>
                <w14:textFill>
                  <w14:solidFill>
                    <w14:schemeClr w14:val="tx1"/>
                  </w14:solidFill>
                </w14:textFill>
              </w:rPr>
              <w:t>年决算数</w:t>
            </w:r>
          </w:p>
        </w:tc>
        <w:tc>
          <w:tcPr>
            <w:tcW w:w="1529" w:type="dxa"/>
            <w:tcBorders>
              <w:top w:val="single" w:color="auto" w:sz="12" w:space="0"/>
            </w:tcBorders>
            <w:noWrap/>
            <w:vAlign w:val="center"/>
          </w:tcPr>
          <w:p>
            <w:pPr>
              <w:widowControl/>
              <w:jc w:val="center"/>
              <w:rPr>
                <w:rFonts w:ascii="Arial Narrow" w:hAnsi="Arial Narrow" w:eastAsia="仿宋_GB2312"/>
                <w:color w:val="000000" w:themeColor="text1"/>
                <w14:textFill>
                  <w14:solidFill>
                    <w14:schemeClr w14:val="tx1"/>
                  </w14:solidFill>
                </w14:textFill>
              </w:rPr>
            </w:pPr>
            <w:r>
              <w:rPr>
                <w:rFonts w:ascii="Arial Narrow" w:hAnsi="Arial Narrow" w:eastAsia="仿宋_GB2312" w:cs="Arial Narrow"/>
                <w:color w:val="000000" w:themeColor="text1"/>
                <w14:textFill>
                  <w14:solidFill>
                    <w14:schemeClr w14:val="tx1"/>
                  </w14:solidFill>
                </w14:textFill>
              </w:rPr>
              <w:t>2020</w:t>
            </w:r>
            <w:r>
              <w:rPr>
                <w:rFonts w:hint="eastAsia" w:ascii="Arial Narrow" w:hAnsi="Arial Narrow" w:eastAsia="仿宋_GB2312" w:cs="仿宋_GB2312"/>
                <w:color w:val="000000" w:themeColor="text1"/>
                <w14:textFill>
                  <w14:solidFill>
                    <w14:schemeClr w14:val="tx1"/>
                  </w14:solidFill>
                </w14:textFill>
              </w:rPr>
              <w:t>年决算数</w:t>
            </w:r>
          </w:p>
        </w:tc>
        <w:tc>
          <w:tcPr>
            <w:tcW w:w="1579" w:type="dxa"/>
            <w:tcBorders>
              <w:top w:val="single" w:color="auto" w:sz="12" w:space="0"/>
            </w:tcBorders>
            <w:noWrap/>
            <w:vAlign w:val="center"/>
          </w:tcPr>
          <w:p>
            <w:pPr>
              <w:widowControl/>
              <w:jc w:val="center"/>
              <w:rPr>
                <w:rFonts w:ascii="Arial Narrow" w:hAnsi="Arial Narrow" w:eastAsia="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差异</w:t>
            </w:r>
          </w:p>
        </w:tc>
        <w:tc>
          <w:tcPr>
            <w:tcW w:w="1223" w:type="dxa"/>
            <w:tcBorders>
              <w:top w:val="single" w:color="auto" w:sz="12" w:space="0"/>
            </w:tcBorders>
            <w:vAlign w:val="center"/>
          </w:tcPr>
          <w:p>
            <w:pPr>
              <w:widowControl/>
              <w:jc w:val="center"/>
              <w:rPr>
                <w:rFonts w:ascii="Arial Narrow" w:hAnsi="Arial Narrow" w:eastAsia="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差异率</w:t>
            </w:r>
          </w:p>
        </w:tc>
      </w:tr>
      <w:tr>
        <w:tblPrEx>
          <w:tblBorders>
            <w:top w:val="single" w:color="auto" w:sz="12" w:space="0"/>
            <w:left w:val="none" w:color="auto" w:sz="0" w:space="0"/>
            <w:bottom w:val="single" w:color="auto" w:sz="12" w:space="0"/>
            <w:right w:val="none" w:color="auto" w:sz="0" w:space="0"/>
            <w:insideH w:val="dotted" w:color="auto" w:sz="2" w:space="0"/>
            <w:insideV w:val="dotted" w:color="auto" w:sz="2" w:space="0"/>
          </w:tblBorders>
          <w:tblLayout w:type="fixed"/>
          <w:tblCellMar>
            <w:top w:w="0" w:type="dxa"/>
            <w:left w:w="108" w:type="dxa"/>
            <w:bottom w:w="0" w:type="dxa"/>
            <w:right w:w="108" w:type="dxa"/>
          </w:tblCellMar>
        </w:tblPrEx>
        <w:trPr>
          <w:trHeight w:val="397" w:hRule="atLeast"/>
        </w:trPr>
        <w:tc>
          <w:tcPr>
            <w:tcW w:w="2662" w:type="dxa"/>
            <w:noWrap/>
            <w:vAlign w:val="center"/>
          </w:tcPr>
          <w:p>
            <w:pPr>
              <w:widowControl/>
              <w:jc w:val="left"/>
              <w:rPr>
                <w:rFonts w:ascii="Arial Narrow" w:hAnsi="Arial Narrow" w:eastAsia="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因公出国支出</w:t>
            </w:r>
          </w:p>
        </w:tc>
        <w:tc>
          <w:tcPr>
            <w:tcW w:w="1529" w:type="dxa"/>
            <w:noWrap/>
            <w:vAlign w:val="center"/>
          </w:tcPr>
          <w:p>
            <w:pPr>
              <w:jc w:val="right"/>
              <w:rPr>
                <w:rFonts w:ascii="Arial Narrow" w:hAnsi="Arial Narrow"/>
                <w:color w:val="000000" w:themeColor="text1"/>
                <w14:textFill>
                  <w14:solidFill>
                    <w14:schemeClr w14:val="tx1"/>
                  </w14:solidFill>
                </w14:textFill>
              </w:rPr>
            </w:pPr>
          </w:p>
        </w:tc>
        <w:tc>
          <w:tcPr>
            <w:tcW w:w="1529" w:type="dxa"/>
            <w:noWrap/>
            <w:vAlign w:val="center"/>
          </w:tcPr>
          <w:p>
            <w:pPr>
              <w:jc w:val="right"/>
              <w:rPr>
                <w:rFonts w:ascii="Arial Narrow" w:hAnsi="Arial Narrow"/>
                <w:color w:val="000000" w:themeColor="text1"/>
                <w14:textFill>
                  <w14:solidFill>
                    <w14:schemeClr w14:val="tx1"/>
                  </w14:solidFill>
                </w14:textFill>
              </w:rPr>
            </w:pPr>
          </w:p>
        </w:tc>
        <w:tc>
          <w:tcPr>
            <w:tcW w:w="1579" w:type="dxa"/>
            <w:noWrap/>
            <w:vAlign w:val="center"/>
          </w:tcPr>
          <w:p>
            <w:pPr>
              <w:jc w:val="right"/>
              <w:rPr>
                <w:rFonts w:ascii="Arial Narrow" w:hAnsi="Arial Narrow"/>
                <w:color w:val="000000" w:themeColor="text1"/>
                <w14:textFill>
                  <w14:solidFill>
                    <w14:schemeClr w14:val="tx1"/>
                  </w14:solidFill>
                </w14:textFill>
              </w:rPr>
            </w:pPr>
          </w:p>
        </w:tc>
        <w:tc>
          <w:tcPr>
            <w:tcW w:w="1223" w:type="dxa"/>
            <w:vAlign w:val="center"/>
          </w:tcPr>
          <w:p>
            <w:pPr>
              <w:jc w:val="right"/>
              <w:rPr>
                <w:rFonts w:ascii="Arial Narrow" w:hAnsi="Arial Narrow"/>
                <w:color w:val="000000" w:themeColor="text1"/>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dotted" w:color="auto" w:sz="2" w:space="0"/>
            <w:insideV w:val="dotted" w:color="auto" w:sz="2" w:space="0"/>
          </w:tblBorders>
          <w:tblLayout w:type="fixed"/>
          <w:tblCellMar>
            <w:top w:w="0" w:type="dxa"/>
            <w:left w:w="108" w:type="dxa"/>
            <w:bottom w:w="0" w:type="dxa"/>
            <w:right w:w="108" w:type="dxa"/>
          </w:tblCellMar>
        </w:tblPrEx>
        <w:trPr>
          <w:trHeight w:val="397" w:hRule="atLeast"/>
        </w:trPr>
        <w:tc>
          <w:tcPr>
            <w:tcW w:w="2662" w:type="dxa"/>
            <w:noWrap/>
            <w:vAlign w:val="center"/>
          </w:tcPr>
          <w:p>
            <w:pPr>
              <w:widowControl/>
              <w:jc w:val="left"/>
              <w:rPr>
                <w:rFonts w:ascii="Arial Narrow" w:hAnsi="Arial Narrow" w:eastAsia="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公务用车购置支出</w:t>
            </w:r>
          </w:p>
        </w:tc>
        <w:tc>
          <w:tcPr>
            <w:tcW w:w="1529" w:type="dxa"/>
            <w:noWrap/>
            <w:vAlign w:val="center"/>
          </w:tcPr>
          <w:p>
            <w:pPr>
              <w:jc w:val="right"/>
              <w:rPr>
                <w:rFonts w:ascii="Arial Narrow" w:hAnsi="Arial Narrow"/>
                <w:color w:val="000000" w:themeColor="text1"/>
                <w14:textFill>
                  <w14:solidFill>
                    <w14:schemeClr w14:val="tx1"/>
                  </w14:solidFill>
                </w14:textFill>
              </w:rPr>
            </w:pPr>
          </w:p>
        </w:tc>
        <w:tc>
          <w:tcPr>
            <w:tcW w:w="1529" w:type="dxa"/>
            <w:noWrap/>
            <w:vAlign w:val="center"/>
          </w:tcPr>
          <w:p>
            <w:pPr>
              <w:jc w:val="right"/>
              <w:rPr>
                <w:rFonts w:ascii="Arial Narrow" w:hAnsi="Arial Narrow"/>
                <w:color w:val="000000" w:themeColor="text1"/>
                <w14:textFill>
                  <w14:solidFill>
                    <w14:schemeClr w14:val="tx1"/>
                  </w14:solidFill>
                </w14:textFill>
              </w:rPr>
            </w:pPr>
          </w:p>
        </w:tc>
        <w:tc>
          <w:tcPr>
            <w:tcW w:w="1579" w:type="dxa"/>
            <w:noWrap/>
            <w:vAlign w:val="center"/>
          </w:tcPr>
          <w:p>
            <w:pPr>
              <w:jc w:val="right"/>
              <w:rPr>
                <w:rFonts w:ascii="Arial Narrow" w:hAnsi="Arial Narrow"/>
                <w:color w:val="000000" w:themeColor="text1"/>
                <w14:textFill>
                  <w14:solidFill>
                    <w14:schemeClr w14:val="tx1"/>
                  </w14:solidFill>
                </w14:textFill>
              </w:rPr>
            </w:pPr>
          </w:p>
        </w:tc>
        <w:tc>
          <w:tcPr>
            <w:tcW w:w="1223" w:type="dxa"/>
            <w:vAlign w:val="center"/>
          </w:tcPr>
          <w:p>
            <w:pPr>
              <w:jc w:val="right"/>
              <w:rPr>
                <w:rFonts w:ascii="Arial Narrow" w:hAnsi="Arial Narrow"/>
                <w:color w:val="000000" w:themeColor="text1"/>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dotted" w:color="auto" w:sz="2" w:space="0"/>
            <w:insideV w:val="dotted" w:color="auto" w:sz="2" w:space="0"/>
          </w:tblBorders>
          <w:tblLayout w:type="fixed"/>
          <w:tblCellMar>
            <w:top w:w="0" w:type="dxa"/>
            <w:left w:w="108" w:type="dxa"/>
            <w:bottom w:w="0" w:type="dxa"/>
            <w:right w:w="108" w:type="dxa"/>
          </w:tblCellMar>
        </w:tblPrEx>
        <w:trPr>
          <w:trHeight w:val="397" w:hRule="atLeast"/>
        </w:trPr>
        <w:tc>
          <w:tcPr>
            <w:tcW w:w="2662" w:type="dxa"/>
            <w:noWrap/>
            <w:vAlign w:val="center"/>
          </w:tcPr>
          <w:p>
            <w:pPr>
              <w:widowControl/>
              <w:jc w:val="left"/>
              <w:rPr>
                <w:rFonts w:ascii="Arial Narrow" w:hAnsi="Arial Narrow" w:eastAsia="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公务用车运行维护费支出</w:t>
            </w:r>
          </w:p>
        </w:tc>
        <w:tc>
          <w:tcPr>
            <w:tcW w:w="1529" w:type="dxa"/>
            <w:noWrap/>
            <w:vAlign w:val="center"/>
          </w:tcPr>
          <w:p>
            <w:pPr>
              <w:widowControl/>
              <w:jc w:val="right"/>
              <w:rPr>
                <w:rFonts w:ascii="Arial Narrow" w:hAnsi="Arial Narrow"/>
                <w:color w:val="000000"/>
                <w:kern w:val="0"/>
                <w:szCs w:val="21"/>
              </w:rPr>
            </w:pPr>
            <w:r>
              <w:rPr>
                <w:rFonts w:ascii="Arial Narrow" w:hAnsi="Arial Narrow"/>
                <w:color w:val="000000"/>
                <w:szCs w:val="21"/>
              </w:rPr>
              <w:t>0.80</w:t>
            </w:r>
          </w:p>
        </w:tc>
        <w:tc>
          <w:tcPr>
            <w:tcW w:w="1529" w:type="dxa"/>
            <w:noWrap/>
            <w:vAlign w:val="center"/>
          </w:tcPr>
          <w:p>
            <w:pPr>
              <w:jc w:val="right"/>
              <w:rPr>
                <w:rFonts w:ascii="Arial Narrow" w:hAnsi="Arial Narrow"/>
                <w:color w:val="000000"/>
                <w:szCs w:val="21"/>
              </w:rPr>
            </w:pPr>
            <w:r>
              <w:rPr>
                <w:rFonts w:ascii="Arial Narrow" w:hAnsi="Arial Narrow"/>
                <w:color w:val="000000"/>
                <w:szCs w:val="21"/>
              </w:rPr>
              <w:t>2.1</w:t>
            </w:r>
          </w:p>
        </w:tc>
        <w:tc>
          <w:tcPr>
            <w:tcW w:w="1579" w:type="dxa"/>
            <w:noWrap/>
            <w:vAlign w:val="center"/>
          </w:tcPr>
          <w:p>
            <w:pPr>
              <w:jc w:val="right"/>
              <w:rPr>
                <w:rFonts w:ascii="Arial Narrow" w:hAnsi="Arial Narrow"/>
                <w:color w:val="000000"/>
                <w:szCs w:val="21"/>
              </w:rPr>
            </w:pPr>
            <w:r>
              <w:rPr>
                <w:rFonts w:ascii="Arial Narrow" w:hAnsi="Arial Narrow"/>
                <w:color w:val="000000"/>
                <w:szCs w:val="21"/>
              </w:rPr>
              <w:t>-1.3</w:t>
            </w:r>
          </w:p>
        </w:tc>
        <w:tc>
          <w:tcPr>
            <w:tcW w:w="1223" w:type="dxa"/>
            <w:vAlign w:val="center"/>
          </w:tcPr>
          <w:p>
            <w:pPr>
              <w:jc w:val="right"/>
              <w:rPr>
                <w:rFonts w:ascii="Arial Narrow" w:hAnsi="Arial Narrow"/>
                <w:color w:val="000000"/>
                <w:szCs w:val="21"/>
              </w:rPr>
            </w:pPr>
            <w:r>
              <w:rPr>
                <w:rFonts w:ascii="Arial Narrow" w:hAnsi="Arial Narrow"/>
                <w:color w:val="000000"/>
                <w:szCs w:val="21"/>
              </w:rPr>
              <w:t>-61.90%</w:t>
            </w:r>
          </w:p>
        </w:tc>
      </w:tr>
      <w:tr>
        <w:tblPrEx>
          <w:tblBorders>
            <w:top w:val="single" w:color="auto" w:sz="12" w:space="0"/>
            <w:left w:val="none" w:color="auto" w:sz="0" w:space="0"/>
            <w:bottom w:val="single" w:color="auto" w:sz="12" w:space="0"/>
            <w:right w:val="none" w:color="auto" w:sz="0" w:space="0"/>
            <w:insideH w:val="dotted" w:color="auto" w:sz="2" w:space="0"/>
            <w:insideV w:val="dotted" w:color="auto" w:sz="2" w:space="0"/>
          </w:tblBorders>
          <w:tblLayout w:type="fixed"/>
          <w:tblCellMar>
            <w:top w:w="0" w:type="dxa"/>
            <w:left w:w="108" w:type="dxa"/>
            <w:bottom w:w="0" w:type="dxa"/>
            <w:right w:w="108" w:type="dxa"/>
          </w:tblCellMar>
        </w:tblPrEx>
        <w:trPr>
          <w:trHeight w:val="397" w:hRule="atLeast"/>
        </w:trPr>
        <w:tc>
          <w:tcPr>
            <w:tcW w:w="2662" w:type="dxa"/>
            <w:noWrap/>
            <w:vAlign w:val="center"/>
          </w:tcPr>
          <w:p>
            <w:pPr>
              <w:widowControl/>
              <w:jc w:val="left"/>
              <w:rPr>
                <w:rFonts w:ascii="Arial Narrow" w:hAnsi="Arial Narrow" w:eastAsia="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公务接待费支出</w:t>
            </w:r>
          </w:p>
        </w:tc>
        <w:tc>
          <w:tcPr>
            <w:tcW w:w="1529" w:type="dxa"/>
            <w:noWrap/>
            <w:vAlign w:val="center"/>
          </w:tcPr>
          <w:p>
            <w:pPr>
              <w:jc w:val="right"/>
              <w:rPr>
                <w:rFonts w:ascii="Arial Narrow" w:hAnsi="Arial Narrow"/>
                <w:color w:val="000000"/>
                <w:szCs w:val="21"/>
              </w:rPr>
            </w:pPr>
            <w:r>
              <w:rPr>
                <w:rFonts w:ascii="Arial Narrow" w:hAnsi="Arial Narrow"/>
                <w:color w:val="000000"/>
                <w:szCs w:val="21"/>
              </w:rPr>
              <w:t>0.05</w:t>
            </w:r>
          </w:p>
        </w:tc>
        <w:tc>
          <w:tcPr>
            <w:tcW w:w="1529" w:type="dxa"/>
            <w:noWrap/>
            <w:vAlign w:val="center"/>
          </w:tcPr>
          <w:p>
            <w:pPr>
              <w:jc w:val="right"/>
              <w:rPr>
                <w:rFonts w:ascii="Arial Narrow" w:hAnsi="Arial Narrow"/>
                <w:color w:val="000000"/>
                <w:szCs w:val="21"/>
              </w:rPr>
            </w:pPr>
            <w:r>
              <w:rPr>
                <w:rFonts w:ascii="Arial Narrow" w:hAnsi="Arial Narrow"/>
                <w:color w:val="000000"/>
                <w:szCs w:val="21"/>
              </w:rPr>
              <w:t>0.23</w:t>
            </w:r>
          </w:p>
        </w:tc>
        <w:tc>
          <w:tcPr>
            <w:tcW w:w="1579" w:type="dxa"/>
            <w:noWrap/>
            <w:vAlign w:val="center"/>
          </w:tcPr>
          <w:p>
            <w:pPr>
              <w:jc w:val="right"/>
              <w:rPr>
                <w:rFonts w:ascii="Arial Narrow" w:hAnsi="Arial Narrow"/>
                <w:color w:val="000000"/>
                <w:szCs w:val="21"/>
              </w:rPr>
            </w:pPr>
            <w:r>
              <w:rPr>
                <w:rFonts w:ascii="Arial Narrow" w:hAnsi="Arial Narrow"/>
                <w:color w:val="000000"/>
                <w:szCs w:val="21"/>
              </w:rPr>
              <w:t>-0.18</w:t>
            </w:r>
          </w:p>
        </w:tc>
        <w:tc>
          <w:tcPr>
            <w:tcW w:w="1223" w:type="dxa"/>
            <w:vAlign w:val="center"/>
          </w:tcPr>
          <w:p>
            <w:pPr>
              <w:jc w:val="right"/>
              <w:rPr>
                <w:rFonts w:ascii="Arial Narrow" w:hAnsi="Arial Narrow"/>
                <w:color w:val="000000"/>
                <w:szCs w:val="21"/>
              </w:rPr>
            </w:pPr>
            <w:r>
              <w:rPr>
                <w:rFonts w:ascii="Arial Narrow" w:hAnsi="Arial Narrow"/>
                <w:color w:val="000000"/>
                <w:szCs w:val="21"/>
              </w:rPr>
              <w:t>-78.26%</w:t>
            </w:r>
          </w:p>
        </w:tc>
      </w:tr>
      <w:tr>
        <w:tblPrEx>
          <w:tblBorders>
            <w:top w:val="single" w:color="auto" w:sz="12" w:space="0"/>
            <w:left w:val="none" w:color="auto" w:sz="0" w:space="0"/>
            <w:bottom w:val="single" w:color="auto" w:sz="12" w:space="0"/>
            <w:right w:val="none" w:color="auto" w:sz="0" w:space="0"/>
            <w:insideH w:val="dotted" w:color="auto" w:sz="2" w:space="0"/>
            <w:insideV w:val="dotted" w:color="auto" w:sz="2" w:space="0"/>
          </w:tblBorders>
          <w:tblLayout w:type="fixed"/>
          <w:tblCellMar>
            <w:top w:w="0" w:type="dxa"/>
            <w:left w:w="108" w:type="dxa"/>
            <w:bottom w:w="0" w:type="dxa"/>
            <w:right w:w="108" w:type="dxa"/>
          </w:tblCellMar>
        </w:tblPrEx>
        <w:trPr>
          <w:trHeight w:val="397" w:hRule="atLeast"/>
        </w:trPr>
        <w:tc>
          <w:tcPr>
            <w:tcW w:w="2662" w:type="dxa"/>
            <w:tcBorders>
              <w:bottom w:val="single" w:color="auto" w:sz="12" w:space="0"/>
            </w:tcBorders>
            <w:noWrap/>
            <w:vAlign w:val="center"/>
          </w:tcPr>
          <w:p>
            <w:pPr>
              <w:widowControl/>
              <w:jc w:val="center"/>
              <w:rPr>
                <w:rFonts w:ascii="Arial Narrow" w:hAnsi="Arial Narrow" w:eastAsia="仿宋_GB2312"/>
                <w:color w:val="000000" w:themeColor="text1"/>
                <w14:textFill>
                  <w14:solidFill>
                    <w14:schemeClr w14:val="tx1"/>
                  </w14:solidFill>
                </w14:textFill>
              </w:rPr>
            </w:pPr>
            <w:r>
              <w:rPr>
                <w:rFonts w:hint="eastAsia" w:ascii="Arial Narrow" w:hAnsi="Arial Narrow" w:eastAsia="仿宋_GB2312" w:cs="仿宋_GB2312"/>
                <w:color w:val="000000" w:themeColor="text1"/>
                <w14:textFill>
                  <w14:solidFill>
                    <w14:schemeClr w14:val="tx1"/>
                  </w14:solidFill>
                </w14:textFill>
              </w:rPr>
              <w:t>合计</w:t>
            </w:r>
          </w:p>
        </w:tc>
        <w:tc>
          <w:tcPr>
            <w:tcW w:w="1529" w:type="dxa"/>
            <w:tcBorders>
              <w:bottom w:val="single" w:color="auto" w:sz="12" w:space="0"/>
            </w:tcBorders>
            <w:noWrap/>
            <w:vAlign w:val="center"/>
          </w:tcPr>
          <w:p>
            <w:pPr>
              <w:jc w:val="right"/>
              <w:rPr>
                <w:rFonts w:ascii="Arial Narrow" w:hAnsi="Arial Narrow"/>
                <w:color w:val="000000"/>
                <w:szCs w:val="21"/>
              </w:rPr>
            </w:pPr>
            <w:r>
              <w:rPr>
                <w:rFonts w:ascii="Arial Narrow" w:hAnsi="Arial Narrow"/>
                <w:color w:val="000000"/>
                <w:szCs w:val="21"/>
              </w:rPr>
              <w:t>0.85</w:t>
            </w:r>
          </w:p>
        </w:tc>
        <w:tc>
          <w:tcPr>
            <w:tcW w:w="1529" w:type="dxa"/>
            <w:tcBorders>
              <w:bottom w:val="single" w:color="auto" w:sz="12" w:space="0"/>
            </w:tcBorders>
            <w:noWrap/>
            <w:vAlign w:val="center"/>
          </w:tcPr>
          <w:p>
            <w:pPr>
              <w:jc w:val="right"/>
              <w:rPr>
                <w:rFonts w:ascii="Arial Narrow" w:hAnsi="Arial Narrow"/>
                <w:color w:val="000000"/>
                <w:szCs w:val="21"/>
              </w:rPr>
            </w:pPr>
            <w:r>
              <w:rPr>
                <w:rFonts w:ascii="Arial Narrow" w:hAnsi="Arial Narrow"/>
                <w:color w:val="000000"/>
                <w:szCs w:val="21"/>
              </w:rPr>
              <w:t>2.33</w:t>
            </w:r>
          </w:p>
        </w:tc>
        <w:tc>
          <w:tcPr>
            <w:tcW w:w="1579" w:type="dxa"/>
            <w:tcBorders>
              <w:bottom w:val="single" w:color="auto" w:sz="12" w:space="0"/>
            </w:tcBorders>
            <w:noWrap/>
            <w:vAlign w:val="center"/>
          </w:tcPr>
          <w:p>
            <w:pPr>
              <w:jc w:val="right"/>
              <w:rPr>
                <w:rFonts w:ascii="Arial Narrow" w:hAnsi="Arial Narrow"/>
                <w:color w:val="000000"/>
                <w:szCs w:val="21"/>
              </w:rPr>
            </w:pPr>
            <w:r>
              <w:rPr>
                <w:rFonts w:ascii="Arial Narrow" w:hAnsi="Arial Narrow"/>
                <w:color w:val="000000"/>
                <w:szCs w:val="21"/>
              </w:rPr>
              <w:t>-1.48</w:t>
            </w:r>
          </w:p>
        </w:tc>
        <w:tc>
          <w:tcPr>
            <w:tcW w:w="1223" w:type="dxa"/>
            <w:tcBorders>
              <w:bottom w:val="single" w:color="auto" w:sz="12" w:space="0"/>
            </w:tcBorders>
            <w:vAlign w:val="center"/>
          </w:tcPr>
          <w:p>
            <w:pPr>
              <w:jc w:val="right"/>
              <w:rPr>
                <w:rFonts w:ascii="Arial Narrow" w:hAnsi="Arial Narrow"/>
                <w:color w:val="000000"/>
                <w:szCs w:val="21"/>
              </w:rPr>
            </w:pPr>
            <w:r>
              <w:rPr>
                <w:rFonts w:ascii="Arial Narrow" w:hAnsi="Arial Narrow"/>
                <w:color w:val="000000"/>
                <w:szCs w:val="21"/>
              </w:rPr>
              <w:t>-63.52%</w:t>
            </w:r>
          </w:p>
        </w:tc>
      </w:tr>
    </w:tbl>
    <w:p>
      <w:pPr>
        <w:spacing w:line="360" w:lineRule="auto"/>
        <w:ind w:firstLine="640" w:firstLineChars="200"/>
        <w:outlineLvl w:val="1"/>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w:t>
      </w:r>
      <w:r>
        <w:rPr>
          <w:rFonts w:cs="黑体" w:asciiTheme="minorEastAsia" w:hAnsiTheme="minorEastAsia"/>
          <w:b/>
          <w:color w:val="000000"/>
          <w:kern w:val="0"/>
          <w:sz w:val="32"/>
          <w:szCs w:val="32"/>
        </w:rPr>
        <w:t>项目支出情况</w:t>
      </w:r>
    </w:p>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1、项目支出预、决算情况</w:t>
      </w:r>
    </w:p>
    <w:tbl>
      <w:tblPr>
        <w:tblStyle w:val="6"/>
        <w:tblW w:w="8364" w:type="dxa"/>
        <w:tblInd w:w="108" w:type="dxa"/>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
      <w:tblGrid>
        <w:gridCol w:w="2983"/>
        <w:gridCol w:w="2040"/>
        <w:gridCol w:w="1870"/>
        <w:gridCol w:w="1471"/>
      </w:tblGrid>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983" w:type="dxa"/>
            <w:vAlign w:val="center"/>
          </w:tcPr>
          <w:p>
            <w:pPr>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项  目</w:t>
            </w:r>
          </w:p>
        </w:tc>
        <w:tc>
          <w:tcPr>
            <w:tcW w:w="2040" w:type="dxa"/>
            <w:shd w:val="clear" w:color="000000" w:fill="FFFFFF"/>
            <w:vAlign w:val="center"/>
          </w:tcPr>
          <w:p>
            <w:pPr>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预算数</w:t>
            </w:r>
          </w:p>
        </w:tc>
        <w:tc>
          <w:tcPr>
            <w:tcW w:w="1870" w:type="dxa"/>
            <w:shd w:val="clear" w:color="000000" w:fill="FFFFFF"/>
            <w:vAlign w:val="center"/>
          </w:tcPr>
          <w:p>
            <w:pPr>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决算数</w:t>
            </w:r>
          </w:p>
        </w:tc>
        <w:tc>
          <w:tcPr>
            <w:tcW w:w="1471" w:type="dxa"/>
            <w:shd w:val="clear" w:color="000000" w:fill="FFFFFF"/>
            <w:vAlign w:val="center"/>
          </w:tcPr>
          <w:p>
            <w:pPr>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szCs w:val="21"/>
                <w14:textFill>
                  <w14:solidFill>
                    <w14:schemeClr w14:val="tx1"/>
                  </w14:solidFill>
                </w14:textFill>
              </w:rPr>
              <w:t>差异</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983" w:type="dxa"/>
            <w:vAlign w:val="center"/>
          </w:tcPr>
          <w:p>
            <w:pPr>
              <w:jc w:val="left"/>
              <w:textAlignment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项目支出</w:t>
            </w:r>
          </w:p>
        </w:tc>
        <w:tc>
          <w:tcPr>
            <w:tcW w:w="2040" w:type="dxa"/>
            <w:shd w:val="clear" w:color="000000" w:fill="FFFFFF"/>
            <w:vAlign w:val="center"/>
          </w:tcPr>
          <w:p>
            <w:pPr>
              <w:widowControl/>
              <w:jc w:val="right"/>
              <w:rPr>
                <w:rFonts w:ascii="Arial Narrow" w:hAnsi="Arial Narrow"/>
                <w:color w:val="000000"/>
                <w:kern w:val="0"/>
                <w:szCs w:val="21"/>
              </w:rPr>
            </w:pPr>
            <w:r>
              <w:rPr>
                <w:rFonts w:ascii="Arial Narrow" w:hAnsi="Arial Narrow"/>
                <w:color w:val="000000"/>
                <w:szCs w:val="21"/>
              </w:rPr>
              <w:t>160.00</w:t>
            </w:r>
          </w:p>
        </w:tc>
        <w:tc>
          <w:tcPr>
            <w:tcW w:w="1870" w:type="dxa"/>
            <w:shd w:val="clear" w:color="000000" w:fill="FFFFFF"/>
            <w:vAlign w:val="center"/>
          </w:tcPr>
          <w:p>
            <w:pPr>
              <w:jc w:val="right"/>
              <w:rPr>
                <w:rFonts w:ascii="Arial Narrow" w:hAnsi="Arial Narrow"/>
                <w:color w:val="000000"/>
                <w:szCs w:val="21"/>
              </w:rPr>
            </w:pPr>
            <w:r>
              <w:rPr>
                <w:rFonts w:ascii="Arial Narrow" w:hAnsi="Arial Narrow"/>
                <w:color w:val="000000"/>
                <w:szCs w:val="21"/>
              </w:rPr>
              <w:t>160.00</w:t>
            </w:r>
          </w:p>
        </w:tc>
        <w:tc>
          <w:tcPr>
            <w:tcW w:w="1471" w:type="dxa"/>
            <w:shd w:val="clear" w:color="000000" w:fill="FFFFFF"/>
            <w:vAlign w:val="center"/>
          </w:tcPr>
          <w:p>
            <w:pPr>
              <w:jc w:val="right"/>
              <w:rPr>
                <w:rFonts w:ascii="Arial Narrow" w:hAnsi="Arial Narrow"/>
                <w:color w:val="000000"/>
                <w:szCs w:val="21"/>
              </w:rPr>
            </w:pPr>
            <w:r>
              <w:rPr>
                <w:rFonts w:ascii="Arial Narrow" w:hAnsi="Arial Narrow"/>
                <w:color w:val="000000"/>
                <w:szCs w:val="21"/>
              </w:rPr>
              <w:t>0.00</w:t>
            </w:r>
          </w:p>
        </w:tc>
      </w:tr>
      <w:tr>
        <w:tblPrEx>
          <w:tblBorders>
            <w:top w:val="single" w:color="auto" w:sz="12" w:space="0"/>
            <w:left w:val="none" w:color="auto" w:sz="0" w:space="0"/>
            <w:bottom w:val="single" w:color="auto"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431" w:hRule="atLeast"/>
        </w:trPr>
        <w:tc>
          <w:tcPr>
            <w:tcW w:w="2983" w:type="dxa"/>
            <w:vAlign w:val="center"/>
          </w:tcPr>
          <w:p>
            <w:pPr>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其中：业务工作经费</w:t>
            </w:r>
          </w:p>
        </w:tc>
        <w:tc>
          <w:tcPr>
            <w:tcW w:w="2040" w:type="dxa"/>
            <w:vAlign w:val="center"/>
          </w:tcPr>
          <w:p>
            <w:pPr>
              <w:jc w:val="right"/>
              <w:rPr>
                <w:rFonts w:ascii="Arial Narrow" w:hAnsi="Arial Narrow"/>
                <w:color w:val="000000"/>
                <w:szCs w:val="21"/>
              </w:rPr>
            </w:pPr>
            <w:r>
              <w:rPr>
                <w:rFonts w:ascii="Arial Narrow" w:hAnsi="Arial Narrow"/>
                <w:color w:val="000000"/>
                <w:szCs w:val="21"/>
              </w:rPr>
              <w:t xml:space="preserve">160.00 </w:t>
            </w:r>
          </w:p>
        </w:tc>
        <w:tc>
          <w:tcPr>
            <w:tcW w:w="1870" w:type="dxa"/>
            <w:vAlign w:val="center"/>
          </w:tcPr>
          <w:p>
            <w:pPr>
              <w:jc w:val="right"/>
              <w:rPr>
                <w:rFonts w:ascii="Arial Narrow" w:hAnsi="Arial Narrow"/>
                <w:color w:val="000000"/>
                <w:szCs w:val="21"/>
              </w:rPr>
            </w:pPr>
            <w:r>
              <w:rPr>
                <w:rFonts w:ascii="Arial Narrow" w:hAnsi="Arial Narrow"/>
                <w:color w:val="000000"/>
                <w:szCs w:val="21"/>
              </w:rPr>
              <w:t xml:space="preserve">160.00 </w:t>
            </w:r>
          </w:p>
        </w:tc>
        <w:tc>
          <w:tcPr>
            <w:tcW w:w="1471" w:type="dxa"/>
            <w:vAlign w:val="center"/>
          </w:tcPr>
          <w:p>
            <w:pPr>
              <w:jc w:val="right"/>
              <w:rPr>
                <w:rFonts w:ascii="Arial Narrow" w:hAnsi="Arial Narrow"/>
                <w:color w:val="000000"/>
                <w:szCs w:val="21"/>
              </w:rPr>
            </w:pPr>
            <w:r>
              <w:rPr>
                <w:rFonts w:ascii="Arial Narrow" w:hAnsi="Arial Narrow"/>
                <w:color w:val="000000"/>
                <w:szCs w:val="21"/>
              </w:rPr>
              <w:t xml:space="preserve">0.00   </w:t>
            </w:r>
          </w:p>
        </w:tc>
      </w:tr>
    </w:tbl>
    <w:p>
      <w:pPr>
        <w:spacing w:line="360" w:lineRule="auto"/>
        <w:ind w:firstLine="640" w:firstLineChars="200"/>
        <w:outlineLvl w:val="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2、项目支出预算数、决算数（全口径，含上年结余、年初预算、二次分配及追加）</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本年度一般公共预算拨款项目支出预算数</w:t>
      </w:r>
      <w:r>
        <w:rPr>
          <w:rFonts w:cs="黑体" w:asciiTheme="minorEastAsia" w:hAnsiTheme="minorEastAsia"/>
          <w:color w:val="000000"/>
          <w:kern w:val="0"/>
          <w:sz w:val="32"/>
          <w:szCs w:val="32"/>
        </w:rPr>
        <w:t>合计160.00万元</w:t>
      </w:r>
      <w:r>
        <w:rPr>
          <w:rFonts w:hint="eastAsia" w:cs="黑体" w:asciiTheme="minorEastAsia" w:hAnsiTheme="minorEastAsia"/>
          <w:color w:val="000000"/>
          <w:kern w:val="0"/>
          <w:sz w:val="32"/>
          <w:szCs w:val="32"/>
        </w:rPr>
        <w:t>，其中“项目支出-业务工作经费” 预算合计1</w:t>
      </w:r>
      <w:r>
        <w:rPr>
          <w:rFonts w:cs="黑体" w:asciiTheme="minorEastAsia" w:hAnsiTheme="minorEastAsia"/>
          <w:color w:val="000000"/>
          <w:kern w:val="0"/>
          <w:sz w:val="32"/>
          <w:szCs w:val="32"/>
        </w:rPr>
        <w:t>60万元</w:t>
      </w:r>
      <w:r>
        <w:rPr>
          <w:rFonts w:hint="eastAsia" w:cs="黑体" w:asciiTheme="minorEastAsia" w:hAnsiTheme="minorEastAsia"/>
          <w:color w:val="000000"/>
          <w:kern w:val="0"/>
          <w:sz w:val="32"/>
          <w:szCs w:val="32"/>
        </w:rPr>
        <w:t>，包含20</w:t>
      </w:r>
      <w:r>
        <w:rPr>
          <w:rFonts w:cs="黑体" w:asciiTheme="minorEastAsia" w:hAnsiTheme="minorEastAsia"/>
          <w:color w:val="000000"/>
          <w:kern w:val="0"/>
          <w:sz w:val="32"/>
          <w:szCs w:val="32"/>
        </w:rPr>
        <w:t>21</w:t>
      </w:r>
      <w:r>
        <w:rPr>
          <w:rFonts w:hint="eastAsia" w:cs="黑体" w:asciiTheme="minorEastAsia" w:hAnsiTheme="minorEastAsia"/>
          <w:color w:val="000000"/>
          <w:kern w:val="0"/>
          <w:sz w:val="32"/>
          <w:szCs w:val="32"/>
        </w:rPr>
        <w:t>年年初预算数</w:t>
      </w:r>
      <w:r>
        <w:rPr>
          <w:rFonts w:cs="黑体" w:asciiTheme="minorEastAsia" w:hAnsiTheme="minorEastAsia"/>
          <w:color w:val="000000"/>
          <w:kern w:val="0"/>
          <w:sz w:val="32"/>
          <w:szCs w:val="32"/>
        </w:rPr>
        <w:t>140.00</w:t>
      </w:r>
      <w:r>
        <w:rPr>
          <w:rFonts w:hint="eastAsia" w:cs="黑体" w:asciiTheme="minorEastAsia" w:hAnsiTheme="minorEastAsia"/>
          <w:color w:val="000000"/>
          <w:kern w:val="0"/>
          <w:sz w:val="32"/>
          <w:szCs w:val="32"/>
        </w:rPr>
        <w:t>万元，年中追加</w:t>
      </w:r>
      <w:r>
        <w:rPr>
          <w:rFonts w:cs="黑体" w:asciiTheme="minorEastAsia" w:hAnsiTheme="minorEastAsia"/>
          <w:color w:val="000000"/>
          <w:kern w:val="0"/>
          <w:sz w:val="32"/>
          <w:szCs w:val="32"/>
        </w:rPr>
        <w:t>20.00万元</w:t>
      </w:r>
      <w:r>
        <w:rPr>
          <w:rFonts w:hint="eastAsia" w:cs="黑体" w:asciiTheme="minorEastAsia" w:hAnsiTheme="minorEastAsia"/>
          <w:color w:val="000000"/>
          <w:kern w:val="0"/>
          <w:sz w:val="32"/>
          <w:szCs w:val="32"/>
        </w:rPr>
        <w:t>。</w:t>
      </w:r>
    </w:p>
    <w:tbl>
      <w:tblPr>
        <w:tblStyle w:val="6"/>
        <w:tblW w:w="8481" w:type="dxa"/>
        <w:tblInd w:w="108"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52"/>
        <w:gridCol w:w="851"/>
        <w:gridCol w:w="1275"/>
        <w:gridCol w:w="1134"/>
        <w:gridCol w:w="1134"/>
        <w:gridCol w:w="851"/>
        <w:gridCol w:w="684"/>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31" w:hRule="atLeast"/>
          <w:tblHeader/>
        </w:trPr>
        <w:tc>
          <w:tcPr>
            <w:tcW w:w="2552" w:type="dxa"/>
            <w:vMerge w:val="restart"/>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项目分类</w:t>
            </w:r>
          </w:p>
        </w:tc>
        <w:tc>
          <w:tcPr>
            <w:tcW w:w="4394" w:type="dxa"/>
            <w:gridSpan w:val="4"/>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851" w:type="dxa"/>
            <w:vMerge w:val="restart"/>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决算数</w:t>
            </w:r>
          </w:p>
        </w:tc>
        <w:tc>
          <w:tcPr>
            <w:tcW w:w="684" w:type="dxa"/>
            <w:vMerge w:val="restart"/>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差异</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31" w:hRule="atLeast"/>
          <w:tblHeader/>
        </w:trPr>
        <w:tc>
          <w:tcPr>
            <w:tcW w:w="2552" w:type="dxa"/>
            <w:vMerge w:val="continue"/>
            <w:vAlign w:val="center"/>
          </w:tcPr>
          <w:p>
            <w:pPr>
              <w:widowControl/>
              <w:jc w:val="left"/>
              <w:rPr>
                <w:rFonts w:ascii="仿宋_GB2312" w:hAnsi="宋体" w:eastAsia="仿宋_GB2312" w:cs="宋体"/>
                <w:color w:val="000000"/>
                <w:kern w:val="0"/>
                <w:szCs w:val="21"/>
              </w:rPr>
            </w:pPr>
          </w:p>
        </w:tc>
        <w:tc>
          <w:tcPr>
            <w:tcW w:w="851" w:type="dxa"/>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小计</w:t>
            </w:r>
          </w:p>
        </w:tc>
        <w:tc>
          <w:tcPr>
            <w:tcW w:w="1275" w:type="dxa"/>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134" w:type="dxa"/>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年中追加</w:t>
            </w:r>
          </w:p>
        </w:tc>
        <w:tc>
          <w:tcPr>
            <w:tcW w:w="1134" w:type="dxa"/>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上年结余</w:t>
            </w:r>
          </w:p>
        </w:tc>
        <w:tc>
          <w:tcPr>
            <w:tcW w:w="851" w:type="dxa"/>
            <w:vMerge w:val="continue"/>
            <w:vAlign w:val="center"/>
          </w:tcPr>
          <w:p>
            <w:pPr>
              <w:widowControl/>
              <w:jc w:val="left"/>
              <w:rPr>
                <w:rFonts w:ascii="仿宋_GB2312" w:hAnsi="宋体" w:eastAsia="仿宋_GB2312" w:cs="宋体"/>
                <w:color w:val="000000"/>
                <w:kern w:val="0"/>
                <w:szCs w:val="21"/>
              </w:rPr>
            </w:pPr>
          </w:p>
        </w:tc>
        <w:tc>
          <w:tcPr>
            <w:tcW w:w="684" w:type="dxa"/>
            <w:vMerge w:val="continue"/>
            <w:vAlign w:val="center"/>
          </w:tcPr>
          <w:p>
            <w:pPr>
              <w:widowControl/>
              <w:jc w:val="left"/>
              <w:rPr>
                <w:rFonts w:ascii="仿宋_GB2312" w:hAnsi="宋体"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31" w:hRule="atLeast"/>
        </w:trPr>
        <w:tc>
          <w:tcPr>
            <w:tcW w:w="2552" w:type="dxa"/>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一、业务工作经费</w:t>
            </w: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160.00 </w:t>
            </w:r>
          </w:p>
        </w:tc>
        <w:tc>
          <w:tcPr>
            <w:tcW w:w="1275" w:type="dxa"/>
            <w:shd w:val="clear" w:color="auto" w:fill="auto"/>
            <w:noWrap/>
            <w:vAlign w:val="center"/>
          </w:tcPr>
          <w:p>
            <w:pPr>
              <w:widowControl/>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140.00</w:t>
            </w: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20.00</w:t>
            </w: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p>
        </w:tc>
        <w:tc>
          <w:tcPr>
            <w:tcW w:w="851" w:type="dxa"/>
            <w:shd w:val="clear" w:color="auto" w:fill="auto"/>
            <w:noWrap/>
            <w:vAlign w:val="center"/>
          </w:tcPr>
          <w:p>
            <w:pPr>
              <w:widowControl/>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160.00</w:t>
            </w:r>
          </w:p>
        </w:tc>
        <w:tc>
          <w:tcPr>
            <w:tcW w:w="684" w:type="dxa"/>
            <w:shd w:val="clear" w:color="auto" w:fill="auto"/>
            <w:noWrap/>
            <w:vAlign w:val="center"/>
          </w:tcPr>
          <w:p>
            <w:pPr>
              <w:widowControl/>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31" w:hRule="atLeast"/>
        </w:trPr>
        <w:tc>
          <w:tcPr>
            <w:tcW w:w="2552" w:type="dxa"/>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其中：备战奥运会经费</w:t>
            </w: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20.00 </w:t>
            </w:r>
          </w:p>
        </w:tc>
        <w:tc>
          <w:tcPr>
            <w:tcW w:w="1275"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     20.00 </w:t>
            </w: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20.00 </w:t>
            </w:r>
          </w:p>
        </w:tc>
        <w:tc>
          <w:tcPr>
            <w:tcW w:w="684" w:type="dxa"/>
            <w:shd w:val="clear" w:color="auto" w:fill="auto"/>
            <w:noWrap/>
            <w:vAlign w:val="center"/>
          </w:tcPr>
          <w:p>
            <w:pPr>
              <w:widowControl/>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31" w:hRule="atLeast"/>
        </w:trPr>
        <w:tc>
          <w:tcPr>
            <w:tcW w:w="2552" w:type="dxa"/>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备战全运会经费</w:t>
            </w: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90.00 </w:t>
            </w:r>
          </w:p>
        </w:tc>
        <w:tc>
          <w:tcPr>
            <w:tcW w:w="1275"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     90.00 </w:t>
            </w: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90.00 </w:t>
            </w:r>
          </w:p>
        </w:tc>
        <w:tc>
          <w:tcPr>
            <w:tcW w:w="684" w:type="dxa"/>
            <w:shd w:val="clear" w:color="auto" w:fill="auto"/>
            <w:noWrap/>
            <w:vAlign w:val="center"/>
          </w:tcPr>
          <w:p>
            <w:pPr>
              <w:widowControl/>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31" w:hRule="atLeast"/>
        </w:trPr>
        <w:tc>
          <w:tcPr>
            <w:tcW w:w="2552" w:type="dxa"/>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运动员常年成绩奖</w:t>
            </w: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30.00 </w:t>
            </w:r>
          </w:p>
        </w:tc>
        <w:tc>
          <w:tcPr>
            <w:tcW w:w="1275"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     30.00 </w:t>
            </w: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30.00 </w:t>
            </w:r>
          </w:p>
        </w:tc>
        <w:tc>
          <w:tcPr>
            <w:tcW w:w="684" w:type="dxa"/>
            <w:shd w:val="clear" w:color="auto" w:fill="auto"/>
            <w:noWrap/>
            <w:vAlign w:val="center"/>
          </w:tcPr>
          <w:p>
            <w:pPr>
              <w:widowControl/>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31" w:hRule="atLeast"/>
        </w:trPr>
        <w:tc>
          <w:tcPr>
            <w:tcW w:w="2552" w:type="dxa"/>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全运会参赛经费（体操、蹦床、攀岩项目）</w:t>
            </w: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20.00 </w:t>
            </w:r>
          </w:p>
        </w:tc>
        <w:tc>
          <w:tcPr>
            <w:tcW w:w="1275" w:type="dxa"/>
            <w:shd w:val="clear" w:color="auto" w:fill="auto"/>
            <w:noWrap/>
            <w:vAlign w:val="center"/>
          </w:tcPr>
          <w:p>
            <w:pPr>
              <w:widowControl/>
              <w:jc w:val="right"/>
              <w:rPr>
                <w:rFonts w:ascii="Arial Narrow" w:hAnsi="Arial Narrow" w:eastAsia="仿宋_GB2312" w:cs="宋体"/>
                <w:color w:val="000000"/>
                <w:kern w:val="0"/>
                <w:szCs w:val="21"/>
              </w:rPr>
            </w:pP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20.00</w:t>
            </w:r>
          </w:p>
        </w:tc>
        <w:tc>
          <w:tcPr>
            <w:tcW w:w="1134" w:type="dxa"/>
            <w:shd w:val="clear" w:color="auto" w:fill="auto"/>
            <w:noWrap/>
            <w:vAlign w:val="center"/>
          </w:tcPr>
          <w:p>
            <w:pPr>
              <w:widowControl/>
              <w:jc w:val="right"/>
              <w:rPr>
                <w:rFonts w:ascii="Arial Narrow" w:hAnsi="Arial Narrow" w:eastAsia="仿宋_GB2312" w:cs="宋体"/>
                <w:color w:val="000000"/>
                <w:kern w:val="0"/>
                <w:szCs w:val="21"/>
              </w:rPr>
            </w:pPr>
          </w:p>
        </w:tc>
        <w:tc>
          <w:tcPr>
            <w:tcW w:w="851" w:type="dxa"/>
            <w:shd w:val="clear" w:color="auto" w:fill="auto"/>
            <w:noWrap/>
            <w:vAlign w:val="center"/>
          </w:tcPr>
          <w:p>
            <w:pPr>
              <w:widowControl/>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 xml:space="preserve">20.00 </w:t>
            </w:r>
          </w:p>
        </w:tc>
        <w:tc>
          <w:tcPr>
            <w:tcW w:w="684" w:type="dxa"/>
            <w:shd w:val="clear" w:color="auto" w:fill="auto"/>
            <w:noWrap/>
            <w:vAlign w:val="center"/>
          </w:tcPr>
          <w:p>
            <w:pPr>
              <w:widowControl/>
              <w:jc w:val="right"/>
              <w:rPr>
                <w:rFonts w:ascii="Arial Narrow" w:hAnsi="Arial Narrow" w:eastAsia="仿宋_GB2312" w:cs="宋体"/>
                <w:color w:val="000000"/>
                <w:kern w:val="0"/>
                <w:szCs w:val="21"/>
              </w:rPr>
            </w:pPr>
          </w:p>
        </w:tc>
      </w:tr>
    </w:tbl>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3</w:t>
      </w:r>
      <w:r>
        <w:rPr>
          <w:rFonts w:hint="eastAsia" w:cs="黑体" w:asciiTheme="minorEastAsia" w:hAnsiTheme="minorEastAsia"/>
          <w:color w:val="000000"/>
          <w:kern w:val="0"/>
          <w:sz w:val="32"/>
          <w:szCs w:val="32"/>
        </w:rPr>
        <w:t>、预决算差异原因</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一般公共预算拨款项目支出预决算无差异。</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hint="eastAsia" w:cs="黑体" w:asciiTheme="minorEastAsia" w:hAnsiTheme="minorEastAsia"/>
          <w:color w:val="000000"/>
          <w:kern w:val="0"/>
          <w:sz w:val="32"/>
          <w:szCs w:val="32"/>
        </w:rPr>
        <w:tab/>
      </w:r>
      <w:r>
        <w:rPr>
          <w:rFonts w:hint="eastAsia" w:cs="黑体" w:asciiTheme="minorEastAsia" w:hAnsiTheme="minorEastAsia"/>
          <w:color w:val="000000"/>
          <w:kern w:val="0"/>
          <w:sz w:val="32"/>
          <w:szCs w:val="32"/>
        </w:rPr>
        <w:t>社会保险基金预算支出情况</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无</w:t>
      </w:r>
      <w:r>
        <w:rPr>
          <w:rFonts w:hint="eastAsia" w:cs="黑体" w:asciiTheme="minorEastAsia" w:hAnsiTheme="minorEastAsia"/>
          <w:color w:val="000000"/>
          <w:kern w:val="0"/>
          <w:sz w:val="32"/>
          <w:szCs w:val="32"/>
        </w:rPr>
        <w:t>。</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w:t>
      </w:r>
      <w:r>
        <w:rPr>
          <w:rFonts w:cs="黑体" w:asciiTheme="minorEastAsia" w:hAnsiTheme="minorEastAsia"/>
          <w:color w:val="000000"/>
          <w:kern w:val="0"/>
          <w:sz w:val="32"/>
          <w:szCs w:val="32"/>
        </w:rPr>
        <w:t>部门整体支出绩效情况</w:t>
      </w:r>
    </w:p>
    <w:p>
      <w:pPr>
        <w:spacing w:line="360" w:lineRule="auto"/>
        <w:ind w:firstLine="560" w:firstLineChars="200"/>
        <w:outlineLvl w:val="1"/>
        <w:rPr>
          <w:rFonts w:ascii="仿宋_GB2312" w:hAnsi="Times New Roman" w:eastAsia="仿宋_GB2312"/>
          <w:b/>
          <w:color w:val="000000" w:themeColor="text1"/>
          <w:sz w:val="28"/>
          <w:szCs w:val="28"/>
          <w14:textFill>
            <w14:solidFill>
              <w14:schemeClr w14:val="tx1"/>
            </w14:solidFill>
          </w14:textFill>
        </w:rPr>
      </w:pPr>
      <w:r>
        <w:rPr>
          <w:rFonts w:hint="eastAsia" w:ascii="仿宋_GB2312" w:hAnsi="Times New Roman" w:eastAsia="仿宋_GB2312"/>
          <w:b/>
          <w:color w:val="000000" w:themeColor="text1"/>
          <w:sz w:val="28"/>
          <w:szCs w:val="28"/>
          <w14:textFill>
            <w14:solidFill>
              <w14:schemeClr w14:val="tx1"/>
            </w14:solidFill>
          </w14:textFill>
        </w:rPr>
        <w:t>（一）绩效目标</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1、体操、蹦床、攀岩三个项目预计2021年参加国内比赛14次,国际比赛2次，参赛人数200人次，取得国际比赛第一名1-2人，获奖牌1-2枚，取得国内比赛第一名5人， 获奖牌15-17枚；</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2</w:t>
      </w:r>
      <w:r>
        <w:rPr>
          <w:rFonts w:hint="eastAsia" w:cs="黑体" w:asciiTheme="minorEastAsia" w:hAnsiTheme="minorEastAsia"/>
          <w:color w:val="000000"/>
          <w:kern w:val="0"/>
          <w:sz w:val="32"/>
          <w:szCs w:val="32"/>
        </w:rPr>
        <w:t>、举办全省青少年各类大型比赛</w:t>
      </w:r>
      <w:r>
        <w:rPr>
          <w:rFonts w:cs="黑体" w:asciiTheme="minorEastAsia" w:hAnsiTheme="minorEastAsia"/>
          <w:color w:val="000000"/>
          <w:kern w:val="0"/>
          <w:sz w:val="32"/>
          <w:szCs w:val="32"/>
        </w:rPr>
        <w:t>3</w:t>
      </w:r>
      <w:r>
        <w:rPr>
          <w:rFonts w:hint="eastAsia" w:cs="黑体" w:asciiTheme="minorEastAsia" w:hAnsiTheme="minorEastAsia"/>
          <w:color w:val="000000"/>
          <w:kern w:val="0"/>
          <w:sz w:val="32"/>
          <w:szCs w:val="32"/>
        </w:rPr>
        <w:t>次；</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3</w:t>
      </w:r>
      <w:r>
        <w:rPr>
          <w:rFonts w:hint="eastAsia" w:cs="黑体" w:asciiTheme="minorEastAsia" w:hAnsiTheme="minorEastAsia"/>
          <w:color w:val="000000"/>
          <w:kern w:val="0"/>
          <w:sz w:val="32"/>
          <w:szCs w:val="32"/>
        </w:rPr>
        <w:t>、预计引进教练员、运动员、医生</w:t>
      </w:r>
      <w:r>
        <w:rPr>
          <w:rFonts w:cs="黑体" w:asciiTheme="minorEastAsia" w:hAnsiTheme="minorEastAsia"/>
          <w:color w:val="000000"/>
          <w:kern w:val="0"/>
          <w:sz w:val="32"/>
          <w:szCs w:val="32"/>
        </w:rPr>
        <w:t>5</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7</w:t>
      </w:r>
      <w:r>
        <w:rPr>
          <w:rFonts w:hint="eastAsia" w:cs="黑体" w:asciiTheme="minorEastAsia" w:hAnsiTheme="minorEastAsia"/>
          <w:color w:val="000000"/>
          <w:kern w:val="0"/>
          <w:sz w:val="32"/>
          <w:szCs w:val="32"/>
        </w:rPr>
        <w:t>人；</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4</w:t>
      </w:r>
      <w:r>
        <w:rPr>
          <w:rFonts w:hint="eastAsia" w:cs="黑体" w:asciiTheme="minorEastAsia" w:hAnsiTheme="minorEastAsia"/>
          <w:color w:val="000000"/>
          <w:kern w:val="0"/>
          <w:sz w:val="32"/>
          <w:szCs w:val="32"/>
        </w:rPr>
        <w:t>、下地市选拔后备人才人9-10人；</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5</w:t>
      </w:r>
      <w:r>
        <w:rPr>
          <w:rFonts w:hint="eastAsia" w:cs="黑体" w:asciiTheme="minorEastAsia" w:hAnsiTheme="minorEastAsia"/>
          <w:color w:val="000000"/>
          <w:kern w:val="0"/>
          <w:sz w:val="32"/>
          <w:szCs w:val="32"/>
        </w:rPr>
        <w:t>、激励高端人才2人；</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6、预计完成体育场体操训练教学综合楼工程的竣工决算；</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7</w:t>
      </w:r>
      <w:r>
        <w:rPr>
          <w:rFonts w:hint="eastAsia" w:cs="黑体" w:asciiTheme="minorEastAsia" w:hAnsiTheme="minorEastAsia"/>
          <w:color w:val="000000"/>
          <w:kern w:val="0"/>
          <w:sz w:val="32"/>
          <w:szCs w:val="32"/>
        </w:rPr>
        <w:t>、预计完成运动员常年成绩奖的发放；</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8</w:t>
      </w:r>
      <w:r>
        <w:rPr>
          <w:rFonts w:hint="eastAsia" w:cs="黑体" w:asciiTheme="minorEastAsia" w:hAnsiTheme="minorEastAsia"/>
          <w:color w:val="000000"/>
          <w:kern w:val="0"/>
          <w:sz w:val="32"/>
          <w:szCs w:val="32"/>
        </w:rPr>
        <w:t>、采购参加专业比赛和训练用鞋服</w:t>
      </w:r>
      <w:r>
        <w:rPr>
          <w:rFonts w:cs="黑体" w:asciiTheme="minorEastAsia" w:hAnsiTheme="minorEastAsia"/>
          <w:color w:val="000000"/>
          <w:kern w:val="0"/>
          <w:sz w:val="32"/>
          <w:szCs w:val="32"/>
        </w:rPr>
        <w:t>8</w:t>
      </w:r>
      <w:r>
        <w:rPr>
          <w:rFonts w:hint="eastAsia" w:cs="黑体" w:asciiTheme="minorEastAsia" w:hAnsiTheme="minorEastAsia"/>
          <w:color w:val="000000"/>
          <w:kern w:val="0"/>
          <w:sz w:val="32"/>
          <w:szCs w:val="32"/>
        </w:rPr>
        <w:t>批次，购置训练器材和医疗器材等数量</w:t>
      </w:r>
      <w:r>
        <w:rPr>
          <w:rFonts w:cs="黑体" w:asciiTheme="minorEastAsia" w:hAnsiTheme="minorEastAsia"/>
          <w:color w:val="000000"/>
          <w:kern w:val="0"/>
          <w:sz w:val="32"/>
          <w:szCs w:val="32"/>
        </w:rPr>
        <w:t>30</w:t>
      </w:r>
      <w:r>
        <w:rPr>
          <w:rFonts w:hint="eastAsia" w:cs="黑体" w:asciiTheme="minorEastAsia" w:hAnsiTheme="minorEastAsia"/>
          <w:color w:val="000000"/>
          <w:kern w:val="0"/>
          <w:sz w:val="32"/>
          <w:szCs w:val="32"/>
        </w:rPr>
        <w:t>批次。</w:t>
      </w:r>
    </w:p>
    <w:p>
      <w:pPr>
        <w:spacing w:line="360" w:lineRule="auto"/>
        <w:ind w:firstLine="640" w:firstLineChars="200"/>
        <w:outlineLvl w:val="1"/>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（二）绩效目标完成情况</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1、体操、蹦床、攀岩三个项目2021年参加国内比赛</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9次,国际比赛2次，参赛人数210人次，取得国内比赛第一名</w:t>
      </w:r>
      <w:r>
        <w:rPr>
          <w:rFonts w:cs="黑体" w:asciiTheme="minorEastAsia" w:hAnsiTheme="minorEastAsia"/>
          <w:color w:val="000000"/>
          <w:kern w:val="0"/>
          <w:sz w:val="32"/>
          <w:szCs w:val="32"/>
        </w:rPr>
        <w:t>6</w:t>
      </w:r>
      <w:r>
        <w:rPr>
          <w:rFonts w:hint="eastAsia" w:cs="黑体" w:asciiTheme="minorEastAsia" w:hAnsiTheme="minorEastAsia"/>
          <w:color w:val="000000"/>
          <w:kern w:val="0"/>
          <w:sz w:val="32"/>
          <w:szCs w:val="32"/>
        </w:rPr>
        <w:t>人， 获金牌</w:t>
      </w:r>
      <w:r>
        <w:rPr>
          <w:rFonts w:cs="黑体" w:asciiTheme="minorEastAsia" w:hAnsiTheme="minorEastAsia"/>
          <w:color w:val="000000"/>
          <w:kern w:val="0"/>
          <w:sz w:val="32"/>
          <w:szCs w:val="32"/>
        </w:rPr>
        <w:t>6</w:t>
      </w:r>
      <w:r>
        <w:rPr>
          <w:rFonts w:hint="eastAsia" w:cs="黑体" w:asciiTheme="minorEastAsia" w:hAnsiTheme="minorEastAsia"/>
          <w:color w:val="000000"/>
          <w:kern w:val="0"/>
          <w:sz w:val="32"/>
          <w:szCs w:val="32"/>
        </w:rPr>
        <w:t>枚、银牌</w:t>
      </w:r>
      <w:r>
        <w:rPr>
          <w:rFonts w:cs="黑体" w:asciiTheme="minorEastAsia" w:hAnsiTheme="minorEastAsia"/>
          <w:color w:val="000000"/>
          <w:kern w:val="0"/>
          <w:sz w:val="32"/>
          <w:szCs w:val="32"/>
        </w:rPr>
        <w:t>8</w:t>
      </w:r>
      <w:r>
        <w:rPr>
          <w:rFonts w:hint="eastAsia" w:cs="黑体" w:asciiTheme="minorEastAsia" w:hAnsiTheme="minorEastAsia"/>
          <w:color w:val="000000"/>
          <w:kern w:val="0"/>
          <w:sz w:val="32"/>
          <w:szCs w:val="32"/>
        </w:rPr>
        <w:t>枚、铜牌5枚；取得国际比赛第一名2人，获金牌2枚。</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2、共举办了湖南省青少年体操、蹦床、攀岩锦标赛3次；</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3、实际引进教练员、运动员、医生</w:t>
      </w:r>
      <w:r>
        <w:rPr>
          <w:rFonts w:cs="黑体" w:asciiTheme="minorEastAsia" w:hAnsiTheme="minorEastAsia"/>
          <w:color w:val="000000"/>
          <w:kern w:val="0"/>
          <w:sz w:val="32"/>
          <w:szCs w:val="32"/>
        </w:rPr>
        <w:t>7</w:t>
      </w:r>
      <w:r>
        <w:rPr>
          <w:rFonts w:hint="eastAsia" w:cs="黑体" w:asciiTheme="minorEastAsia" w:hAnsiTheme="minorEastAsia"/>
          <w:color w:val="000000"/>
          <w:kern w:val="0"/>
          <w:sz w:val="32"/>
          <w:szCs w:val="32"/>
        </w:rPr>
        <w:t>人;</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4、下地市选拔后备人才20人；</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5、完成2名高端人才的激励；</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6、已完成体育场体操训练教学综合楼工程的竣工决算并将在建工程转入固定资产；</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7、完成运动员常年成绩奖的发放，发放金额30万；</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8、购置训练器材、辅助训练器材、医疗防护用品、服装等</w:t>
      </w:r>
      <w:r>
        <w:rPr>
          <w:rFonts w:cs="黑体" w:asciiTheme="minorEastAsia" w:hAnsiTheme="minorEastAsia"/>
          <w:color w:val="000000"/>
          <w:kern w:val="0"/>
          <w:sz w:val="32"/>
          <w:szCs w:val="32"/>
        </w:rPr>
        <w:t>38</w:t>
      </w:r>
      <w:r>
        <w:rPr>
          <w:rFonts w:hint="eastAsia" w:cs="黑体" w:asciiTheme="minorEastAsia" w:hAnsiTheme="minorEastAsia"/>
          <w:color w:val="000000"/>
          <w:kern w:val="0"/>
          <w:sz w:val="32"/>
          <w:szCs w:val="32"/>
        </w:rPr>
        <w:t>批。</w:t>
      </w:r>
    </w:p>
    <w:p>
      <w:pPr>
        <w:spacing w:line="360" w:lineRule="auto"/>
        <w:ind w:firstLine="640" w:firstLineChars="200"/>
        <w:outlineLvl w:val="1"/>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（三）经济性评价方面</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、本年度预算完成率</w:t>
      </w:r>
      <w:r>
        <w:rPr>
          <w:rFonts w:cs="黑体" w:asciiTheme="minorEastAsia" w:hAnsiTheme="minorEastAsia"/>
          <w:color w:val="000000"/>
          <w:kern w:val="0"/>
          <w:sz w:val="32"/>
          <w:szCs w:val="32"/>
        </w:rPr>
        <w:t>97.84%</w:t>
      </w:r>
      <w:r>
        <w:rPr>
          <w:rFonts w:hint="eastAsia" w:cs="黑体" w:asciiTheme="minorEastAsia" w:hAnsiTheme="minorEastAsia"/>
          <w:color w:val="000000"/>
          <w:kern w:val="0"/>
          <w:sz w:val="32"/>
          <w:szCs w:val="32"/>
        </w:rPr>
        <w:t>，其中一般公共预算财政拨款预算完成率</w:t>
      </w:r>
      <w:r>
        <w:rPr>
          <w:rFonts w:cs="黑体" w:asciiTheme="minorEastAsia" w:hAnsiTheme="minorEastAsia"/>
          <w:color w:val="000000"/>
          <w:kern w:val="0"/>
          <w:sz w:val="32"/>
          <w:szCs w:val="32"/>
        </w:rPr>
        <w:t>100%</w:t>
      </w:r>
      <w:r>
        <w:rPr>
          <w:rFonts w:hint="eastAsia" w:cs="黑体" w:asciiTheme="minorEastAsia" w:hAnsiTheme="minorEastAsia"/>
          <w:color w:val="000000"/>
          <w:kern w:val="0"/>
          <w:sz w:val="32"/>
          <w:szCs w:val="32"/>
        </w:rPr>
        <w:t>，政府性基金预算财政拨款完成率</w:t>
      </w:r>
      <w:r>
        <w:rPr>
          <w:rFonts w:cs="黑体" w:asciiTheme="minorEastAsia" w:hAnsiTheme="minorEastAsia"/>
          <w:color w:val="000000"/>
          <w:kern w:val="0"/>
          <w:sz w:val="32"/>
          <w:szCs w:val="32"/>
        </w:rPr>
        <w:t>83.25%</w:t>
      </w:r>
      <w:r>
        <w:rPr>
          <w:rFonts w:hint="eastAsia" w:cs="黑体" w:asciiTheme="minorEastAsia" w:hAnsiTheme="minorEastAsia"/>
          <w:color w:val="000000"/>
          <w:kern w:val="0"/>
          <w:sz w:val="32"/>
          <w:szCs w:val="32"/>
        </w:rPr>
        <w:t>；预算调整率</w:t>
      </w:r>
      <w:r>
        <w:rPr>
          <w:rFonts w:cs="黑体" w:asciiTheme="minorEastAsia" w:hAnsiTheme="minorEastAsia"/>
          <w:color w:val="000000"/>
          <w:kern w:val="0"/>
          <w:sz w:val="32"/>
          <w:szCs w:val="32"/>
        </w:rPr>
        <w:t>1.41%</w:t>
      </w:r>
      <w:r>
        <w:rPr>
          <w:rFonts w:hint="eastAsia" w:cs="黑体" w:asciiTheme="minorEastAsia" w:hAnsiTheme="minorEastAsia"/>
          <w:color w:val="000000"/>
          <w:kern w:val="0"/>
          <w:sz w:val="32"/>
          <w:szCs w:val="32"/>
        </w:rPr>
        <w:t>。</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2</w:t>
      </w:r>
      <w:r>
        <w:rPr>
          <w:rFonts w:hint="eastAsia" w:cs="黑体" w:asciiTheme="minorEastAsia" w:hAnsiTheme="minorEastAsia"/>
          <w:color w:val="000000"/>
          <w:kern w:val="0"/>
          <w:sz w:val="32"/>
          <w:szCs w:val="32"/>
        </w:rPr>
        <w:t>、本年预算配置方面，编制内在职人员控制率为</w:t>
      </w:r>
      <w:r>
        <w:rPr>
          <w:rFonts w:cs="黑体" w:asciiTheme="minorEastAsia" w:hAnsiTheme="minorEastAsia"/>
          <w:color w:val="000000"/>
          <w:kern w:val="0"/>
          <w:sz w:val="32"/>
          <w:szCs w:val="32"/>
        </w:rPr>
        <w:t>60.91%</w:t>
      </w:r>
      <w:r>
        <w:rPr>
          <w:rFonts w:hint="eastAsia" w:cs="黑体" w:asciiTheme="minorEastAsia" w:hAnsiTheme="minorEastAsia"/>
          <w:color w:val="000000"/>
          <w:kern w:val="0"/>
          <w:sz w:val="32"/>
          <w:szCs w:val="32"/>
        </w:rPr>
        <w:t>，小于100%；公用经费控制率为9</w:t>
      </w:r>
      <w:r>
        <w:rPr>
          <w:rFonts w:cs="黑体" w:asciiTheme="minorEastAsia" w:hAnsiTheme="minorEastAsia"/>
          <w:color w:val="000000"/>
          <w:kern w:val="0"/>
          <w:sz w:val="32"/>
          <w:szCs w:val="32"/>
        </w:rPr>
        <w:t>9.97</w:t>
      </w:r>
      <w:r>
        <w:rPr>
          <w:rFonts w:hint="eastAsia" w:cs="黑体" w:asciiTheme="minorEastAsia" w:hAnsiTheme="minorEastAsia"/>
          <w:color w:val="000000"/>
          <w:kern w:val="0"/>
          <w:sz w:val="32"/>
          <w:szCs w:val="32"/>
        </w:rPr>
        <w:t>%，“三公经费”变动率为</w:t>
      </w:r>
      <w:r>
        <w:rPr>
          <w:rFonts w:cs="黑体" w:asciiTheme="minorEastAsia" w:hAnsiTheme="minorEastAsia"/>
          <w:color w:val="000000"/>
          <w:kern w:val="0"/>
          <w:sz w:val="32"/>
          <w:szCs w:val="32"/>
        </w:rPr>
        <w:t>-63.52%</w:t>
      </w:r>
      <w:r>
        <w:rPr>
          <w:rFonts w:hint="eastAsia" w:cs="黑体" w:asciiTheme="minorEastAsia" w:hAnsiTheme="minorEastAsia"/>
          <w:color w:val="000000"/>
          <w:kern w:val="0"/>
          <w:sz w:val="32"/>
          <w:szCs w:val="32"/>
        </w:rPr>
        <w:t>，小于0。</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3、预算调整率为1</w:t>
      </w:r>
      <w:r>
        <w:rPr>
          <w:rFonts w:cs="黑体" w:asciiTheme="minorEastAsia" w:hAnsiTheme="minorEastAsia"/>
          <w:color w:val="000000"/>
          <w:kern w:val="0"/>
          <w:sz w:val="32"/>
          <w:szCs w:val="32"/>
        </w:rPr>
        <w:t>.41</w:t>
      </w:r>
      <w:r>
        <w:rPr>
          <w:rFonts w:hint="eastAsia" w:cs="黑体" w:asciiTheme="minorEastAsia" w:hAnsiTheme="minorEastAsia"/>
          <w:color w:val="000000"/>
          <w:kern w:val="0"/>
          <w:sz w:val="32"/>
          <w:szCs w:val="32"/>
        </w:rPr>
        <w:t>%，小于1</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%，预算管理方面较好，本着厉行节俭、只减不增的原则，严格执行“三公经费”标准和审批制度与程序，公用经费、三公经费都得到了有效控制。</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4、本年度人均公用经费成本控制在1</w:t>
      </w:r>
      <w:r>
        <w:rPr>
          <w:rFonts w:cs="黑体" w:asciiTheme="minorEastAsia" w:hAnsiTheme="minorEastAsia"/>
          <w:color w:val="000000"/>
          <w:kern w:val="0"/>
          <w:sz w:val="32"/>
          <w:szCs w:val="32"/>
        </w:rPr>
        <w:t>.46万元</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人</w:t>
      </w:r>
      <w:r>
        <w:rPr>
          <w:rFonts w:hint="eastAsia" w:cs="黑体" w:asciiTheme="minorEastAsia" w:hAnsiTheme="minorEastAsia"/>
          <w:color w:val="000000"/>
          <w:kern w:val="0"/>
          <w:sz w:val="32"/>
          <w:szCs w:val="32"/>
        </w:rPr>
        <w:t>，人均办公费成本控制0</w:t>
      </w:r>
      <w:r>
        <w:rPr>
          <w:rFonts w:cs="黑体" w:asciiTheme="minorEastAsia" w:hAnsiTheme="minorEastAsia"/>
          <w:color w:val="000000"/>
          <w:kern w:val="0"/>
          <w:sz w:val="32"/>
          <w:szCs w:val="32"/>
        </w:rPr>
        <w:t>.02万元</w:t>
      </w:r>
      <w:r>
        <w:rPr>
          <w:rFonts w:hint="eastAsia" w:cs="黑体" w:asciiTheme="minorEastAsia" w:hAnsiTheme="minorEastAsia"/>
          <w:color w:val="000000"/>
          <w:kern w:val="0"/>
          <w:sz w:val="32"/>
          <w:szCs w:val="32"/>
        </w:rPr>
        <w:t>。</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5</w:t>
      </w:r>
      <w:r>
        <w:rPr>
          <w:rFonts w:hint="eastAsia" w:cs="黑体" w:asciiTheme="minorEastAsia" w:hAnsiTheme="minorEastAsia"/>
          <w:color w:val="000000"/>
          <w:kern w:val="0"/>
          <w:sz w:val="32"/>
          <w:szCs w:val="32"/>
        </w:rPr>
        <w:t>、为激励我中心教练员、运动员“为国争光、为省添彩”的拼搏精神，促进体育事业发展，加快推进体育强国、体育强省建设，我中心根据《湖南省优秀运动员高端人才激励办法》的相关规定，完成运动员常年成绩奖和高端人才激励奖金发放，共发放金额6</w:t>
      </w:r>
      <w:r>
        <w:rPr>
          <w:rFonts w:cs="黑体" w:asciiTheme="minorEastAsia" w:hAnsiTheme="minorEastAsia"/>
          <w:color w:val="000000"/>
          <w:kern w:val="0"/>
          <w:sz w:val="32"/>
          <w:szCs w:val="32"/>
        </w:rPr>
        <w:t>5.96万元</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发放</w:t>
      </w:r>
      <w:r>
        <w:rPr>
          <w:rFonts w:hint="eastAsia" w:cs="黑体" w:asciiTheme="minorEastAsia" w:hAnsiTheme="minorEastAsia"/>
          <w:color w:val="000000"/>
          <w:kern w:val="0"/>
          <w:sz w:val="32"/>
          <w:szCs w:val="32"/>
        </w:rPr>
        <w:t>7</w:t>
      </w:r>
      <w:r>
        <w:rPr>
          <w:rFonts w:cs="黑体" w:asciiTheme="minorEastAsia" w:hAnsiTheme="minorEastAsia"/>
          <w:color w:val="000000"/>
          <w:kern w:val="0"/>
          <w:sz w:val="32"/>
          <w:szCs w:val="32"/>
        </w:rPr>
        <w:t>2人次</w:t>
      </w:r>
      <w:r>
        <w:rPr>
          <w:rFonts w:hint="eastAsia" w:cs="黑体" w:asciiTheme="minorEastAsia" w:hAnsiTheme="minorEastAsia"/>
          <w:color w:val="000000"/>
          <w:kern w:val="0"/>
          <w:sz w:val="32"/>
          <w:szCs w:val="32"/>
        </w:rPr>
        <w:t>。</w:t>
      </w:r>
    </w:p>
    <w:p>
      <w:pPr>
        <w:spacing w:line="360" w:lineRule="auto"/>
        <w:ind w:firstLine="640" w:firstLineChars="200"/>
        <w:outlineLvl w:val="1"/>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（四）社会效益和行政效益</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一年来，中心始终坚持把学习贯彻党的十九大精神作为首要政治任务，坚持领导带头，全员覆盖，切实抓好广大党员干部职工学习教育培训，不断提高中心党员干部职工思想政治和理论水平，做到在思想上、政治上、行动上与党中央保持高度一致。</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2</w:t>
      </w:r>
      <w:r>
        <w:rPr>
          <w:rFonts w:hint="eastAsia" w:cs="黑体" w:asciiTheme="minorEastAsia" w:hAnsiTheme="minorEastAsia"/>
          <w:color w:val="000000"/>
          <w:kern w:val="0"/>
          <w:sz w:val="32"/>
          <w:szCs w:val="32"/>
        </w:rPr>
        <w:t>、中心为更好的组织体操训练竞赛、促进体操、蹦床、攀岩三项运动发展，引进教练员、运动员7人，为了</w:t>
      </w:r>
      <w:r>
        <w:rPr>
          <w:rFonts w:cs="黑体" w:asciiTheme="minorEastAsia" w:hAnsiTheme="minorEastAsia"/>
          <w:color w:val="000000"/>
          <w:kern w:val="0"/>
          <w:sz w:val="32"/>
          <w:szCs w:val="32"/>
        </w:rPr>
        <w:t>提升运动员专业技能</w:t>
      </w:r>
      <w:r>
        <w:rPr>
          <w:rFonts w:hint="eastAsia" w:cs="黑体" w:asciiTheme="minorEastAsia" w:hAnsiTheme="minorEastAsia"/>
          <w:color w:val="000000"/>
          <w:kern w:val="0"/>
          <w:sz w:val="32"/>
          <w:szCs w:val="32"/>
        </w:rPr>
        <w:t>，教练员针对每名运动员</w:t>
      </w:r>
      <w:r>
        <w:rPr>
          <w:rFonts w:cs="黑体" w:asciiTheme="minorEastAsia" w:hAnsiTheme="minorEastAsia"/>
          <w:color w:val="000000"/>
          <w:kern w:val="0"/>
          <w:sz w:val="32"/>
          <w:szCs w:val="32"/>
        </w:rPr>
        <w:t>制定相应训练计划</w:t>
      </w:r>
      <w:r>
        <w:rPr>
          <w:rFonts w:hint="eastAsia" w:cs="黑体" w:asciiTheme="minorEastAsia" w:hAnsiTheme="minorEastAsia"/>
          <w:color w:val="000000"/>
          <w:kern w:val="0"/>
          <w:sz w:val="32"/>
          <w:szCs w:val="32"/>
        </w:rPr>
        <w:t>，训练过程中编制了1</w:t>
      </w:r>
      <w:r>
        <w:rPr>
          <w:rFonts w:cs="黑体" w:asciiTheme="minorEastAsia" w:hAnsiTheme="minorEastAsia"/>
          <w:color w:val="000000"/>
          <w:kern w:val="0"/>
          <w:sz w:val="32"/>
          <w:szCs w:val="32"/>
        </w:rPr>
        <w:t>10份训练计划</w:t>
      </w:r>
      <w:r>
        <w:rPr>
          <w:rFonts w:hint="eastAsia" w:cs="黑体" w:asciiTheme="minorEastAsia" w:hAnsiTheme="minorEastAsia"/>
          <w:color w:val="000000"/>
          <w:kern w:val="0"/>
          <w:sz w:val="32"/>
          <w:szCs w:val="32"/>
        </w:rPr>
        <w:t>，运动员</w:t>
      </w:r>
      <w:r>
        <w:rPr>
          <w:rFonts w:cs="黑体" w:asciiTheme="minorEastAsia" w:hAnsiTheme="minorEastAsia"/>
          <w:color w:val="000000"/>
          <w:kern w:val="0"/>
          <w:sz w:val="32"/>
          <w:szCs w:val="32"/>
        </w:rPr>
        <w:t>训练天数达</w:t>
      </w:r>
      <w:r>
        <w:rPr>
          <w:rFonts w:hint="eastAsia" w:cs="黑体" w:asciiTheme="minorEastAsia" w:hAnsiTheme="minorEastAsia"/>
          <w:color w:val="000000"/>
          <w:kern w:val="0"/>
          <w:sz w:val="32"/>
          <w:szCs w:val="32"/>
        </w:rPr>
        <w:t>3</w:t>
      </w:r>
      <w:r>
        <w:rPr>
          <w:rFonts w:cs="黑体" w:asciiTheme="minorEastAsia" w:hAnsiTheme="minorEastAsia"/>
          <w:color w:val="000000"/>
          <w:kern w:val="0"/>
          <w:sz w:val="32"/>
          <w:szCs w:val="32"/>
        </w:rPr>
        <w:t>10天</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通过训练</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我中心运动员在国际和国内比赛中取得较好的成绩</w:t>
      </w:r>
      <w:r>
        <w:rPr>
          <w:rFonts w:hint="eastAsia" w:cs="黑体" w:asciiTheme="minorEastAsia" w:hAnsiTheme="minorEastAsia"/>
          <w:color w:val="000000"/>
          <w:kern w:val="0"/>
          <w:sz w:val="32"/>
          <w:szCs w:val="32"/>
        </w:rPr>
        <w:t>。</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3</w:t>
      </w:r>
      <w:r>
        <w:rPr>
          <w:rFonts w:hint="eastAsia" w:cs="黑体" w:asciiTheme="minorEastAsia" w:hAnsiTheme="minorEastAsia"/>
          <w:color w:val="000000"/>
          <w:kern w:val="0"/>
          <w:sz w:val="32"/>
          <w:szCs w:val="32"/>
        </w:rPr>
        <w:t>、2021年是十四届全运会年，根据局备战办及中心备战十四运周期的整体部署和要求，贯彻落实一手抓东京奥运、一手抓十四运的指导思想，扎实开展训练工作。一年来，中心发扬团结、拼搏、奋斗的团队精神，狠抓队伍建设和训练中的各个环节。在第十四届全运会中共获得</w:t>
      </w:r>
      <w:r>
        <w:rPr>
          <w:rFonts w:cs="黑体" w:asciiTheme="minorEastAsia" w:hAnsiTheme="minorEastAsia"/>
          <w:color w:val="000000"/>
          <w:kern w:val="0"/>
          <w:sz w:val="32"/>
          <w:szCs w:val="32"/>
        </w:rPr>
        <w:t>3</w:t>
      </w:r>
      <w:r>
        <w:rPr>
          <w:rFonts w:hint="eastAsia" w:cs="黑体" w:asciiTheme="minorEastAsia" w:hAnsiTheme="minorEastAsia"/>
          <w:color w:val="000000"/>
          <w:kern w:val="0"/>
          <w:sz w:val="32"/>
          <w:szCs w:val="32"/>
        </w:rPr>
        <w:t>枚金牌、4枚银牌、</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枚铜牌；在今年全国其他比赛中共获得3枚金牌、</w:t>
      </w:r>
      <w:r>
        <w:rPr>
          <w:rFonts w:cs="黑体" w:asciiTheme="minorEastAsia" w:hAnsiTheme="minorEastAsia"/>
          <w:color w:val="000000"/>
          <w:kern w:val="0"/>
          <w:sz w:val="32"/>
          <w:szCs w:val="32"/>
        </w:rPr>
        <w:t>4</w:t>
      </w:r>
      <w:r>
        <w:rPr>
          <w:rFonts w:hint="eastAsia" w:cs="黑体" w:asciiTheme="minorEastAsia" w:hAnsiTheme="minorEastAsia"/>
          <w:color w:val="000000"/>
          <w:kern w:val="0"/>
          <w:sz w:val="32"/>
          <w:szCs w:val="32"/>
        </w:rPr>
        <w:t>枚银牌、</w:t>
      </w:r>
      <w:r>
        <w:rPr>
          <w:rFonts w:cs="黑体" w:asciiTheme="minorEastAsia" w:hAnsiTheme="minorEastAsia"/>
          <w:color w:val="000000"/>
          <w:kern w:val="0"/>
          <w:sz w:val="32"/>
          <w:szCs w:val="32"/>
        </w:rPr>
        <w:t>4</w:t>
      </w:r>
      <w:r>
        <w:rPr>
          <w:rFonts w:hint="eastAsia" w:cs="黑体" w:asciiTheme="minorEastAsia" w:hAnsiTheme="minorEastAsia"/>
          <w:color w:val="000000"/>
          <w:kern w:val="0"/>
          <w:sz w:val="32"/>
          <w:szCs w:val="32"/>
        </w:rPr>
        <w:t>枚铜牌；在世界体操锦标赛中获得男子个人全能冠军、世界蹦床锦标赛中获得男子网上个人冠军。圆满完成了局党组交给我中心的任务。</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4、“湖南省体育场体操中心训练教学综合楼工程”项目验收合格，已完成竣工决算。</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5</w:t>
      </w:r>
      <w:r>
        <w:rPr>
          <w:rFonts w:hint="eastAsia" w:cs="黑体" w:asciiTheme="minorEastAsia" w:hAnsiTheme="minorEastAsia"/>
          <w:color w:val="000000"/>
          <w:kern w:val="0"/>
          <w:sz w:val="32"/>
          <w:szCs w:val="32"/>
        </w:rPr>
        <w:t>、资产管理</w:t>
      </w:r>
    </w:p>
    <w:p>
      <w:pPr>
        <w:widowControl/>
        <w:adjustRightInd w:val="0"/>
        <w:snapToGrid w:val="0"/>
        <w:spacing w:line="360" w:lineRule="auto"/>
        <w:ind w:firstLine="579" w:firstLineChars="181"/>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湖南省体操运动管理中心建立了资产管理制度等内部控制制度，对需要经过政府采购的项目均进行了政府采购，但对资产未定期进行了盘点和清理，不利于资产管理。</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（五）可持续发展能力</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1、下市州选材，储备体操后备人才。</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湖南体操运动学校作为全省体操后备人才重要基地，为加强后备人才培养，扩大夺金面，今年暑假，湖南省体操运动学校带团队从市州400余名参选孩子中选拔40名测试成绩优异者，赴长沙参加为期30天暑期集训，最终遴选9名孩子入选湖南省体操运动学校选材班。</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2、下基层开展体操项目全国注册工作</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为进一步加强湖南体操项目运动员注册管理工作，夯实后备人才队伍建设，防止人才流失，根据湖南省体育局青少年体育处要求，从2021年起，体操项目运动员必须代表湖南在国家体育总局注册成功后才能参加湖南省运动会和湖南省青少年锦标赛。中心训练科2月份前往各市州组织、实施体操项目全国注册工作。</w:t>
      </w:r>
      <w:r>
        <w:rPr>
          <w:rFonts w:cs="黑体" w:asciiTheme="minorEastAsia" w:hAnsiTheme="minorEastAsia"/>
          <w:color w:val="000000"/>
          <w:kern w:val="0"/>
          <w:sz w:val="32"/>
          <w:szCs w:val="32"/>
        </w:rPr>
        <w:t>我中心</w:t>
      </w:r>
      <w:r>
        <w:rPr>
          <w:rFonts w:hint="eastAsia" w:cs="黑体" w:asciiTheme="minorEastAsia" w:hAnsiTheme="minorEastAsia"/>
          <w:color w:val="000000"/>
          <w:kern w:val="0"/>
          <w:sz w:val="32"/>
          <w:szCs w:val="32"/>
        </w:rPr>
        <w:t>在国家体育总局完成运动员注册人数达3</w:t>
      </w:r>
      <w:r>
        <w:rPr>
          <w:rFonts w:cs="黑体" w:asciiTheme="minorEastAsia" w:hAnsiTheme="minorEastAsia"/>
          <w:color w:val="000000"/>
          <w:kern w:val="0"/>
          <w:sz w:val="32"/>
          <w:szCs w:val="32"/>
        </w:rPr>
        <w:t>30人</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其中体操项目运动员</w:t>
      </w:r>
      <w:r>
        <w:rPr>
          <w:rFonts w:hint="eastAsia" w:cs="黑体" w:asciiTheme="minorEastAsia" w:hAnsiTheme="minorEastAsia"/>
          <w:color w:val="000000"/>
          <w:kern w:val="0"/>
          <w:sz w:val="32"/>
          <w:szCs w:val="32"/>
        </w:rPr>
        <w:t>2</w:t>
      </w:r>
      <w:r>
        <w:rPr>
          <w:rFonts w:cs="黑体" w:asciiTheme="minorEastAsia" w:hAnsiTheme="minorEastAsia"/>
          <w:color w:val="000000"/>
          <w:kern w:val="0"/>
          <w:sz w:val="32"/>
          <w:szCs w:val="32"/>
        </w:rPr>
        <w:t>61人</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蹦床项目运动员</w:t>
      </w:r>
      <w:r>
        <w:rPr>
          <w:rFonts w:hint="eastAsia" w:cs="黑体" w:asciiTheme="minorEastAsia" w:hAnsiTheme="minorEastAsia"/>
          <w:color w:val="000000"/>
          <w:kern w:val="0"/>
          <w:sz w:val="32"/>
          <w:szCs w:val="32"/>
        </w:rPr>
        <w:t>3</w:t>
      </w:r>
      <w:r>
        <w:rPr>
          <w:rFonts w:cs="黑体" w:asciiTheme="minorEastAsia" w:hAnsiTheme="minorEastAsia"/>
          <w:color w:val="000000"/>
          <w:kern w:val="0"/>
          <w:sz w:val="32"/>
          <w:szCs w:val="32"/>
        </w:rPr>
        <w:t>9人</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攀岩项目运动员</w:t>
      </w:r>
      <w:r>
        <w:rPr>
          <w:rFonts w:hint="eastAsia" w:cs="黑体" w:asciiTheme="minorEastAsia" w:hAnsiTheme="minorEastAsia"/>
          <w:color w:val="000000"/>
          <w:kern w:val="0"/>
          <w:sz w:val="32"/>
          <w:szCs w:val="32"/>
        </w:rPr>
        <w:t>3</w:t>
      </w:r>
      <w:r>
        <w:rPr>
          <w:rFonts w:cs="黑体" w:asciiTheme="minorEastAsia" w:hAnsiTheme="minorEastAsia"/>
          <w:color w:val="000000"/>
          <w:kern w:val="0"/>
          <w:sz w:val="32"/>
          <w:szCs w:val="32"/>
        </w:rPr>
        <w:t>0人</w:t>
      </w:r>
      <w:r>
        <w:rPr>
          <w:rFonts w:hint="eastAsia" w:cs="黑体" w:asciiTheme="minorEastAsia" w:hAnsiTheme="minorEastAsia"/>
          <w:color w:val="000000"/>
          <w:kern w:val="0"/>
          <w:sz w:val="32"/>
          <w:szCs w:val="32"/>
        </w:rPr>
        <w:t>。</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3、联合教体局、学校，推动体操进校园。</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积极整合体、教各自优势，把体操馆建进学校。目前在长沙市岳麓区潭州小学已全面投入并完善学校的体操房的建设，全省的招生，学校的教学并开展大课间教学。作为合作单位，充分利用学校硬件、文化教学、场馆等资源，建设标准化体操馆。将体操项目引入校本课程，并分批遴选体操后备人才，教育、体育共同发力，培养文化学习、体育体操技能发展齐头并进的高素质后备人才。</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4、积极举办全省比赛，扩大体操人口基数。</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为进一步促进我省体操、蹦床、攀岩项目的可持续发展，加强后备人才队伍的梯队建设，今年</w:t>
      </w:r>
      <w:r>
        <w:rPr>
          <w:rFonts w:cs="黑体" w:asciiTheme="minorEastAsia" w:hAnsiTheme="minorEastAsia"/>
          <w:color w:val="000000"/>
          <w:kern w:val="0"/>
          <w:sz w:val="32"/>
          <w:szCs w:val="32"/>
        </w:rPr>
        <w:t>7</w:t>
      </w:r>
      <w:r>
        <w:rPr>
          <w:rFonts w:hint="eastAsia" w:cs="黑体" w:asciiTheme="minorEastAsia" w:hAnsiTheme="minorEastAsia"/>
          <w:color w:val="000000"/>
          <w:kern w:val="0"/>
          <w:sz w:val="32"/>
          <w:szCs w:val="32"/>
        </w:rPr>
        <w:t>月份体操中心特别举办了湖南省青少年体操、蹦床、攀岩锦标赛，让更多青少年参与进来，提供更高的竞赛平台展示运动健儿的风采，锦标赛将推进本省青少年体育文化建设，展示湖南省青少年良好精神风貌，发掘和培养含有运动潜力的明日之星，挖掘培养新世纪有理想有目标的青少年体育人才，通过青少年体操锦标赛发掘新人、培养新人、推出新人，为国家输送本省优秀的体操、蹦床、攀岩等新人。</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5、后备人才培养</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我中心</w:t>
      </w:r>
      <w:r>
        <w:rPr>
          <w:rFonts w:hint="eastAsia" w:cs="黑体" w:asciiTheme="minorEastAsia" w:hAnsiTheme="minorEastAsia"/>
          <w:color w:val="000000"/>
          <w:kern w:val="0"/>
          <w:sz w:val="32"/>
          <w:szCs w:val="32"/>
        </w:rPr>
        <w:t>注重</w:t>
      </w:r>
      <w:r>
        <w:rPr>
          <w:rFonts w:cs="黑体" w:asciiTheme="minorEastAsia" w:hAnsiTheme="minorEastAsia"/>
          <w:color w:val="000000"/>
          <w:kern w:val="0"/>
          <w:sz w:val="32"/>
          <w:szCs w:val="32"/>
        </w:rPr>
        <w:t>后备人才的培养</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本年度</w:t>
      </w:r>
      <w:r>
        <w:rPr>
          <w:rFonts w:hint="eastAsia" w:cs="黑体" w:asciiTheme="minorEastAsia" w:hAnsiTheme="minorEastAsia"/>
          <w:color w:val="000000"/>
          <w:kern w:val="0"/>
          <w:sz w:val="32"/>
          <w:szCs w:val="32"/>
        </w:rPr>
        <w:t>在国家队集训运动15</w:t>
      </w:r>
      <w:r>
        <w:rPr>
          <w:rFonts w:cs="黑体" w:asciiTheme="minorEastAsia" w:hAnsiTheme="minorEastAsia"/>
          <w:color w:val="000000"/>
          <w:kern w:val="0"/>
          <w:sz w:val="32"/>
          <w:szCs w:val="32"/>
        </w:rPr>
        <w:t>名</w:t>
      </w:r>
      <w:r>
        <w:rPr>
          <w:rFonts w:hint="eastAsia" w:cs="黑体" w:asciiTheme="minorEastAsia" w:hAnsiTheme="minorEastAsia"/>
          <w:color w:val="000000"/>
          <w:kern w:val="0"/>
          <w:sz w:val="32"/>
          <w:szCs w:val="32"/>
        </w:rPr>
        <w:t>。现我中心有一级运动员4人；健将3人；国际运动健将2人，较去年健将减少1人，国际运动健将增加2人。</w:t>
      </w:r>
    </w:p>
    <w:p>
      <w:pPr>
        <w:spacing w:line="360" w:lineRule="auto"/>
        <w:ind w:firstLine="640" w:firstLineChars="200"/>
        <w:outlineLvl w:val="1"/>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（六）服务对象满意度评价</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w:t>
      </w:r>
      <w:r>
        <w:rPr>
          <w:rFonts w:cs="黑体" w:asciiTheme="minorEastAsia" w:hAnsiTheme="minorEastAsia"/>
          <w:color w:val="000000"/>
          <w:kern w:val="0"/>
          <w:sz w:val="32"/>
          <w:szCs w:val="32"/>
        </w:rPr>
        <w:t>021年以参加第十四届全运会</w:t>
      </w:r>
      <w:r>
        <w:rPr>
          <w:rFonts w:hint="eastAsia" w:cs="黑体" w:asciiTheme="minorEastAsia" w:hAnsiTheme="minorEastAsia"/>
          <w:color w:val="000000"/>
          <w:kern w:val="0"/>
          <w:sz w:val="32"/>
          <w:szCs w:val="32"/>
        </w:rPr>
        <w:t>和东京</w:t>
      </w:r>
      <w:r>
        <w:rPr>
          <w:rFonts w:cs="黑体" w:asciiTheme="minorEastAsia" w:hAnsiTheme="minorEastAsia"/>
          <w:color w:val="000000"/>
          <w:kern w:val="0"/>
          <w:sz w:val="32"/>
          <w:szCs w:val="32"/>
        </w:rPr>
        <w:t>奥运会选拔赛</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加强运动队训练</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举办青少年赛事等</w:t>
      </w:r>
      <w:r>
        <w:rPr>
          <w:rFonts w:hint="eastAsia" w:cs="黑体" w:asciiTheme="minorEastAsia" w:hAnsiTheme="minorEastAsia"/>
          <w:color w:val="000000"/>
          <w:kern w:val="0"/>
          <w:sz w:val="32"/>
          <w:szCs w:val="32"/>
        </w:rPr>
        <w:t>工作为重点抓手，进一步把体操、蹦床、攀岩项目推向社会，积极举办全省比赛项目，</w:t>
      </w:r>
      <w:r>
        <w:rPr>
          <w:rFonts w:cs="黑体" w:asciiTheme="minorEastAsia" w:hAnsiTheme="minorEastAsia"/>
          <w:color w:val="000000"/>
          <w:kern w:val="0"/>
          <w:sz w:val="32"/>
          <w:szCs w:val="32"/>
        </w:rPr>
        <w:t>得到了社会各界人士的充分肯定，社会公众满意度较好。</w:t>
      </w:r>
    </w:p>
    <w:p>
      <w:pPr>
        <w:spacing w:line="360" w:lineRule="auto"/>
        <w:ind w:firstLine="640" w:firstLineChars="200"/>
        <w:outlineLvl w:val="1"/>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（七）综合评价情况及评价结论</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依据《湖南省财政厅关于开展2</w:t>
      </w:r>
      <w:r>
        <w:rPr>
          <w:rFonts w:cs="黑体" w:asciiTheme="minorEastAsia" w:hAnsiTheme="minorEastAsia"/>
          <w:color w:val="000000"/>
          <w:kern w:val="0"/>
          <w:sz w:val="32"/>
          <w:szCs w:val="32"/>
        </w:rPr>
        <w:t>021年度部门整体支出绩效自评工作的通知</w:t>
      </w:r>
      <w:r>
        <w:rPr>
          <w:rFonts w:hint="eastAsia" w:cs="黑体" w:asciiTheme="minorEastAsia" w:hAnsiTheme="minorEastAsia"/>
          <w:color w:val="000000"/>
          <w:kern w:val="0"/>
          <w:sz w:val="32"/>
          <w:szCs w:val="32"/>
        </w:rPr>
        <w:t>》（湘财绩〔20</w:t>
      </w:r>
      <w:r>
        <w:rPr>
          <w:rFonts w:cs="黑体" w:asciiTheme="minorEastAsia" w:hAnsiTheme="minorEastAsia"/>
          <w:color w:val="000000"/>
          <w:kern w:val="0"/>
          <w:sz w:val="32"/>
          <w:szCs w:val="32"/>
        </w:rPr>
        <w:t>22</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号）、《湖南省体育局关于开展2021年度部门整体支出绩效自评工作的通知》，从产出、效益、满意度指标三大项指标逐一评分，整体支出基本合理、规范、有效，社会效益较好，服务对象满意度较高，但仍存在年度部门工作计划过于简单、绩效意识管理薄弱、资金管理和使用不规范等问题。综上所述，202</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年度部门整体绩效自评得分为</w:t>
      </w:r>
      <w:r>
        <w:rPr>
          <w:rFonts w:cs="黑体" w:asciiTheme="minorEastAsia" w:hAnsiTheme="minorEastAsia"/>
          <w:color w:val="000000"/>
          <w:kern w:val="0"/>
          <w:sz w:val="32"/>
          <w:szCs w:val="32"/>
        </w:rPr>
        <w:t>97.07</w:t>
      </w:r>
      <w:r>
        <w:rPr>
          <w:rFonts w:hint="eastAsia" w:cs="黑体" w:asciiTheme="minorEastAsia" w:hAnsiTheme="minorEastAsia"/>
          <w:color w:val="000000"/>
          <w:kern w:val="0"/>
          <w:sz w:val="32"/>
          <w:szCs w:val="32"/>
        </w:rPr>
        <w:t>分，财政支出绩效为“优秀”。</w:t>
      </w:r>
    </w:p>
    <w:p>
      <w:pPr>
        <w:spacing w:line="360" w:lineRule="auto"/>
        <w:ind w:firstLine="640" w:firstLineChars="200"/>
        <w:outlineLvl w:val="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五、</w:t>
      </w:r>
      <w:r>
        <w:rPr>
          <w:rFonts w:hint="eastAsia" w:cs="黑体" w:asciiTheme="minorEastAsia" w:hAnsiTheme="minorEastAsia"/>
          <w:color w:val="000000"/>
          <w:kern w:val="0"/>
          <w:sz w:val="32"/>
          <w:szCs w:val="32"/>
        </w:rPr>
        <w:tab/>
      </w:r>
      <w:r>
        <w:rPr>
          <w:rFonts w:hint="eastAsia" w:cs="黑体" w:asciiTheme="minorEastAsia" w:hAnsiTheme="minorEastAsia"/>
          <w:color w:val="000000"/>
          <w:kern w:val="0"/>
          <w:sz w:val="32"/>
          <w:szCs w:val="32"/>
        </w:rPr>
        <w:t>政府采购绩效情况</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w:t>
      </w:r>
      <w:r>
        <w:rPr>
          <w:rFonts w:cs="黑体" w:asciiTheme="minorEastAsia" w:hAnsiTheme="minorEastAsia"/>
          <w:color w:val="000000"/>
          <w:kern w:val="0"/>
          <w:sz w:val="32"/>
          <w:szCs w:val="32"/>
        </w:rPr>
        <w:t>022年度</w:t>
      </w:r>
      <w:r>
        <w:rPr>
          <w:rFonts w:hint="eastAsia" w:cs="黑体" w:asciiTheme="minorEastAsia" w:hAnsiTheme="minorEastAsia"/>
          <w:color w:val="000000"/>
          <w:kern w:val="0"/>
          <w:sz w:val="32"/>
          <w:szCs w:val="32"/>
        </w:rPr>
        <w:t>政府采购预算0</w:t>
      </w:r>
      <w:r>
        <w:rPr>
          <w:rFonts w:cs="黑体" w:asciiTheme="minorEastAsia" w:hAnsiTheme="minorEastAsia"/>
          <w:color w:val="000000"/>
          <w:kern w:val="0"/>
          <w:sz w:val="32"/>
          <w:szCs w:val="32"/>
        </w:rPr>
        <w:t>.00万元</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实际发生政府采购</w:t>
      </w:r>
      <w:r>
        <w:rPr>
          <w:rFonts w:hint="eastAsia" w:cs="黑体" w:asciiTheme="minorEastAsia" w:hAnsiTheme="minorEastAsia"/>
          <w:color w:val="000000"/>
          <w:kern w:val="0"/>
          <w:sz w:val="32"/>
          <w:szCs w:val="32"/>
        </w:rPr>
        <w:t>180.57万元，政府采购交易均通过湖南省政府采购电子卖场完成，共签订1</w:t>
      </w:r>
      <w:r>
        <w:rPr>
          <w:rFonts w:cs="黑体" w:asciiTheme="minorEastAsia" w:hAnsiTheme="minorEastAsia"/>
          <w:color w:val="000000"/>
          <w:kern w:val="0"/>
          <w:sz w:val="32"/>
          <w:szCs w:val="32"/>
        </w:rPr>
        <w:t>14份合同</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合同执行金额</w:t>
      </w:r>
      <w:r>
        <w:rPr>
          <w:rFonts w:hint="eastAsia" w:cs="黑体" w:asciiTheme="minorEastAsia" w:hAnsiTheme="minorEastAsia"/>
          <w:color w:val="000000"/>
          <w:kern w:val="0"/>
          <w:sz w:val="32"/>
          <w:szCs w:val="32"/>
        </w:rPr>
        <w:t>1</w:t>
      </w:r>
      <w:r>
        <w:rPr>
          <w:rFonts w:cs="黑体" w:asciiTheme="minorEastAsia" w:hAnsiTheme="minorEastAsia"/>
          <w:color w:val="000000"/>
          <w:kern w:val="0"/>
          <w:sz w:val="32"/>
          <w:szCs w:val="32"/>
        </w:rPr>
        <w:t>80.57万元</w:t>
      </w:r>
      <w:r>
        <w:rPr>
          <w:rFonts w:hint="eastAsia" w:cs="黑体" w:asciiTheme="minorEastAsia" w:hAnsiTheme="minorEastAsia"/>
          <w:color w:val="000000"/>
          <w:kern w:val="0"/>
          <w:sz w:val="32"/>
          <w:szCs w:val="32"/>
        </w:rPr>
        <w:t>，采购项目均验收合格。</w:t>
      </w:r>
    </w:p>
    <w:p>
      <w:pPr>
        <w:spacing w:line="360" w:lineRule="auto"/>
        <w:ind w:firstLine="640" w:firstLineChars="200"/>
        <w:outlineLvl w:val="0"/>
        <w:rPr>
          <w:rFonts w:cs="黑体" w:asciiTheme="minorEastAsia" w:hAnsiTheme="minorEastAsia"/>
          <w:color w:val="000000"/>
          <w:kern w:val="0"/>
          <w:sz w:val="32"/>
          <w:szCs w:val="32"/>
        </w:rPr>
      </w:pPr>
      <w:r>
        <w:rPr>
          <w:rFonts w:cs="黑体" w:asciiTheme="minorEastAsia" w:hAnsiTheme="minorEastAsia"/>
          <w:color w:val="000000"/>
          <w:kern w:val="0"/>
          <w:sz w:val="32"/>
          <w:szCs w:val="32"/>
        </w:rPr>
        <w:t>六</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存在的问题及</w:t>
      </w:r>
      <w:r>
        <w:rPr>
          <w:rFonts w:hint="eastAsia" w:cs="黑体" w:asciiTheme="minorEastAsia" w:hAnsiTheme="minorEastAsia"/>
          <w:color w:val="000000"/>
          <w:kern w:val="0"/>
          <w:sz w:val="32"/>
          <w:szCs w:val="32"/>
        </w:rPr>
        <w:t>原因分析</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（一）年度部门工作计划过于简单，基本为套话，无具体的年度工作部署情况，部门重点工作不突出。</w:t>
      </w:r>
    </w:p>
    <w:p>
      <w:pPr>
        <w:spacing w:line="360" w:lineRule="auto"/>
        <w:ind w:firstLine="646" w:firstLineChars="202"/>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（二）绩效管理意识薄弱，重分配、轻管理, 绩效评价过于依赖财务部门，非全员参与，不利于绩效管理的开展，在具体项目设定绩效目标时，对兼顾好重要性和综合性原则存在一定的难度。</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（三）资产管理方面</w:t>
      </w:r>
    </w:p>
    <w:p>
      <w:pPr>
        <w:spacing w:line="360" w:lineRule="auto"/>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、资产管理部门未定期对固定资产进行盘点。部分固定资产卡片账的要素不全，如卡片无品牌、规格型号、生产厂家、发票号等信息。固定资产未粘贴资产标签，不利用资产管理。</w:t>
      </w:r>
    </w:p>
    <w:p>
      <w:pPr>
        <w:spacing w:line="360" w:lineRule="auto"/>
        <w:ind w:firstLine="646" w:firstLineChars="202"/>
        <w:rPr>
          <w:rFonts w:cs="黑体" w:asciiTheme="minorEastAsia" w:hAnsiTheme="minorEastAsia"/>
          <w:color w:val="000000"/>
          <w:kern w:val="0"/>
          <w:sz w:val="32"/>
          <w:szCs w:val="32"/>
        </w:rPr>
      </w:pPr>
      <w:r>
        <w:rPr>
          <w:rFonts w:cs="黑体" w:asciiTheme="minorEastAsia" w:hAnsiTheme="minorEastAsia"/>
          <w:color w:val="000000"/>
          <w:kern w:val="0"/>
          <w:sz w:val="32"/>
          <w:szCs w:val="32"/>
        </w:rPr>
        <w:t>2</w:t>
      </w:r>
      <w:r>
        <w:rPr>
          <w:rFonts w:hint="eastAsia" w:cs="黑体" w:asciiTheme="minorEastAsia" w:hAnsiTheme="minorEastAsia"/>
          <w:color w:val="000000"/>
          <w:kern w:val="0"/>
          <w:sz w:val="32"/>
          <w:szCs w:val="32"/>
        </w:rPr>
        <w:t>、零星物资采购有验收单、入库单无物资采购的台账，物资领用均为手写领条，并单独设置领用登记本（物品领用登记本要素包含日期、物品名称、规格型号、领用数量、领取人签名等）。缺乏系统全面的物资采购台账，物品领用登记无法与采购匹配。</w:t>
      </w:r>
    </w:p>
    <w:p>
      <w:pPr>
        <w:spacing w:line="360" w:lineRule="auto"/>
        <w:ind w:firstLine="640" w:firstLineChars="200"/>
        <w:outlineLvl w:val="0"/>
        <w:rPr>
          <w:rFonts w:cs="黑体" w:asciiTheme="minorEastAsia" w:hAnsiTheme="minorEastAsia"/>
          <w:color w:val="000000"/>
          <w:kern w:val="0"/>
          <w:sz w:val="32"/>
          <w:szCs w:val="32"/>
        </w:rPr>
      </w:pPr>
      <w:r>
        <w:rPr>
          <w:rFonts w:cs="黑体" w:asciiTheme="minorEastAsia" w:hAnsiTheme="minorEastAsia"/>
          <w:color w:val="000000"/>
          <w:kern w:val="0"/>
          <w:sz w:val="32"/>
          <w:szCs w:val="32"/>
        </w:rPr>
        <w:t>七</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下一步改进措施</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完善预算管理，细化、准确编制预算。完善预算管理制度，进一步提高各科室的预算管理意识，严格按照预算编制的相关制度和要求做好预算编制工作。加强预算项目事前、事中、事后管控，做到事前有评估、事中有监控、事后有评价，并且按预期绩效目标完成程度进行考核。</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遵循预算管理办法，对于年度无法预计的临时追加的相关工作所需费用，按照预算调整追加程序，逐级申报报批；对结余资金需调整用途的同样按照预算调整追加程序逐级申报报批，做到资金支付，预算先行，确保资金使用按照预算项目和使用用途执行。</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加强资产管理，定期对资产进行盘点，完善资产卡片信息，对固定资产粘贴标签。建立物资采购台账和物品领用登记本，对物资出库、入库逐项登记，定期无库存物资进行盘点，做到物资的采购入库、领用出库与台账数据一致。</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（四）严格按批复的部门预算执行政府采购项目，及时申报采购计划。加强政府采购的管理，严格按程序执行，采购商品和服务时，先完成竞价、签订合同等程序，再根据合同约定双方履行各自的责任和义务。</w:t>
      </w:r>
    </w:p>
    <w:p>
      <w:pPr>
        <w:spacing w:line="360" w:lineRule="auto"/>
        <w:ind w:firstLine="640" w:firstLineChars="200"/>
        <w:rPr>
          <w:rFonts w:cs="黑体" w:asciiTheme="minorEastAsia" w:hAnsiTheme="minorEastAsia"/>
          <w:color w:val="000000"/>
          <w:kern w:val="0"/>
          <w:sz w:val="32"/>
          <w:szCs w:val="32"/>
        </w:rPr>
      </w:pPr>
    </w:p>
    <w:p>
      <w:pPr>
        <w:spacing w:line="360" w:lineRule="auto"/>
        <w:ind w:firstLine="640" w:firstLineChars="200"/>
        <w:outlineLvl w:val="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w:t>
      </w:r>
      <w:r>
        <w:rPr>
          <w:rFonts w:cs="黑体" w:asciiTheme="minorEastAsia" w:hAnsiTheme="minorEastAsia"/>
          <w:color w:val="000000"/>
          <w:kern w:val="0"/>
          <w:sz w:val="32"/>
          <w:szCs w:val="32"/>
        </w:rPr>
        <w:t>、绩效自评结果拟应用和公开情况</w:t>
      </w:r>
    </w:p>
    <w:p>
      <w:pPr>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无。</w:t>
      </w:r>
    </w:p>
    <w:p>
      <w:pPr>
        <w:spacing w:line="360" w:lineRule="auto"/>
        <w:ind w:firstLine="640" w:firstLineChars="200"/>
        <w:outlineLvl w:val="0"/>
        <w:rPr>
          <w:rFonts w:cs="黑体" w:asciiTheme="minorEastAsia" w:hAnsiTheme="minorEastAsia"/>
          <w:color w:val="000000"/>
          <w:kern w:val="0"/>
          <w:sz w:val="32"/>
          <w:szCs w:val="32"/>
        </w:rPr>
      </w:pPr>
      <w:r>
        <w:rPr>
          <w:rFonts w:cs="黑体" w:asciiTheme="minorEastAsia" w:hAnsiTheme="minorEastAsia"/>
          <w:color w:val="000000"/>
          <w:kern w:val="0"/>
          <w:sz w:val="32"/>
          <w:szCs w:val="32"/>
        </w:rPr>
        <w:t>其他需要说明的情况</w:t>
      </w:r>
    </w:p>
    <w:p>
      <w:pPr>
        <w:widowControl/>
        <w:adjustRightInd w:val="0"/>
        <w:snapToGrid w:val="0"/>
        <w:spacing w:line="360" w:lineRule="auto"/>
        <w:ind w:firstLine="640" w:firstLineChars="200"/>
        <w:contextualSpacing/>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无。</w:t>
      </w:r>
    </w:p>
    <w:p>
      <w:pPr>
        <w:rPr>
          <w:rFonts w:cs="黑体" w:asciiTheme="minorEastAsia" w:hAnsiTheme="minorEastAsia"/>
          <w:sz w:val="32"/>
          <w:szCs w:val="32"/>
        </w:rPr>
      </w:pPr>
    </w:p>
    <w:p>
      <w:pPr>
        <w:rPr>
          <w:rFonts w:cs="黑体" w:asciiTheme="minorEastAsia" w:hAnsiTheme="minorEastAsia"/>
          <w:sz w:val="32"/>
          <w:szCs w:val="32"/>
        </w:rPr>
      </w:pPr>
    </w:p>
    <w:p>
      <w:pPr>
        <w:rPr>
          <w:rFonts w:cs="黑体" w:asciiTheme="minorEastAsia" w:hAnsiTheme="minorEastAsia"/>
          <w:sz w:val="32"/>
          <w:szCs w:val="32"/>
        </w:rPr>
      </w:pPr>
    </w:p>
    <w:p>
      <w:pPr>
        <w:ind w:firstLine="640" w:firstLineChars="200"/>
        <w:rPr>
          <w:rFonts w:cs="黑体" w:asciiTheme="minorEastAsia" w:hAnsiTheme="minorEastAsia"/>
          <w:sz w:val="32"/>
          <w:szCs w:val="32"/>
        </w:rPr>
        <w:sectPr>
          <w:pgSz w:w="11906" w:h="16838"/>
          <w:pgMar w:top="1440" w:right="1800" w:bottom="1440" w:left="1800" w:header="851" w:footer="992" w:gutter="0"/>
          <w:cols w:space="425" w:num="1"/>
          <w:docGrid w:type="linesAndChars" w:linePitch="312" w:charSpace="0"/>
        </w:sectPr>
      </w:pPr>
    </w:p>
    <w:tbl>
      <w:tblPr>
        <w:tblStyle w:val="6"/>
        <w:tblpPr w:leftFromText="180" w:rightFromText="180" w:vertAnchor="text" w:horzAnchor="margin" w:tblpY="215"/>
        <w:tblW w:w="9889" w:type="dxa"/>
        <w:tblInd w:w="0" w:type="dxa"/>
        <w:tblLayout w:type="fixed"/>
        <w:tblCellMar>
          <w:top w:w="0" w:type="dxa"/>
          <w:left w:w="108" w:type="dxa"/>
          <w:bottom w:w="0" w:type="dxa"/>
          <w:right w:w="108" w:type="dxa"/>
        </w:tblCellMar>
      </w:tblPr>
      <w:tblGrid>
        <w:gridCol w:w="2916"/>
        <w:gridCol w:w="1199"/>
        <w:gridCol w:w="846"/>
        <w:gridCol w:w="1590"/>
        <w:gridCol w:w="742"/>
        <w:gridCol w:w="1574"/>
        <w:gridCol w:w="1022"/>
      </w:tblGrid>
      <w:tr>
        <w:tblPrEx>
          <w:tblLayout w:type="fixed"/>
          <w:tblCellMar>
            <w:top w:w="0" w:type="dxa"/>
            <w:left w:w="108" w:type="dxa"/>
            <w:bottom w:w="0" w:type="dxa"/>
            <w:right w:w="108" w:type="dxa"/>
          </w:tblCellMar>
        </w:tblPrEx>
        <w:trPr>
          <w:trHeight w:val="480" w:hRule="atLeast"/>
        </w:trPr>
        <w:tc>
          <w:tcPr>
            <w:tcW w:w="9889" w:type="dxa"/>
            <w:gridSpan w:val="7"/>
            <w:tcBorders>
              <w:bottom w:val="single" w:color="auto" w:sz="4" w:space="0"/>
            </w:tcBorders>
            <w:shd w:val="clear" w:color="auto" w:fill="auto"/>
            <w:vAlign w:val="center"/>
          </w:tcPr>
          <w:p>
            <w:pPr>
              <w:widowControl/>
              <w:jc w:val="left"/>
              <w:rPr>
                <w:rFonts w:ascii="方正小标宋_GBK" w:hAnsi="Calibri" w:eastAsia="方正小标宋_GBK" w:cs="宋体"/>
                <w:b/>
                <w:color w:val="000000"/>
                <w:kern w:val="0"/>
                <w:sz w:val="32"/>
                <w:szCs w:val="32"/>
              </w:rPr>
            </w:pPr>
            <w:r>
              <w:rPr>
                <w:rFonts w:hint="eastAsia" w:ascii="黑体" w:hAnsi="黑体" w:eastAsia="黑体" w:cs="宋体"/>
                <w:b/>
                <w:color w:val="000000"/>
                <w:kern w:val="0"/>
                <w:sz w:val="24"/>
                <w:szCs w:val="24"/>
              </w:rPr>
              <w:t>附件1</w:t>
            </w:r>
          </w:p>
          <w:p>
            <w:pPr>
              <w:widowControl/>
              <w:jc w:val="center"/>
              <w:rPr>
                <w:rFonts w:ascii="仿宋_GB2312" w:hAnsi="宋体" w:eastAsia="仿宋_GB2312" w:cs="宋体"/>
                <w:b/>
                <w:bCs/>
                <w:color w:val="000000"/>
                <w:kern w:val="0"/>
                <w:szCs w:val="21"/>
              </w:rPr>
            </w:pPr>
            <w:r>
              <w:rPr>
                <w:rFonts w:ascii="方正小标宋_GBK" w:hAnsi="Calibri" w:eastAsia="方正小标宋_GBK" w:cs="宋体"/>
                <w:b/>
                <w:color w:val="000000"/>
                <w:kern w:val="0"/>
                <w:sz w:val="32"/>
                <w:szCs w:val="32"/>
              </w:rPr>
              <w:t>202</w:t>
            </w:r>
            <w:r>
              <w:rPr>
                <w:rFonts w:hint="eastAsia" w:ascii="方正小标宋_GBK" w:hAnsi="Calibri" w:eastAsia="方正小标宋_GBK" w:cs="宋体"/>
                <w:b/>
                <w:color w:val="000000"/>
                <w:kern w:val="0"/>
                <w:sz w:val="32"/>
                <w:szCs w:val="32"/>
              </w:rPr>
              <w:t>1年度部门整体支出绩效评价基础数据表</w:t>
            </w:r>
          </w:p>
        </w:tc>
      </w:tr>
      <w:tr>
        <w:tblPrEx>
          <w:tblLayout w:type="fixed"/>
          <w:tblCellMar>
            <w:top w:w="0" w:type="dxa"/>
            <w:left w:w="108" w:type="dxa"/>
            <w:bottom w:w="0" w:type="dxa"/>
            <w:right w:w="108" w:type="dxa"/>
          </w:tblCellMar>
        </w:tblPrEx>
        <w:trPr>
          <w:trHeight w:val="358" w:hRule="atLeast"/>
        </w:trPr>
        <w:tc>
          <w:tcPr>
            <w:tcW w:w="29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财政供养人员情况</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编制数</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Cs/>
                <w:color w:val="000000"/>
                <w:kern w:val="0"/>
                <w:szCs w:val="21"/>
              </w:rPr>
            </w:pPr>
            <w:r>
              <w:rPr>
                <w:rFonts w:cs="宋体" w:asciiTheme="minorEastAsia" w:hAnsiTheme="minorEastAsia"/>
                <w:bCs/>
                <w:color w:val="000000"/>
                <w:kern w:val="0"/>
                <w:szCs w:val="21"/>
              </w:rPr>
              <w:t>2021</w:t>
            </w:r>
            <w:r>
              <w:rPr>
                <w:rFonts w:hint="eastAsia" w:cs="宋体" w:asciiTheme="minorEastAsia" w:hAnsiTheme="minorEastAsia"/>
                <w:bCs/>
                <w:color w:val="000000"/>
                <w:kern w:val="0"/>
                <w:szCs w:val="21"/>
              </w:rPr>
              <w:t>年实际在职人数</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控制率</w:t>
            </w:r>
          </w:p>
        </w:tc>
      </w:tr>
      <w:tr>
        <w:tblPrEx>
          <w:tblLayout w:type="fixed"/>
          <w:tblCellMar>
            <w:top w:w="0" w:type="dxa"/>
            <w:left w:w="108" w:type="dxa"/>
            <w:bottom w:w="0" w:type="dxa"/>
            <w:right w:w="108" w:type="dxa"/>
          </w:tblCellMar>
        </w:tblPrEx>
        <w:trPr>
          <w:trHeight w:val="294" w:hRule="atLeast"/>
        </w:trPr>
        <w:tc>
          <w:tcPr>
            <w:tcW w:w="291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color w:val="000000"/>
                <w:kern w:val="0"/>
                <w:szCs w:val="21"/>
              </w:rPr>
            </w:pP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220</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134</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60.91%</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经费控制情况</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Cs/>
                <w:color w:val="000000"/>
                <w:kern w:val="0"/>
                <w:szCs w:val="21"/>
              </w:rPr>
            </w:pPr>
            <w:r>
              <w:rPr>
                <w:rFonts w:cs="宋体" w:asciiTheme="minorEastAsia" w:hAnsiTheme="minorEastAsia"/>
                <w:bCs/>
                <w:color w:val="000000"/>
                <w:kern w:val="0"/>
                <w:szCs w:val="21"/>
              </w:rPr>
              <w:t>2020</w:t>
            </w:r>
            <w:r>
              <w:rPr>
                <w:rFonts w:hint="eastAsia" w:cs="宋体" w:asciiTheme="minorEastAsia" w:hAnsiTheme="minorEastAsia"/>
                <w:bCs/>
                <w:color w:val="000000"/>
                <w:kern w:val="0"/>
                <w:szCs w:val="21"/>
              </w:rPr>
              <w:t>年决算数</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Cs/>
                <w:color w:val="000000"/>
                <w:kern w:val="0"/>
                <w:szCs w:val="21"/>
              </w:rPr>
            </w:pPr>
            <w:r>
              <w:rPr>
                <w:rFonts w:cs="宋体" w:asciiTheme="minorEastAsia" w:hAnsiTheme="minorEastAsia"/>
                <w:bCs/>
                <w:color w:val="000000"/>
                <w:kern w:val="0"/>
                <w:szCs w:val="21"/>
              </w:rPr>
              <w:t>2021</w:t>
            </w:r>
            <w:r>
              <w:rPr>
                <w:rFonts w:hint="eastAsia" w:cs="宋体" w:asciiTheme="minorEastAsia" w:hAnsiTheme="minorEastAsia"/>
                <w:bCs/>
                <w:color w:val="000000"/>
                <w:kern w:val="0"/>
                <w:szCs w:val="21"/>
              </w:rPr>
              <w:t>年预算数</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Cs/>
                <w:color w:val="000000"/>
                <w:kern w:val="0"/>
                <w:szCs w:val="21"/>
              </w:rPr>
            </w:pPr>
            <w:r>
              <w:rPr>
                <w:rFonts w:cs="宋体" w:asciiTheme="minorEastAsia" w:hAnsiTheme="minorEastAsia"/>
                <w:bCs/>
                <w:color w:val="000000"/>
                <w:kern w:val="0"/>
                <w:szCs w:val="21"/>
              </w:rPr>
              <w:t>2021</w:t>
            </w:r>
            <w:r>
              <w:rPr>
                <w:rFonts w:hint="eastAsia" w:cs="宋体" w:asciiTheme="minorEastAsia" w:hAnsiTheme="minorEastAsia"/>
                <w:bCs/>
                <w:color w:val="000000"/>
                <w:kern w:val="0"/>
                <w:szCs w:val="21"/>
              </w:rPr>
              <w:t>年决算数</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三公经费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2.33</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0.9</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0.85</w:t>
            </w:r>
          </w:p>
        </w:tc>
      </w:tr>
      <w:tr>
        <w:tblPrEx>
          <w:tblLayout w:type="fixed"/>
          <w:tblCellMar>
            <w:top w:w="0" w:type="dxa"/>
            <w:left w:w="108" w:type="dxa"/>
            <w:bottom w:w="0" w:type="dxa"/>
            <w:right w:w="108" w:type="dxa"/>
          </w:tblCellMar>
        </w:tblPrEx>
        <w:trPr>
          <w:trHeight w:val="552"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cs="宋体" w:asciiTheme="minorEastAsia" w:hAnsiTheme="minorEastAsia"/>
                <w:color w:val="000000"/>
                <w:kern w:val="0"/>
                <w:sz w:val="20"/>
                <w:szCs w:val="20"/>
              </w:rPr>
              <w:t>1</w:t>
            </w:r>
            <w:r>
              <w:rPr>
                <w:rFonts w:hint="eastAsia" w:cs="宋体" w:asciiTheme="minorEastAsia" w:hAnsiTheme="minorEastAsia"/>
                <w:color w:val="000000"/>
                <w:kern w:val="0"/>
                <w:sz w:val="20"/>
                <w:szCs w:val="20"/>
              </w:rPr>
              <w:t>、公务用车购置和维护经费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2.1</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0.8</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0.8</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其中：公车购置</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公车运行维护</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2.1</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0.8</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0.8</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w:t>
            </w:r>
            <w:r>
              <w:rPr>
                <w:rFonts w:hint="eastAsia" w:cs="宋体" w:asciiTheme="minorEastAsia" w:hAnsiTheme="minorEastAsia"/>
                <w:color w:val="000000"/>
                <w:kern w:val="0"/>
                <w:szCs w:val="21"/>
              </w:rPr>
              <w:t>、出国经费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3</w:t>
            </w:r>
            <w:r>
              <w:rPr>
                <w:rFonts w:hint="eastAsia" w:cs="宋体" w:asciiTheme="minorEastAsia" w:hAnsiTheme="minorEastAsia"/>
                <w:color w:val="000000"/>
                <w:kern w:val="0"/>
                <w:szCs w:val="21"/>
              </w:rPr>
              <w:t>、公务接待</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0.23</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0.1</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0.05</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项目支出：</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546.04</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481.88</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427.97</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1</w:t>
            </w:r>
            <w:r>
              <w:rPr>
                <w:rFonts w:hint="eastAsia" w:cs="宋体" w:asciiTheme="minorEastAsia" w:hAnsiTheme="minorEastAsia"/>
                <w:color w:val="000000"/>
                <w:kern w:val="0"/>
                <w:szCs w:val="21"/>
              </w:rPr>
              <w:t>、业务工作专项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3.27</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160</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160</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w:t>
            </w:r>
            <w:r>
              <w:rPr>
                <w:rFonts w:hint="eastAsia" w:cs="宋体" w:asciiTheme="minorEastAsia" w:hAnsiTheme="minorEastAsia"/>
                <w:color w:val="000000"/>
                <w:kern w:val="0"/>
                <w:szCs w:val="21"/>
              </w:rPr>
              <w:t>、运行维护专项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13</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r>
      <w:tr>
        <w:tblPrEx>
          <w:tblLayout w:type="fixed"/>
          <w:tblCellMar>
            <w:top w:w="0" w:type="dxa"/>
            <w:left w:w="108" w:type="dxa"/>
            <w:bottom w:w="0" w:type="dxa"/>
            <w:right w:w="108" w:type="dxa"/>
          </w:tblCellMar>
        </w:tblPrEx>
        <w:trPr>
          <w:trHeight w:val="582"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3</w:t>
            </w:r>
            <w:r>
              <w:rPr>
                <w:rFonts w:hint="eastAsia" w:cs="宋体" w:asciiTheme="minorEastAsia" w:hAnsiTheme="minorEastAsia"/>
                <w:color w:val="000000"/>
                <w:kern w:val="0"/>
                <w:szCs w:val="21"/>
              </w:rPr>
              <w:t>、省级专项资金（一个专项一行）</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r>
      <w:tr>
        <w:tblPrEx>
          <w:tblLayout w:type="fixed"/>
          <w:tblCellMar>
            <w:top w:w="0" w:type="dxa"/>
            <w:left w:w="108" w:type="dxa"/>
            <w:bottom w:w="0" w:type="dxa"/>
            <w:right w:w="108" w:type="dxa"/>
          </w:tblCellMar>
        </w:tblPrEx>
        <w:trPr>
          <w:trHeight w:val="447"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4、其他事业类发展资金</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529.77</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321.88</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267.97</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公用经费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248.54</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195</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194.95</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其中：办公经费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16.28</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5</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2.99</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水费、电费、差旅费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62.74</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56</w:t>
            </w: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65.47</w:t>
            </w: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会议费、培训费</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政府采购金额</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部门基本支出预算调整</w:t>
            </w:r>
          </w:p>
        </w:tc>
        <w:tc>
          <w:tcPr>
            <w:tcW w:w="20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w:t>
            </w:r>
          </w:p>
        </w:tc>
        <w:tc>
          <w:tcPr>
            <w:tcW w:w="23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2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r>
      <w:tr>
        <w:tblPrEx>
          <w:tblLayout w:type="fixed"/>
          <w:tblCellMar>
            <w:top w:w="0" w:type="dxa"/>
            <w:left w:w="108" w:type="dxa"/>
            <w:bottom w:w="0" w:type="dxa"/>
            <w:right w:w="108" w:type="dxa"/>
          </w:tblCellMar>
        </w:tblPrEx>
        <w:trPr>
          <w:trHeight w:val="480" w:hRule="atLeast"/>
        </w:trPr>
        <w:tc>
          <w:tcPr>
            <w:tcW w:w="29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楼堂馆所控制情况（2021年完工项目）</w:t>
            </w:r>
          </w:p>
        </w:tc>
        <w:tc>
          <w:tcPr>
            <w:tcW w:w="119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批复规模（</w:t>
            </w:r>
            <w:r>
              <w:rPr>
                <w:rFonts w:cs="宋体" w:asciiTheme="minorEastAsia" w:hAnsiTheme="minorEastAsia"/>
                <w:color w:val="000000"/>
                <w:kern w:val="0"/>
                <w:szCs w:val="21"/>
              </w:rPr>
              <w:t>㎡</w:t>
            </w:r>
            <w:r>
              <w:rPr>
                <w:rFonts w:hint="eastAsia" w:cs="宋体" w:asciiTheme="minorEastAsia" w:hAnsiTheme="minorEastAsia"/>
                <w:color w:val="000000"/>
                <w:kern w:val="0"/>
                <w:szCs w:val="21"/>
              </w:rPr>
              <w:t>）</w:t>
            </w:r>
          </w:p>
        </w:tc>
        <w:tc>
          <w:tcPr>
            <w:tcW w:w="84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实际规模（㎡）</w:t>
            </w:r>
          </w:p>
        </w:tc>
        <w:tc>
          <w:tcPr>
            <w:tcW w:w="15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规模控制率</w:t>
            </w:r>
          </w:p>
        </w:tc>
        <w:tc>
          <w:tcPr>
            <w:tcW w:w="74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预算投资（万元）</w:t>
            </w:r>
          </w:p>
        </w:tc>
        <w:tc>
          <w:tcPr>
            <w:tcW w:w="157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实际投资（万元）</w:t>
            </w:r>
          </w:p>
        </w:tc>
        <w:tc>
          <w:tcPr>
            <w:tcW w:w="10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投资概算控制率</w:t>
            </w:r>
          </w:p>
        </w:tc>
      </w:tr>
      <w:tr>
        <w:tblPrEx>
          <w:tblLayout w:type="fixed"/>
          <w:tblCellMar>
            <w:top w:w="0" w:type="dxa"/>
            <w:left w:w="108" w:type="dxa"/>
            <w:bottom w:w="0" w:type="dxa"/>
            <w:right w:w="108" w:type="dxa"/>
          </w:tblCellMar>
        </w:tblPrEx>
        <w:trPr>
          <w:trHeight w:val="480" w:hRule="atLeast"/>
        </w:trPr>
        <w:tc>
          <w:tcPr>
            <w:tcW w:w="2916"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color w:val="000000"/>
                <w:kern w:val="0"/>
                <w:szCs w:val="21"/>
              </w:rPr>
            </w:pPr>
          </w:p>
        </w:tc>
        <w:tc>
          <w:tcPr>
            <w:tcW w:w="1199"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color w:val="000000"/>
                <w:kern w:val="0"/>
                <w:szCs w:val="21"/>
              </w:rPr>
            </w:pPr>
          </w:p>
        </w:tc>
        <w:tc>
          <w:tcPr>
            <w:tcW w:w="846" w:type="dxa"/>
            <w:vMerge w:val="continue"/>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color w:val="000000"/>
                <w:kern w:val="0"/>
                <w:szCs w:val="21"/>
              </w:rPr>
            </w:pPr>
          </w:p>
        </w:tc>
        <w:tc>
          <w:tcPr>
            <w:tcW w:w="1590" w:type="dxa"/>
            <w:vMerge w:val="continue"/>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color w:val="000000"/>
                <w:kern w:val="0"/>
                <w:szCs w:val="21"/>
              </w:rPr>
            </w:pPr>
          </w:p>
        </w:tc>
        <w:tc>
          <w:tcPr>
            <w:tcW w:w="742" w:type="dxa"/>
            <w:vMerge w:val="continue"/>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color w:val="000000"/>
                <w:kern w:val="0"/>
                <w:szCs w:val="21"/>
              </w:rPr>
            </w:pPr>
          </w:p>
        </w:tc>
        <w:tc>
          <w:tcPr>
            <w:tcW w:w="1574" w:type="dxa"/>
            <w:vMerge w:val="continue"/>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color w:val="000000"/>
                <w:kern w:val="0"/>
                <w:szCs w:val="21"/>
              </w:rPr>
            </w:pPr>
          </w:p>
        </w:tc>
        <w:tc>
          <w:tcPr>
            <w:tcW w:w="1022" w:type="dxa"/>
            <w:vMerge w:val="continue"/>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color w:val="000000"/>
                <w:kern w:val="0"/>
                <w:szCs w:val="21"/>
              </w:rPr>
            </w:pPr>
          </w:p>
        </w:tc>
      </w:tr>
      <w:tr>
        <w:tblPrEx>
          <w:tblLayout w:type="fixed"/>
          <w:tblCellMar>
            <w:top w:w="0" w:type="dxa"/>
            <w:left w:w="108" w:type="dxa"/>
            <w:bottom w:w="0" w:type="dxa"/>
            <w:right w:w="108" w:type="dxa"/>
          </w:tblCellMar>
        </w:tblPrEx>
        <w:trPr>
          <w:trHeight w:val="480"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p>
        </w:tc>
        <w:tc>
          <w:tcPr>
            <w:tcW w:w="119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w:t>
            </w:r>
          </w:p>
        </w:tc>
        <w:tc>
          <w:tcPr>
            <w:tcW w:w="84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w:t>
            </w:r>
          </w:p>
        </w:tc>
        <w:tc>
          <w:tcPr>
            <w:tcW w:w="742"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w:t>
            </w:r>
          </w:p>
        </w:tc>
        <w:tc>
          <w:tcPr>
            <w:tcW w:w="157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0</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cs="宋体" w:asciiTheme="minorEastAsia" w:hAnsiTheme="minorEastAsia"/>
                <w:color w:val="000000"/>
                <w:kern w:val="0"/>
                <w:szCs w:val="21"/>
              </w:rPr>
              <w:t>——</w:t>
            </w:r>
          </w:p>
        </w:tc>
      </w:tr>
      <w:tr>
        <w:tblPrEx>
          <w:tblLayout w:type="fixed"/>
          <w:tblCellMar>
            <w:top w:w="0" w:type="dxa"/>
            <w:left w:w="108" w:type="dxa"/>
            <w:bottom w:w="0" w:type="dxa"/>
            <w:right w:w="108" w:type="dxa"/>
          </w:tblCellMar>
        </w:tblPrEx>
        <w:trPr>
          <w:trHeight w:val="829" w:hRule="atLeast"/>
        </w:trPr>
        <w:tc>
          <w:tcPr>
            <w:tcW w:w="29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厉行节约保障措施</w:t>
            </w:r>
          </w:p>
        </w:tc>
        <w:tc>
          <w:tcPr>
            <w:tcW w:w="697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响应中共中央、国务院《党政机关厉行节约反对浪费条例》文件精神，本着厉行节约、反对铺张浪费、加强党风建设。</w:t>
            </w:r>
          </w:p>
        </w:tc>
      </w:tr>
      <w:tr>
        <w:tblPrEx>
          <w:tblLayout w:type="fixed"/>
          <w:tblCellMar>
            <w:top w:w="0" w:type="dxa"/>
            <w:left w:w="108" w:type="dxa"/>
            <w:bottom w:w="0" w:type="dxa"/>
            <w:right w:w="108" w:type="dxa"/>
          </w:tblCellMar>
        </w:tblPrEx>
        <w:trPr>
          <w:trHeight w:val="582" w:hRule="atLeast"/>
        </w:trPr>
        <w:tc>
          <w:tcPr>
            <w:tcW w:w="9889" w:type="dxa"/>
            <w:gridSpan w:val="7"/>
            <w:tcBorders>
              <w:top w:val="nil"/>
              <w:left w:val="nil"/>
              <w:bottom w:val="nil"/>
              <w:right w:val="nil"/>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说明：</w:t>
            </w:r>
            <w:r>
              <w:rPr>
                <w:rFonts w:cs="宋体" w:asciiTheme="minorEastAsia" w:hAnsiTheme="minorEastAsia"/>
                <w:color w:val="000000"/>
                <w:kern w:val="0"/>
                <w:sz w:val="20"/>
                <w:szCs w:val="20"/>
              </w:rPr>
              <w:t>“</w:t>
            </w:r>
            <w:r>
              <w:rPr>
                <w:rFonts w:hint="eastAsia" w:cs="宋体" w:asciiTheme="minorEastAsia" w:hAnsiTheme="minorEastAsia"/>
                <w:color w:val="000000"/>
                <w:kern w:val="0"/>
                <w:sz w:val="20"/>
                <w:szCs w:val="20"/>
              </w:rPr>
              <w:t>项目支出</w:t>
            </w:r>
            <w:r>
              <w:rPr>
                <w:rFonts w:cs="宋体" w:asciiTheme="minorEastAsia" w:hAnsiTheme="minorEastAsia"/>
                <w:color w:val="000000"/>
                <w:kern w:val="0"/>
                <w:sz w:val="20"/>
                <w:szCs w:val="20"/>
              </w:rPr>
              <w:t>”</w:t>
            </w:r>
            <w:r>
              <w:rPr>
                <w:rFonts w:hint="eastAsia" w:cs="宋体" w:asciiTheme="minorEastAsia" w:hAnsiTheme="minorEastAsia"/>
                <w:color w:val="000000"/>
                <w:kern w:val="0"/>
                <w:sz w:val="20"/>
                <w:szCs w:val="20"/>
              </w:rPr>
              <w:t>需要填报基本支出以外的所有项目支出情况，</w:t>
            </w:r>
            <w:r>
              <w:rPr>
                <w:rFonts w:cs="宋体" w:asciiTheme="minorEastAsia" w:hAnsiTheme="minorEastAsia"/>
                <w:color w:val="000000"/>
                <w:kern w:val="0"/>
                <w:sz w:val="20"/>
                <w:szCs w:val="20"/>
              </w:rPr>
              <w:t>“</w:t>
            </w:r>
            <w:r>
              <w:rPr>
                <w:rFonts w:hint="eastAsia" w:cs="宋体" w:asciiTheme="minorEastAsia" w:hAnsiTheme="minorEastAsia"/>
                <w:color w:val="000000"/>
                <w:kern w:val="0"/>
                <w:sz w:val="20"/>
                <w:szCs w:val="20"/>
              </w:rPr>
              <w:t>公用经费</w:t>
            </w:r>
            <w:r>
              <w:rPr>
                <w:rFonts w:cs="宋体" w:asciiTheme="minorEastAsia" w:hAnsiTheme="minorEastAsia"/>
                <w:color w:val="000000"/>
                <w:kern w:val="0"/>
                <w:sz w:val="20"/>
                <w:szCs w:val="20"/>
              </w:rPr>
              <w:t>”</w:t>
            </w:r>
            <w:r>
              <w:rPr>
                <w:rFonts w:hint="eastAsia" w:cs="宋体" w:asciiTheme="minorEastAsia" w:hAnsiTheme="minorEastAsia"/>
                <w:color w:val="000000"/>
                <w:kern w:val="0"/>
                <w:sz w:val="20"/>
                <w:szCs w:val="20"/>
              </w:rPr>
              <w:t>填报基本支出中的一般商品和服务支出。</w:t>
            </w:r>
          </w:p>
        </w:tc>
      </w:tr>
    </w:tbl>
    <w:p>
      <w:pPr>
        <w:widowControl/>
        <w:jc w:val="center"/>
        <w:rPr>
          <w:rFonts w:cs="宋体" w:asciiTheme="minorEastAsia" w:hAnsiTheme="minorEastAsia"/>
          <w:color w:val="000000"/>
          <w:kern w:val="0"/>
          <w:sz w:val="32"/>
          <w:szCs w:val="32"/>
        </w:rPr>
      </w:pPr>
    </w:p>
    <w:tbl>
      <w:tblPr>
        <w:tblStyle w:val="6"/>
        <w:tblW w:w="10632" w:type="dxa"/>
        <w:tblInd w:w="-318" w:type="dxa"/>
        <w:tblLayout w:type="fixed"/>
        <w:tblCellMar>
          <w:top w:w="0" w:type="dxa"/>
          <w:left w:w="108" w:type="dxa"/>
          <w:bottom w:w="0" w:type="dxa"/>
          <w:right w:w="108" w:type="dxa"/>
        </w:tblCellMar>
      </w:tblPr>
      <w:tblGrid>
        <w:gridCol w:w="656"/>
        <w:gridCol w:w="878"/>
        <w:gridCol w:w="999"/>
        <w:gridCol w:w="795"/>
        <w:gridCol w:w="1063"/>
        <w:gridCol w:w="691"/>
        <w:gridCol w:w="488"/>
        <w:gridCol w:w="695"/>
        <w:gridCol w:w="583"/>
        <w:gridCol w:w="511"/>
        <w:gridCol w:w="116"/>
        <w:gridCol w:w="809"/>
        <w:gridCol w:w="931"/>
        <w:gridCol w:w="226"/>
        <w:gridCol w:w="1191"/>
      </w:tblGrid>
      <w:tr>
        <w:tblPrEx>
          <w:tblLayout w:type="fixed"/>
          <w:tblCellMar>
            <w:top w:w="0" w:type="dxa"/>
            <w:left w:w="108" w:type="dxa"/>
            <w:bottom w:w="0" w:type="dxa"/>
            <w:right w:w="108" w:type="dxa"/>
          </w:tblCellMar>
        </w:tblPrEx>
        <w:trPr>
          <w:trHeight w:val="420" w:hRule="atLeast"/>
        </w:trPr>
        <w:tc>
          <w:tcPr>
            <w:tcW w:w="9441" w:type="dxa"/>
            <w:gridSpan w:val="14"/>
            <w:tcBorders>
              <w:top w:val="nil"/>
              <w:left w:val="nil"/>
              <w:bottom w:val="nil"/>
              <w:right w:val="nil"/>
            </w:tcBorders>
            <w:shd w:val="clear" w:color="auto" w:fill="auto"/>
            <w:vAlign w:val="center"/>
          </w:tcPr>
          <w:p>
            <w:pPr>
              <w:widowControl/>
              <w:jc w:val="left"/>
              <w:rPr>
                <w:rFonts w:ascii="方正小标宋_GBK" w:hAnsi="Calibri" w:eastAsia="方正小标宋_GBK" w:cs="宋体"/>
                <w:b/>
                <w:color w:val="000000"/>
                <w:kern w:val="0"/>
                <w:sz w:val="28"/>
                <w:szCs w:val="28"/>
              </w:rPr>
            </w:pPr>
            <w:r>
              <w:rPr>
                <w:rFonts w:hint="eastAsia" w:ascii="方正小标宋_GBK" w:hAnsi="Calibri" w:eastAsia="方正小标宋_GBK" w:cs="宋体"/>
                <w:b/>
                <w:color w:val="000000"/>
                <w:kern w:val="0"/>
                <w:sz w:val="22"/>
              </w:rPr>
              <w:t xml:space="preserve">附件2 </w:t>
            </w:r>
            <w:r>
              <w:rPr>
                <w:rFonts w:hint="eastAsia" w:ascii="方正小标宋_GBK" w:hAnsi="Calibri" w:eastAsia="方正小标宋_GBK" w:cs="宋体"/>
                <w:b/>
                <w:color w:val="000000"/>
                <w:kern w:val="0"/>
                <w:sz w:val="28"/>
                <w:szCs w:val="28"/>
              </w:rPr>
              <w:t xml:space="preserve">              </w:t>
            </w:r>
          </w:p>
          <w:p>
            <w:pPr>
              <w:widowControl/>
              <w:jc w:val="center"/>
              <w:rPr>
                <w:rFonts w:ascii="方正小标宋_GBK" w:hAnsi="Calibri" w:eastAsia="方正小标宋_GBK" w:cs="宋体"/>
                <w:b/>
                <w:color w:val="000000"/>
                <w:kern w:val="0"/>
                <w:sz w:val="22"/>
              </w:rPr>
            </w:pPr>
            <w:r>
              <w:rPr>
                <w:rFonts w:hint="eastAsia" w:ascii="方正小标宋_GBK" w:hAnsi="Calibri" w:eastAsia="方正小标宋_GBK" w:cs="宋体"/>
                <w:b/>
                <w:color w:val="000000"/>
                <w:kern w:val="0"/>
                <w:sz w:val="28"/>
                <w:szCs w:val="28"/>
              </w:rPr>
              <w:t xml:space="preserve"> 2021年度部门整体支出绩效自评表</w:t>
            </w:r>
          </w:p>
        </w:tc>
        <w:tc>
          <w:tcPr>
            <w:tcW w:w="1191" w:type="dxa"/>
            <w:tcBorders>
              <w:top w:val="nil"/>
              <w:left w:val="nil"/>
              <w:bottom w:val="nil"/>
              <w:right w:val="nil"/>
            </w:tcBorders>
            <w:shd w:val="clear" w:color="auto" w:fill="auto"/>
            <w:noWrap/>
            <w:vAlign w:val="bottom"/>
          </w:tcPr>
          <w:p>
            <w:pPr>
              <w:widowControl/>
              <w:jc w:val="center"/>
              <w:rPr>
                <w:rFonts w:ascii="方正小标宋_GBK" w:hAnsi="Calibri" w:eastAsia="方正小标宋_GBK" w:cs="宋体"/>
                <w:b/>
                <w:color w:val="000000"/>
                <w:kern w:val="0"/>
                <w:sz w:val="22"/>
              </w:rPr>
            </w:pPr>
          </w:p>
        </w:tc>
      </w:tr>
      <w:tr>
        <w:tblPrEx>
          <w:tblLayout w:type="fixed"/>
          <w:tblCellMar>
            <w:top w:w="0" w:type="dxa"/>
            <w:left w:w="108" w:type="dxa"/>
            <w:bottom w:w="0" w:type="dxa"/>
            <w:right w:w="108" w:type="dxa"/>
          </w:tblCellMar>
        </w:tblPrEx>
        <w:trPr>
          <w:trHeight w:val="979"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省级预算部门名称</w:t>
            </w:r>
          </w:p>
        </w:tc>
        <w:tc>
          <w:tcPr>
            <w:tcW w:w="8559" w:type="dxa"/>
            <w:gridSpan w:val="1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湖南省体操运动管理中心</w:t>
            </w:r>
          </w:p>
        </w:tc>
        <w:tc>
          <w:tcPr>
            <w:tcW w:w="1417"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color w:val="000000"/>
                <w:sz w:val="22"/>
              </w:rPr>
            </w:pPr>
            <w:r>
              <w:rPr>
                <w:rFonts w:hint="eastAsia" w:asciiTheme="minorEastAsia" w:hAnsiTheme="minorEastAsia"/>
                <w:color w:val="000000"/>
                <w:sz w:val="22"/>
              </w:rPr>
              <w:t>评价情况</w:t>
            </w:r>
          </w:p>
        </w:tc>
      </w:tr>
      <w:tr>
        <w:tblPrEx>
          <w:tblLayout w:type="fixed"/>
          <w:tblCellMar>
            <w:top w:w="0" w:type="dxa"/>
            <w:left w:w="108" w:type="dxa"/>
            <w:bottom w:w="0" w:type="dxa"/>
            <w:right w:w="108" w:type="dxa"/>
          </w:tblCellMar>
        </w:tblPrEx>
        <w:trPr>
          <w:trHeight w:val="312" w:hRule="atLeast"/>
        </w:trPr>
        <w:tc>
          <w:tcPr>
            <w:tcW w:w="656"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年度预算申请（万元）</w:t>
            </w:r>
          </w:p>
        </w:tc>
        <w:tc>
          <w:tcPr>
            <w:tcW w:w="267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c>
          <w:tcPr>
            <w:tcW w:w="1063"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年初预算数</w:t>
            </w:r>
          </w:p>
        </w:tc>
        <w:tc>
          <w:tcPr>
            <w:tcW w:w="117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全年预算数</w:t>
            </w:r>
          </w:p>
        </w:tc>
        <w:tc>
          <w:tcPr>
            <w:tcW w:w="1278"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全年执行数</w:t>
            </w:r>
          </w:p>
        </w:tc>
        <w:tc>
          <w:tcPr>
            <w:tcW w:w="511"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分值</w:t>
            </w:r>
          </w:p>
        </w:tc>
        <w:tc>
          <w:tcPr>
            <w:tcW w:w="92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执行率</w:t>
            </w:r>
          </w:p>
        </w:tc>
        <w:tc>
          <w:tcPr>
            <w:tcW w:w="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得分</w:t>
            </w:r>
          </w:p>
        </w:tc>
        <w:tc>
          <w:tcPr>
            <w:tcW w:w="1417" w:type="dxa"/>
            <w:gridSpan w:val="2"/>
            <w:vMerge w:val="restart"/>
            <w:tcBorders>
              <w:top w:val="nil"/>
              <w:left w:val="single" w:color="auto" w:sz="4" w:space="0"/>
              <w:bottom w:val="single" w:color="000000" w:sz="4" w:space="0"/>
              <w:right w:val="single" w:color="auto" w:sz="4" w:space="0"/>
            </w:tcBorders>
            <w:shd w:val="clear" w:color="auto" w:fill="auto"/>
            <w:noWrap/>
            <w:vAlign w:val="bottom"/>
          </w:tcPr>
          <w:p>
            <w:pPr>
              <w:jc w:val="cente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312"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672"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1063"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117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1278" w:type="dxa"/>
            <w:gridSpan w:val="2"/>
            <w:vMerge w:val="continue"/>
            <w:tcBorders>
              <w:top w:val="single" w:color="auto" w:sz="4" w:space="0"/>
              <w:left w:val="single" w:color="auto" w:sz="4" w:space="0"/>
              <w:bottom w:val="single" w:color="000000" w:sz="4" w:space="0"/>
              <w:right w:val="single" w:color="000000" w:sz="4" w:space="0"/>
            </w:tcBorders>
            <w:vAlign w:val="center"/>
          </w:tcPr>
          <w:p>
            <w:pPr>
              <w:rPr>
                <w:rFonts w:cs="宋体" w:asciiTheme="minorEastAsia" w:hAnsiTheme="minorEastAsia"/>
                <w:color w:val="000000"/>
                <w:sz w:val="22"/>
              </w:rPr>
            </w:pPr>
          </w:p>
        </w:tc>
        <w:tc>
          <w:tcPr>
            <w:tcW w:w="511"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2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31"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720"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672"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年度资金总额</w:t>
            </w:r>
          </w:p>
        </w:tc>
        <w:tc>
          <w:tcPr>
            <w:tcW w:w="1063"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2,469.00</w:t>
            </w:r>
          </w:p>
        </w:tc>
        <w:tc>
          <w:tcPr>
            <w:tcW w:w="117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2,503.88</w:t>
            </w:r>
          </w:p>
        </w:tc>
        <w:tc>
          <w:tcPr>
            <w:tcW w:w="127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2,449.92</w:t>
            </w:r>
          </w:p>
        </w:tc>
        <w:tc>
          <w:tcPr>
            <w:tcW w:w="51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w:t>
            </w:r>
          </w:p>
        </w:tc>
        <w:tc>
          <w:tcPr>
            <w:tcW w:w="925"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97.84%</w:t>
            </w:r>
          </w:p>
        </w:tc>
        <w:tc>
          <w:tcPr>
            <w:tcW w:w="931"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xml:space="preserve">      9.57 </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每低于5%扣1分，此项扣0.43分。</w:t>
            </w:r>
          </w:p>
        </w:tc>
      </w:tr>
      <w:tr>
        <w:tblPrEx>
          <w:tblLayout w:type="fixed"/>
          <w:tblCellMar>
            <w:top w:w="0" w:type="dxa"/>
            <w:left w:w="108" w:type="dxa"/>
            <w:bottom w:w="0" w:type="dxa"/>
            <w:right w:w="108" w:type="dxa"/>
          </w:tblCellMar>
        </w:tblPrEx>
        <w:trPr>
          <w:trHeight w:val="270"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按收入性质分：</w:t>
            </w:r>
          </w:p>
        </w:tc>
        <w:tc>
          <w:tcPr>
            <w:tcW w:w="3645"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按支出性质分：</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285"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672"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其中：  一般公共预算：</w:t>
            </w:r>
          </w:p>
        </w:tc>
        <w:tc>
          <w:tcPr>
            <w:tcW w:w="1063"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xml:space="preserve">  2,162.00 </w:t>
            </w:r>
          </w:p>
        </w:tc>
        <w:tc>
          <w:tcPr>
            <w:tcW w:w="117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xml:space="preserve">   2,182.00 </w:t>
            </w:r>
          </w:p>
        </w:tc>
        <w:tc>
          <w:tcPr>
            <w:tcW w:w="2714" w:type="dxa"/>
            <w:gridSpan w:val="5"/>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其中：基本支出：</w:t>
            </w:r>
          </w:p>
        </w:tc>
        <w:tc>
          <w:tcPr>
            <w:tcW w:w="931"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2021.95</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285"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672"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xml:space="preserve">       政府性基金拨款：</w:t>
            </w:r>
          </w:p>
        </w:tc>
        <w:tc>
          <w:tcPr>
            <w:tcW w:w="1063"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xml:space="preserve">    307.00 </w:t>
            </w:r>
          </w:p>
        </w:tc>
        <w:tc>
          <w:tcPr>
            <w:tcW w:w="117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xml:space="preserve">     321.88 </w:t>
            </w:r>
          </w:p>
        </w:tc>
        <w:tc>
          <w:tcPr>
            <w:tcW w:w="2714" w:type="dxa"/>
            <w:gridSpan w:val="5"/>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xml:space="preserve">      项目支出：</w:t>
            </w:r>
          </w:p>
        </w:tc>
        <w:tc>
          <w:tcPr>
            <w:tcW w:w="931"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427.97</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40"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672"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xml:space="preserve">       纳入专户管理的非税收入拨款：</w:t>
            </w:r>
          </w:p>
        </w:tc>
        <w:tc>
          <w:tcPr>
            <w:tcW w:w="1063" w:type="dxa"/>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c>
          <w:tcPr>
            <w:tcW w:w="117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c>
          <w:tcPr>
            <w:tcW w:w="2714" w:type="dxa"/>
            <w:gridSpan w:val="5"/>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xml:space="preserve">      经营支出：</w:t>
            </w:r>
          </w:p>
        </w:tc>
        <w:tc>
          <w:tcPr>
            <w:tcW w:w="931"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270"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672"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其他资金：</w:t>
            </w:r>
          </w:p>
        </w:tc>
        <w:tc>
          <w:tcPr>
            <w:tcW w:w="1063" w:type="dxa"/>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c>
          <w:tcPr>
            <w:tcW w:w="117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c>
          <w:tcPr>
            <w:tcW w:w="2714" w:type="dxa"/>
            <w:gridSpan w:val="5"/>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c>
          <w:tcPr>
            <w:tcW w:w="931"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29" w:hRule="atLeast"/>
        </w:trPr>
        <w:tc>
          <w:tcPr>
            <w:tcW w:w="656"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年度总体目标</w:t>
            </w: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预期目标</w:t>
            </w:r>
          </w:p>
        </w:tc>
        <w:tc>
          <w:tcPr>
            <w:tcW w:w="3645"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实际完成情况</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1302"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1、预计体操、蹦床、攀岩三个项目2021年参加国内比赛24次,国际比赛2次，参赛人数200人次，取得国际比赛第一名1-2人，获奖牌1-2枚，取得国内比赛第一名5人， 获奖牌15-17枚</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体操、蹦床、攀岩三个项目2021年参加国内比赛18次,国际比赛2次，参赛人数210人次，取得国际比赛第一名2人，获金牌2枚，在全运会中获金牌3枚、银牌4枚、铜牌1枚，在国内其它比赛中获金牌3枚、银牌4枚、铜牌4枚。</w:t>
            </w:r>
          </w:p>
        </w:tc>
        <w:tc>
          <w:tcPr>
            <w:tcW w:w="1417" w:type="dxa"/>
            <w:gridSpan w:val="2"/>
            <w:vMerge w:val="restart"/>
            <w:tcBorders>
              <w:top w:val="nil"/>
              <w:left w:val="single" w:color="auto" w:sz="4" w:space="0"/>
              <w:bottom w:val="single" w:color="000000" w:sz="4" w:space="0"/>
              <w:right w:val="single" w:color="auto" w:sz="4" w:space="0"/>
            </w:tcBorders>
            <w:shd w:val="clear" w:color="auto" w:fill="auto"/>
            <w:noWrap/>
            <w:vAlign w:val="bottom"/>
          </w:tcPr>
          <w:p>
            <w:pPr>
              <w:jc w:val="cente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29"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2、举办全省青少年各类大型比赛3次；</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举办了湖南省青少年体操、蹦床、攀岩锦标赛共3次</w:t>
            </w: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420"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3、预计引进教练员、运动员、医生等人才5-7人；</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引进教练员、运动员、医生等人才7人；</w:t>
            </w: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420"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4、下地市选拔后备人才人9-10人进入选材班；</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下地市选拔后备人才人20人</w:t>
            </w: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402"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5、激励高端人才2人；</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激励高端人才2人；</w:t>
            </w: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529"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6、预计完成体育场体操训练教学综合楼工程的竣工决算；</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已完成体育场体操训练教学综合楼工程的竣工决算并将在建工程转入固定资产。</w:t>
            </w: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7、预计完成运动员常年成绩奖的发放；</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完成运动员常年成绩奖的发放，发放金额30万</w:t>
            </w: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8、采购专业比赛和训练鞋服8批次；</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完成采购专业比赛和训练用鞋服8批次</w:t>
            </w: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529" w:hRule="atLeast"/>
        </w:trPr>
        <w:tc>
          <w:tcPr>
            <w:tcW w:w="656"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4914" w:type="dxa"/>
            <w:gridSpan w:val="6"/>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9、购置训练器材/医疗器材等数量30批次。</w:t>
            </w:r>
          </w:p>
        </w:tc>
        <w:tc>
          <w:tcPr>
            <w:tcW w:w="3645" w:type="dxa"/>
            <w:gridSpan w:val="6"/>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完成购置训练器材/医疗器材等数量30批次。</w:t>
            </w:r>
          </w:p>
        </w:tc>
        <w:tc>
          <w:tcPr>
            <w:tcW w:w="1417" w:type="dxa"/>
            <w:gridSpan w:val="2"/>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402"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c>
          <w:tcPr>
            <w:tcW w:w="878"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一级指标</w:t>
            </w:r>
          </w:p>
        </w:tc>
        <w:tc>
          <w:tcPr>
            <w:tcW w:w="999"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二级指标</w:t>
            </w: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三级指标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年度指标值</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实际完成值</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分值</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得分</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375" w:hRule="atLeast"/>
        </w:trPr>
        <w:tc>
          <w:tcPr>
            <w:tcW w:w="656"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绩效指标</w:t>
            </w:r>
          </w:p>
        </w:tc>
        <w:tc>
          <w:tcPr>
            <w:tcW w:w="87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产出指标（50分）</w:t>
            </w:r>
          </w:p>
        </w:tc>
        <w:tc>
          <w:tcPr>
            <w:tcW w:w="999"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数量指标（22分）</w:t>
            </w: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下地市选拔后备人才人数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9-10人</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20</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08"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引进优秀教练员运动员医生等优秀人才人次</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5-7人</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7</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p>
        </w:tc>
      </w:tr>
      <w:tr>
        <w:tblPrEx>
          <w:tblLayout w:type="fixed"/>
          <w:tblCellMar>
            <w:top w:w="0" w:type="dxa"/>
            <w:left w:w="108" w:type="dxa"/>
            <w:bottom w:w="0" w:type="dxa"/>
            <w:right w:w="108" w:type="dxa"/>
          </w:tblCellMar>
        </w:tblPrEx>
        <w:trPr>
          <w:trHeight w:val="346"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高端人才激励人数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2人</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2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国家队集训运动员人数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10-12人</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15人</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94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体操、蹦床、攀岩三个项目参加全国比赛次数/获得奖牌数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24次/15-17枚</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19次/19枚</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比赛次数不达标（因疫情，国家体育总局取消比赛）</w:t>
            </w:r>
          </w:p>
        </w:tc>
      </w:tr>
      <w:tr>
        <w:tblPrEx>
          <w:tblLayout w:type="fixed"/>
          <w:tblCellMar>
            <w:top w:w="0" w:type="dxa"/>
            <w:left w:w="108" w:type="dxa"/>
            <w:bottom w:w="0" w:type="dxa"/>
            <w:right w:w="108" w:type="dxa"/>
          </w:tblCellMar>
        </w:tblPrEx>
        <w:trPr>
          <w:trHeight w:val="803"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体操、蹦床、攀岩三个项目参加国际性比赛次数/获得奖牌数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1次/1-2枚</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2次/2枚</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63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体操、蹦床、攀岩三个项目参加比赛人次/获奖人次</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200人次/15-17人次</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210人次/32人次</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63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举办青少年比赛次数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3次</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3次</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66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运动员国内训练人次/天数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115人次/310天</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115人次/310天</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72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体操项目在国家体育总局完成注册人数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sz w:val="22"/>
              </w:rPr>
            </w:pPr>
            <w:r>
              <w:rPr>
                <w:rFonts w:hint="eastAsia" w:asciiTheme="minorEastAsia" w:hAnsiTheme="minorEastAsia"/>
                <w:sz w:val="22"/>
              </w:rPr>
              <w:t>300人</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330(体操261人、蹦床39人、攀岩30人)</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6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运动员常年成绩奖次数、人数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1次、70人</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1次、70人</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8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举办教练员、裁判员培训次数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1-2次</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3次</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8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教练员、运动员训练计划书份数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110份</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110份</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8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采购专业比赛和训练鞋服批次</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8批次</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8批次</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73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购置训练器材/医疗器材等数量批次</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30批次</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训练器材15批次，医疗器材和耗材15批次</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127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000000"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运动员等级人数</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一级运动员预计4人；健将运动员预计2人；国际运动健将预计1人</w:t>
            </w:r>
          </w:p>
        </w:tc>
        <w:tc>
          <w:tcPr>
            <w:tcW w:w="1210"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一级运动员4人；健将运动员3人；国际运动健将2人</w:t>
            </w:r>
          </w:p>
        </w:tc>
        <w:tc>
          <w:tcPr>
            <w:tcW w:w="809" w:type="dxa"/>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8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场馆面向教练员、运动员开放</w:t>
            </w:r>
          </w:p>
        </w:tc>
        <w:tc>
          <w:tcPr>
            <w:tcW w:w="1183"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365天</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365天</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质量指标（16分）</w:t>
            </w: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在职人员控制率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60.91%</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FF0000"/>
                <w:sz w:val="22"/>
              </w:rPr>
            </w:pPr>
            <w:r>
              <w:rPr>
                <w:rFonts w:hint="eastAsia" w:asciiTheme="minorEastAsia" w:hAnsiTheme="minorEastAsia"/>
                <w:color w:val="FF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121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公用经费控制率(（实际支出公用经费总额/预算安排公用经费总额）*100%。公用经费指部门基本支出中的一般商品和服务支出</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99.97%</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“三公经费”控制率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94.44%</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61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政府采购执行率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预算调整率（本年追加预算/年初预算）×100%。）</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1.41%</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体育设施质量达标率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消防安全检测合格率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体育场体操训练教学综合楼工程竣工决算验收合格</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合格</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合格</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政府采购和日常维修维护验收合格率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场馆室内温度达标率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60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职工、运动员、教练员年度业绩考核合格率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115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运动员等级增长率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一级运动员增长率0%；健将运动员增长率0%；国际运动健将增长率0%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一级运动员增长率0%；健将运动员增长率-25%；国际运动健将增长率100%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2</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健将运动员减少1名</w:t>
            </w:r>
          </w:p>
        </w:tc>
      </w:tr>
      <w:tr>
        <w:tblPrEx>
          <w:tblLayout w:type="fixed"/>
          <w:tblCellMar>
            <w:top w:w="0" w:type="dxa"/>
            <w:left w:w="108" w:type="dxa"/>
            <w:bottom w:w="0" w:type="dxa"/>
            <w:right w:w="108" w:type="dxa"/>
          </w:tblCellMar>
        </w:tblPrEx>
        <w:trPr>
          <w:trHeight w:val="103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比赛奖金足额发放率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100%（发放率=实际发放金额/人事部门核定发放金额*100%）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75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运动员按赛事要求完成比赛，无违规违纪行为，赛事过程中未受到处罚。</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0次</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0次</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39"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受伤运动员康复率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90%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6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时效指标（7分）</w:t>
            </w: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完成“湖南省体育场体操中心训练教学综合楼工程”的竣工决算</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完成</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完成</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6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运动员常年成绩奖发放完成情况</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完成</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完成</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121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赛事按计划及时参加或举办</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100%（完成率=实际完成的比赛数量/预计举办（参加）比赛的数量*100%）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0.5</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未参加东京奥运会比赛，仅参加东京奥运会选拔赛，部分比赛项目因疫情原因取消。</w:t>
            </w:r>
          </w:p>
        </w:tc>
      </w:tr>
      <w:tr>
        <w:tblPrEx>
          <w:tblLayout w:type="fixed"/>
          <w:tblCellMar>
            <w:top w:w="0" w:type="dxa"/>
            <w:left w:w="108" w:type="dxa"/>
            <w:bottom w:w="0" w:type="dxa"/>
            <w:right w:w="108" w:type="dxa"/>
          </w:tblCellMar>
        </w:tblPrEx>
        <w:trPr>
          <w:trHeight w:val="46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训练计划进度完成率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6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场馆设备维护及时率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109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完善相关管理制度的制定</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完善制度</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修订更新完善</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7月修订了《湖南省体操运动管理中心政府采购内部控制管理办法》</w:t>
            </w:r>
          </w:p>
        </w:tc>
      </w:tr>
      <w:tr>
        <w:tblPrEx>
          <w:tblLayout w:type="fixed"/>
          <w:tblCellMar>
            <w:top w:w="0" w:type="dxa"/>
            <w:left w:w="108" w:type="dxa"/>
            <w:bottom w:w="0" w:type="dxa"/>
            <w:right w:w="108" w:type="dxa"/>
          </w:tblCellMar>
        </w:tblPrEx>
        <w:trPr>
          <w:trHeight w:val="46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资金及时到位率</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6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成本指标（5分）</w:t>
            </w: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教练员与运动员比例</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33:115</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33:115</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735"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人均公用经费成本控制</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人均成本控制在1.46万元以内。</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1.46万元</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93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人均办公费成本控制</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人均成本控制在0.04万元以内。</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0.02万元</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93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运动员伙食费占比</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sz w:val="22"/>
              </w:rPr>
            </w:pPr>
            <w:r>
              <w:rPr>
                <w:rFonts w:hint="eastAsia" w:asciiTheme="minorEastAsia" w:hAnsiTheme="minorEastAsia"/>
                <w:sz w:val="22"/>
              </w:rPr>
              <w:t>≤15%（比例=运动员伙食费384万元/全年预算数2503.88）</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sz w:val="22"/>
              </w:rPr>
            </w:pPr>
            <w:r>
              <w:rPr>
                <w:rFonts w:hint="eastAsia" w:asciiTheme="minorEastAsia" w:hAnsiTheme="minorEastAsia"/>
                <w:sz w:val="22"/>
              </w:rPr>
              <w:t>14.73%</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5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活动成本控制范围</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部门预算控制在2503.88万以内</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2449.92万元</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w:t>
            </w:r>
          </w:p>
        </w:tc>
        <w:tc>
          <w:tcPr>
            <w:tcW w:w="1417" w:type="dxa"/>
            <w:gridSpan w:val="2"/>
            <w:tcBorders>
              <w:top w:val="nil"/>
              <w:left w:val="nil"/>
              <w:bottom w:val="single" w:color="auto" w:sz="4" w:space="0"/>
              <w:right w:val="single" w:color="auto" w:sz="4" w:space="0"/>
            </w:tcBorders>
            <w:shd w:val="clear" w:color="auto" w:fill="auto"/>
            <w:noWrap/>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7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效益指标（30分）</w:t>
            </w:r>
          </w:p>
        </w:tc>
        <w:tc>
          <w:tcPr>
            <w:tcW w:w="999" w:type="dxa"/>
            <w:vMerge w:val="restart"/>
            <w:tcBorders>
              <w:top w:val="nil"/>
              <w:left w:val="single" w:color="auto" w:sz="4" w:space="0"/>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社会效益指标（20分）</w:t>
            </w: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改善训练、办公条件</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明显/良好/一般</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明显</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1417" w:type="dxa"/>
            <w:gridSpan w:val="2"/>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7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促进运动员的训练水平提高</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明显/良好/一般</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明显</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1417" w:type="dxa"/>
            <w:gridSpan w:val="2"/>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7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加强教练员队伍建设</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明显/良好/一般</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明显</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1417" w:type="dxa"/>
            <w:gridSpan w:val="2"/>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57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加强体操、蹦床、攀岩项目的推广</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明显/良好/一般</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明显</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1417" w:type="dxa"/>
            <w:gridSpan w:val="2"/>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76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生态效益指标（5分）</w:t>
            </w: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无污染、无噪音、没有对环境造成消极影响</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明显、较好、一般</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明显</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1417" w:type="dxa"/>
            <w:gridSpan w:val="2"/>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50"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可持续影响指标（5分）</w:t>
            </w: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社会对体育事业发展关注度</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98%</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1417" w:type="dxa"/>
            <w:gridSpan w:val="2"/>
            <w:tcBorders>
              <w:top w:val="nil"/>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9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满意指标（10分）</w:t>
            </w:r>
          </w:p>
        </w:tc>
        <w:tc>
          <w:tcPr>
            <w:tcW w:w="999"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服务对象满意度指标（10分）</w:t>
            </w: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群众满意度</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95%</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r>
        <w:tblPrEx>
          <w:tblLayout w:type="fixed"/>
          <w:tblCellMar>
            <w:top w:w="0" w:type="dxa"/>
            <w:left w:w="108" w:type="dxa"/>
            <w:bottom w:w="0" w:type="dxa"/>
            <w:right w:w="108" w:type="dxa"/>
          </w:tblCellMar>
        </w:tblPrEx>
        <w:trPr>
          <w:trHeight w:val="492" w:hRule="atLeast"/>
        </w:trPr>
        <w:tc>
          <w:tcPr>
            <w:tcW w:w="656" w:type="dxa"/>
            <w:vMerge w:val="continue"/>
            <w:tcBorders>
              <w:top w:val="nil"/>
              <w:left w:val="single" w:color="auto" w:sz="4" w:space="0"/>
              <w:bottom w:val="single" w:color="000000" w:sz="4" w:space="0"/>
              <w:right w:val="single" w:color="auto" w:sz="4" w:space="0"/>
            </w:tcBorders>
            <w:vAlign w:val="center"/>
          </w:tcPr>
          <w:p>
            <w:pPr>
              <w:rPr>
                <w:rFonts w:cs="宋体" w:asciiTheme="minorEastAsia" w:hAnsiTheme="minorEastAsia"/>
                <w:color w:val="000000"/>
                <w:sz w:val="22"/>
              </w:rPr>
            </w:pPr>
          </w:p>
        </w:tc>
        <w:tc>
          <w:tcPr>
            <w:tcW w:w="878"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999" w:type="dxa"/>
            <w:vMerge w:val="continue"/>
            <w:tcBorders>
              <w:top w:val="nil"/>
              <w:left w:val="single" w:color="auto" w:sz="4" w:space="0"/>
              <w:bottom w:val="single" w:color="auto" w:sz="4" w:space="0"/>
              <w:right w:val="single" w:color="auto" w:sz="4" w:space="0"/>
            </w:tcBorders>
            <w:vAlign w:val="center"/>
          </w:tcPr>
          <w:p>
            <w:pPr>
              <w:rPr>
                <w:rFonts w:cs="宋体" w:asciiTheme="minorEastAsia" w:hAnsiTheme="minorEastAsia"/>
                <w:color w:val="000000"/>
                <w:sz w:val="22"/>
              </w:rPr>
            </w:pPr>
          </w:p>
        </w:tc>
        <w:tc>
          <w:tcPr>
            <w:tcW w:w="2549" w:type="dxa"/>
            <w:gridSpan w:val="3"/>
            <w:tcBorders>
              <w:top w:val="single" w:color="auto" w:sz="4" w:space="0"/>
              <w:left w:val="nil"/>
              <w:bottom w:val="single" w:color="auto" w:sz="4" w:space="0"/>
              <w:right w:val="single" w:color="auto" w:sz="4" w:space="0"/>
            </w:tcBorders>
            <w:shd w:val="clear" w:color="auto" w:fill="auto"/>
            <w:vAlign w:val="center"/>
          </w:tcPr>
          <w:p>
            <w:pPr>
              <w:rPr>
                <w:rFonts w:cs="宋体" w:asciiTheme="minorEastAsia" w:hAnsiTheme="minorEastAsia"/>
                <w:color w:val="000000"/>
                <w:sz w:val="22"/>
              </w:rPr>
            </w:pPr>
            <w:r>
              <w:rPr>
                <w:rFonts w:hint="eastAsia" w:asciiTheme="minorEastAsia" w:hAnsiTheme="minorEastAsia"/>
                <w:color w:val="000000"/>
                <w:sz w:val="22"/>
              </w:rPr>
              <w:t>机关工作人员满意度</w:t>
            </w:r>
          </w:p>
        </w:tc>
        <w:tc>
          <w:tcPr>
            <w:tcW w:w="118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100%</w:t>
            </w:r>
          </w:p>
        </w:tc>
        <w:tc>
          <w:tcPr>
            <w:tcW w:w="121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95%</w:t>
            </w:r>
          </w:p>
        </w:tc>
        <w:tc>
          <w:tcPr>
            <w:tcW w:w="809" w:type="dxa"/>
            <w:tcBorders>
              <w:top w:val="single" w:color="auto" w:sz="4" w:space="0"/>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931"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color w:val="000000"/>
                <w:sz w:val="22"/>
              </w:rPr>
            </w:pPr>
            <w:r>
              <w:rPr>
                <w:rFonts w:hint="eastAsia" w:asciiTheme="minorEastAsia" w:hAnsiTheme="minorEastAsia"/>
                <w:color w:val="000000"/>
                <w:sz w:val="22"/>
              </w:rPr>
              <w:t>5</w:t>
            </w:r>
          </w:p>
        </w:tc>
        <w:tc>
          <w:tcPr>
            <w:tcW w:w="1417" w:type="dxa"/>
            <w:gridSpan w:val="2"/>
            <w:tcBorders>
              <w:top w:val="nil"/>
              <w:left w:val="nil"/>
              <w:bottom w:val="single" w:color="auto" w:sz="4" w:space="0"/>
              <w:right w:val="single" w:color="auto" w:sz="4" w:space="0"/>
            </w:tcBorders>
            <w:shd w:val="clear" w:color="auto" w:fill="auto"/>
            <w:vAlign w:val="bottom"/>
          </w:tcPr>
          <w:p>
            <w:pPr>
              <w:rPr>
                <w:rFonts w:cs="宋体" w:asciiTheme="minorEastAsia" w:hAnsiTheme="minorEastAsia"/>
                <w:color w:val="000000"/>
                <w:sz w:val="22"/>
              </w:rPr>
            </w:pPr>
            <w:r>
              <w:rPr>
                <w:rFonts w:hint="eastAsia" w:asciiTheme="minorEastAsia" w:hAnsiTheme="minorEastAsia"/>
                <w:color w:val="000000"/>
                <w:sz w:val="22"/>
              </w:rPr>
              <w:t>　</w:t>
            </w:r>
          </w:p>
        </w:tc>
      </w:tr>
    </w:tbl>
    <w:p>
      <w:pPr>
        <w:widowControl/>
        <w:jc w:val="left"/>
        <w:rPr>
          <w:rFonts w:cs="黑体" w:asciiTheme="minorEastAsia" w:hAnsiTheme="minorEastAsia"/>
          <w:color w:val="000000"/>
          <w:kern w:val="0"/>
          <w:sz w:val="22"/>
        </w:rPr>
      </w:pPr>
    </w:p>
    <w:p>
      <w:pPr>
        <w:widowControl/>
        <w:jc w:val="left"/>
        <w:rPr>
          <w:rFonts w:cs="黑体" w:asciiTheme="minorEastAsia" w:hAnsiTheme="minorEastAsia"/>
          <w:color w:val="000000"/>
          <w:kern w:val="0"/>
          <w:sz w:val="22"/>
        </w:rPr>
      </w:pPr>
      <w:r>
        <w:rPr>
          <w:rFonts w:cs="黑体" w:asciiTheme="minorEastAsia" w:hAnsiTheme="minorEastAsia"/>
          <w:color w:val="000000"/>
          <w:kern w:val="0"/>
          <w:sz w:val="22"/>
        </w:rPr>
        <w:br w:type="page"/>
      </w:r>
    </w:p>
    <w:tbl>
      <w:tblPr>
        <w:tblStyle w:val="6"/>
        <w:tblpPr w:leftFromText="180" w:rightFromText="180" w:horzAnchor="margin" w:tblpXSpec="center" w:tblpY="255"/>
        <w:tblW w:w="10116" w:type="dxa"/>
        <w:tblInd w:w="0" w:type="dxa"/>
        <w:tblLayout w:type="fixed"/>
        <w:tblCellMar>
          <w:top w:w="0" w:type="dxa"/>
          <w:left w:w="108" w:type="dxa"/>
          <w:bottom w:w="0" w:type="dxa"/>
          <w:right w:w="108" w:type="dxa"/>
        </w:tblCellMar>
      </w:tblPr>
      <w:tblGrid>
        <w:gridCol w:w="958"/>
        <w:gridCol w:w="993"/>
        <w:gridCol w:w="992"/>
        <w:gridCol w:w="284"/>
        <w:gridCol w:w="566"/>
        <w:gridCol w:w="284"/>
        <w:gridCol w:w="1134"/>
        <w:gridCol w:w="809"/>
        <w:gridCol w:w="184"/>
        <w:gridCol w:w="566"/>
        <w:gridCol w:w="708"/>
        <w:gridCol w:w="154"/>
        <w:gridCol w:w="372"/>
        <w:gridCol w:w="435"/>
        <w:gridCol w:w="316"/>
        <w:gridCol w:w="991"/>
        <w:gridCol w:w="134"/>
        <w:gridCol w:w="236"/>
      </w:tblGrid>
      <w:tr>
        <w:tblPrEx>
          <w:tblLayout w:type="fixed"/>
          <w:tblCellMar>
            <w:top w:w="0" w:type="dxa"/>
            <w:left w:w="108" w:type="dxa"/>
            <w:bottom w:w="0" w:type="dxa"/>
            <w:right w:w="108" w:type="dxa"/>
          </w:tblCellMar>
        </w:tblPrEx>
        <w:trPr>
          <w:trHeight w:val="420" w:hRule="atLeast"/>
        </w:trPr>
        <w:tc>
          <w:tcPr>
            <w:tcW w:w="9880" w:type="dxa"/>
            <w:gridSpan w:val="17"/>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24"/>
                <w:szCs w:val="24"/>
              </w:rPr>
            </w:pPr>
            <w:r>
              <w:rPr>
                <w:rFonts w:hint="eastAsia" w:ascii="黑体" w:hAnsi="黑体" w:eastAsia="黑体" w:cs="宋体"/>
                <w:color w:val="000000"/>
                <w:kern w:val="0"/>
                <w:sz w:val="24"/>
                <w:szCs w:val="24"/>
              </w:rPr>
              <w:t>附件3-1</w:t>
            </w:r>
          </w:p>
        </w:tc>
        <w:tc>
          <w:tcPr>
            <w:tcW w:w="236" w:type="dxa"/>
            <w:tcBorders>
              <w:top w:val="nil"/>
              <w:left w:val="nil"/>
              <w:bottom w:val="nil"/>
              <w:right w:val="nil"/>
            </w:tcBorders>
            <w:shd w:val="clear" w:color="auto" w:fill="auto"/>
            <w:vAlign w:val="center"/>
          </w:tcPr>
          <w:p>
            <w:pPr>
              <w:widowControl/>
              <w:jc w:val="left"/>
              <w:rPr>
                <w:rFonts w:ascii="Calibri" w:hAnsi="Calibri" w:eastAsia="等线" w:cs="宋体"/>
                <w:color w:val="000000"/>
                <w:kern w:val="0"/>
                <w:sz w:val="20"/>
                <w:szCs w:val="20"/>
              </w:rPr>
            </w:pPr>
          </w:p>
        </w:tc>
      </w:tr>
      <w:tr>
        <w:tblPrEx>
          <w:tblLayout w:type="fixed"/>
          <w:tblCellMar>
            <w:top w:w="0" w:type="dxa"/>
            <w:left w:w="108" w:type="dxa"/>
            <w:bottom w:w="0" w:type="dxa"/>
            <w:right w:w="108" w:type="dxa"/>
          </w:tblCellMar>
        </w:tblPrEx>
        <w:trPr>
          <w:gridAfter w:val="2"/>
          <w:wAfter w:w="370" w:type="dxa"/>
          <w:trHeight w:val="720" w:hRule="atLeast"/>
        </w:trPr>
        <w:tc>
          <w:tcPr>
            <w:tcW w:w="9746" w:type="dxa"/>
            <w:gridSpan w:val="16"/>
            <w:tcBorders>
              <w:top w:val="nil"/>
              <w:left w:val="nil"/>
              <w:bottom w:val="single" w:color="auto" w:sz="4" w:space="0"/>
              <w:right w:val="nil"/>
            </w:tcBorders>
            <w:shd w:val="clear" w:color="auto" w:fill="auto"/>
            <w:vAlign w:val="center"/>
          </w:tcPr>
          <w:p>
            <w:pPr>
              <w:widowControl/>
              <w:jc w:val="center"/>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2021年度项目支出绩效自评表</w:t>
            </w:r>
          </w:p>
        </w:tc>
      </w:tr>
      <w:tr>
        <w:tblPrEx>
          <w:tblLayout w:type="fixed"/>
          <w:tblCellMar>
            <w:top w:w="0" w:type="dxa"/>
            <w:left w:w="108" w:type="dxa"/>
            <w:bottom w:w="0" w:type="dxa"/>
            <w:right w:w="108" w:type="dxa"/>
          </w:tblCellMar>
        </w:tblPrEx>
        <w:trPr>
          <w:gridAfter w:val="2"/>
          <w:wAfter w:w="370" w:type="dxa"/>
          <w:trHeight w:val="522" w:hRule="atLeast"/>
        </w:trPr>
        <w:tc>
          <w:tcPr>
            <w:tcW w:w="95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项目支出名称</w:t>
            </w:r>
          </w:p>
        </w:tc>
        <w:tc>
          <w:tcPr>
            <w:tcW w:w="7481" w:type="dxa"/>
            <w:gridSpan w:val="1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高端人才激励经费81.00万元；人才引进47.81万元（其中上年结余12.81万元）；体育场体操训练教学综合楼工程尾款55万元；训练经费7.00万元；医疗后勤保障55.00万元；运动队伙食费用74.00万元；专用器材购置2.07万元（上年结余）。</w:t>
            </w:r>
          </w:p>
        </w:tc>
        <w:tc>
          <w:tcPr>
            <w:tcW w:w="1307"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评价情况</w:t>
            </w:r>
          </w:p>
        </w:tc>
      </w:tr>
      <w:tr>
        <w:tblPrEx>
          <w:tblLayout w:type="fixed"/>
          <w:tblCellMar>
            <w:top w:w="0" w:type="dxa"/>
            <w:left w:w="108" w:type="dxa"/>
            <w:bottom w:w="0" w:type="dxa"/>
            <w:right w:w="108" w:type="dxa"/>
          </w:tblCellMar>
        </w:tblPrEx>
        <w:trPr>
          <w:gridAfter w:val="2"/>
          <w:wAfter w:w="370" w:type="dxa"/>
          <w:trHeight w:val="312" w:hRule="atLeast"/>
        </w:trPr>
        <w:tc>
          <w:tcPr>
            <w:tcW w:w="95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7481" w:type="dxa"/>
            <w:gridSpan w:val="1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3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312" w:hRule="atLeast"/>
        </w:trPr>
        <w:tc>
          <w:tcPr>
            <w:tcW w:w="95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主管部门</w:t>
            </w:r>
          </w:p>
        </w:tc>
        <w:tc>
          <w:tcPr>
            <w:tcW w:w="4253" w:type="dxa"/>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湖南省体育局</w:t>
            </w:r>
          </w:p>
        </w:tc>
        <w:tc>
          <w:tcPr>
            <w:tcW w:w="8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实施单位</w:t>
            </w:r>
          </w:p>
        </w:tc>
        <w:tc>
          <w:tcPr>
            <w:tcW w:w="2419" w:type="dxa"/>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湖南省体操运动管理中心</w:t>
            </w:r>
          </w:p>
        </w:tc>
        <w:tc>
          <w:tcPr>
            <w:tcW w:w="1307"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312"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4253"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8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419"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3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480" w:hRule="atLeast"/>
        </w:trPr>
        <w:tc>
          <w:tcPr>
            <w:tcW w:w="95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项目资金  （万元）</w:t>
            </w:r>
          </w:p>
        </w:tc>
        <w:tc>
          <w:tcPr>
            <w:tcW w:w="226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56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年初预算数</w:t>
            </w:r>
          </w:p>
        </w:tc>
        <w:tc>
          <w:tcPr>
            <w:tcW w:w="141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全年预算数</w:t>
            </w:r>
          </w:p>
        </w:tc>
        <w:tc>
          <w:tcPr>
            <w:tcW w:w="80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全年执行数</w:t>
            </w:r>
          </w:p>
        </w:tc>
        <w:tc>
          <w:tcPr>
            <w:tcW w:w="75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分值</w:t>
            </w:r>
          </w:p>
        </w:tc>
        <w:tc>
          <w:tcPr>
            <w:tcW w:w="862"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执行率</w:t>
            </w:r>
          </w:p>
        </w:tc>
        <w:tc>
          <w:tcPr>
            <w:tcW w:w="807"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得分</w:t>
            </w:r>
          </w:p>
        </w:tc>
        <w:tc>
          <w:tcPr>
            <w:tcW w:w="130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312"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26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56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418"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75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862"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8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30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675"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26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年度资金总额</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321.88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321.88 </w:t>
            </w:r>
          </w:p>
        </w:tc>
        <w:tc>
          <w:tcPr>
            <w:tcW w:w="8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267.97 </w:t>
            </w:r>
          </w:p>
        </w:tc>
        <w:tc>
          <w:tcPr>
            <w:tcW w:w="750"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w:t>
            </w:r>
          </w:p>
        </w:tc>
        <w:tc>
          <w:tcPr>
            <w:tcW w:w="862"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83.25%</w:t>
            </w:r>
          </w:p>
        </w:tc>
        <w:tc>
          <w:tcPr>
            <w:tcW w:w="807"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6.49</w:t>
            </w:r>
          </w:p>
        </w:tc>
        <w:tc>
          <w:tcPr>
            <w:tcW w:w="1307"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每低于5%扣1分,此项扣3.51分</w:t>
            </w:r>
          </w:p>
        </w:tc>
      </w:tr>
      <w:tr>
        <w:tblPrEx>
          <w:tblLayout w:type="fixed"/>
          <w:tblCellMar>
            <w:top w:w="0" w:type="dxa"/>
            <w:left w:w="108" w:type="dxa"/>
            <w:bottom w:w="0" w:type="dxa"/>
            <w:right w:w="108" w:type="dxa"/>
          </w:tblCellMar>
        </w:tblPrEx>
        <w:trPr>
          <w:gridAfter w:val="2"/>
          <w:wAfter w:w="370" w:type="dxa"/>
          <w:trHeight w:val="559"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26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其中：当年财政拨款</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307.00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307.00 </w:t>
            </w:r>
          </w:p>
        </w:tc>
        <w:tc>
          <w:tcPr>
            <w:tcW w:w="8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253.09 </w:t>
            </w:r>
          </w:p>
        </w:tc>
        <w:tc>
          <w:tcPr>
            <w:tcW w:w="750"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9</w:t>
            </w:r>
          </w:p>
        </w:tc>
        <w:tc>
          <w:tcPr>
            <w:tcW w:w="862"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82.44%</w:t>
            </w:r>
          </w:p>
        </w:tc>
        <w:tc>
          <w:tcPr>
            <w:tcW w:w="807"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5.49</w:t>
            </w:r>
          </w:p>
        </w:tc>
        <w:tc>
          <w:tcPr>
            <w:tcW w:w="1307"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385"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26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上年结转资金</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14.88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14.88 </w:t>
            </w:r>
          </w:p>
        </w:tc>
        <w:tc>
          <w:tcPr>
            <w:tcW w:w="8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xml:space="preserve">      14.88 </w:t>
            </w:r>
          </w:p>
        </w:tc>
        <w:tc>
          <w:tcPr>
            <w:tcW w:w="750"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w:t>
            </w:r>
          </w:p>
        </w:tc>
        <w:tc>
          <w:tcPr>
            <w:tcW w:w="862"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100.00%</w:t>
            </w:r>
          </w:p>
        </w:tc>
        <w:tc>
          <w:tcPr>
            <w:tcW w:w="807"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w:t>
            </w:r>
          </w:p>
        </w:tc>
        <w:tc>
          <w:tcPr>
            <w:tcW w:w="1307"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464"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26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其他资金</w:t>
            </w:r>
          </w:p>
        </w:tc>
        <w:tc>
          <w:tcPr>
            <w:tcW w:w="566"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8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750"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862"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807"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307"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80" w:hRule="atLeast"/>
        </w:trPr>
        <w:tc>
          <w:tcPr>
            <w:tcW w:w="95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年度总体目标</w:t>
            </w:r>
          </w:p>
        </w:tc>
        <w:tc>
          <w:tcPr>
            <w:tcW w:w="425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预期目标</w:t>
            </w:r>
          </w:p>
        </w:tc>
        <w:tc>
          <w:tcPr>
            <w:tcW w:w="279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实际完成情况</w:t>
            </w:r>
          </w:p>
        </w:tc>
        <w:tc>
          <w:tcPr>
            <w:tcW w:w="1742"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570" w:hRule="atLeast"/>
        </w:trPr>
        <w:tc>
          <w:tcPr>
            <w:tcW w:w="95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4253" w:type="dxa"/>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1、激励高端人才2名；</w:t>
            </w:r>
          </w:p>
        </w:tc>
        <w:tc>
          <w:tcPr>
            <w:tcW w:w="2793" w:type="dxa"/>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1、激励高端人才2名；2、引进教练员、运动员、医生等高端人才7人；3、体育场体操训练教学综合楼工程完成竣工决算；4、为运动员训练及参赛做好了医疗、生活等后勤保障工作；5、完成专用训练器材的采购。</w:t>
            </w:r>
          </w:p>
        </w:tc>
        <w:tc>
          <w:tcPr>
            <w:tcW w:w="1742" w:type="dxa"/>
            <w:gridSpan w:val="3"/>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570" w:hRule="atLeast"/>
        </w:trPr>
        <w:tc>
          <w:tcPr>
            <w:tcW w:w="95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4253" w:type="dxa"/>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2、预计引进教练员、运动员、医生等高端人才5-7人；</w:t>
            </w:r>
          </w:p>
        </w:tc>
        <w:tc>
          <w:tcPr>
            <w:tcW w:w="2793"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74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570" w:hRule="atLeast"/>
        </w:trPr>
        <w:tc>
          <w:tcPr>
            <w:tcW w:w="95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4253" w:type="dxa"/>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3、完成体育场体操训练教学综合楼工程竣工决算工作；</w:t>
            </w:r>
          </w:p>
        </w:tc>
        <w:tc>
          <w:tcPr>
            <w:tcW w:w="2793"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74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570" w:hRule="atLeast"/>
        </w:trPr>
        <w:tc>
          <w:tcPr>
            <w:tcW w:w="95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4253" w:type="dxa"/>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4、为运动员训练及参赛做好后勤保障工作，使运动员无后顾之忧。</w:t>
            </w:r>
          </w:p>
        </w:tc>
        <w:tc>
          <w:tcPr>
            <w:tcW w:w="2793"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74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570" w:hRule="atLeast"/>
        </w:trPr>
        <w:tc>
          <w:tcPr>
            <w:tcW w:w="95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4253" w:type="dxa"/>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5、预计购置医疗耗材10批、专用训练器材4批。</w:t>
            </w:r>
          </w:p>
        </w:tc>
        <w:tc>
          <w:tcPr>
            <w:tcW w:w="2793"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74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720" w:hRule="atLeast"/>
        </w:trPr>
        <w:tc>
          <w:tcPr>
            <w:tcW w:w="95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绩效指标</w:t>
            </w:r>
          </w:p>
        </w:tc>
        <w:tc>
          <w:tcPr>
            <w:tcW w:w="99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一级指标</w:t>
            </w: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二级指标</w:t>
            </w:r>
          </w:p>
        </w:tc>
        <w:tc>
          <w:tcPr>
            <w:tcW w:w="1134" w:type="dxa"/>
            <w:gridSpan w:val="3"/>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三级指标</w:t>
            </w:r>
          </w:p>
        </w:tc>
        <w:tc>
          <w:tcPr>
            <w:tcW w:w="113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年度指标值</w:t>
            </w:r>
          </w:p>
        </w:tc>
        <w:tc>
          <w:tcPr>
            <w:tcW w:w="993"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实际完成值</w:t>
            </w:r>
          </w:p>
        </w:tc>
        <w:tc>
          <w:tcPr>
            <w:tcW w:w="56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分值</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得分</w:t>
            </w:r>
          </w:p>
        </w:tc>
        <w:tc>
          <w:tcPr>
            <w:tcW w:w="1277" w:type="dxa"/>
            <w:gridSpan w:val="4"/>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偏差原因分析及改进措施</w:t>
            </w:r>
          </w:p>
        </w:tc>
        <w:tc>
          <w:tcPr>
            <w:tcW w:w="9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312"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56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277" w:type="dxa"/>
            <w:gridSpan w:val="4"/>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312"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56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277" w:type="dxa"/>
            <w:gridSpan w:val="4"/>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gridAfter w:val="2"/>
          <w:wAfter w:w="370" w:type="dxa"/>
          <w:trHeight w:val="675"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产出指标（50分）</w:t>
            </w: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数量指标（20分）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引进优秀教练员运动员医生等优秀人才人次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5-7人</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7人</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379"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高端人才激励人数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2人</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2人</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向国家队输送运动员数量</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10-12人</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15人</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体操、蹦床、攀岩运功员数量</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115人次</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115人</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运动员参加训练人次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115人次</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115人</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运动员参加训练天数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310天</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310天</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体操、蹦床和攀岩运动员训练计划</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110份</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110份</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1245"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运动员等级人数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一级运动员预计4人；健将运动员预计2人；国际运动健将预计1人</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一级运动员预计4人；健将运动员预计3人；国际运动健将预计2人</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8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购买医疗耗材数量</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10批</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10批</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购买专业训练器材数量</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4批</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4批</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72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质量指标（12分）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体育场体操训练教学综合楼工程竣工决算验收合格</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合格</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合格</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场馆小型维修维护合格率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13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运动员等级增长率</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一级运动员增长率0%；健将运动员增长率0%；国际运动健将增长率0%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一级运动员增长率0%；健将运动员增长率-25%；国际运动健将增长率100%</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健将运动员人员减少</w:t>
            </w:r>
          </w:p>
        </w:tc>
      </w:tr>
      <w:tr>
        <w:tblPrEx>
          <w:tblLayout w:type="fixed"/>
          <w:tblCellMar>
            <w:top w:w="0" w:type="dxa"/>
            <w:left w:w="108" w:type="dxa"/>
            <w:bottom w:w="0" w:type="dxa"/>
            <w:right w:w="108" w:type="dxa"/>
          </w:tblCellMar>
        </w:tblPrEx>
        <w:trPr>
          <w:gridAfter w:val="2"/>
          <w:wAfter w:w="370" w:type="dxa"/>
          <w:trHeight w:val="675"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采购的专业训练器材和医疗器材验收合格率</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78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时效指标（10分）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体育场体操训练教学综合楼工程竣工决算完成率</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825"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高端人才激励经费支付完成率</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44%</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0</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拨款81万，实际完成支付35.96万。</w:t>
            </w:r>
          </w:p>
        </w:tc>
      </w:tr>
      <w:tr>
        <w:tblPrEx>
          <w:tblLayout w:type="fixed"/>
          <w:tblCellMar>
            <w:top w:w="0" w:type="dxa"/>
            <w:left w:w="108" w:type="dxa"/>
            <w:bottom w:w="0" w:type="dxa"/>
            <w:right w:w="108" w:type="dxa"/>
          </w:tblCellMar>
        </w:tblPrEx>
        <w:trPr>
          <w:gridAfter w:val="2"/>
          <w:wAfter w:w="370" w:type="dxa"/>
          <w:trHeight w:val="48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训练计划完成率</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8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场馆设备维护及时率</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8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资金及时到位率</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成本指标（8分）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人才引进支出成本控制范围</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47.81万元</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47.81万元</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FF0000"/>
                <w:kern w:val="0"/>
                <w:sz w:val="18"/>
                <w:szCs w:val="18"/>
              </w:rPr>
            </w:pPr>
            <w:r>
              <w:rPr>
                <w:rFonts w:hint="eastAsia" w:cs="宋体" w:asciiTheme="minorEastAsia" w:hAnsiTheme="minorEastAsia"/>
                <w:color w:val="FF0000"/>
                <w:kern w:val="0"/>
                <w:sz w:val="18"/>
                <w:szCs w:val="18"/>
              </w:rPr>
              <w:t>　</w:t>
            </w:r>
          </w:p>
        </w:tc>
      </w:tr>
      <w:tr>
        <w:tblPrEx>
          <w:tblLayout w:type="fixed"/>
          <w:tblCellMar>
            <w:top w:w="0" w:type="dxa"/>
            <w:left w:w="108" w:type="dxa"/>
            <w:bottom w:w="0" w:type="dxa"/>
            <w:right w:w="108" w:type="dxa"/>
          </w:tblCellMar>
        </w:tblPrEx>
        <w:trPr>
          <w:gridAfter w:val="2"/>
          <w:wAfter w:w="370" w:type="dxa"/>
          <w:trHeight w:val="60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采购成本控制率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552"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活动成本控制范围</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321.88万元</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267.97万元</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3</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效益指标（30分）</w:t>
            </w: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社会效益指标（20分）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促进运动员训练积极性</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明显/良好/一般</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提高运动员赛事水平</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明显/良好/一般</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45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改善运动员康复条件</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明显/良好/一般</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69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加强教练员队伍建设</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明显/良好/一般</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675"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生态效益指标（5分）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无污染、无噪音、没有对环境造成消极影响</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明显、较好、一般</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明显</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675"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可持续影响指标（5分）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社会对体育事业发展关注度</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98%</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54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满意度指标（10分）</w:t>
            </w:r>
          </w:p>
        </w:tc>
        <w:tc>
          <w:tcPr>
            <w:tcW w:w="9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服务对象满意度指标（10分）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教练员满意度</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95%</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540" w:hRule="atLeast"/>
        </w:trPr>
        <w:tc>
          <w:tcPr>
            <w:tcW w:w="95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运动员满意度</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95%</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r>
        <w:tblPrEx>
          <w:tblLayout w:type="fixed"/>
          <w:tblCellMar>
            <w:top w:w="0" w:type="dxa"/>
            <w:left w:w="108" w:type="dxa"/>
            <w:bottom w:w="0" w:type="dxa"/>
            <w:right w:w="108" w:type="dxa"/>
          </w:tblCellMar>
        </w:tblPrEx>
        <w:trPr>
          <w:gridAfter w:val="2"/>
          <w:wAfter w:w="370" w:type="dxa"/>
          <w:trHeight w:val="610" w:hRule="atLeast"/>
        </w:trPr>
        <w:tc>
          <w:tcPr>
            <w:tcW w:w="6204"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总分</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94.49</w:t>
            </w:r>
          </w:p>
        </w:tc>
        <w:tc>
          <w:tcPr>
            <w:tcW w:w="1277" w:type="dxa"/>
            <w:gridSpan w:val="4"/>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99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r>
    </w:tbl>
    <w:p>
      <w:pPr>
        <w:widowControl/>
        <w:jc w:val="left"/>
        <w:rPr>
          <w:rFonts w:cs="黑体" w:asciiTheme="minorEastAsia" w:hAnsiTheme="minorEastAsia"/>
          <w:color w:val="000000"/>
          <w:kern w:val="0"/>
          <w:sz w:val="32"/>
          <w:szCs w:val="32"/>
        </w:rPr>
      </w:pPr>
    </w:p>
    <w:tbl>
      <w:tblPr>
        <w:tblStyle w:val="6"/>
        <w:tblpPr w:leftFromText="180" w:rightFromText="180" w:horzAnchor="margin" w:tblpXSpec="center" w:tblpY="315"/>
        <w:tblW w:w="10140" w:type="dxa"/>
        <w:tblInd w:w="0" w:type="dxa"/>
        <w:tblLayout w:type="fixed"/>
        <w:tblCellMar>
          <w:top w:w="0" w:type="dxa"/>
          <w:left w:w="108" w:type="dxa"/>
          <w:bottom w:w="0" w:type="dxa"/>
          <w:right w:w="108" w:type="dxa"/>
        </w:tblCellMar>
      </w:tblPr>
      <w:tblGrid>
        <w:gridCol w:w="816"/>
        <w:gridCol w:w="1031"/>
        <w:gridCol w:w="1031"/>
        <w:gridCol w:w="1152"/>
        <w:gridCol w:w="1275"/>
        <w:gridCol w:w="1116"/>
        <w:gridCol w:w="755"/>
        <w:gridCol w:w="1005"/>
        <w:gridCol w:w="928"/>
        <w:gridCol w:w="1031"/>
      </w:tblGrid>
      <w:tr>
        <w:tblPrEx>
          <w:tblLayout w:type="fixed"/>
          <w:tblCellMar>
            <w:top w:w="0" w:type="dxa"/>
            <w:left w:w="108" w:type="dxa"/>
            <w:bottom w:w="0" w:type="dxa"/>
            <w:right w:w="108" w:type="dxa"/>
          </w:tblCellMar>
        </w:tblPrEx>
        <w:trPr>
          <w:trHeight w:val="420" w:hRule="atLeast"/>
        </w:trPr>
        <w:tc>
          <w:tcPr>
            <w:tcW w:w="9109" w:type="dxa"/>
            <w:gridSpan w:val="9"/>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24"/>
                <w:szCs w:val="24"/>
              </w:rPr>
            </w:pPr>
          </w:p>
        </w:tc>
        <w:tc>
          <w:tcPr>
            <w:tcW w:w="1031" w:type="dxa"/>
            <w:tcBorders>
              <w:top w:val="nil"/>
              <w:left w:val="nil"/>
              <w:bottom w:val="nil"/>
              <w:right w:val="nil"/>
            </w:tcBorders>
            <w:shd w:val="clear" w:color="auto" w:fill="auto"/>
            <w:vAlign w:val="center"/>
          </w:tcPr>
          <w:p>
            <w:pPr>
              <w:widowControl/>
              <w:jc w:val="left"/>
              <w:rPr>
                <w:rFonts w:ascii="Calibri" w:hAnsi="Calibri" w:eastAsia="等线" w:cs="宋体"/>
                <w:color w:val="000000"/>
                <w:kern w:val="0"/>
                <w:sz w:val="20"/>
                <w:szCs w:val="20"/>
              </w:rPr>
            </w:pPr>
          </w:p>
        </w:tc>
      </w:tr>
      <w:tr>
        <w:tblPrEx>
          <w:tblLayout w:type="fixed"/>
          <w:tblCellMar>
            <w:top w:w="0" w:type="dxa"/>
            <w:left w:w="108" w:type="dxa"/>
            <w:bottom w:w="0" w:type="dxa"/>
            <w:right w:w="108" w:type="dxa"/>
          </w:tblCellMar>
        </w:tblPrEx>
        <w:trPr>
          <w:trHeight w:val="720" w:hRule="atLeast"/>
        </w:trPr>
        <w:tc>
          <w:tcPr>
            <w:tcW w:w="10140" w:type="dxa"/>
            <w:gridSpan w:val="10"/>
            <w:tcBorders>
              <w:top w:val="nil"/>
              <w:left w:val="nil"/>
              <w:bottom w:val="single" w:color="auto" w:sz="4" w:space="0"/>
              <w:right w:val="nil"/>
            </w:tcBorders>
            <w:shd w:val="clear" w:color="auto" w:fill="auto"/>
            <w:vAlign w:val="center"/>
          </w:tcPr>
          <w:p>
            <w:pPr>
              <w:widowControl/>
              <w:jc w:val="left"/>
              <w:rPr>
                <w:rFonts w:ascii="方正小标宋_GBK" w:hAnsi="宋体" w:eastAsia="方正小标宋_GBK" w:cs="宋体"/>
                <w:color w:val="000000"/>
                <w:kern w:val="0"/>
                <w:sz w:val="36"/>
                <w:szCs w:val="36"/>
              </w:rPr>
            </w:pPr>
            <w:r>
              <w:rPr>
                <w:rFonts w:hint="eastAsia" w:ascii="黑体" w:hAnsi="黑体" w:eastAsia="黑体" w:cs="宋体"/>
                <w:color w:val="000000"/>
                <w:kern w:val="0"/>
                <w:sz w:val="24"/>
                <w:szCs w:val="24"/>
              </w:rPr>
              <w:t>附件3-2</w:t>
            </w:r>
          </w:p>
          <w:p>
            <w:pPr>
              <w:widowControl/>
              <w:jc w:val="center"/>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2021年度项目支出绩效自评表</w:t>
            </w:r>
          </w:p>
        </w:tc>
      </w:tr>
      <w:tr>
        <w:tblPrEx>
          <w:tblLayout w:type="fixed"/>
          <w:tblCellMar>
            <w:top w:w="0" w:type="dxa"/>
            <w:left w:w="108" w:type="dxa"/>
            <w:bottom w:w="0" w:type="dxa"/>
            <w:right w:w="108" w:type="dxa"/>
          </w:tblCellMar>
        </w:tblPrEx>
        <w:trPr>
          <w:trHeight w:val="522" w:hRule="atLeast"/>
        </w:trPr>
        <w:tc>
          <w:tcPr>
            <w:tcW w:w="8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项目支出名称</w:t>
            </w:r>
          </w:p>
        </w:tc>
        <w:tc>
          <w:tcPr>
            <w:tcW w:w="8293" w:type="dxa"/>
            <w:gridSpan w:val="8"/>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备战奥运会经费20.00万元；备战全运会经费90.00万元；运动员常年成绩奖30.00万元               全运会参赛经费（体操、蹦床、攀岩项目）20.00万元。</w:t>
            </w:r>
          </w:p>
        </w:tc>
        <w:tc>
          <w:tcPr>
            <w:tcW w:w="103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评价情况</w:t>
            </w:r>
          </w:p>
        </w:tc>
      </w:tr>
      <w:tr>
        <w:tblPrEx>
          <w:tblLayout w:type="fixed"/>
          <w:tblCellMar>
            <w:top w:w="0" w:type="dxa"/>
            <w:left w:w="108" w:type="dxa"/>
            <w:bottom w:w="0" w:type="dxa"/>
            <w:right w:w="108" w:type="dxa"/>
          </w:tblCellMar>
        </w:tblPrEx>
        <w:trPr>
          <w:trHeight w:val="312"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8293" w:type="dxa"/>
            <w:gridSpan w:val="8"/>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312" w:hRule="atLeast"/>
        </w:trPr>
        <w:tc>
          <w:tcPr>
            <w:tcW w:w="8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主管部门</w:t>
            </w:r>
          </w:p>
        </w:tc>
        <w:tc>
          <w:tcPr>
            <w:tcW w:w="4489"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湖南省体育局</w:t>
            </w:r>
          </w:p>
        </w:tc>
        <w:tc>
          <w:tcPr>
            <w:tcW w:w="11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实施单位</w:t>
            </w:r>
          </w:p>
        </w:tc>
        <w:tc>
          <w:tcPr>
            <w:tcW w:w="2688"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湖南省体操运动管理中心</w:t>
            </w:r>
          </w:p>
        </w:tc>
        <w:tc>
          <w:tcPr>
            <w:tcW w:w="103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312"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268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480" w:hRule="atLeast"/>
        </w:trPr>
        <w:tc>
          <w:tcPr>
            <w:tcW w:w="8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项目资金（万元）</w:t>
            </w:r>
          </w:p>
        </w:tc>
        <w:tc>
          <w:tcPr>
            <w:tcW w:w="206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1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年初预算数</w:t>
            </w:r>
          </w:p>
        </w:tc>
        <w:tc>
          <w:tcPr>
            <w:tcW w:w="127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全年预算数</w:t>
            </w:r>
          </w:p>
        </w:tc>
        <w:tc>
          <w:tcPr>
            <w:tcW w:w="11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全年执行数</w:t>
            </w:r>
          </w:p>
        </w:tc>
        <w:tc>
          <w:tcPr>
            <w:tcW w:w="7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分值</w:t>
            </w:r>
          </w:p>
        </w:tc>
        <w:tc>
          <w:tcPr>
            <w:tcW w:w="10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执行率</w:t>
            </w:r>
          </w:p>
        </w:tc>
        <w:tc>
          <w:tcPr>
            <w:tcW w:w="92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得分</w:t>
            </w:r>
          </w:p>
        </w:tc>
        <w:tc>
          <w:tcPr>
            <w:tcW w:w="103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312"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20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275"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1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755"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005"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928"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67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20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年度资金总额</w:t>
            </w:r>
          </w:p>
        </w:tc>
        <w:tc>
          <w:tcPr>
            <w:tcW w:w="1152"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160.00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160.00 </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160.00 </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100.00%</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每低于5%扣1分，此项不扣分。</w:t>
            </w:r>
          </w:p>
        </w:tc>
      </w:tr>
      <w:tr>
        <w:tblPrEx>
          <w:tblLayout w:type="fixed"/>
          <w:tblCellMar>
            <w:top w:w="0" w:type="dxa"/>
            <w:left w:w="108" w:type="dxa"/>
            <w:bottom w:w="0" w:type="dxa"/>
            <w:right w:w="108" w:type="dxa"/>
          </w:tblCellMar>
        </w:tblPrEx>
        <w:trPr>
          <w:trHeight w:val="36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20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其中：当年财政拨款</w:t>
            </w:r>
          </w:p>
        </w:tc>
        <w:tc>
          <w:tcPr>
            <w:tcW w:w="1152"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140.00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140.00 </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140.00 </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9</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100.00%</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9</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02"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20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上年结转资金</w:t>
            </w:r>
          </w:p>
        </w:tc>
        <w:tc>
          <w:tcPr>
            <w:tcW w:w="1152"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20.00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20.00 </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xml:space="preserve">     20.00 </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100.00%</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02"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20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其他资金</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116"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75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0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20" w:hRule="atLeast"/>
        </w:trPr>
        <w:tc>
          <w:tcPr>
            <w:tcW w:w="8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年度总体目标</w:t>
            </w: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预期目标</w:t>
            </w:r>
          </w:p>
        </w:tc>
        <w:tc>
          <w:tcPr>
            <w:tcW w:w="38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实际完成情况</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679"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1、体操、蹦床、攀岩三个项目在东京奥运会选拔赛参加人数8-10人，进入前6名人数，东京奥运会获得奖牌数1-2枚；</w:t>
            </w:r>
          </w:p>
        </w:tc>
        <w:tc>
          <w:tcPr>
            <w:tcW w:w="38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体操、蹦床、攀岩三个项目在东京奥运会选拔赛参加人数9人，其中7人进入前6名，未参加东京奥运会；</w:t>
            </w:r>
          </w:p>
        </w:tc>
        <w:tc>
          <w:tcPr>
            <w:tcW w:w="103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679"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2、计划参加2021年第50届世界体操锦标赛和第35届世界蹦床锦标赛1-2人，获奖人数1-2人次，获奖牌数1-2枚。</w:t>
            </w:r>
          </w:p>
        </w:tc>
        <w:tc>
          <w:tcPr>
            <w:tcW w:w="38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参加2021年第50届世界体操锦标赛和第35届世界蹦床锦标赛2人，获奖人数为2人次，获得2枚奖牌数。</w:t>
            </w: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642"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3、体操、蹦床、攀岩三个项目力争全运会参赛出线运动员30-40人 ，获奖人数12-15人次，获得奖牌3-4枚；</w:t>
            </w:r>
          </w:p>
        </w:tc>
        <w:tc>
          <w:tcPr>
            <w:tcW w:w="38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体操、蹦床、攀岩三个项目全运会参赛出线运动员54人 ，获奖人数14人次，获得8枚奖牌；</w:t>
            </w: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739"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4、体操、蹦床、攀岩三个项目力争参加全国比赛，获奖人数15人次，获得奖牌3-4枚；</w:t>
            </w:r>
          </w:p>
        </w:tc>
        <w:tc>
          <w:tcPr>
            <w:tcW w:w="38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体操、蹦床、攀岩三个项目参加全国比赛，获奖人数16人次，获得3枚金牌、4枚银牌、4枚铜牌；</w:t>
            </w: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570"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5、体操、蹦床、攀岩三个项目2021年在全国青少年比赛中获得7枚奖牌；</w:t>
            </w:r>
          </w:p>
        </w:tc>
        <w:tc>
          <w:tcPr>
            <w:tcW w:w="38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因疫情原因青少年锦标赛比赛取消。</w:t>
            </w: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570"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6、体操项目参加全国体操U系列比赛中获得7枚奖牌；</w:t>
            </w:r>
          </w:p>
        </w:tc>
        <w:tc>
          <w:tcPr>
            <w:tcW w:w="38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因疫情原因全国体操U系列比赛取消。</w:t>
            </w: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570"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7、预计采购服装器材6批次、专业训练器材6批次。</w:t>
            </w:r>
          </w:p>
        </w:tc>
        <w:tc>
          <w:tcPr>
            <w:tcW w:w="38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完成采购服装6批次、专业训练器材6批次</w:t>
            </w: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570"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448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8、完成运动员常年成绩奖的发放。</w:t>
            </w:r>
          </w:p>
        </w:tc>
        <w:tc>
          <w:tcPr>
            <w:tcW w:w="38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完成运动员常年成绩奖的发放</w:t>
            </w: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720" w:hRule="atLeast"/>
        </w:trPr>
        <w:tc>
          <w:tcPr>
            <w:tcW w:w="8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绩效指标</w:t>
            </w:r>
          </w:p>
        </w:tc>
        <w:tc>
          <w:tcPr>
            <w:tcW w:w="103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一级指标</w:t>
            </w:r>
          </w:p>
        </w:tc>
        <w:tc>
          <w:tcPr>
            <w:tcW w:w="103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二级指标</w:t>
            </w:r>
          </w:p>
        </w:tc>
        <w:tc>
          <w:tcPr>
            <w:tcW w:w="11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三级指标</w:t>
            </w:r>
          </w:p>
        </w:tc>
        <w:tc>
          <w:tcPr>
            <w:tcW w:w="127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年度指标值</w:t>
            </w:r>
          </w:p>
        </w:tc>
        <w:tc>
          <w:tcPr>
            <w:tcW w:w="11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实际完成值</w:t>
            </w:r>
          </w:p>
        </w:tc>
        <w:tc>
          <w:tcPr>
            <w:tcW w:w="7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分值</w:t>
            </w:r>
          </w:p>
        </w:tc>
        <w:tc>
          <w:tcPr>
            <w:tcW w:w="10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得分</w:t>
            </w:r>
          </w:p>
        </w:tc>
        <w:tc>
          <w:tcPr>
            <w:tcW w:w="92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偏差原因分析及改进措施</w:t>
            </w:r>
          </w:p>
        </w:tc>
        <w:tc>
          <w:tcPr>
            <w:tcW w:w="103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312"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275"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1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755"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005"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92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312"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275"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1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755"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005"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928"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r>
      <w:tr>
        <w:tblPrEx>
          <w:tblLayout w:type="fixed"/>
          <w:tblCellMar>
            <w:top w:w="0" w:type="dxa"/>
            <w:left w:w="108" w:type="dxa"/>
            <w:bottom w:w="0" w:type="dxa"/>
            <w:right w:w="108" w:type="dxa"/>
          </w:tblCellMar>
        </w:tblPrEx>
        <w:trPr>
          <w:trHeight w:val="144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restart"/>
            <w:tcBorders>
              <w:top w:val="nil"/>
              <w:left w:val="single" w:color="auto" w:sz="4" w:space="0"/>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产出指标（50分）</w:t>
            </w:r>
          </w:p>
        </w:tc>
        <w:tc>
          <w:tcPr>
            <w:tcW w:w="1031" w:type="dxa"/>
            <w:vMerge w:val="restart"/>
            <w:tcBorders>
              <w:top w:val="nil"/>
              <w:left w:val="single" w:color="auto" w:sz="4" w:space="0"/>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数量指标（24分）</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参加东京奥运会选拔赛运动员人次/进入前6名人数/东京奥运会获得奖牌数1-2枚</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8-9人/5-6人/1-2枚</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9人/6人/0枚</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1.5</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未参加东京奥运会</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未获得奖牌数扣1.5分。</w:t>
            </w:r>
          </w:p>
        </w:tc>
      </w:tr>
      <w:tr>
        <w:tblPrEx>
          <w:tblLayout w:type="fixed"/>
          <w:tblCellMar>
            <w:top w:w="0" w:type="dxa"/>
            <w:left w:w="108" w:type="dxa"/>
            <w:bottom w:w="0" w:type="dxa"/>
            <w:right w:w="108" w:type="dxa"/>
          </w:tblCellMar>
        </w:tblPrEx>
        <w:trPr>
          <w:trHeight w:val="162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参加2021年第50届世界体操锦标赛和第35届世界蹦床锦标赛人数/获奖人数/获奖牌数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1-2人/1-2人/1-2枚</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2人/2人/2枚</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FF0000"/>
                <w:kern w:val="0"/>
                <w:sz w:val="22"/>
              </w:rPr>
            </w:pPr>
            <w:r>
              <w:rPr>
                <w:rFonts w:hint="eastAsia" w:cs="宋体" w:asciiTheme="minorEastAsia" w:hAnsiTheme="minorEastAsia"/>
                <w:color w:val="FF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FF0000"/>
                <w:kern w:val="0"/>
                <w:sz w:val="22"/>
              </w:rPr>
            </w:pPr>
            <w:r>
              <w:rPr>
                <w:rFonts w:hint="eastAsia" w:cs="宋体" w:asciiTheme="minorEastAsia" w:hAnsiTheme="minorEastAsia"/>
                <w:color w:val="FF0000"/>
                <w:kern w:val="0"/>
                <w:sz w:val="22"/>
              </w:rPr>
              <w:t>　</w:t>
            </w:r>
          </w:p>
        </w:tc>
      </w:tr>
      <w:tr>
        <w:tblPrEx>
          <w:tblLayout w:type="fixed"/>
          <w:tblCellMar>
            <w:top w:w="0" w:type="dxa"/>
            <w:left w:w="108" w:type="dxa"/>
            <w:bottom w:w="0" w:type="dxa"/>
            <w:right w:w="108" w:type="dxa"/>
          </w:tblCellMar>
        </w:tblPrEx>
        <w:trPr>
          <w:trHeight w:val="90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参加全运会运动员人数、/获奖运动员人次/奖牌数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45-55人次/12-15人次/6-8枚</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54人次/14人次/8枚</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bottom"/>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120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参加全国其它比赛运动员人数、/获奖运动员人次/奖牌数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80-90人次/15人次/3-4枚</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113人次/16人次/11枚</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2"/>
              </w:rPr>
            </w:pPr>
            <w:r>
              <w:rPr>
                <w:rFonts w:hint="eastAsia" w:cs="宋体" w:asciiTheme="minorEastAsia" w:hAnsiTheme="minorEastAsia"/>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FF0000"/>
                <w:kern w:val="0"/>
                <w:sz w:val="22"/>
              </w:rPr>
            </w:pPr>
            <w:r>
              <w:rPr>
                <w:rFonts w:hint="eastAsia" w:cs="宋体" w:asciiTheme="minorEastAsia" w:hAnsiTheme="minorEastAsia"/>
                <w:color w:val="FF0000"/>
                <w:kern w:val="0"/>
                <w:sz w:val="22"/>
              </w:rPr>
              <w:t>　</w:t>
            </w:r>
          </w:p>
        </w:tc>
        <w:tc>
          <w:tcPr>
            <w:tcW w:w="1031" w:type="dxa"/>
            <w:tcBorders>
              <w:top w:val="nil"/>
              <w:left w:val="nil"/>
              <w:bottom w:val="single" w:color="auto" w:sz="4" w:space="0"/>
              <w:right w:val="single" w:color="auto" w:sz="4" w:space="0"/>
            </w:tcBorders>
            <w:shd w:val="clear" w:color="auto" w:fill="auto"/>
            <w:vAlign w:val="bottom"/>
          </w:tcPr>
          <w:p>
            <w:pPr>
              <w:widowControl/>
              <w:jc w:val="left"/>
              <w:rPr>
                <w:rFonts w:cs="宋体" w:asciiTheme="minorEastAsia" w:hAnsiTheme="minorEastAsia"/>
                <w:color w:val="FF0000"/>
                <w:kern w:val="0"/>
                <w:sz w:val="22"/>
              </w:rPr>
            </w:pPr>
            <w:r>
              <w:rPr>
                <w:rFonts w:hint="eastAsia" w:cs="宋体" w:asciiTheme="minorEastAsia" w:hAnsiTheme="minorEastAsia"/>
                <w:color w:val="FF0000"/>
                <w:kern w:val="0"/>
                <w:sz w:val="22"/>
              </w:rPr>
              <w:t>　</w:t>
            </w:r>
          </w:p>
        </w:tc>
      </w:tr>
      <w:tr>
        <w:tblPrEx>
          <w:tblLayout w:type="fixed"/>
          <w:tblCellMar>
            <w:top w:w="0" w:type="dxa"/>
            <w:left w:w="108" w:type="dxa"/>
            <w:bottom w:w="0" w:type="dxa"/>
            <w:right w:w="108" w:type="dxa"/>
          </w:tblCellMar>
        </w:tblPrEx>
        <w:trPr>
          <w:trHeight w:val="90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参加全国体操U系列比赛次数/奖牌数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4次/7枚</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0次/0枚</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0</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因疫情原因取消全国体操U系列比赛</w:t>
            </w:r>
          </w:p>
        </w:tc>
        <w:tc>
          <w:tcPr>
            <w:tcW w:w="1031" w:type="dxa"/>
            <w:tcBorders>
              <w:top w:val="nil"/>
              <w:left w:val="nil"/>
              <w:bottom w:val="single" w:color="auto" w:sz="4" w:space="0"/>
              <w:right w:val="single" w:color="auto" w:sz="4" w:space="0"/>
            </w:tcBorders>
            <w:shd w:val="clear" w:color="auto" w:fill="auto"/>
            <w:vAlign w:val="bottom"/>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未参加比赛，无奖牌数，不得分。</w:t>
            </w:r>
          </w:p>
        </w:tc>
      </w:tr>
      <w:tr>
        <w:tblPrEx>
          <w:tblLayout w:type="fixed"/>
          <w:tblCellMar>
            <w:top w:w="0" w:type="dxa"/>
            <w:left w:w="108" w:type="dxa"/>
            <w:bottom w:w="0" w:type="dxa"/>
            <w:right w:w="108" w:type="dxa"/>
          </w:tblCellMar>
        </w:tblPrEx>
        <w:trPr>
          <w:trHeight w:val="66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2"/>
              </w:rPr>
            </w:pPr>
            <w:r>
              <w:rPr>
                <w:rFonts w:hint="eastAsia" w:cs="宋体" w:asciiTheme="minorEastAsia" w:hAnsiTheme="minorEastAsia"/>
                <w:kern w:val="0"/>
                <w:sz w:val="22"/>
              </w:rPr>
              <w:t>参加青少年锦标赛次数/奖牌数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3次/7枚</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0次/0枚</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0</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因疫情原因取消全国青少年比赛</w:t>
            </w:r>
          </w:p>
        </w:tc>
        <w:tc>
          <w:tcPr>
            <w:tcW w:w="1031" w:type="dxa"/>
            <w:tcBorders>
              <w:top w:val="nil"/>
              <w:left w:val="nil"/>
              <w:bottom w:val="single" w:color="auto" w:sz="4" w:space="0"/>
              <w:right w:val="single" w:color="auto" w:sz="4" w:space="0"/>
            </w:tcBorders>
            <w:shd w:val="clear" w:color="auto" w:fill="auto"/>
            <w:vAlign w:val="bottom"/>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未参加比赛，无奖牌数，不得分。</w:t>
            </w:r>
          </w:p>
        </w:tc>
      </w:tr>
      <w:tr>
        <w:tblPrEx>
          <w:tblLayout w:type="fixed"/>
          <w:tblCellMar>
            <w:top w:w="0" w:type="dxa"/>
            <w:left w:w="108" w:type="dxa"/>
            <w:bottom w:w="0" w:type="dxa"/>
            <w:right w:w="108" w:type="dxa"/>
          </w:tblCellMar>
        </w:tblPrEx>
        <w:trPr>
          <w:trHeight w:val="69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运动员常年成绩奖次数、人数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1次、70人</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1次、70人</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99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采购运动员服装、专业训练器材批数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采购运动员服装5批、专业训练器材6批</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采购运动员服装6批、专业训练器材6批</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1.5</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服装增补一批</w:t>
            </w:r>
          </w:p>
        </w:tc>
      </w:tr>
      <w:tr>
        <w:tblPrEx>
          <w:tblLayout w:type="fixed"/>
          <w:tblCellMar>
            <w:top w:w="0" w:type="dxa"/>
            <w:left w:w="108" w:type="dxa"/>
            <w:bottom w:w="0" w:type="dxa"/>
            <w:right w:w="108" w:type="dxa"/>
          </w:tblCellMar>
        </w:tblPrEx>
        <w:trPr>
          <w:trHeight w:val="67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备战东京奥运会、全运会训练计划书</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110份</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110份</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运动员训练训练人次/天数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115人次/310天</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115人次/310天</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13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运动员等级人数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一级运动员预计4人；健将运动员预计2人；国际运动健将预计1人</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一级运动员预计4人；健将运动员预计3人；国际运动健将预计2人</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70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参加总局组织集训次数</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4次</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4次</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上海、武汉、南京、云南</w:t>
            </w:r>
          </w:p>
        </w:tc>
      </w:tr>
      <w:tr>
        <w:tblPrEx>
          <w:tblLayout w:type="fixed"/>
          <w:tblCellMar>
            <w:top w:w="0" w:type="dxa"/>
            <w:left w:w="108" w:type="dxa"/>
            <w:bottom w:w="0" w:type="dxa"/>
            <w:right w:w="108" w:type="dxa"/>
          </w:tblCellMar>
        </w:tblPrEx>
        <w:trPr>
          <w:trHeight w:val="13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质量指标（12分）</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运动员按赛事要求完成比赛，无违规违纪行为，赛事过程中未受到处罚。</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0次</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0次</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157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运动员等级增长率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一级运动员增长率0%；健将运动员增长率0%；国际运动健将增长率0%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一级运动员增长率0%；健将运动员增长率-25%；国际运动健将增长率100%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1.5</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健将运动员人员减少</w:t>
            </w:r>
          </w:p>
        </w:tc>
      </w:tr>
      <w:tr>
        <w:tblPrEx>
          <w:tblLayout w:type="fixed"/>
          <w:tblCellMar>
            <w:top w:w="0" w:type="dxa"/>
            <w:left w:w="108" w:type="dxa"/>
            <w:bottom w:w="0" w:type="dxa"/>
            <w:right w:w="108" w:type="dxa"/>
          </w:tblCellMar>
        </w:tblPrEx>
        <w:trPr>
          <w:trHeight w:val="522"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比赛奖金足额发放率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13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比赛任务完成率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100%（完成率=实际完成的比赛数量/预计举办（参加）比赛的数量</w:t>
            </w:r>
            <w:r>
              <w:rPr>
                <w:rFonts w:hint="eastAsia" w:cs="宋体" w:asciiTheme="minorEastAsia" w:hAnsiTheme="minorEastAsia"/>
                <w:color w:val="000000"/>
                <w:kern w:val="0"/>
                <w:sz w:val="22"/>
              </w:rPr>
              <w:br w:type="textWrapping"/>
            </w: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1.5</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未参加东京奥运会比赛，仅参加东京奥运会选拔赛</w:t>
            </w:r>
          </w:p>
        </w:tc>
      </w:tr>
      <w:tr>
        <w:tblPrEx>
          <w:tblLayout w:type="fixed"/>
          <w:tblCellMar>
            <w:top w:w="0" w:type="dxa"/>
            <w:left w:w="108" w:type="dxa"/>
            <w:bottom w:w="0" w:type="dxa"/>
            <w:right w:w="108" w:type="dxa"/>
          </w:tblCellMar>
        </w:tblPrEx>
        <w:trPr>
          <w:trHeight w:val="559"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场馆室内温度达标率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67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采购的专业训练器材验收合格</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79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时效指标（6分）</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运动员常年成绩奖发放完成率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8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训练计划完成率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180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赛事按计划及时参加或举办</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100%（完成率=实际完成的比赛数量/预计举办（参加）比赛的数量*100%）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未参加东京奥运会比赛，仅参加东京奥运会选拔赛，部分比赛项目因疫情原因取消。</w:t>
            </w:r>
          </w:p>
        </w:tc>
      </w:tr>
      <w:tr>
        <w:tblPrEx>
          <w:tblLayout w:type="fixed"/>
          <w:tblCellMar>
            <w:top w:w="0" w:type="dxa"/>
            <w:left w:w="108" w:type="dxa"/>
            <w:bottom w:w="0" w:type="dxa"/>
            <w:right w:w="108" w:type="dxa"/>
          </w:tblCellMar>
        </w:tblPrEx>
        <w:trPr>
          <w:trHeight w:val="48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资金及时到位率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8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成本指标（6分）</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采购成本控制率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7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参加全运会人数与获奖人数比例</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26%</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51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活动成本控制范围</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≤160万元</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160万元</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2</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效益指标（30分）</w:t>
            </w:r>
          </w:p>
        </w:tc>
        <w:tc>
          <w:tcPr>
            <w:tcW w:w="103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社会效益指标（20分）</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促进运动员训练积极性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明显/良好/一般</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提高运动员赛事水平</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明显/良好/一般</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改善运动员康复条件</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明显/良好/一般</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4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加强教练员队伍建设</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明显/良好/一般</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90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生态效益指标（5分）</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无污染、无噪音、没有对环境造成消极影响</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明显、较好、一般</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明显</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67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可持续影响指标（5分）</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社会对体育事业发展关注度</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98%</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54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满意度指标（10分）</w:t>
            </w:r>
          </w:p>
        </w:tc>
        <w:tc>
          <w:tcPr>
            <w:tcW w:w="103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服务对象满意度指标（10分）</w:t>
            </w: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教练员满意度</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95%</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54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031"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2"/>
              </w:rPr>
            </w:pPr>
          </w:p>
        </w:tc>
        <w:tc>
          <w:tcPr>
            <w:tcW w:w="1152"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运动员满意度</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95%</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5</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r>
        <w:tblPrEx>
          <w:tblLayout w:type="fixed"/>
          <w:tblCellMar>
            <w:top w:w="0" w:type="dxa"/>
            <w:left w:w="108" w:type="dxa"/>
            <w:bottom w:w="0" w:type="dxa"/>
            <w:right w:w="108" w:type="dxa"/>
          </w:tblCellMar>
        </w:tblPrEx>
        <w:trPr>
          <w:trHeight w:val="749" w:hRule="atLeast"/>
        </w:trPr>
        <w:tc>
          <w:tcPr>
            <w:tcW w:w="642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总分</w:t>
            </w:r>
          </w:p>
        </w:tc>
        <w:tc>
          <w:tcPr>
            <w:tcW w:w="75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100</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2"/>
              </w:rPr>
            </w:pPr>
            <w:r>
              <w:rPr>
                <w:rFonts w:hint="eastAsia" w:cs="宋体" w:asciiTheme="minorEastAsia" w:hAnsiTheme="minorEastAsia"/>
                <w:color w:val="000000"/>
                <w:kern w:val="0"/>
                <w:sz w:val="22"/>
              </w:rPr>
              <w:t>93</w:t>
            </w:r>
          </w:p>
        </w:tc>
        <w:tc>
          <w:tcPr>
            <w:tcW w:w="928"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c>
          <w:tcPr>
            <w:tcW w:w="103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2"/>
              </w:rPr>
            </w:pPr>
            <w:r>
              <w:rPr>
                <w:rFonts w:hint="eastAsia" w:cs="宋体" w:asciiTheme="minorEastAsia" w:hAnsiTheme="minorEastAsia"/>
                <w:color w:val="000000"/>
                <w:kern w:val="0"/>
                <w:sz w:val="22"/>
              </w:rPr>
              <w:t>　</w:t>
            </w:r>
          </w:p>
        </w:tc>
      </w:tr>
    </w:tbl>
    <w:p>
      <w:pPr>
        <w:widowControl/>
        <w:jc w:val="left"/>
        <w:rPr>
          <w:rFonts w:cs="黑体" w:asciiTheme="minorEastAsia" w:hAnsiTheme="minorEastAsia"/>
          <w:color w:val="000000"/>
          <w:kern w:val="0"/>
          <w:sz w:val="32"/>
          <w:szCs w:val="32"/>
        </w:rPr>
      </w:pPr>
    </w:p>
    <w:p>
      <w:pPr>
        <w:widowControl/>
        <w:jc w:val="left"/>
        <w:rPr>
          <w:rFonts w:cs="黑体" w:asciiTheme="minorEastAsia" w:hAnsiTheme="minorEastAsia"/>
          <w:color w:val="000000"/>
          <w:kern w:val="0"/>
          <w:sz w:val="32"/>
          <w:szCs w:val="32"/>
        </w:rPr>
      </w:pPr>
    </w:p>
    <w:sectPr>
      <w:pgSz w:w="11906" w:h="16838"/>
      <w:pgMar w:top="624" w:right="340" w:bottom="1440" w:left="147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_GB2312">
    <w:altName w:val="Segoe Print"/>
    <w:panose1 w:val="00000000000000000000"/>
    <w:charset w:val="00"/>
    <w:family w:val="auto"/>
    <w:pitch w:val="default"/>
    <w:sig w:usb0="00000000" w:usb1="00000000" w:usb2="00000000" w:usb3="00000000" w:csb0="00000001" w:csb1="00000000"/>
  </w:font>
  <w:font w:name="等线">
    <w:panose1 w:val="02010600030101010101"/>
    <w:charset w:val="86"/>
    <w:family w:val="roman"/>
    <w:pitch w:val="default"/>
    <w:sig w:usb0="A00002BF" w:usb1="38CF7CFA" w:usb2="00000016" w:usb3="00000000" w:csb0="0004000F" w:csb1="00000000"/>
  </w:font>
  <w:font w:name="微软雅黑">
    <w:panose1 w:val="020B0503020204020204"/>
    <w:charset w:val="86"/>
    <w:family w:val="auto"/>
    <w:pitch w:val="default"/>
    <w:sig w:usb0="80000287" w:usb1="28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22092"/>
    <w:multiLevelType w:val="singleLevel"/>
    <w:tmpl w:val="E1422092"/>
    <w:lvl w:ilvl="0" w:tentative="0">
      <w:start w:val="1"/>
      <w:numFmt w:val="decimal"/>
      <w:suff w:val="nothing"/>
      <w:lvlText w:val="%1、"/>
      <w:lvlJc w:val="left"/>
    </w:lvl>
  </w:abstractNum>
  <w:abstractNum w:abstractNumId="1">
    <w:nsid w:val="E3B8FA28"/>
    <w:multiLevelType w:val="singleLevel"/>
    <w:tmpl w:val="E3B8FA28"/>
    <w:lvl w:ilvl="0" w:tentative="0">
      <w:start w:val="1"/>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MGE3OWM3MjcyMTU2ZGFhMDFmM2YxYmJkZWY1NzcifQ=="/>
  </w:docVars>
  <w:rsids>
    <w:rsidRoot w:val="004506F9"/>
    <w:rsid w:val="00000A14"/>
    <w:rsid w:val="000068FD"/>
    <w:rsid w:val="00013185"/>
    <w:rsid w:val="00013DA1"/>
    <w:rsid w:val="000159D8"/>
    <w:rsid w:val="0002229B"/>
    <w:rsid w:val="000273BD"/>
    <w:rsid w:val="0003436E"/>
    <w:rsid w:val="0003775F"/>
    <w:rsid w:val="000415B7"/>
    <w:rsid w:val="00041E3F"/>
    <w:rsid w:val="00046288"/>
    <w:rsid w:val="0005317F"/>
    <w:rsid w:val="00055DAA"/>
    <w:rsid w:val="0005630F"/>
    <w:rsid w:val="00061F7B"/>
    <w:rsid w:val="000658A3"/>
    <w:rsid w:val="00074155"/>
    <w:rsid w:val="00076E3B"/>
    <w:rsid w:val="00082F1E"/>
    <w:rsid w:val="00085ED6"/>
    <w:rsid w:val="000A3F69"/>
    <w:rsid w:val="000B0818"/>
    <w:rsid w:val="000D28C1"/>
    <w:rsid w:val="000D63B2"/>
    <w:rsid w:val="000D710C"/>
    <w:rsid w:val="000E395E"/>
    <w:rsid w:val="00102FA2"/>
    <w:rsid w:val="00103957"/>
    <w:rsid w:val="00134785"/>
    <w:rsid w:val="001430B4"/>
    <w:rsid w:val="001449FA"/>
    <w:rsid w:val="0014694D"/>
    <w:rsid w:val="00152C6D"/>
    <w:rsid w:val="00162D39"/>
    <w:rsid w:val="001678BD"/>
    <w:rsid w:val="00182EC0"/>
    <w:rsid w:val="00184D75"/>
    <w:rsid w:val="001A67DB"/>
    <w:rsid w:val="001B5A82"/>
    <w:rsid w:val="001C3C29"/>
    <w:rsid w:val="001C448B"/>
    <w:rsid w:val="001D51E5"/>
    <w:rsid w:val="001E080D"/>
    <w:rsid w:val="001E458B"/>
    <w:rsid w:val="001E53D0"/>
    <w:rsid w:val="001F0C3B"/>
    <w:rsid w:val="00202C82"/>
    <w:rsid w:val="00214427"/>
    <w:rsid w:val="00226CB7"/>
    <w:rsid w:val="00250F05"/>
    <w:rsid w:val="00264552"/>
    <w:rsid w:val="00264EF9"/>
    <w:rsid w:val="00265724"/>
    <w:rsid w:val="00266216"/>
    <w:rsid w:val="0027426B"/>
    <w:rsid w:val="002814D4"/>
    <w:rsid w:val="00283DC6"/>
    <w:rsid w:val="0028731C"/>
    <w:rsid w:val="002A4FBC"/>
    <w:rsid w:val="002A68F8"/>
    <w:rsid w:val="002C015C"/>
    <w:rsid w:val="002E0A30"/>
    <w:rsid w:val="002F6F7E"/>
    <w:rsid w:val="0030545D"/>
    <w:rsid w:val="0031279E"/>
    <w:rsid w:val="003130C4"/>
    <w:rsid w:val="003161D1"/>
    <w:rsid w:val="00316C4B"/>
    <w:rsid w:val="0032082F"/>
    <w:rsid w:val="0032192B"/>
    <w:rsid w:val="00334447"/>
    <w:rsid w:val="003479BD"/>
    <w:rsid w:val="003632C9"/>
    <w:rsid w:val="00370802"/>
    <w:rsid w:val="0037197D"/>
    <w:rsid w:val="003768D5"/>
    <w:rsid w:val="0038165E"/>
    <w:rsid w:val="00382899"/>
    <w:rsid w:val="00394104"/>
    <w:rsid w:val="00396AE9"/>
    <w:rsid w:val="00396DDB"/>
    <w:rsid w:val="003B51A6"/>
    <w:rsid w:val="003C142A"/>
    <w:rsid w:val="003C1D57"/>
    <w:rsid w:val="003C47E6"/>
    <w:rsid w:val="003C4FC2"/>
    <w:rsid w:val="003E10CF"/>
    <w:rsid w:val="003E2941"/>
    <w:rsid w:val="003E60E5"/>
    <w:rsid w:val="003E7601"/>
    <w:rsid w:val="00407BBE"/>
    <w:rsid w:val="00416E61"/>
    <w:rsid w:val="00423CF1"/>
    <w:rsid w:val="0042790C"/>
    <w:rsid w:val="0044578A"/>
    <w:rsid w:val="004506F9"/>
    <w:rsid w:val="0046671D"/>
    <w:rsid w:val="004717A2"/>
    <w:rsid w:val="00473DF3"/>
    <w:rsid w:val="00487911"/>
    <w:rsid w:val="004904DE"/>
    <w:rsid w:val="00491741"/>
    <w:rsid w:val="00492ED1"/>
    <w:rsid w:val="004B2060"/>
    <w:rsid w:val="004B4B66"/>
    <w:rsid w:val="004C7B0F"/>
    <w:rsid w:val="004E318D"/>
    <w:rsid w:val="00500E5F"/>
    <w:rsid w:val="00510561"/>
    <w:rsid w:val="005122EF"/>
    <w:rsid w:val="0051441A"/>
    <w:rsid w:val="00517C33"/>
    <w:rsid w:val="00523644"/>
    <w:rsid w:val="005244AB"/>
    <w:rsid w:val="00525708"/>
    <w:rsid w:val="005359FB"/>
    <w:rsid w:val="0054069E"/>
    <w:rsid w:val="00544866"/>
    <w:rsid w:val="005569A5"/>
    <w:rsid w:val="005767CC"/>
    <w:rsid w:val="00590D9F"/>
    <w:rsid w:val="00595D26"/>
    <w:rsid w:val="005A6076"/>
    <w:rsid w:val="005A74E6"/>
    <w:rsid w:val="005B404E"/>
    <w:rsid w:val="005D1DB1"/>
    <w:rsid w:val="005D4D55"/>
    <w:rsid w:val="005E2CFB"/>
    <w:rsid w:val="005F23F6"/>
    <w:rsid w:val="005F3D1C"/>
    <w:rsid w:val="00610B66"/>
    <w:rsid w:val="00621209"/>
    <w:rsid w:val="0062378F"/>
    <w:rsid w:val="00641842"/>
    <w:rsid w:val="00651EEC"/>
    <w:rsid w:val="00657ABF"/>
    <w:rsid w:val="006655C9"/>
    <w:rsid w:val="00672C34"/>
    <w:rsid w:val="00686673"/>
    <w:rsid w:val="00691E8C"/>
    <w:rsid w:val="00692066"/>
    <w:rsid w:val="006A1A22"/>
    <w:rsid w:val="006A22C4"/>
    <w:rsid w:val="006A32F4"/>
    <w:rsid w:val="006A351B"/>
    <w:rsid w:val="006B0422"/>
    <w:rsid w:val="006B04EB"/>
    <w:rsid w:val="006B1115"/>
    <w:rsid w:val="006C1B53"/>
    <w:rsid w:val="006D7730"/>
    <w:rsid w:val="006D7FE4"/>
    <w:rsid w:val="006E5284"/>
    <w:rsid w:val="006F3EB5"/>
    <w:rsid w:val="00702E34"/>
    <w:rsid w:val="00704395"/>
    <w:rsid w:val="00716C7D"/>
    <w:rsid w:val="00717621"/>
    <w:rsid w:val="00720FF1"/>
    <w:rsid w:val="0072339E"/>
    <w:rsid w:val="00727A53"/>
    <w:rsid w:val="00746E22"/>
    <w:rsid w:val="007549D5"/>
    <w:rsid w:val="0077292A"/>
    <w:rsid w:val="00787B42"/>
    <w:rsid w:val="007C4539"/>
    <w:rsid w:val="007D4248"/>
    <w:rsid w:val="007E7382"/>
    <w:rsid w:val="007F3657"/>
    <w:rsid w:val="007F6404"/>
    <w:rsid w:val="00812ED5"/>
    <w:rsid w:val="0081396B"/>
    <w:rsid w:val="00817ABA"/>
    <w:rsid w:val="00821DE6"/>
    <w:rsid w:val="008277D9"/>
    <w:rsid w:val="0084478C"/>
    <w:rsid w:val="0086638C"/>
    <w:rsid w:val="00885C0B"/>
    <w:rsid w:val="008A3E8D"/>
    <w:rsid w:val="008C2755"/>
    <w:rsid w:val="008C6DA0"/>
    <w:rsid w:val="009175F2"/>
    <w:rsid w:val="009237C4"/>
    <w:rsid w:val="00926531"/>
    <w:rsid w:val="00941A55"/>
    <w:rsid w:val="00944C48"/>
    <w:rsid w:val="00950252"/>
    <w:rsid w:val="009549FD"/>
    <w:rsid w:val="00967F5D"/>
    <w:rsid w:val="00982F3B"/>
    <w:rsid w:val="009843CF"/>
    <w:rsid w:val="009A0F95"/>
    <w:rsid w:val="009A3313"/>
    <w:rsid w:val="009A5BCF"/>
    <w:rsid w:val="009B3ADF"/>
    <w:rsid w:val="009B6690"/>
    <w:rsid w:val="009C16FC"/>
    <w:rsid w:val="009C3B52"/>
    <w:rsid w:val="009D0FF3"/>
    <w:rsid w:val="009E26C7"/>
    <w:rsid w:val="009E6817"/>
    <w:rsid w:val="009E6E9A"/>
    <w:rsid w:val="00A01D2B"/>
    <w:rsid w:val="00A058EA"/>
    <w:rsid w:val="00A216F4"/>
    <w:rsid w:val="00A42218"/>
    <w:rsid w:val="00A450BA"/>
    <w:rsid w:val="00A530E1"/>
    <w:rsid w:val="00A67BCD"/>
    <w:rsid w:val="00A70249"/>
    <w:rsid w:val="00A708DE"/>
    <w:rsid w:val="00A70B02"/>
    <w:rsid w:val="00A71D9F"/>
    <w:rsid w:val="00A80057"/>
    <w:rsid w:val="00A9269A"/>
    <w:rsid w:val="00A92E9F"/>
    <w:rsid w:val="00AA2E74"/>
    <w:rsid w:val="00AB0DFD"/>
    <w:rsid w:val="00AB5A85"/>
    <w:rsid w:val="00AC2689"/>
    <w:rsid w:val="00AD204C"/>
    <w:rsid w:val="00AE4363"/>
    <w:rsid w:val="00AE4D69"/>
    <w:rsid w:val="00B01154"/>
    <w:rsid w:val="00B04A4D"/>
    <w:rsid w:val="00B33946"/>
    <w:rsid w:val="00B33BEA"/>
    <w:rsid w:val="00B449DA"/>
    <w:rsid w:val="00B4600E"/>
    <w:rsid w:val="00B53F89"/>
    <w:rsid w:val="00B57C9F"/>
    <w:rsid w:val="00B63572"/>
    <w:rsid w:val="00B845B3"/>
    <w:rsid w:val="00B85D8B"/>
    <w:rsid w:val="00BA4702"/>
    <w:rsid w:val="00BA68BE"/>
    <w:rsid w:val="00BB4A40"/>
    <w:rsid w:val="00BB52C8"/>
    <w:rsid w:val="00BB5389"/>
    <w:rsid w:val="00BC2779"/>
    <w:rsid w:val="00BD2255"/>
    <w:rsid w:val="00BD5664"/>
    <w:rsid w:val="00BD6C3E"/>
    <w:rsid w:val="00BE0EE0"/>
    <w:rsid w:val="00BE3674"/>
    <w:rsid w:val="00C04191"/>
    <w:rsid w:val="00C10681"/>
    <w:rsid w:val="00C25665"/>
    <w:rsid w:val="00C3049A"/>
    <w:rsid w:val="00C31B1E"/>
    <w:rsid w:val="00C463BC"/>
    <w:rsid w:val="00C558C7"/>
    <w:rsid w:val="00C608C2"/>
    <w:rsid w:val="00C64BBF"/>
    <w:rsid w:val="00C77645"/>
    <w:rsid w:val="00C845F3"/>
    <w:rsid w:val="00C854C6"/>
    <w:rsid w:val="00C860FF"/>
    <w:rsid w:val="00C928B9"/>
    <w:rsid w:val="00CA06DC"/>
    <w:rsid w:val="00CB4984"/>
    <w:rsid w:val="00CC384E"/>
    <w:rsid w:val="00CC79E2"/>
    <w:rsid w:val="00CE04C3"/>
    <w:rsid w:val="00CE12E9"/>
    <w:rsid w:val="00CE76A0"/>
    <w:rsid w:val="00D02FCE"/>
    <w:rsid w:val="00D13E19"/>
    <w:rsid w:val="00D148C6"/>
    <w:rsid w:val="00D17A8A"/>
    <w:rsid w:val="00D32C40"/>
    <w:rsid w:val="00D33AC8"/>
    <w:rsid w:val="00D415BA"/>
    <w:rsid w:val="00D644EE"/>
    <w:rsid w:val="00DA335C"/>
    <w:rsid w:val="00DC3666"/>
    <w:rsid w:val="00DD06FF"/>
    <w:rsid w:val="00DD5FE9"/>
    <w:rsid w:val="00E00C7A"/>
    <w:rsid w:val="00E21438"/>
    <w:rsid w:val="00E22A9E"/>
    <w:rsid w:val="00E3643F"/>
    <w:rsid w:val="00E37D6C"/>
    <w:rsid w:val="00E55B68"/>
    <w:rsid w:val="00E66CC5"/>
    <w:rsid w:val="00E67BE6"/>
    <w:rsid w:val="00E722B1"/>
    <w:rsid w:val="00E8683C"/>
    <w:rsid w:val="00EA2B72"/>
    <w:rsid w:val="00EB2AC6"/>
    <w:rsid w:val="00EB7108"/>
    <w:rsid w:val="00EC1A21"/>
    <w:rsid w:val="00ED1911"/>
    <w:rsid w:val="00EF44C1"/>
    <w:rsid w:val="00F00B55"/>
    <w:rsid w:val="00F03E49"/>
    <w:rsid w:val="00F07221"/>
    <w:rsid w:val="00F477F3"/>
    <w:rsid w:val="00F535B4"/>
    <w:rsid w:val="00F66A40"/>
    <w:rsid w:val="00F74360"/>
    <w:rsid w:val="00F75D42"/>
    <w:rsid w:val="00F9470C"/>
    <w:rsid w:val="00FB462F"/>
    <w:rsid w:val="00FD3569"/>
    <w:rsid w:val="00FD4E22"/>
    <w:rsid w:val="00FE16FA"/>
    <w:rsid w:val="00FE328A"/>
    <w:rsid w:val="00FE5082"/>
    <w:rsid w:val="00FE6269"/>
    <w:rsid w:val="00FF4286"/>
    <w:rsid w:val="00FF5CD6"/>
    <w:rsid w:val="04572531"/>
    <w:rsid w:val="06EA0BCC"/>
    <w:rsid w:val="12E132FB"/>
    <w:rsid w:val="154B715B"/>
    <w:rsid w:val="1625540A"/>
    <w:rsid w:val="16B7652A"/>
    <w:rsid w:val="1D0D40DB"/>
    <w:rsid w:val="1FA00617"/>
    <w:rsid w:val="20081354"/>
    <w:rsid w:val="200F4BE2"/>
    <w:rsid w:val="22E227D9"/>
    <w:rsid w:val="245636BF"/>
    <w:rsid w:val="26817096"/>
    <w:rsid w:val="3260766A"/>
    <w:rsid w:val="3350694E"/>
    <w:rsid w:val="3B2A0FAA"/>
    <w:rsid w:val="3D5C2194"/>
    <w:rsid w:val="40A92D6E"/>
    <w:rsid w:val="42C278BB"/>
    <w:rsid w:val="439646FB"/>
    <w:rsid w:val="4645206B"/>
    <w:rsid w:val="4663619D"/>
    <w:rsid w:val="4AA85615"/>
    <w:rsid w:val="4B0E42CE"/>
    <w:rsid w:val="4B771FE9"/>
    <w:rsid w:val="50722D7F"/>
    <w:rsid w:val="50B76522"/>
    <w:rsid w:val="521244DF"/>
    <w:rsid w:val="524042F0"/>
    <w:rsid w:val="583F2997"/>
    <w:rsid w:val="5C2B521F"/>
    <w:rsid w:val="5D2E4EB0"/>
    <w:rsid w:val="611C5F1F"/>
    <w:rsid w:val="6417329C"/>
    <w:rsid w:val="69C9180A"/>
    <w:rsid w:val="6A1A7514"/>
    <w:rsid w:val="6B4A483F"/>
    <w:rsid w:val="6BB65C81"/>
    <w:rsid w:val="6E2464C3"/>
    <w:rsid w:val="72757DED"/>
    <w:rsid w:val="7CC8466F"/>
    <w:rsid w:val="97F3B1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szCs w:val="24"/>
    </w:rPr>
  </w:style>
  <w:style w:type="table" w:styleId="7">
    <w:name w:val="Table Grid"/>
    <w:basedOn w:val="6"/>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20692</Words>
  <Characters>24856</Characters>
  <Lines>221</Lines>
  <Paragraphs>62</Paragraphs>
  <TotalTime>19</TotalTime>
  <ScaleCrop>false</ScaleCrop>
  <LinksUpToDate>false</LinksUpToDate>
  <CharactersWithSpaces>27307</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LENOVO</cp:lastModifiedBy>
  <cp:lastPrinted>2023-09-26T04:17:00Z</cp:lastPrinted>
  <dcterms:modified xsi:type="dcterms:W3CDTF">2023-09-26T07:10:53Z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E4E392E227BF48A1920C95613DB86750</vt:lpwstr>
  </property>
</Properties>
</file>