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6B4C6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Times New Roman" w:hAnsi="Times New Roman" w:eastAsia="方正小标宋简体" w:cs="方正小标宋简体"/>
          <w:bCs/>
          <w:kern w:val="0"/>
          <w:sz w:val="44"/>
          <w:szCs w:val="44"/>
        </w:rPr>
      </w:pPr>
    </w:p>
    <w:p w14:paraId="3029669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Times New Roman" w:hAnsi="Times New Roman" w:eastAsia="方正小标宋简体" w:cs="方正小标宋简体"/>
          <w:bCs/>
          <w:kern w:val="0"/>
          <w:sz w:val="44"/>
          <w:szCs w:val="44"/>
        </w:rPr>
      </w:pPr>
      <w:r>
        <w:rPr>
          <w:rFonts w:hint="eastAsia" w:ascii="Times New Roman" w:hAnsi="Times New Roman" w:eastAsia="方正小标宋简体" w:cs="方正小标宋简体"/>
          <w:bCs/>
          <w:kern w:val="0"/>
          <w:sz w:val="44"/>
          <w:szCs w:val="44"/>
        </w:rPr>
        <w:t>202</w:t>
      </w:r>
      <w:r>
        <w:rPr>
          <w:rFonts w:hint="eastAsia" w:ascii="Times New Roman" w:hAnsi="Times New Roman" w:eastAsia="方正小标宋简体" w:cs="方正小标宋简体"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 w:eastAsia="方正小标宋简体" w:cs="方正小标宋简体"/>
          <w:bCs/>
          <w:kern w:val="0"/>
          <w:sz w:val="44"/>
          <w:szCs w:val="44"/>
        </w:rPr>
        <w:t>年</w:t>
      </w:r>
      <w:r>
        <w:rPr>
          <w:rFonts w:hint="eastAsia" w:ascii="Times New Roman" w:hAnsi="Times New Roman" w:eastAsia="方正小标宋简体" w:cs="方正小标宋简体"/>
          <w:bCs/>
          <w:kern w:val="0"/>
          <w:sz w:val="44"/>
          <w:szCs w:val="44"/>
          <w:lang w:val="en-US" w:eastAsia="zh-CN"/>
        </w:rPr>
        <w:t>湖南省军供总站单位</w:t>
      </w:r>
      <w:r>
        <w:rPr>
          <w:rFonts w:hint="eastAsia" w:ascii="Times New Roman" w:hAnsi="Times New Roman" w:eastAsia="方正小标宋简体" w:cs="方正小标宋简体"/>
          <w:bCs/>
          <w:kern w:val="0"/>
          <w:sz w:val="44"/>
          <w:szCs w:val="44"/>
        </w:rPr>
        <w:t>预算</w:t>
      </w:r>
    </w:p>
    <w:p w14:paraId="7EFA909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Times New Roman" w:hAnsi="Times New Roman" w:eastAsia="黑体"/>
          <w:bCs/>
          <w:kern w:val="0"/>
          <w:sz w:val="32"/>
          <w:szCs w:val="32"/>
          <w:lang w:val="en-US" w:eastAsia="zh-CN"/>
        </w:rPr>
      </w:pPr>
    </w:p>
    <w:p w14:paraId="38CF23A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Times New Roman" w:hAnsi="Times New Roman" w:eastAsia="黑体" w:cs="黑体"/>
          <w:b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黑体"/>
          <w:b/>
          <w:bCs w:val="0"/>
          <w:kern w:val="0"/>
          <w:sz w:val="32"/>
          <w:szCs w:val="32"/>
          <w:lang w:val="en-US" w:eastAsia="zh-CN"/>
        </w:rPr>
        <w:t>目  录</w:t>
      </w:r>
    </w:p>
    <w:p w14:paraId="48D89D68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Times New Roman" w:hAnsi="Times New Roman" w:eastAsia="黑体" w:cs="黑体"/>
          <w:b w:val="0"/>
          <w:bCs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黑体"/>
          <w:b w:val="0"/>
          <w:bCs/>
          <w:kern w:val="0"/>
          <w:sz w:val="32"/>
          <w:szCs w:val="32"/>
          <w:lang w:val="en-US" w:eastAsia="zh-CN"/>
        </w:rPr>
        <w:t>第一部分   2026年单位预算说明</w:t>
      </w:r>
    </w:p>
    <w:p w14:paraId="0A43FBD5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left"/>
        <w:textAlignment w:val="auto"/>
        <w:rPr>
          <w:rFonts w:hint="eastAsia" w:ascii="Times New Roman" w:hAnsi="Times New Roman" w:eastAsia="黑体" w:cs="黑体"/>
          <w:b w:val="0"/>
          <w:bCs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黑体"/>
          <w:b w:val="0"/>
          <w:bCs/>
          <w:kern w:val="0"/>
          <w:sz w:val="32"/>
          <w:szCs w:val="32"/>
          <w:lang w:val="en-US" w:eastAsia="zh-CN"/>
        </w:rPr>
        <w:t>第二部分   2026年单位预算表</w:t>
      </w:r>
    </w:p>
    <w:p w14:paraId="102BDC3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Times New Roman" w:hAnsi="Times New Roman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sz w:val="32"/>
          <w:szCs w:val="32"/>
        </w:rPr>
        <w:t>1、收支总表</w:t>
      </w:r>
    </w:p>
    <w:p w14:paraId="2F4D248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Times New Roman" w:hAnsi="Times New Roman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sz w:val="32"/>
          <w:szCs w:val="32"/>
        </w:rPr>
        <w:t>2、收入总表</w:t>
      </w:r>
    </w:p>
    <w:p w14:paraId="5744799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Times New Roman" w:hAnsi="Times New Roman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sz w:val="32"/>
          <w:szCs w:val="32"/>
        </w:rPr>
        <w:t>3、支出总表</w:t>
      </w:r>
    </w:p>
    <w:p w14:paraId="42C2D64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Times New Roman" w:hAnsi="Times New Roman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sz w:val="32"/>
          <w:szCs w:val="32"/>
        </w:rPr>
        <w:t>4、支出预算分类汇总表（按政府预算经济分类）</w:t>
      </w:r>
    </w:p>
    <w:p w14:paraId="0B11BFE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Times New Roman" w:hAnsi="Times New Roman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sz w:val="32"/>
          <w:szCs w:val="32"/>
        </w:rPr>
        <w:t>5、支出预算分类汇总表（按部门预算经济分类）</w:t>
      </w:r>
    </w:p>
    <w:p w14:paraId="13C070B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Times New Roman" w:hAnsi="Times New Roman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sz w:val="32"/>
          <w:szCs w:val="32"/>
        </w:rPr>
        <w:t>6、财政拨款收支总表</w:t>
      </w:r>
    </w:p>
    <w:p w14:paraId="1A3A91B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Times New Roman" w:hAnsi="Times New Roman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sz w:val="32"/>
          <w:szCs w:val="32"/>
        </w:rPr>
        <w:t>7、一般公共预算支出表</w:t>
      </w:r>
    </w:p>
    <w:p w14:paraId="0439BBA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Times New Roman" w:hAnsi="Times New Roman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sz w:val="32"/>
          <w:szCs w:val="32"/>
        </w:rPr>
        <w:t>8、一般公共预算基本支出表-人员经费（工资福利支出）（按政府预算经济分类）</w:t>
      </w:r>
    </w:p>
    <w:p w14:paraId="01837AF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Times New Roman" w:hAnsi="Times New Roman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sz w:val="32"/>
          <w:szCs w:val="32"/>
        </w:rPr>
        <w:t>9、一般公共预算基本支出表-人员经费（工资福利支出）（按部门预算经济分类）</w:t>
      </w:r>
    </w:p>
    <w:p w14:paraId="6C0FD5B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Times New Roman" w:hAnsi="Times New Roman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sz w:val="32"/>
          <w:szCs w:val="32"/>
        </w:rPr>
        <w:t>10、一般公共预算基本支出表-人员经费（对个人和家庭的补助）（按政府预算经济分类）</w:t>
      </w:r>
    </w:p>
    <w:p w14:paraId="0BD5544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Times New Roman" w:hAnsi="Times New Roman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sz w:val="32"/>
          <w:szCs w:val="32"/>
        </w:rPr>
        <w:t>11、一般公共预算基本支出表-人员经费（对个人和家庭的补助）（按部门预算经济分类）</w:t>
      </w:r>
    </w:p>
    <w:p w14:paraId="7B9D702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Times New Roman" w:hAnsi="Times New Roman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sz w:val="32"/>
          <w:szCs w:val="32"/>
        </w:rPr>
        <w:t>12、一般公共预算基本支出表-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公用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经费（商品和服务支出）（按政府预算经济分类）</w:t>
      </w:r>
    </w:p>
    <w:p w14:paraId="75CECCF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Times New Roman" w:hAnsi="Times New Roman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sz w:val="32"/>
          <w:szCs w:val="32"/>
        </w:rPr>
        <w:t>13、一般公共预算基本支出表-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公用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经费（商品和服务支出）（按部门预算经济分类）</w:t>
      </w:r>
    </w:p>
    <w:p w14:paraId="1B9070B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Times New Roman" w:hAnsi="Times New Roman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sz w:val="32"/>
          <w:szCs w:val="32"/>
        </w:rPr>
        <w:t>14、一般公共预算“三公”经费支出表</w:t>
      </w:r>
    </w:p>
    <w:p w14:paraId="2FEA06C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Times New Roman" w:hAnsi="Times New Roman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sz w:val="32"/>
          <w:szCs w:val="32"/>
        </w:rPr>
        <w:t>15、政府性基金预算支出表</w:t>
      </w:r>
    </w:p>
    <w:p w14:paraId="79F5CC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Times New Roman" w:hAnsi="Times New Roman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sz w:val="32"/>
          <w:szCs w:val="32"/>
        </w:rPr>
        <w:t>16、政府性基金预算支出分类汇总表（按政府预算经济分类）</w:t>
      </w:r>
    </w:p>
    <w:p w14:paraId="3285F93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Times New Roman" w:hAnsi="Times New Roman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sz w:val="32"/>
          <w:szCs w:val="32"/>
        </w:rPr>
        <w:t>17、政府性基金预算支出分类汇总表（按部门预算经济分类）</w:t>
      </w:r>
    </w:p>
    <w:p w14:paraId="2CEB0AC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Times New Roman" w:hAnsi="Times New Roman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sz w:val="32"/>
          <w:szCs w:val="32"/>
        </w:rPr>
        <w:t>18、国有资本经营预算支出表</w:t>
      </w:r>
    </w:p>
    <w:p w14:paraId="762573D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Times New Roman" w:hAnsi="Times New Roman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sz w:val="32"/>
          <w:szCs w:val="32"/>
        </w:rPr>
        <w:t>19、财政专户管理资金预算支出表</w:t>
      </w:r>
    </w:p>
    <w:p w14:paraId="4B8CB49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Times New Roman" w:hAnsi="Times New Roman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sz w:val="32"/>
          <w:szCs w:val="32"/>
        </w:rPr>
        <w:t>20、省级专项资金预算汇总表</w:t>
      </w:r>
    </w:p>
    <w:p w14:paraId="126AAAF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Times New Roman" w:hAnsi="Times New Roman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sz w:val="32"/>
          <w:szCs w:val="32"/>
        </w:rPr>
        <w:t>21、专项资金绩效目标表</w:t>
      </w:r>
    </w:p>
    <w:p w14:paraId="7F739AD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Times New Roman" w:hAnsi="Times New Roman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sz w:val="32"/>
          <w:szCs w:val="32"/>
        </w:rPr>
        <w:t>22、其他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资金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绩效目标表</w:t>
      </w:r>
    </w:p>
    <w:p w14:paraId="1A56D9F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Times New Roman" w:hAnsi="Times New Roman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sz w:val="32"/>
          <w:szCs w:val="32"/>
        </w:rPr>
        <w:t>23、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单位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整体支出绩效目标表</w:t>
      </w:r>
    </w:p>
    <w:p w14:paraId="25644D68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/>
        <w:jc w:val="left"/>
        <w:textAlignment w:val="auto"/>
        <w:rPr>
          <w:rFonts w:hint="eastAsia" w:ascii="Times New Roman" w:hAnsi="Times New Roman" w:eastAsia="方正仿宋_GBK" w:cs="方正仿宋_GBK"/>
          <w:b w:val="0"/>
          <w:bCs/>
          <w:kern w:val="0"/>
          <w:sz w:val="32"/>
          <w:szCs w:val="32"/>
          <w:lang w:val="en-US" w:eastAsia="zh-CN"/>
        </w:rPr>
      </w:pPr>
    </w:p>
    <w:p w14:paraId="2F60D4B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Times New Roman" w:hAnsi="Times New Roman" w:eastAsia="微软雅黑" w:cs="微软雅黑"/>
          <w:b w:val="0"/>
          <w:bCs/>
          <w:kern w:val="0"/>
          <w:sz w:val="36"/>
          <w:szCs w:val="36"/>
          <w:lang w:val="en-US" w:eastAsia="zh-CN"/>
        </w:rPr>
      </w:pPr>
    </w:p>
    <w:p w14:paraId="37942028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Times New Roman" w:hAnsi="Times New Roman" w:eastAsia="微软雅黑" w:cs="微软雅黑"/>
          <w:b w:val="0"/>
          <w:bCs/>
          <w:kern w:val="0"/>
          <w:sz w:val="36"/>
          <w:szCs w:val="36"/>
          <w:lang w:val="en-US" w:eastAsia="zh-CN"/>
        </w:rPr>
      </w:pPr>
    </w:p>
    <w:p w14:paraId="36568647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Times New Roman" w:hAnsi="Times New Roman" w:eastAsia="微软雅黑" w:cs="微软雅黑"/>
          <w:b w:val="0"/>
          <w:bCs/>
          <w:kern w:val="0"/>
          <w:sz w:val="36"/>
          <w:szCs w:val="36"/>
          <w:lang w:val="en-US" w:eastAsia="zh-CN"/>
        </w:rPr>
      </w:pPr>
    </w:p>
    <w:p w14:paraId="590F91D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Times New Roman" w:hAnsi="Times New Roman" w:eastAsia="微软雅黑" w:cs="微软雅黑"/>
          <w:b w:val="0"/>
          <w:bCs/>
          <w:kern w:val="0"/>
          <w:sz w:val="36"/>
          <w:szCs w:val="36"/>
          <w:lang w:val="en-US" w:eastAsia="zh-CN"/>
        </w:rPr>
      </w:pPr>
    </w:p>
    <w:p w14:paraId="780ED29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Times New Roman" w:hAnsi="Times New Roman" w:eastAsia="微软雅黑" w:cs="微软雅黑"/>
          <w:b w:val="0"/>
          <w:bCs/>
          <w:kern w:val="0"/>
          <w:sz w:val="36"/>
          <w:szCs w:val="36"/>
          <w:lang w:val="en-US" w:eastAsia="zh-CN"/>
        </w:rPr>
      </w:pPr>
    </w:p>
    <w:p w14:paraId="3A251959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Times New Roman" w:hAnsi="Times New Roman" w:eastAsia="微软雅黑" w:cs="微软雅黑"/>
          <w:b w:val="0"/>
          <w:bCs/>
          <w:kern w:val="0"/>
          <w:sz w:val="36"/>
          <w:szCs w:val="36"/>
          <w:lang w:val="en-US" w:eastAsia="zh-CN"/>
        </w:rPr>
      </w:pPr>
    </w:p>
    <w:p w14:paraId="3C73267E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Times New Roman" w:hAnsi="Times New Roman" w:eastAsia="微软雅黑" w:cs="微软雅黑"/>
          <w:b w:val="0"/>
          <w:bCs/>
          <w:kern w:val="0"/>
          <w:sz w:val="36"/>
          <w:szCs w:val="36"/>
          <w:lang w:val="en-US" w:eastAsia="zh-CN"/>
        </w:rPr>
      </w:pPr>
    </w:p>
    <w:p w14:paraId="03E4FA64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Times New Roman" w:hAnsi="Times New Roman" w:eastAsia="微软雅黑" w:cs="微软雅黑"/>
          <w:b w:val="0"/>
          <w:bCs/>
          <w:kern w:val="0"/>
          <w:sz w:val="36"/>
          <w:szCs w:val="36"/>
          <w:lang w:val="en-US" w:eastAsia="zh-CN"/>
        </w:rPr>
      </w:pPr>
    </w:p>
    <w:p w14:paraId="48599FF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Times New Roman" w:hAnsi="Times New Roman" w:eastAsia="微软雅黑" w:cs="微软雅黑"/>
          <w:b w:val="0"/>
          <w:bCs/>
          <w:kern w:val="0"/>
          <w:sz w:val="36"/>
          <w:szCs w:val="36"/>
          <w:lang w:val="en-US" w:eastAsia="zh-CN"/>
        </w:rPr>
      </w:pPr>
    </w:p>
    <w:p w14:paraId="51C1B92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Times New Roman" w:hAnsi="Times New Roman" w:eastAsia="微软雅黑" w:cs="微软雅黑"/>
          <w:b w:val="0"/>
          <w:bCs/>
          <w:kern w:val="0"/>
          <w:sz w:val="36"/>
          <w:szCs w:val="36"/>
          <w:lang w:val="en-US" w:eastAsia="zh-CN"/>
        </w:rPr>
      </w:pPr>
    </w:p>
    <w:p w14:paraId="3419F35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Times New Roman" w:hAnsi="Times New Roman" w:eastAsia="微软雅黑" w:cs="微软雅黑"/>
          <w:b w:val="0"/>
          <w:bCs/>
          <w:kern w:val="0"/>
          <w:sz w:val="36"/>
          <w:szCs w:val="36"/>
          <w:lang w:val="en-US" w:eastAsia="zh-CN"/>
        </w:rPr>
      </w:pPr>
    </w:p>
    <w:p w14:paraId="7FB5B71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Times New Roman" w:hAnsi="Times New Roman" w:eastAsia="方正小标宋简体" w:cs="方正小标宋简体"/>
          <w:b w:val="0"/>
          <w:bCs w:val="0"/>
          <w:kern w:val="0"/>
          <w:sz w:val="32"/>
          <w:szCs w:val="32"/>
        </w:rPr>
      </w:pPr>
      <w:r>
        <w:rPr>
          <w:rFonts w:hint="eastAsia" w:ascii="Times New Roman" w:hAnsi="Times New Roman" w:eastAsia="方正小标宋简体" w:cs="方正小标宋简体"/>
          <w:b w:val="0"/>
          <w:bCs w:val="0"/>
          <w:kern w:val="0"/>
          <w:sz w:val="32"/>
          <w:szCs w:val="32"/>
        </w:rPr>
        <w:t>第一部分 20</w:t>
      </w:r>
      <w:r>
        <w:rPr>
          <w:rFonts w:hint="eastAsia" w:ascii="Times New Roman" w:hAnsi="Times New Roman" w:eastAsia="方正小标宋简体" w:cs="方正小标宋简体"/>
          <w:b w:val="0"/>
          <w:bCs w:val="0"/>
          <w:kern w:val="0"/>
          <w:sz w:val="32"/>
          <w:szCs w:val="32"/>
          <w:lang w:val="en-US" w:eastAsia="zh-CN"/>
        </w:rPr>
        <w:t>26</w:t>
      </w:r>
      <w:r>
        <w:rPr>
          <w:rFonts w:hint="eastAsia" w:ascii="Times New Roman" w:hAnsi="Times New Roman" w:eastAsia="方正小标宋简体" w:cs="方正小标宋简体"/>
          <w:b w:val="0"/>
          <w:bCs w:val="0"/>
          <w:kern w:val="0"/>
          <w:sz w:val="32"/>
          <w:szCs w:val="32"/>
        </w:rPr>
        <w:t>年单位预算说明</w:t>
      </w:r>
    </w:p>
    <w:p w14:paraId="29BDEE1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196"/>
        <w:jc w:val="left"/>
        <w:textAlignment w:val="auto"/>
        <w:rPr>
          <w:rFonts w:ascii="Times New Roman" w:hAnsi="Times New Roman" w:eastAsia="黑体"/>
          <w:bCs/>
          <w:kern w:val="0"/>
          <w:sz w:val="32"/>
          <w:szCs w:val="32"/>
        </w:rPr>
      </w:pPr>
    </w:p>
    <w:p w14:paraId="518F7CA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27" w:firstLineChars="196"/>
        <w:jc w:val="left"/>
        <w:textAlignment w:val="auto"/>
        <w:rPr>
          <w:rFonts w:ascii="Times New Roman" w:hAnsi="Times New Roman" w:eastAsia="黑体"/>
          <w:bCs/>
          <w:kern w:val="0"/>
          <w:sz w:val="32"/>
          <w:szCs w:val="32"/>
        </w:rPr>
      </w:pPr>
      <w:r>
        <w:rPr>
          <w:rFonts w:ascii="Times New Roman" w:hAnsi="Times New Roman" w:eastAsia="黑体"/>
          <w:bCs/>
          <w:kern w:val="0"/>
          <w:sz w:val="32"/>
          <w:szCs w:val="32"/>
        </w:rPr>
        <w:t>一、单位基本概况</w:t>
      </w:r>
    </w:p>
    <w:p w14:paraId="1F39722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30" w:firstLineChars="196"/>
        <w:jc w:val="left"/>
        <w:textAlignment w:val="auto"/>
        <w:rPr>
          <w:rFonts w:hint="eastAsia" w:ascii="Times New Roman" w:hAnsi="Times New Roman" w:eastAsia="方正楷体_GBK" w:cs="方正楷体_GBK"/>
          <w:b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楷体_GBK" w:cs="方正楷体_GBK"/>
          <w:b/>
          <w:bCs w:val="0"/>
          <w:kern w:val="0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方正楷体_GBK" w:cs="方正楷体_GBK"/>
          <w:b/>
          <w:bCs w:val="0"/>
          <w:sz w:val="32"/>
          <w:szCs w:val="32"/>
          <w:lang w:val="en-US" w:eastAsia="zh-CN"/>
        </w:rPr>
        <w:t>一）职能职责。</w:t>
      </w:r>
    </w:p>
    <w:p w14:paraId="0988442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27" w:firstLineChars="196"/>
        <w:jc w:val="left"/>
        <w:textAlignment w:val="auto"/>
        <w:rPr>
          <w:rFonts w:hint="eastAsia" w:ascii="Times New Roman" w:hAnsi="Times New Roman" w:eastAsia="方正仿宋_GBK" w:cs="方正仿宋_GBK"/>
          <w:b w:val="0"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湖南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省军供总站隶属于湖南省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退役军人事务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厅，系正处级公益二类事业单位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其</w:t>
      </w:r>
      <w:r>
        <w:rPr>
          <w:rFonts w:hint="eastAsia" w:ascii="Times New Roman" w:hAnsi="Times New Roman" w:eastAsia="方正仿宋_GBK" w:cs="方正仿宋_GBK"/>
          <w:b w:val="0"/>
          <w:bCs/>
          <w:sz w:val="32"/>
          <w:szCs w:val="32"/>
        </w:rPr>
        <w:t>职责</w:t>
      </w:r>
      <w:r>
        <w:rPr>
          <w:rFonts w:hint="eastAsia" w:ascii="Times New Roman" w:hAnsi="Times New Roman" w:eastAsia="方正仿宋_GBK" w:cs="方正仿宋_GBK"/>
          <w:b w:val="0"/>
          <w:bCs/>
          <w:sz w:val="32"/>
          <w:szCs w:val="32"/>
          <w:lang w:val="en-US" w:eastAsia="zh-CN"/>
        </w:rPr>
        <w:t>是：负责成批过往部队在运输途中的饮食供应和住宿保障；承担军供业务培训、技能竞赛活动和军供训练演练任务；完成上级主管部门交办和军事交通部门通报的其他任务。</w:t>
      </w:r>
    </w:p>
    <w:p w14:paraId="42F0C2E4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Times New Roman" w:hAnsi="Times New Roman" w:eastAsia="方正楷体_GBK" w:cs="方正楷体_GBK"/>
          <w:b w:val="0"/>
          <w:bCs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b w:val="0"/>
          <w:bCs/>
          <w:sz w:val="32"/>
          <w:szCs w:val="32"/>
          <w:lang w:val="en-US" w:eastAsia="zh-CN"/>
        </w:rPr>
        <w:t xml:space="preserve">   </w:t>
      </w:r>
      <w:r>
        <w:rPr>
          <w:rFonts w:hint="eastAsia" w:ascii="Times New Roman" w:hAnsi="Times New Roman" w:eastAsia="方正楷体_GBK" w:cs="方正楷体_GBK"/>
          <w:b/>
          <w:bCs w:val="0"/>
          <w:sz w:val="32"/>
          <w:szCs w:val="32"/>
        </w:rPr>
        <w:t>（二）机构设置。</w:t>
      </w:r>
    </w:p>
    <w:p w14:paraId="32A0FB8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湖南省军供总站下设四个科室，分别为综合科、财务科、人事科、军供科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。</w:t>
      </w:r>
    </w:p>
    <w:p w14:paraId="56DB182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27" w:firstLineChars="196"/>
        <w:jc w:val="left"/>
        <w:textAlignment w:val="auto"/>
        <w:rPr>
          <w:rFonts w:hint="eastAsia" w:ascii="Times New Roman" w:hAnsi="Times New Roman" w:eastAsia="黑体" w:cs="黑体"/>
          <w:bCs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黑体"/>
          <w:bCs/>
          <w:kern w:val="0"/>
          <w:sz w:val="32"/>
          <w:szCs w:val="32"/>
          <w:lang w:val="en-US" w:eastAsia="zh-CN"/>
        </w:rPr>
        <w:t>二、预算单位构成。</w:t>
      </w:r>
    </w:p>
    <w:p w14:paraId="54F3ECF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 xml:space="preserve"> 本单位预算仅含本级预算，无下属预算单位。</w:t>
      </w:r>
    </w:p>
    <w:p w14:paraId="277A181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27" w:firstLineChars="196"/>
        <w:jc w:val="left"/>
        <w:textAlignment w:val="auto"/>
        <w:rPr>
          <w:rFonts w:hint="eastAsia" w:ascii="Times New Roman" w:hAnsi="Times New Roman" w:eastAsia="黑体" w:cs="黑体"/>
          <w:bCs/>
          <w:kern w:val="0"/>
          <w:sz w:val="32"/>
          <w:szCs w:val="32"/>
        </w:rPr>
      </w:pPr>
      <w:r>
        <w:rPr>
          <w:rFonts w:hint="eastAsia" w:ascii="Times New Roman" w:hAnsi="Times New Roman" w:eastAsia="黑体" w:cs="黑体"/>
          <w:bCs/>
          <w:kern w:val="0"/>
          <w:sz w:val="32"/>
          <w:szCs w:val="32"/>
          <w:lang w:val="en-US" w:eastAsia="zh-CN"/>
        </w:rPr>
        <w:t>三</w:t>
      </w:r>
      <w:r>
        <w:rPr>
          <w:rFonts w:hint="eastAsia" w:ascii="Times New Roman" w:hAnsi="Times New Roman" w:eastAsia="黑体" w:cs="黑体"/>
          <w:bCs/>
          <w:kern w:val="0"/>
          <w:sz w:val="32"/>
          <w:szCs w:val="32"/>
        </w:rPr>
        <w:t>、单位收支总体情况</w:t>
      </w:r>
    </w:p>
    <w:p w14:paraId="0A4F4C8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30" w:firstLineChars="196"/>
        <w:textAlignment w:val="auto"/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b/>
          <w:bCs w:val="0"/>
          <w:sz w:val="32"/>
          <w:szCs w:val="32"/>
        </w:rPr>
        <w:t>（一）收入预算：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包括一般公共预算拨款收入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和上年结转结余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。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年本单位收入预算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715.69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万元，其中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：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一般公共预算拨款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收入616.76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万元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含经费拨款419.72万元、纳入一般公共预算管理的非税收入拨款——国有资源（资产）有偿使用收入197.04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万元），上年结转结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余98.93万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元。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收入较去年减少39.97万元，主要是经费拨款减少20.38万元，上年结转结余减少19.59万元。</w:t>
      </w:r>
    </w:p>
    <w:p w14:paraId="1029718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27" w:firstLineChars="196"/>
        <w:textAlignment w:val="auto"/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湖南省军供总站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没有政府性基金预算拨款、国有资本经营收入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纳入专户管理资金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省级专项资金等，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所以公开的附件</w:t>
      </w:r>
      <w:r>
        <w:rPr>
          <w:rFonts w:hint="eastAsia" w:ascii="Times New Roman" w:hAnsi="Times New Roman" w:eastAsia="方正仿宋_GBK" w:cs="方正仿宋_GBK"/>
          <w:sz w:val="32"/>
          <w:szCs w:val="32"/>
          <w:highlight w:val="none"/>
        </w:rPr>
        <w:t xml:space="preserve"> 15、16、17、18、19 </w:t>
      </w:r>
      <w:r>
        <w:rPr>
          <w:rFonts w:hint="eastAsia" w:ascii="Times New Roman" w:hAnsi="Times New Roman" w:eastAsia="方正仿宋_GBK" w:cs="方正仿宋_GBK"/>
          <w:sz w:val="32"/>
          <w:szCs w:val="32"/>
          <w:highlight w:val="none"/>
          <w:lang w:eastAsia="zh-C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highlight w:val="none"/>
          <w:lang w:val="en-US" w:eastAsia="zh-CN"/>
        </w:rPr>
        <w:t>20、21</w:t>
      </w:r>
      <w:r>
        <w:rPr>
          <w:rFonts w:hint="eastAsia" w:ascii="Times New Roman" w:hAnsi="Times New Roman" w:eastAsia="方正仿宋_GBK" w:cs="方正仿宋_GBK"/>
          <w:sz w:val="32"/>
          <w:szCs w:val="32"/>
          <w:highlight w:val="none"/>
        </w:rPr>
        <w:t>表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为空。</w:t>
      </w:r>
    </w:p>
    <w:p w14:paraId="2A2D55E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30" w:firstLineChars="196"/>
        <w:textAlignment w:val="auto"/>
        <w:rPr>
          <w:rFonts w:hint="eastAsia" w:ascii="Times New Roman" w:hAnsi="Times New Roman" w:eastAsia="方正仿宋_GBK" w:cs="方正仿宋_GBK"/>
          <w:b/>
          <w:bCs/>
          <w:kern w:val="0"/>
          <w:sz w:val="32"/>
          <w:szCs w:val="32"/>
          <w:lang w:val="en-US"/>
        </w:rPr>
      </w:pPr>
      <w:r>
        <w:rPr>
          <w:rFonts w:hint="eastAsia" w:ascii="Times New Roman" w:hAnsi="Times New Roman" w:eastAsia="方正仿宋_GBK" w:cs="方正仿宋_GBK"/>
          <w:b/>
          <w:bCs w:val="0"/>
          <w:sz w:val="32"/>
          <w:szCs w:val="32"/>
        </w:rPr>
        <w:t>（二）支出预算：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年本单位支出预算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715.69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万元，其中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：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社会保障和就业支出668.08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万元，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卫生健康支出18.58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万元，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住房保障支出29.03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万元。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支出较去年减少39.97万元，主要是社会保障和就业支出减少35.42万元，卫生健康支出减少0.91万元，住房保障支出减少3.64万元。</w:t>
      </w:r>
    </w:p>
    <w:p w14:paraId="02F578B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60"/>
        <w:jc w:val="left"/>
        <w:textAlignment w:val="auto"/>
        <w:rPr>
          <w:rFonts w:hint="eastAsia" w:ascii="Times New Roman" w:hAnsi="Times New Roman" w:eastAsia="黑体" w:cs="黑体"/>
          <w:sz w:val="32"/>
          <w:szCs w:val="32"/>
        </w:rPr>
      </w:pPr>
      <w:r>
        <w:rPr>
          <w:rFonts w:hint="eastAsia" w:ascii="Times New Roman" w:hAnsi="Times New Roman" w:eastAsia="黑体" w:cs="黑体"/>
          <w:sz w:val="32"/>
          <w:szCs w:val="32"/>
          <w:lang w:val="en-US" w:eastAsia="zh-CN"/>
        </w:rPr>
        <w:t>四</w:t>
      </w:r>
      <w:r>
        <w:rPr>
          <w:rFonts w:hint="eastAsia" w:ascii="Times New Roman" w:hAnsi="Times New Roman" w:eastAsia="黑体" w:cs="黑体"/>
          <w:sz w:val="32"/>
          <w:szCs w:val="32"/>
        </w:rPr>
        <w:t>、一般公共预算拨款支出</w:t>
      </w:r>
    </w:p>
    <w:p w14:paraId="7306135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60"/>
        <w:jc w:val="left"/>
        <w:textAlignment w:val="auto"/>
        <w:rPr>
          <w:rFonts w:hint="eastAsia" w:ascii="Times New Roman" w:hAnsi="Times New Roman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年本单位一般公共预算拨款支出预算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715.69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万元，其中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：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社会保障和就业支出668.08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万元，占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93.35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%；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卫生健康支出18.58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万元，占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2.59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%；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住房保障支出29.03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万元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占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4.06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%。具体安排情况如下：</w:t>
      </w:r>
    </w:p>
    <w:p w14:paraId="0DEB247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60"/>
        <w:jc w:val="left"/>
        <w:textAlignment w:val="auto"/>
        <w:rPr>
          <w:rFonts w:hint="eastAsia" w:ascii="Times New Roman" w:hAnsi="Times New Roman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b/>
          <w:bCs w:val="0"/>
          <w:sz w:val="32"/>
          <w:szCs w:val="32"/>
        </w:rPr>
        <w:t>（一）基本支出：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年本单位基本支出预算数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539.26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万元，主要是为保障单位机构正常运转、完成日常工作任务而发生的各项支出，包括用于基本工资、津贴补贴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退休费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等人员经费以及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办公费、印刷费、水电费、工会经费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等公用经费。</w:t>
      </w:r>
    </w:p>
    <w:p w14:paraId="5CC47A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60"/>
        <w:jc w:val="left"/>
        <w:textAlignment w:val="auto"/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b/>
          <w:bCs w:val="0"/>
          <w:sz w:val="32"/>
          <w:szCs w:val="32"/>
        </w:rPr>
        <w:t>（二）项目支出：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年本单位项目支出预算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176.43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万元，主要是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单位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为完成特定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行政工作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任务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或事业发展目标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而发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生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的支出，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包括业务工作经费和运行维护经费，其中：业务工作经费90.53万元（含上年结余20.53万元），主要用于军供保障和全省军供业务技能培训和竞赛比武演练等；运行维护经费85.90万元（含上年结余78.40万元），主要用于文明平安单位创建及党建、设施设备维修维护等方面。</w:t>
      </w:r>
    </w:p>
    <w:p w14:paraId="4CCB6F6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60"/>
        <w:jc w:val="left"/>
        <w:textAlignment w:val="auto"/>
        <w:rPr>
          <w:rFonts w:hint="eastAsia" w:ascii="Times New Roman" w:hAnsi="Times New Roman" w:eastAsia="黑体" w:cs="黑体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黑体"/>
          <w:sz w:val="32"/>
          <w:szCs w:val="32"/>
          <w:lang w:val="en-US" w:eastAsia="zh-CN"/>
        </w:rPr>
        <w:t>五</w:t>
      </w:r>
      <w:r>
        <w:rPr>
          <w:rFonts w:hint="eastAsia" w:ascii="Times New Roman" w:hAnsi="Times New Roman" w:eastAsia="黑体" w:cs="黑体"/>
          <w:sz w:val="32"/>
          <w:szCs w:val="32"/>
        </w:rPr>
        <w:t>、</w:t>
      </w:r>
      <w:r>
        <w:rPr>
          <w:rFonts w:hint="eastAsia" w:ascii="Times New Roman" w:hAnsi="Times New Roman" w:eastAsia="黑体" w:cs="黑体"/>
          <w:sz w:val="32"/>
          <w:szCs w:val="32"/>
          <w:lang w:val="en-US" w:eastAsia="zh-CN"/>
        </w:rPr>
        <w:t>政府性基金预算支出</w:t>
      </w:r>
    </w:p>
    <w:p w14:paraId="3A0E992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60"/>
        <w:jc w:val="left"/>
        <w:textAlignment w:val="auto"/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本单位无政府性基金安排的支出。</w:t>
      </w:r>
    </w:p>
    <w:p w14:paraId="365FA73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60"/>
        <w:jc w:val="left"/>
        <w:textAlignment w:val="auto"/>
        <w:rPr>
          <w:rFonts w:hint="eastAsia" w:ascii="Times New Roman" w:hAnsi="Times New Roman" w:eastAsia="黑体" w:cs="黑体"/>
          <w:sz w:val="32"/>
          <w:szCs w:val="32"/>
        </w:rPr>
      </w:pPr>
      <w:r>
        <w:rPr>
          <w:rFonts w:hint="eastAsia" w:ascii="Times New Roman" w:hAnsi="Times New Roman" w:eastAsia="黑体" w:cs="黑体"/>
          <w:sz w:val="32"/>
          <w:szCs w:val="32"/>
          <w:lang w:val="en-US" w:eastAsia="zh-CN"/>
        </w:rPr>
        <w:t>六</w:t>
      </w:r>
      <w:r>
        <w:rPr>
          <w:rFonts w:hint="eastAsia" w:ascii="Times New Roman" w:hAnsi="Times New Roman" w:eastAsia="黑体" w:cs="黑体"/>
          <w:sz w:val="32"/>
          <w:szCs w:val="32"/>
        </w:rPr>
        <w:t>、其他重要事项的情况说明</w:t>
      </w:r>
    </w:p>
    <w:p w14:paraId="22DD9BF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60"/>
        <w:jc w:val="left"/>
        <w:textAlignment w:val="auto"/>
        <w:rPr>
          <w:rFonts w:hint="eastAsia" w:ascii="Times New Roman" w:hAnsi="Times New Roman" w:eastAsia="方正仿宋_GBK" w:cs="方正仿宋_GBK"/>
          <w:sz w:val="32"/>
          <w:szCs w:val="32"/>
          <w:lang w:val="en-US"/>
        </w:rPr>
      </w:pPr>
      <w:r>
        <w:rPr>
          <w:rFonts w:hint="eastAsia" w:ascii="Times New Roman" w:hAnsi="Times New Roman" w:eastAsia="方正仿宋_GBK" w:cs="方正仿宋_GBK"/>
          <w:b/>
          <w:bCs w:val="0"/>
          <w:sz w:val="32"/>
          <w:szCs w:val="32"/>
        </w:rPr>
        <w:t>（一）运行经费：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年本单位运行经费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73.90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元，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较上年预算减少1.69万元，下降2.24%。主要原因是我单位落实“过紧日子”要求，全面圧减非必要、非刚性的一般性支出。</w:t>
      </w:r>
    </w:p>
    <w:p w14:paraId="544787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b/>
          <w:bCs w:val="0"/>
          <w:sz w:val="32"/>
          <w:szCs w:val="32"/>
        </w:rPr>
        <w:t>（二）“三公”经费预算：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年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本单位“三公”经费预算数为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4.00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万元，其中，公务接待费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万元，公务用车购置及运行费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4.00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万元（其中，公务用车购置费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万元，公务用车运行费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4.00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万元），因公出国（境）费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万元。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2025年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“三公”经费预算较上年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减少0.50万元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主要是我单位拟更严格管控“三公”经费相关支出。</w:t>
      </w:r>
    </w:p>
    <w:p w14:paraId="2942008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60"/>
        <w:textAlignment w:val="auto"/>
        <w:rPr>
          <w:rFonts w:hint="eastAsia" w:ascii="Times New Roman" w:hAnsi="Times New Roman" w:eastAsia="方正仿宋_GBK" w:cs="方正仿宋_GBK"/>
          <w:kern w:val="0"/>
          <w:sz w:val="32"/>
          <w:szCs w:val="32"/>
          <w:highlight w:val="none"/>
        </w:rPr>
      </w:pPr>
      <w:r>
        <w:rPr>
          <w:rFonts w:hint="eastAsia" w:ascii="Times New Roman" w:hAnsi="Times New Roman" w:eastAsia="方正仿宋_GBK" w:cs="方正仿宋_GBK"/>
          <w:b/>
          <w:bCs w:val="0"/>
          <w:sz w:val="32"/>
          <w:szCs w:val="32"/>
        </w:rPr>
        <w:t>（三）一般性支出情况：</w:t>
      </w:r>
      <w:r>
        <w:rPr>
          <w:rFonts w:hint="eastAsia" w:ascii="Times New Roman" w:hAnsi="Times New Roman" w:eastAsia="方正仿宋_GBK" w:cs="方正仿宋_GBK"/>
          <w:kern w:val="0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方正仿宋_GBK" w:cs="方正仿宋_GBK"/>
          <w:kern w:val="0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方正仿宋_GBK" w:cs="方正仿宋_GBK"/>
          <w:kern w:val="0"/>
          <w:sz w:val="32"/>
          <w:szCs w:val="32"/>
        </w:rPr>
        <w:t>年本单位会议费预算</w:t>
      </w:r>
      <w:r>
        <w:rPr>
          <w:rFonts w:hint="eastAsia" w:ascii="Times New Roman" w:hAnsi="Times New Roman" w:eastAsia="方正仿宋_GBK" w:cs="方正仿宋_GBK"/>
          <w:kern w:val="0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方正仿宋_GBK" w:cs="方正仿宋_GBK"/>
          <w:kern w:val="0"/>
          <w:sz w:val="32"/>
          <w:szCs w:val="32"/>
        </w:rPr>
        <w:t>万元，</w:t>
      </w:r>
      <w:r>
        <w:rPr>
          <w:rFonts w:hint="eastAsia" w:ascii="Times New Roman" w:hAnsi="Times New Roman" w:eastAsia="方正仿宋_GBK" w:cs="方正仿宋_GBK"/>
          <w:kern w:val="0"/>
          <w:sz w:val="32"/>
          <w:szCs w:val="32"/>
          <w:highlight w:val="none"/>
        </w:rPr>
        <w:t>培训费预算</w:t>
      </w:r>
      <w:r>
        <w:rPr>
          <w:rFonts w:hint="eastAsia" w:ascii="Times New Roman" w:hAnsi="Times New Roman" w:eastAsia="方正仿宋_GBK" w:cs="方正仿宋_GBK"/>
          <w:kern w:val="0"/>
          <w:sz w:val="32"/>
          <w:szCs w:val="32"/>
          <w:highlight w:val="none"/>
          <w:lang w:val="en-US" w:eastAsia="zh-CN"/>
        </w:rPr>
        <w:t>0.32</w:t>
      </w:r>
      <w:r>
        <w:rPr>
          <w:rFonts w:hint="eastAsia" w:ascii="Times New Roman" w:hAnsi="Times New Roman" w:eastAsia="方正仿宋_GBK" w:cs="方正仿宋_GBK"/>
          <w:kern w:val="0"/>
          <w:sz w:val="32"/>
          <w:szCs w:val="32"/>
          <w:highlight w:val="none"/>
        </w:rPr>
        <w:t>万元，拟开展</w:t>
      </w:r>
      <w:r>
        <w:rPr>
          <w:rFonts w:hint="eastAsia" w:ascii="Times New Roman" w:hAnsi="Times New Roman" w:eastAsia="方正仿宋_GBK" w:cs="方正仿宋_GBK"/>
          <w:kern w:val="0"/>
          <w:sz w:val="32"/>
          <w:szCs w:val="32"/>
          <w:highlight w:val="none"/>
          <w:lang w:val="en-US" w:eastAsia="zh-CN"/>
        </w:rPr>
        <w:t>财务培训和事业单位工作人员培训，人数为18人，内容为财务人员继续教育培训2人和事业单位工作人员16人公共科目、专业科目课程网络培训。</w:t>
      </w:r>
    </w:p>
    <w:p w14:paraId="34EFB7B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60"/>
        <w:textAlignment w:val="auto"/>
        <w:rPr>
          <w:rFonts w:hint="eastAsia" w:ascii="Times New Roman" w:hAnsi="Times New Roman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b/>
          <w:bCs w:val="0"/>
          <w:sz w:val="32"/>
          <w:szCs w:val="32"/>
        </w:rPr>
        <w:t>（四）政府采购情况：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年本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单位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政府采购预算总额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万元，其中，货物类采购预算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万元；工程类采购预算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万元；服务类采购预算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万元。</w:t>
      </w:r>
    </w:p>
    <w:p w14:paraId="7AF3AFC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60"/>
        <w:jc w:val="left"/>
        <w:textAlignment w:val="auto"/>
        <w:rPr>
          <w:rFonts w:hint="eastAsia" w:ascii="Times New Roman" w:hAnsi="Times New Roman" w:eastAsia="方正仿宋_GBK" w:cs="方正仿宋_GBK"/>
          <w:bCs/>
          <w:kern w:val="0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b/>
          <w:bCs w:val="0"/>
          <w:sz w:val="32"/>
          <w:szCs w:val="32"/>
        </w:rPr>
        <w:t>（五）国有资产占用使用及新增资产配置情况：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截至202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年12月底，本单位</w:t>
      </w:r>
      <w:r>
        <w:rPr>
          <w:rFonts w:hint="eastAsia" w:ascii="Times New Roman" w:hAnsi="Times New Roman" w:eastAsia="方正仿宋_GBK" w:cs="方正仿宋_GBK"/>
          <w:bCs/>
          <w:kern w:val="0"/>
          <w:sz w:val="32"/>
          <w:szCs w:val="32"/>
        </w:rPr>
        <w:t>共有公务用车</w:t>
      </w:r>
      <w:r>
        <w:rPr>
          <w:rFonts w:hint="eastAsia" w:ascii="Times New Roman" w:hAnsi="Times New Roman" w:eastAsia="方正仿宋_GBK" w:cs="方正仿宋_GBK"/>
          <w:bCs/>
          <w:kern w:val="0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方正仿宋_GBK" w:cs="方正仿宋_GBK"/>
          <w:bCs/>
          <w:kern w:val="0"/>
          <w:sz w:val="32"/>
          <w:szCs w:val="32"/>
        </w:rPr>
        <w:t>辆，其中</w:t>
      </w:r>
      <w:r>
        <w:rPr>
          <w:rFonts w:hint="eastAsia" w:ascii="Times New Roman" w:hAnsi="Times New Roman" w:eastAsia="方正仿宋_GBK" w:cs="方正仿宋_GBK"/>
          <w:bCs/>
          <w:kern w:val="0"/>
          <w:sz w:val="32"/>
          <w:szCs w:val="32"/>
          <w:lang w:eastAsia="zh-CN"/>
        </w:rPr>
        <w:t>：</w:t>
      </w:r>
      <w:r>
        <w:rPr>
          <w:rFonts w:hint="eastAsia" w:ascii="Times New Roman" w:hAnsi="Times New Roman" w:eastAsia="方正仿宋_GBK" w:cs="方正仿宋_GBK"/>
          <w:bCs/>
          <w:kern w:val="0"/>
          <w:sz w:val="32"/>
          <w:szCs w:val="32"/>
        </w:rPr>
        <w:t>特种专业技术用车</w:t>
      </w:r>
      <w:r>
        <w:rPr>
          <w:rFonts w:hint="eastAsia" w:ascii="Times New Roman" w:hAnsi="Times New Roman" w:eastAsia="方正仿宋_GBK" w:cs="方正仿宋_GBK"/>
          <w:bCs/>
          <w:kern w:val="0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方正仿宋_GBK" w:cs="方正仿宋_GBK"/>
          <w:bCs/>
          <w:kern w:val="0"/>
          <w:sz w:val="32"/>
          <w:szCs w:val="32"/>
        </w:rPr>
        <w:t>辆，其他按照规定配备的公务用车</w:t>
      </w:r>
      <w:r>
        <w:rPr>
          <w:rFonts w:hint="eastAsia" w:ascii="Times New Roman" w:hAnsi="Times New Roman" w:eastAsia="方正仿宋_GBK" w:cs="方正仿宋_GBK"/>
          <w:bCs/>
          <w:kern w:val="0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方正仿宋_GBK" w:cs="方正仿宋_GBK"/>
          <w:bCs/>
          <w:kern w:val="0"/>
          <w:sz w:val="32"/>
          <w:szCs w:val="32"/>
        </w:rPr>
        <w:t>辆；单位价值50万元以上通用设备</w:t>
      </w:r>
      <w:r>
        <w:rPr>
          <w:rFonts w:hint="eastAsia" w:ascii="Times New Roman" w:hAnsi="Times New Roman" w:eastAsia="方正仿宋_GBK" w:cs="方正仿宋_GBK"/>
          <w:bCs/>
          <w:kern w:val="0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方正仿宋_GBK" w:cs="方正仿宋_GBK"/>
          <w:bCs/>
          <w:kern w:val="0"/>
          <w:sz w:val="32"/>
          <w:szCs w:val="32"/>
        </w:rPr>
        <w:t>台，单位价值100万元以上专用设备</w:t>
      </w:r>
      <w:r>
        <w:rPr>
          <w:rFonts w:hint="eastAsia" w:ascii="Times New Roman" w:hAnsi="Times New Roman" w:eastAsia="方正仿宋_GBK" w:cs="方正仿宋_GBK"/>
          <w:bCs/>
          <w:kern w:val="0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方正仿宋_GBK" w:cs="方正仿宋_GBK"/>
          <w:bCs/>
          <w:kern w:val="0"/>
          <w:sz w:val="32"/>
          <w:szCs w:val="32"/>
        </w:rPr>
        <w:t>台。</w:t>
      </w:r>
      <w:r>
        <w:rPr>
          <w:rFonts w:hint="eastAsia" w:ascii="Times New Roman" w:hAnsi="Times New Roman" w:eastAsia="方正仿宋_GBK" w:cs="方正仿宋_GBK"/>
          <w:bCs/>
          <w:kern w:val="0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方正仿宋_GBK" w:cs="方正仿宋_GBK"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方正仿宋_GBK" w:cs="方正仿宋_GBK"/>
          <w:bCs/>
          <w:kern w:val="0"/>
          <w:sz w:val="32"/>
          <w:szCs w:val="32"/>
        </w:rPr>
        <w:t>年</w:t>
      </w:r>
      <w:r>
        <w:rPr>
          <w:rFonts w:hint="eastAsia" w:ascii="Times New Roman" w:hAnsi="Times New Roman" w:eastAsia="方正仿宋_GBK" w:cs="方正仿宋_GBK"/>
          <w:bCs/>
          <w:kern w:val="0"/>
          <w:sz w:val="32"/>
          <w:szCs w:val="32"/>
          <w:lang w:val="en-US" w:eastAsia="zh-CN"/>
        </w:rPr>
        <w:t>新增配置公务用车0辆</w:t>
      </w:r>
      <w:r>
        <w:rPr>
          <w:rFonts w:hint="eastAsia" w:ascii="Times New Roman" w:hAnsi="Times New Roman" w:eastAsia="方正仿宋_GBK" w:cs="方正仿宋_GBK"/>
          <w:bCs/>
          <w:kern w:val="0"/>
          <w:sz w:val="32"/>
          <w:szCs w:val="32"/>
        </w:rPr>
        <w:t>。</w:t>
      </w:r>
    </w:p>
    <w:p w14:paraId="39E1CEC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60"/>
        <w:jc w:val="left"/>
        <w:textAlignment w:val="auto"/>
        <w:rPr>
          <w:rFonts w:hint="eastAsia" w:ascii="Times New Roman" w:hAnsi="Times New Roman" w:eastAsia="方正仿宋_GBK" w:cs="方正仿宋_GBK"/>
          <w:bCs/>
          <w:kern w:val="0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b/>
          <w:bCs/>
          <w:kern w:val="0"/>
          <w:sz w:val="32"/>
          <w:szCs w:val="32"/>
        </w:rPr>
        <w:t>（六）预算绩效目标说明：</w:t>
      </w:r>
      <w:r>
        <w:rPr>
          <w:rFonts w:hint="eastAsia" w:ascii="Times New Roman" w:hAnsi="Times New Roman" w:eastAsia="方正仿宋_GBK" w:cs="方正仿宋_GBK"/>
          <w:bCs/>
          <w:kern w:val="0"/>
          <w:sz w:val="32"/>
          <w:szCs w:val="32"/>
        </w:rPr>
        <w:t>本单位支出</w:t>
      </w:r>
      <w:r>
        <w:rPr>
          <w:rFonts w:hint="eastAsia" w:ascii="Times New Roman" w:hAnsi="Times New Roman" w:eastAsia="方正仿宋_GBK" w:cs="方正仿宋_GBK"/>
          <w:bCs/>
          <w:kern w:val="0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方正仿宋_GBK" w:cs="方正仿宋_GBK"/>
          <w:bCs/>
          <w:kern w:val="0"/>
          <w:sz w:val="32"/>
          <w:szCs w:val="32"/>
          <w:lang w:val="en-US" w:eastAsia="zh-CN"/>
        </w:rPr>
        <w:t>不含上年结转结余</w:t>
      </w:r>
      <w:r>
        <w:rPr>
          <w:rFonts w:hint="eastAsia" w:ascii="Times New Roman" w:hAnsi="Times New Roman" w:eastAsia="方正仿宋_GBK" w:cs="方正仿宋_GBK"/>
          <w:bCs/>
          <w:kern w:val="0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方正仿宋_GBK" w:cs="方正仿宋_GBK"/>
          <w:bCs/>
          <w:kern w:val="0"/>
          <w:sz w:val="32"/>
          <w:szCs w:val="32"/>
        </w:rPr>
        <w:t>实行绩效目标管理。纳入</w:t>
      </w:r>
      <w:r>
        <w:rPr>
          <w:rFonts w:hint="eastAsia" w:ascii="Times New Roman" w:hAnsi="Times New Roman" w:eastAsia="方正仿宋_GBK" w:cs="方正仿宋_GBK"/>
          <w:bCs/>
          <w:kern w:val="0"/>
          <w:sz w:val="32"/>
          <w:szCs w:val="32"/>
          <w:lang w:eastAsia="zh-CN"/>
        </w:rPr>
        <w:t>20</w:t>
      </w:r>
      <w:r>
        <w:rPr>
          <w:rFonts w:hint="eastAsia" w:ascii="Times New Roman" w:hAnsi="Times New Roman" w:eastAsia="方正仿宋_GBK" w:cs="方正仿宋_GBK"/>
          <w:bCs/>
          <w:kern w:val="0"/>
          <w:sz w:val="32"/>
          <w:szCs w:val="32"/>
          <w:lang w:val="en-US" w:eastAsia="zh-CN"/>
        </w:rPr>
        <w:t>26</w:t>
      </w:r>
      <w:r>
        <w:rPr>
          <w:rFonts w:hint="eastAsia" w:ascii="Times New Roman" w:hAnsi="Times New Roman" w:eastAsia="方正仿宋_GBK" w:cs="方正仿宋_GBK"/>
          <w:bCs/>
          <w:kern w:val="0"/>
          <w:sz w:val="32"/>
          <w:szCs w:val="32"/>
        </w:rPr>
        <w:t>年单位整体支出绩效目标的金额为</w:t>
      </w:r>
      <w:r>
        <w:rPr>
          <w:rFonts w:hint="eastAsia" w:ascii="Times New Roman" w:hAnsi="Times New Roman" w:eastAsia="方正仿宋_GBK" w:cs="方正仿宋_GBK"/>
          <w:bCs/>
          <w:kern w:val="0"/>
          <w:sz w:val="32"/>
          <w:szCs w:val="32"/>
          <w:lang w:val="en-US" w:eastAsia="zh-CN"/>
        </w:rPr>
        <w:t>616.76</w:t>
      </w:r>
      <w:r>
        <w:rPr>
          <w:rFonts w:hint="eastAsia" w:ascii="Times New Roman" w:hAnsi="Times New Roman" w:eastAsia="方正仿宋_GBK" w:cs="方正仿宋_GBK"/>
          <w:bCs/>
          <w:kern w:val="0"/>
          <w:sz w:val="32"/>
          <w:szCs w:val="32"/>
        </w:rPr>
        <w:t>万元，其中</w:t>
      </w:r>
      <w:r>
        <w:rPr>
          <w:rFonts w:hint="eastAsia" w:ascii="Times New Roman" w:hAnsi="Times New Roman" w:eastAsia="方正仿宋_GBK" w:cs="方正仿宋_GBK"/>
          <w:bCs/>
          <w:kern w:val="0"/>
          <w:sz w:val="32"/>
          <w:szCs w:val="32"/>
          <w:lang w:eastAsia="zh-CN"/>
        </w:rPr>
        <w:t>：</w:t>
      </w:r>
      <w:r>
        <w:rPr>
          <w:rFonts w:hint="eastAsia" w:ascii="Times New Roman" w:hAnsi="Times New Roman" w:eastAsia="方正仿宋_GBK" w:cs="方正仿宋_GBK"/>
          <w:bCs/>
          <w:kern w:val="0"/>
          <w:sz w:val="32"/>
          <w:szCs w:val="32"/>
        </w:rPr>
        <w:t>基本支出</w:t>
      </w:r>
      <w:r>
        <w:rPr>
          <w:rFonts w:hint="eastAsia" w:ascii="Times New Roman" w:hAnsi="Times New Roman" w:eastAsia="方正仿宋_GBK" w:cs="方正仿宋_GBK"/>
          <w:bCs/>
          <w:kern w:val="0"/>
          <w:sz w:val="32"/>
          <w:szCs w:val="32"/>
          <w:lang w:val="en-US" w:eastAsia="zh-CN"/>
        </w:rPr>
        <w:t>539.26</w:t>
      </w:r>
      <w:r>
        <w:rPr>
          <w:rFonts w:hint="eastAsia" w:ascii="Times New Roman" w:hAnsi="Times New Roman" w:eastAsia="方正仿宋_GBK" w:cs="方正仿宋_GBK"/>
          <w:bCs/>
          <w:kern w:val="0"/>
          <w:sz w:val="32"/>
          <w:szCs w:val="32"/>
        </w:rPr>
        <w:t>元，项目支出</w:t>
      </w:r>
      <w:r>
        <w:rPr>
          <w:rFonts w:hint="eastAsia" w:ascii="Times New Roman" w:hAnsi="Times New Roman" w:eastAsia="方正仿宋_GBK" w:cs="方正仿宋_GBK"/>
          <w:bCs/>
          <w:kern w:val="0"/>
          <w:sz w:val="32"/>
          <w:szCs w:val="32"/>
          <w:lang w:val="en-US" w:eastAsia="zh-CN"/>
        </w:rPr>
        <w:t>77.50</w:t>
      </w:r>
      <w:r>
        <w:rPr>
          <w:rFonts w:hint="eastAsia" w:ascii="Times New Roman" w:hAnsi="Times New Roman" w:eastAsia="方正仿宋_GBK" w:cs="方正仿宋_GBK"/>
          <w:bCs/>
          <w:kern w:val="0"/>
          <w:sz w:val="32"/>
          <w:szCs w:val="32"/>
        </w:rPr>
        <w:t>万元</w:t>
      </w:r>
      <w:r>
        <w:rPr>
          <w:rFonts w:hint="eastAsia" w:ascii="Times New Roman" w:hAnsi="Times New Roman" w:eastAsia="方正仿宋_GBK" w:cs="方正仿宋_GBK"/>
          <w:bCs/>
          <w:kern w:val="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方正仿宋_GBK" w:cs="方正仿宋_GBK"/>
          <w:bCs/>
          <w:kern w:val="0"/>
          <w:sz w:val="32"/>
          <w:szCs w:val="32"/>
          <w:lang w:val="en-US" w:eastAsia="zh-CN"/>
        </w:rPr>
        <w:t>具体绩效目标详见预算23表</w:t>
      </w:r>
      <w:r>
        <w:rPr>
          <w:rFonts w:hint="eastAsia" w:ascii="Times New Roman" w:hAnsi="Times New Roman" w:eastAsia="方正仿宋_GBK" w:cs="方正仿宋_GBK"/>
          <w:bCs/>
          <w:kern w:val="0"/>
          <w:sz w:val="32"/>
          <w:szCs w:val="32"/>
        </w:rPr>
        <w:t>。</w:t>
      </w:r>
    </w:p>
    <w:p w14:paraId="6167B1E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60"/>
        <w:textAlignment w:val="auto"/>
        <w:rPr>
          <w:rFonts w:hint="eastAsia" w:ascii="Times New Roman" w:hAnsi="Times New Roman" w:eastAsia="黑体" w:cs="黑体"/>
          <w:sz w:val="32"/>
          <w:szCs w:val="32"/>
        </w:rPr>
      </w:pPr>
      <w:r>
        <w:rPr>
          <w:rFonts w:hint="eastAsia" w:ascii="Times New Roman" w:hAnsi="Times New Roman" w:eastAsia="黑体" w:cs="黑体"/>
          <w:sz w:val="32"/>
          <w:szCs w:val="32"/>
          <w:lang w:val="en-US" w:eastAsia="zh-CN"/>
        </w:rPr>
        <w:t>七</w:t>
      </w:r>
      <w:r>
        <w:rPr>
          <w:rFonts w:hint="eastAsia" w:ascii="Times New Roman" w:hAnsi="Times New Roman" w:eastAsia="黑体" w:cs="黑体"/>
          <w:sz w:val="32"/>
          <w:szCs w:val="32"/>
        </w:rPr>
        <w:t>、名词解释</w:t>
      </w:r>
    </w:p>
    <w:p w14:paraId="57F450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sz w:val="32"/>
          <w:szCs w:val="32"/>
        </w:rPr>
        <w:t>1、运行经费：是指各单位的公用经费，包括办公及印刷费、邮电费、差旅费、会议费、日常维修费、专用资料及一般设备购置费、办公用房水电费、办公用房物业管理费、公务用车运行维护费以及其他费用。</w:t>
      </w:r>
    </w:p>
    <w:p w14:paraId="3E30A0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sz w:val="32"/>
          <w:szCs w:val="32"/>
        </w:rPr>
        <w:t>2、“三公”经费：纳入省（市/县）财政预算管理的“三公“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住宿费、伙食费、培训费、公杂费等等支出。</w:t>
      </w:r>
    </w:p>
    <w:p w14:paraId="31C0CB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60"/>
        <w:textAlignment w:val="auto"/>
        <w:rPr>
          <w:rFonts w:hint="eastAsia" w:ascii="Times New Roman" w:hAnsi="Times New Roman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b w:val="0"/>
          <w:bCs w:val="0"/>
          <w:sz w:val="32"/>
          <w:szCs w:val="32"/>
          <w:lang w:val="en-US" w:eastAsia="zh-CN"/>
        </w:rPr>
        <w:t>3、军供保障支出：反映各级退役军人事务部门所属军供站（兵站）管理维护、保障军队运输和食宿供应等方面的支出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。</w:t>
      </w:r>
    </w:p>
    <w:p w14:paraId="64B2058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60"/>
        <w:textAlignment w:val="auto"/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</w:pPr>
    </w:p>
    <w:p w14:paraId="25D314D8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960" w:firstLineChars="300"/>
        <w:jc w:val="left"/>
        <w:textAlignment w:val="auto"/>
        <w:rPr>
          <w:rFonts w:hint="eastAsia" w:ascii="Times New Roman" w:hAnsi="Times New Roman" w:eastAsia="黑体" w:cs="黑体"/>
          <w:b w:val="0"/>
          <w:bCs/>
          <w:kern w:val="0"/>
          <w:sz w:val="32"/>
          <w:szCs w:val="32"/>
          <w:lang w:val="en-US" w:eastAsia="zh-CN"/>
        </w:rPr>
      </w:pPr>
    </w:p>
    <w:p w14:paraId="5506ABF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960" w:firstLineChars="300"/>
        <w:jc w:val="left"/>
        <w:textAlignment w:val="auto"/>
        <w:rPr>
          <w:rFonts w:hint="eastAsia" w:ascii="Times New Roman" w:hAnsi="Times New Roman" w:eastAsia="黑体" w:cs="黑体"/>
          <w:b w:val="0"/>
          <w:bCs/>
          <w:kern w:val="0"/>
          <w:sz w:val="32"/>
          <w:szCs w:val="32"/>
          <w:lang w:val="en-US" w:eastAsia="zh-CN"/>
        </w:rPr>
      </w:pPr>
    </w:p>
    <w:p w14:paraId="185CDBE4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960" w:firstLineChars="300"/>
        <w:jc w:val="left"/>
        <w:textAlignment w:val="auto"/>
        <w:rPr>
          <w:rFonts w:hint="eastAsia" w:ascii="Times New Roman" w:hAnsi="Times New Roman" w:eastAsia="黑体" w:cs="黑体"/>
          <w:b w:val="0"/>
          <w:bCs/>
          <w:kern w:val="0"/>
          <w:sz w:val="32"/>
          <w:szCs w:val="32"/>
          <w:lang w:val="en-US" w:eastAsia="zh-CN"/>
        </w:rPr>
      </w:pPr>
    </w:p>
    <w:p w14:paraId="7A762A38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960" w:firstLineChars="300"/>
        <w:jc w:val="left"/>
        <w:textAlignment w:val="auto"/>
        <w:rPr>
          <w:rFonts w:hint="eastAsia" w:ascii="Times New Roman" w:hAnsi="Times New Roman" w:eastAsia="黑体" w:cs="黑体"/>
          <w:b w:val="0"/>
          <w:bCs/>
          <w:kern w:val="0"/>
          <w:sz w:val="32"/>
          <w:szCs w:val="32"/>
          <w:lang w:val="en-US" w:eastAsia="zh-CN"/>
        </w:rPr>
      </w:pPr>
    </w:p>
    <w:p w14:paraId="5F0C4488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960" w:firstLineChars="300"/>
        <w:jc w:val="left"/>
        <w:textAlignment w:val="auto"/>
        <w:rPr>
          <w:rFonts w:hint="eastAsia" w:ascii="Times New Roman" w:hAnsi="Times New Roman" w:eastAsia="黑体" w:cs="黑体"/>
          <w:b w:val="0"/>
          <w:bCs/>
          <w:kern w:val="0"/>
          <w:sz w:val="32"/>
          <w:szCs w:val="32"/>
          <w:lang w:val="en-US" w:eastAsia="zh-CN"/>
        </w:rPr>
      </w:pPr>
    </w:p>
    <w:p w14:paraId="4D63F24A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960" w:firstLineChars="300"/>
        <w:jc w:val="left"/>
        <w:textAlignment w:val="auto"/>
        <w:rPr>
          <w:rFonts w:hint="eastAsia" w:ascii="Times New Roman" w:hAnsi="Times New Roman" w:eastAsia="黑体" w:cs="黑体"/>
          <w:b w:val="0"/>
          <w:bCs/>
          <w:kern w:val="0"/>
          <w:sz w:val="32"/>
          <w:szCs w:val="32"/>
          <w:lang w:val="en-US" w:eastAsia="zh-CN"/>
        </w:rPr>
      </w:pPr>
    </w:p>
    <w:p w14:paraId="20B97E84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960" w:firstLineChars="300"/>
        <w:jc w:val="left"/>
        <w:textAlignment w:val="auto"/>
        <w:rPr>
          <w:rFonts w:hint="eastAsia" w:ascii="Times New Roman" w:hAnsi="Times New Roman" w:eastAsia="黑体" w:cs="黑体"/>
          <w:b w:val="0"/>
          <w:bCs/>
          <w:kern w:val="0"/>
          <w:sz w:val="32"/>
          <w:szCs w:val="32"/>
          <w:lang w:val="en-US" w:eastAsia="zh-CN"/>
        </w:rPr>
      </w:pPr>
    </w:p>
    <w:p w14:paraId="3B1C680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960" w:firstLineChars="300"/>
        <w:jc w:val="left"/>
        <w:textAlignment w:val="auto"/>
        <w:rPr>
          <w:rFonts w:hint="eastAsia" w:ascii="Times New Roman" w:hAnsi="Times New Roman" w:eastAsia="黑体" w:cs="黑体"/>
          <w:b w:val="0"/>
          <w:bCs/>
          <w:kern w:val="0"/>
          <w:sz w:val="32"/>
          <w:szCs w:val="32"/>
          <w:lang w:val="en-US" w:eastAsia="zh-CN"/>
        </w:rPr>
      </w:pPr>
    </w:p>
    <w:p w14:paraId="76630C0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960" w:firstLineChars="300"/>
        <w:jc w:val="left"/>
        <w:textAlignment w:val="auto"/>
        <w:rPr>
          <w:rFonts w:hint="eastAsia" w:ascii="Times New Roman" w:hAnsi="Times New Roman" w:eastAsia="黑体" w:cs="黑体"/>
          <w:b w:val="0"/>
          <w:bCs/>
          <w:kern w:val="0"/>
          <w:sz w:val="32"/>
          <w:szCs w:val="32"/>
          <w:lang w:val="en-US" w:eastAsia="zh-CN"/>
        </w:rPr>
      </w:pPr>
    </w:p>
    <w:p w14:paraId="4F4F2267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960" w:firstLineChars="300"/>
        <w:jc w:val="left"/>
        <w:textAlignment w:val="auto"/>
        <w:rPr>
          <w:rFonts w:hint="eastAsia" w:ascii="Times New Roman" w:hAnsi="Times New Roman" w:eastAsia="黑体" w:cs="黑体"/>
          <w:b w:val="0"/>
          <w:bCs/>
          <w:kern w:val="0"/>
          <w:sz w:val="32"/>
          <w:szCs w:val="32"/>
          <w:lang w:val="en-US" w:eastAsia="zh-CN"/>
        </w:rPr>
      </w:pPr>
    </w:p>
    <w:p w14:paraId="0B388A00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960" w:firstLineChars="300"/>
        <w:jc w:val="left"/>
        <w:textAlignment w:val="auto"/>
        <w:rPr>
          <w:rFonts w:hint="eastAsia" w:ascii="Times New Roman" w:hAnsi="Times New Roman" w:eastAsia="黑体" w:cs="黑体"/>
          <w:b w:val="0"/>
          <w:bCs/>
          <w:kern w:val="0"/>
          <w:sz w:val="32"/>
          <w:szCs w:val="32"/>
          <w:lang w:val="en-US" w:eastAsia="zh-CN"/>
        </w:rPr>
      </w:pPr>
    </w:p>
    <w:p w14:paraId="09043974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960" w:firstLineChars="300"/>
        <w:jc w:val="left"/>
        <w:textAlignment w:val="auto"/>
        <w:rPr>
          <w:rFonts w:hint="eastAsia" w:ascii="Times New Roman" w:hAnsi="Times New Roman" w:eastAsia="黑体" w:cs="黑体"/>
          <w:b w:val="0"/>
          <w:bCs/>
          <w:kern w:val="0"/>
          <w:sz w:val="32"/>
          <w:szCs w:val="32"/>
          <w:lang w:val="en-US" w:eastAsia="zh-CN"/>
        </w:rPr>
      </w:pPr>
    </w:p>
    <w:p w14:paraId="666D6A8C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960" w:firstLineChars="300"/>
        <w:jc w:val="left"/>
        <w:textAlignment w:val="auto"/>
        <w:rPr>
          <w:rFonts w:hint="eastAsia" w:ascii="Times New Roman" w:hAnsi="Times New Roman" w:eastAsia="黑体" w:cs="黑体"/>
          <w:b w:val="0"/>
          <w:bCs/>
          <w:kern w:val="0"/>
          <w:sz w:val="32"/>
          <w:szCs w:val="32"/>
          <w:lang w:val="en-US" w:eastAsia="zh-CN"/>
        </w:rPr>
      </w:pPr>
    </w:p>
    <w:p w14:paraId="3E20B882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960" w:firstLineChars="300"/>
        <w:jc w:val="left"/>
        <w:textAlignment w:val="auto"/>
        <w:rPr>
          <w:rFonts w:hint="eastAsia" w:ascii="Times New Roman" w:hAnsi="Times New Roman" w:eastAsia="黑体" w:cs="黑体"/>
          <w:b w:val="0"/>
          <w:bCs/>
          <w:kern w:val="0"/>
          <w:sz w:val="32"/>
          <w:szCs w:val="32"/>
          <w:lang w:val="en-US" w:eastAsia="zh-CN"/>
        </w:rPr>
      </w:pPr>
    </w:p>
    <w:p w14:paraId="636BCE4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960" w:firstLineChars="300"/>
        <w:jc w:val="left"/>
        <w:textAlignment w:val="auto"/>
        <w:rPr>
          <w:rFonts w:hint="eastAsia" w:ascii="Times New Roman" w:hAnsi="Times New Roman" w:eastAsia="黑体" w:cs="黑体"/>
          <w:b w:val="0"/>
          <w:bCs/>
          <w:kern w:val="0"/>
          <w:sz w:val="32"/>
          <w:szCs w:val="32"/>
          <w:lang w:val="en-US" w:eastAsia="zh-CN"/>
        </w:rPr>
      </w:pPr>
    </w:p>
    <w:p w14:paraId="0A1C81E7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960" w:firstLineChars="300"/>
        <w:jc w:val="left"/>
        <w:textAlignment w:val="auto"/>
        <w:rPr>
          <w:rFonts w:hint="eastAsia" w:ascii="Times New Roman" w:hAnsi="Times New Roman" w:eastAsia="黑体" w:cs="黑体"/>
          <w:b w:val="0"/>
          <w:bCs/>
          <w:kern w:val="0"/>
          <w:sz w:val="32"/>
          <w:szCs w:val="32"/>
          <w:lang w:val="en-US" w:eastAsia="zh-CN"/>
        </w:rPr>
      </w:pPr>
    </w:p>
    <w:p w14:paraId="6B4A1938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960" w:firstLineChars="300"/>
        <w:jc w:val="left"/>
        <w:textAlignment w:val="auto"/>
        <w:rPr>
          <w:rFonts w:hint="eastAsia" w:ascii="Times New Roman" w:hAnsi="Times New Roman" w:eastAsia="黑体" w:cs="黑体"/>
          <w:b w:val="0"/>
          <w:bCs/>
          <w:kern w:val="0"/>
          <w:sz w:val="32"/>
          <w:szCs w:val="32"/>
          <w:lang w:val="en-US" w:eastAsia="zh-CN"/>
        </w:rPr>
      </w:pPr>
    </w:p>
    <w:p w14:paraId="10D0ED02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960" w:firstLineChars="300"/>
        <w:jc w:val="left"/>
        <w:textAlignment w:val="auto"/>
        <w:rPr>
          <w:rFonts w:hint="eastAsia" w:ascii="Times New Roman" w:hAnsi="Times New Roman" w:eastAsia="黑体" w:cs="黑体"/>
          <w:b w:val="0"/>
          <w:bCs/>
          <w:kern w:val="0"/>
          <w:sz w:val="32"/>
          <w:szCs w:val="32"/>
          <w:lang w:val="en-US" w:eastAsia="zh-CN"/>
        </w:rPr>
      </w:pPr>
    </w:p>
    <w:p w14:paraId="4EE2D3CE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960" w:firstLineChars="300"/>
        <w:jc w:val="left"/>
        <w:textAlignment w:val="auto"/>
        <w:rPr>
          <w:rFonts w:hint="eastAsia" w:ascii="Times New Roman" w:hAnsi="Times New Roman" w:eastAsia="黑体" w:cs="黑体"/>
          <w:b w:val="0"/>
          <w:bCs/>
          <w:kern w:val="0"/>
          <w:sz w:val="32"/>
          <w:szCs w:val="32"/>
          <w:lang w:val="en-US" w:eastAsia="zh-CN"/>
        </w:rPr>
      </w:pPr>
    </w:p>
    <w:p w14:paraId="3868D158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Times New Roman" w:hAnsi="Times New Roman" w:eastAsia="黑体" w:cs="黑体"/>
          <w:b w:val="0"/>
          <w:bCs/>
          <w:kern w:val="0"/>
          <w:sz w:val="32"/>
          <w:szCs w:val="32"/>
          <w:lang w:val="en-US" w:eastAsia="zh-CN"/>
        </w:rPr>
      </w:pPr>
      <w:bookmarkStart w:id="0" w:name="_GoBack"/>
      <w:bookmarkEnd w:id="0"/>
    </w:p>
    <w:p w14:paraId="480CE84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Times New Roman" w:hAnsi="Times New Roman" w:eastAsia="方正小标宋简体" w:cs="方正小标宋简体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小标宋简体" w:cs="方正小标宋简体"/>
          <w:b w:val="0"/>
          <w:bCs w:val="0"/>
          <w:kern w:val="0"/>
          <w:sz w:val="32"/>
          <w:szCs w:val="32"/>
          <w:lang w:val="en-US" w:eastAsia="zh-CN"/>
        </w:rPr>
        <w:t>第二部分   2026年单位预算表</w:t>
      </w:r>
    </w:p>
    <w:p w14:paraId="2051CAE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center"/>
        <w:textAlignment w:val="auto"/>
        <w:rPr>
          <w:rFonts w:hint="eastAsia" w:ascii="Times New Roman" w:hAnsi="Times New Roman" w:eastAsia="方正仿宋_GBK" w:cs="方正仿宋_GBK"/>
          <w:b/>
          <w:bCs/>
          <w:kern w:val="0"/>
          <w:sz w:val="32"/>
          <w:szCs w:val="32"/>
        </w:rPr>
      </w:pPr>
    </w:p>
    <w:p w14:paraId="2D96147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Times New Roman" w:hAnsi="Times New Roman" w:eastAsia="方正仿宋_GBK" w:cs="方正仿宋_GBK"/>
          <w:sz w:val="32"/>
          <w:szCs w:val="32"/>
        </w:rPr>
      </w:pPr>
    </w:p>
    <w:p w14:paraId="395E489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Times New Roman" w:hAnsi="Times New Roman" w:eastAsia="方正仿宋_GBK" w:cs="方正仿宋_GBK"/>
          <w:sz w:val="32"/>
          <w:szCs w:val="32"/>
        </w:rPr>
      </w:pPr>
    </w:p>
    <w:p w14:paraId="10D117D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440" w:firstLineChars="1700"/>
        <w:textAlignment w:val="auto"/>
        <w:rPr>
          <w:rFonts w:hint="default" w:ascii="Times New Roman" w:hAnsi="Times New Roman" w:eastAsia="方正仿宋_GBK" w:cs="方正仿宋_GBK"/>
          <w:sz w:val="32"/>
          <w:szCs w:val="32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5B09C6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7AE787E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7AE787E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A9C5DD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3NmE2YmJjZWI0ZGJiNmE4MTIwYmNhNjlkYWRjY2MifQ=="/>
  </w:docVars>
  <w:rsids>
    <w:rsidRoot w:val="070B256E"/>
    <w:rsid w:val="00D26D9F"/>
    <w:rsid w:val="00FB4547"/>
    <w:rsid w:val="013A65FD"/>
    <w:rsid w:val="02465424"/>
    <w:rsid w:val="027A0564"/>
    <w:rsid w:val="041A12B9"/>
    <w:rsid w:val="070B256E"/>
    <w:rsid w:val="079250E7"/>
    <w:rsid w:val="08250FD1"/>
    <w:rsid w:val="0A522E18"/>
    <w:rsid w:val="0B51494B"/>
    <w:rsid w:val="0E245D91"/>
    <w:rsid w:val="0F960B4C"/>
    <w:rsid w:val="0FB82087"/>
    <w:rsid w:val="128C2E5A"/>
    <w:rsid w:val="141C7634"/>
    <w:rsid w:val="15B33857"/>
    <w:rsid w:val="15B9057B"/>
    <w:rsid w:val="165A4821"/>
    <w:rsid w:val="173C2D6C"/>
    <w:rsid w:val="18583A3B"/>
    <w:rsid w:val="1AB50555"/>
    <w:rsid w:val="1C4050AC"/>
    <w:rsid w:val="1EE14925"/>
    <w:rsid w:val="1F477260"/>
    <w:rsid w:val="1F4C5B16"/>
    <w:rsid w:val="202D5948"/>
    <w:rsid w:val="209D3B1B"/>
    <w:rsid w:val="20B0421E"/>
    <w:rsid w:val="21C4362D"/>
    <w:rsid w:val="22673393"/>
    <w:rsid w:val="231352C9"/>
    <w:rsid w:val="233B65CE"/>
    <w:rsid w:val="234031B8"/>
    <w:rsid w:val="24456A35"/>
    <w:rsid w:val="25380B6B"/>
    <w:rsid w:val="26463362"/>
    <w:rsid w:val="270D192E"/>
    <w:rsid w:val="273B4DEE"/>
    <w:rsid w:val="27A14087"/>
    <w:rsid w:val="27F21951"/>
    <w:rsid w:val="282A2D89"/>
    <w:rsid w:val="29CD4847"/>
    <w:rsid w:val="2D6E2109"/>
    <w:rsid w:val="33E27AE9"/>
    <w:rsid w:val="348A58AF"/>
    <w:rsid w:val="36D06AB5"/>
    <w:rsid w:val="375F0D5F"/>
    <w:rsid w:val="37F43108"/>
    <w:rsid w:val="3BA25984"/>
    <w:rsid w:val="3DA04DB9"/>
    <w:rsid w:val="3EAB2402"/>
    <w:rsid w:val="3FF34060"/>
    <w:rsid w:val="40597DBF"/>
    <w:rsid w:val="40A435AC"/>
    <w:rsid w:val="42EE42E2"/>
    <w:rsid w:val="43427F33"/>
    <w:rsid w:val="43882934"/>
    <w:rsid w:val="440B6BF8"/>
    <w:rsid w:val="45C142B9"/>
    <w:rsid w:val="47B84691"/>
    <w:rsid w:val="4AD8632C"/>
    <w:rsid w:val="4BF32063"/>
    <w:rsid w:val="4F2800A0"/>
    <w:rsid w:val="4FF9498A"/>
    <w:rsid w:val="508F1AA2"/>
    <w:rsid w:val="50F27290"/>
    <w:rsid w:val="51E77904"/>
    <w:rsid w:val="52617CEE"/>
    <w:rsid w:val="53807E08"/>
    <w:rsid w:val="548117E3"/>
    <w:rsid w:val="55B004CA"/>
    <w:rsid w:val="568C3A4E"/>
    <w:rsid w:val="58906498"/>
    <w:rsid w:val="590D6E39"/>
    <w:rsid w:val="595652C3"/>
    <w:rsid w:val="5ACC048F"/>
    <w:rsid w:val="5C4E3022"/>
    <w:rsid w:val="5D0B4CEF"/>
    <w:rsid w:val="5DB76275"/>
    <w:rsid w:val="5DFD637E"/>
    <w:rsid w:val="5EAB36C7"/>
    <w:rsid w:val="5F0F4909"/>
    <w:rsid w:val="61167757"/>
    <w:rsid w:val="61CE1DDF"/>
    <w:rsid w:val="61D00DE6"/>
    <w:rsid w:val="632D0578"/>
    <w:rsid w:val="658E7031"/>
    <w:rsid w:val="664D7432"/>
    <w:rsid w:val="68654C87"/>
    <w:rsid w:val="68E42230"/>
    <w:rsid w:val="69111706"/>
    <w:rsid w:val="6B80239C"/>
    <w:rsid w:val="6BC06C3D"/>
    <w:rsid w:val="6C164AAF"/>
    <w:rsid w:val="720B17FB"/>
    <w:rsid w:val="72AE5A41"/>
    <w:rsid w:val="743134EC"/>
    <w:rsid w:val="75541660"/>
    <w:rsid w:val="75E702B5"/>
    <w:rsid w:val="78711CAC"/>
    <w:rsid w:val="78C3053A"/>
    <w:rsid w:val="7CDD764F"/>
    <w:rsid w:val="7E0D4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2402</Words>
  <Characters>2649</Characters>
  <Lines>0</Lines>
  <Paragraphs>0</Paragraphs>
  <TotalTime>321</TotalTime>
  <ScaleCrop>false</ScaleCrop>
  <LinksUpToDate>false</LinksUpToDate>
  <CharactersWithSpaces>2669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2021-03-03T03:08:00Z</dcterms:created>
  <dc:creator>小小131</dc:creator>
  <cp:lastModifiedBy>刘志云</cp:lastModifiedBy>
  <cp:lastPrinted>2026-03-25T08:47:30Z</cp:lastPrinted>
  <dcterms:modified xsi:type="dcterms:W3CDTF">2026-03-25T08:49:35Z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BD1C6132ADC9419198A3B82D3CDFAFAB_13</vt:lpwstr>
  </property>
  <property fmtid="{D5CDD505-2E9C-101B-9397-08002B2CF9AE}" pid="4" name="KSOTemplateDocerSaveRecord">
    <vt:lpwstr>eyJoZGlkIjoiNjAzY2IzMmJjZGMwN2U4Y2NlN2VjYjcyN2JkYzkzZTEiLCJ1c2VySWQiOiI0NzU0MzI1NTAifQ==</vt:lpwstr>
  </property>
</Properties>
</file>