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D81C3">
      <w:pPr>
        <w:widowControl/>
        <w:spacing w:line="600" w:lineRule="exact"/>
        <w:jc w:val="center"/>
        <w:rPr>
          <w:rFonts w:hint="default" w:ascii="Times New Roman" w:hAnsi="Times New Roman" w:eastAsia="方正小标宋_GBK" w:cs="Times New Roman"/>
          <w:bCs/>
          <w:kern w:val="0"/>
          <w:sz w:val="44"/>
          <w:szCs w:val="44"/>
        </w:rPr>
      </w:pPr>
      <w:r>
        <w:rPr>
          <w:rFonts w:hint="eastAsia" w:ascii="Times New Roman" w:hAnsi="Times New Roman" w:eastAsia="方正小标宋_GBK" w:cs="Times New Roman"/>
          <w:bCs/>
          <w:kern w:val="0"/>
          <w:sz w:val="44"/>
          <w:szCs w:val="44"/>
          <w:lang w:eastAsia="zh-CN"/>
        </w:rPr>
        <w:t>202</w:t>
      </w:r>
      <w:r>
        <w:rPr>
          <w:rFonts w:hint="eastAsia" w:ascii="Times New Roman" w:hAnsi="Times New Roman" w:eastAsia="方正小标宋_GBK" w:cs="Times New Roman"/>
          <w:bCs/>
          <w:kern w:val="0"/>
          <w:sz w:val="44"/>
          <w:szCs w:val="44"/>
          <w:lang w:val="en-US" w:eastAsia="zh-CN"/>
        </w:rPr>
        <w:t>6</w:t>
      </w:r>
      <w:r>
        <w:rPr>
          <w:rFonts w:hint="eastAsia" w:ascii="Times New Roman" w:hAnsi="Times New Roman" w:eastAsia="方正小标宋_GBK" w:cs="Times New Roman"/>
          <w:bCs/>
          <w:kern w:val="0"/>
          <w:sz w:val="44"/>
          <w:szCs w:val="44"/>
          <w:lang w:eastAsia="zh-CN"/>
        </w:rPr>
        <w:t>年湖南省画院</w:t>
      </w:r>
      <w:r>
        <w:rPr>
          <w:rFonts w:hint="default" w:ascii="Times New Roman" w:hAnsi="Times New Roman" w:eastAsia="方正小标宋_GBK" w:cs="Times New Roman"/>
          <w:bCs/>
          <w:kern w:val="0"/>
          <w:sz w:val="44"/>
          <w:szCs w:val="44"/>
        </w:rPr>
        <w:t>单位预算</w:t>
      </w:r>
    </w:p>
    <w:p w14:paraId="471B8174">
      <w:pPr>
        <w:widowControl/>
        <w:spacing w:line="600" w:lineRule="exact"/>
        <w:jc w:val="center"/>
        <w:rPr>
          <w:rFonts w:hint="default" w:ascii="Times New Roman" w:hAnsi="Times New Roman" w:eastAsia="楷体_GB2312" w:cs="Times New Roman"/>
          <w:bCs/>
          <w:kern w:val="0"/>
          <w:sz w:val="32"/>
          <w:szCs w:val="32"/>
        </w:rPr>
      </w:pPr>
    </w:p>
    <w:p w14:paraId="47733E12">
      <w:pPr>
        <w:widowControl/>
        <w:spacing w:line="600" w:lineRule="exact"/>
        <w:jc w:val="center"/>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目 录</w:t>
      </w:r>
    </w:p>
    <w:p w14:paraId="30AA04B7">
      <w:pPr>
        <w:widowControl/>
        <w:spacing w:line="600" w:lineRule="exact"/>
        <w:jc w:val="left"/>
        <w:rPr>
          <w:rFonts w:hint="default" w:ascii="Times New Roman" w:hAnsi="Times New Roman" w:eastAsia="黑体" w:cs="Times New Roman"/>
          <w:bCs/>
          <w:kern w:val="0"/>
          <w:sz w:val="32"/>
          <w:szCs w:val="32"/>
        </w:rPr>
      </w:pPr>
    </w:p>
    <w:p w14:paraId="621DD168">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rPr>
      </w:pPr>
      <w:r>
        <w:rPr>
          <w:rFonts w:hint="default" w:ascii="Times New Roman" w:hAnsi="Times New Roman" w:eastAsia="仿宋_GB2312" w:cs="Times New Roman"/>
          <w:b/>
          <w:bCs/>
          <w:kern w:val="0"/>
          <w:sz w:val="32"/>
          <w:szCs w:val="32"/>
        </w:rPr>
        <w:t xml:space="preserve">第一部分 </w:t>
      </w:r>
      <w:r>
        <w:rPr>
          <w:rFonts w:hint="eastAsia" w:ascii="Times New Roman" w:hAnsi="Times New Roman" w:eastAsia="方正小标宋_GBK" w:cs="Times New Roman"/>
          <w:b/>
          <w:bCs/>
          <w:kern w:val="0"/>
          <w:sz w:val="32"/>
          <w:szCs w:val="32"/>
          <w:lang w:eastAsia="zh-CN"/>
        </w:rPr>
        <w:t>202</w:t>
      </w:r>
      <w:r>
        <w:rPr>
          <w:rFonts w:hint="eastAsia" w:ascii="Times New Roman" w:hAnsi="Times New Roman" w:eastAsia="方正小标宋_GBK"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单位预算说明</w:t>
      </w:r>
    </w:p>
    <w:p w14:paraId="1B3E0628">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 xml:space="preserve">第二部分 </w:t>
      </w:r>
      <w:r>
        <w:rPr>
          <w:rFonts w:hint="eastAsia" w:ascii="Times New Roman" w:hAnsi="Times New Roman" w:eastAsia="仿宋_GB2312" w:cs="Times New Roman"/>
          <w:b/>
          <w:bCs/>
          <w:kern w:val="0"/>
          <w:sz w:val="32"/>
          <w:szCs w:val="32"/>
          <w:lang w:eastAsia="zh-CN"/>
        </w:rPr>
        <w:t>202</w:t>
      </w: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单位预算表</w:t>
      </w:r>
    </w:p>
    <w:p w14:paraId="139B1E94">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1、收支总表</w:t>
      </w:r>
    </w:p>
    <w:p w14:paraId="32E1D00B">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2、收入总表</w:t>
      </w:r>
    </w:p>
    <w:p w14:paraId="0BAD338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3、支出总表</w:t>
      </w:r>
    </w:p>
    <w:p w14:paraId="7C73BF1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4、支出预算分类汇总表（按政府预算经济分类）</w:t>
      </w:r>
    </w:p>
    <w:p w14:paraId="78E3860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5、支出预算分类汇总表（按部门预算经济分类）</w:t>
      </w:r>
    </w:p>
    <w:p w14:paraId="747B6171">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6、财政拨款收支总表</w:t>
      </w:r>
    </w:p>
    <w:p w14:paraId="5D26D42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7、一般公共预算支出表</w:t>
      </w:r>
    </w:p>
    <w:p w14:paraId="0E5DF84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8、一般公共预算基本支出表-人员经费（工资福利支出）（按政府预算经济分类）</w:t>
      </w:r>
    </w:p>
    <w:p w14:paraId="34B06E19">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9、一般公共预算基本支出表-人员经费（工资福利支出）（按部门预算经济分类）</w:t>
      </w:r>
    </w:p>
    <w:p w14:paraId="7B37188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10、一般公共预算基本支出表-人员经费（对个人和家庭的补助）（按政府预算经济分类）</w:t>
      </w:r>
    </w:p>
    <w:p w14:paraId="4F93CD4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11、一般公共预算基本支出表-人员经费（对个人和家庭的补助）（按部门预算经济分类）</w:t>
      </w:r>
    </w:p>
    <w:p w14:paraId="1822E758">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12、一般公共预算基本支出表-公用经费（商品和服务支出）（按政府预算经济分类）</w:t>
      </w:r>
    </w:p>
    <w:p w14:paraId="4B2B0C3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13、一般公共预算基本支出表-公用经费（商品和服务支出）（按部门预算经济分类）</w:t>
      </w:r>
    </w:p>
    <w:p w14:paraId="691A1254">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14、一般公共预算“三公”经费支出表</w:t>
      </w:r>
    </w:p>
    <w:p w14:paraId="5C83716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15、政府性基金预算支出表</w:t>
      </w:r>
    </w:p>
    <w:p w14:paraId="1665A8BF">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pacing w:val="-11"/>
          <w:sz w:val="32"/>
          <w:szCs w:val="32"/>
        </w:rPr>
        <w:t>16、政府性基金预算支出分类汇总表（按政府预算经济分类）</w:t>
      </w:r>
    </w:p>
    <w:p w14:paraId="7248C466">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17、政府性基金预算支出分类汇总表（按部门预算经济分类）</w:t>
      </w:r>
    </w:p>
    <w:p w14:paraId="358FD3D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18、国有资本经营预算支出表</w:t>
      </w:r>
    </w:p>
    <w:p w14:paraId="6513F51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19、财政专户管理资金预算支出表</w:t>
      </w:r>
    </w:p>
    <w:p w14:paraId="1BF76B6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20、省级专项资金预算汇总表</w:t>
      </w:r>
    </w:p>
    <w:p w14:paraId="1DF6A5A9">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21、省级专项资金绩效目标表</w:t>
      </w:r>
    </w:p>
    <w:p w14:paraId="544F671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22、其他项目支出绩效目标表</w:t>
      </w:r>
    </w:p>
    <w:p w14:paraId="4D12C796">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23、部门整体支出绩效目标表</w:t>
      </w:r>
    </w:p>
    <w:p w14:paraId="5AA2F301">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bCs w:val="0"/>
          <w:kern w:val="0"/>
          <w:sz w:val="32"/>
          <w:szCs w:val="32"/>
          <w:lang w:val="en-US" w:eastAsia="zh-CN"/>
        </w:rPr>
      </w:pPr>
    </w:p>
    <w:p w14:paraId="14428641">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bCs w:val="0"/>
          <w:kern w:val="0"/>
          <w:sz w:val="32"/>
          <w:szCs w:val="32"/>
          <w:lang w:val="en-US" w:eastAsia="zh-CN"/>
        </w:rPr>
        <w:sectPr>
          <w:footerReference r:id="rId3" w:type="even"/>
          <w:pgSz w:w="11907" w:h="16840"/>
          <w:pgMar w:top="1417" w:right="1587" w:bottom="1417" w:left="1587" w:header="851" w:footer="992" w:gutter="0"/>
          <w:cols w:space="720" w:num="1"/>
          <w:docGrid w:type="linesAndChars" w:linePitch="495" w:charSpace="-594"/>
        </w:sectPr>
      </w:pPr>
    </w:p>
    <w:p w14:paraId="3D267BD6">
      <w:pPr>
        <w:widowControl/>
        <w:spacing w:line="600" w:lineRule="exact"/>
        <w:jc w:val="center"/>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第一部分 </w:t>
      </w:r>
      <w:r>
        <w:rPr>
          <w:rFonts w:hint="eastAsia" w:ascii="Times New Roman" w:hAnsi="Times New Roman" w:eastAsia="方正小标宋_GBK" w:cs="Times New Roman"/>
          <w:bCs/>
          <w:kern w:val="0"/>
          <w:sz w:val="36"/>
          <w:szCs w:val="36"/>
          <w:lang w:eastAsia="zh-CN"/>
        </w:rPr>
        <w:t>202</w:t>
      </w:r>
      <w:r>
        <w:rPr>
          <w:rFonts w:hint="eastAsia" w:ascii="Times New Roman" w:hAnsi="Times New Roman" w:eastAsia="方正小标宋_GBK" w:cs="Times New Roman"/>
          <w:bCs/>
          <w:kern w:val="0"/>
          <w:sz w:val="36"/>
          <w:szCs w:val="36"/>
          <w:lang w:val="en-US" w:eastAsia="zh-CN"/>
        </w:rPr>
        <w:t>6</w:t>
      </w:r>
      <w:r>
        <w:rPr>
          <w:rFonts w:hint="eastAsia" w:ascii="Times New Roman" w:hAnsi="Times New Roman" w:eastAsia="方正小标宋_GBK" w:cs="Times New Roman"/>
          <w:bCs/>
          <w:kern w:val="0"/>
          <w:sz w:val="36"/>
          <w:szCs w:val="36"/>
          <w:lang w:eastAsia="zh-CN"/>
        </w:rPr>
        <w:t>年</w:t>
      </w:r>
      <w:r>
        <w:rPr>
          <w:rFonts w:hint="default" w:ascii="Times New Roman" w:hAnsi="Times New Roman" w:eastAsia="方正小标宋_GBK" w:cs="Times New Roman"/>
          <w:bCs/>
          <w:kern w:val="0"/>
          <w:sz w:val="36"/>
          <w:szCs w:val="36"/>
        </w:rPr>
        <w:t>单位预算说明</w:t>
      </w:r>
    </w:p>
    <w:p w14:paraId="29C758E1">
      <w:pPr>
        <w:widowControl/>
        <w:spacing w:line="600" w:lineRule="exact"/>
        <w:jc w:val="left"/>
        <w:rPr>
          <w:rFonts w:hint="default" w:ascii="Times New Roman" w:hAnsi="Times New Roman" w:eastAsia="仿宋_GB2312" w:cs="Times New Roman"/>
          <w:b/>
          <w:bCs/>
          <w:kern w:val="0"/>
          <w:sz w:val="32"/>
          <w:szCs w:val="32"/>
        </w:rPr>
      </w:pPr>
    </w:p>
    <w:p w14:paraId="5812AC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一、单位基本概况</w:t>
      </w:r>
    </w:p>
    <w:p w14:paraId="4052B115">
      <w:pPr>
        <w:numPr>
          <w:ilvl w:val="0"/>
          <w:numId w:val="0"/>
        </w:numPr>
        <w:spacing w:line="600" w:lineRule="exact"/>
        <w:ind w:firstLine="688" w:firstLineChars="200"/>
        <w:jc w:val="left"/>
        <w:rPr>
          <w:rFonts w:eastAsia="黑体"/>
          <w:bCs/>
          <w:kern w:val="0"/>
          <w:sz w:val="32"/>
          <w:szCs w:val="32"/>
        </w:rPr>
      </w:pPr>
      <w:r>
        <w:rPr>
          <w:rFonts w:hint="default" w:ascii="Times New Roman" w:hAnsi="Times New Roman" w:eastAsia="仿宋_GB2312" w:cs="Times New Roman"/>
          <w:spacing w:val="12"/>
          <w:kern w:val="2"/>
          <w:sz w:val="32"/>
          <w:szCs w:val="32"/>
        </w:rPr>
        <w:t>湖南省画院是湖南省文学艺术界联合会领导下的省级专业美术创作机构，为省财政全额拨款的公益</w:t>
      </w:r>
      <w:r>
        <w:rPr>
          <w:rFonts w:hint="eastAsia" w:ascii="Times New Roman" w:hAnsi="Times New Roman" w:eastAsia="仿宋_GB2312" w:cs="Times New Roman"/>
          <w:spacing w:val="12"/>
          <w:kern w:val="2"/>
          <w:sz w:val="32"/>
          <w:szCs w:val="32"/>
          <w:lang w:eastAsia="zh-CN"/>
        </w:rPr>
        <w:t>一类</w:t>
      </w:r>
      <w:r>
        <w:rPr>
          <w:rFonts w:hint="default" w:ascii="Times New Roman" w:hAnsi="Times New Roman" w:eastAsia="仿宋_GB2312" w:cs="Times New Roman"/>
          <w:spacing w:val="12"/>
          <w:kern w:val="2"/>
          <w:sz w:val="32"/>
          <w:szCs w:val="32"/>
        </w:rPr>
        <w:t>事业单位，承担湖南省重要美术课题的美术创作与研究任务</w:t>
      </w:r>
      <w:r>
        <w:rPr>
          <w:rFonts w:hint="eastAsia" w:ascii="Times New Roman" w:hAnsi="Times New Roman" w:eastAsia="仿宋_GB2312" w:cs="Times New Roman"/>
          <w:spacing w:val="12"/>
          <w:kern w:val="2"/>
          <w:sz w:val="32"/>
          <w:szCs w:val="32"/>
          <w:lang w:eastAsia="zh-CN"/>
        </w:rPr>
        <w:t>，</w:t>
      </w:r>
      <w:r>
        <w:rPr>
          <w:rFonts w:hint="default" w:ascii="Times New Roman" w:hAnsi="Times New Roman" w:eastAsia="仿宋_GB2312" w:cs="Times New Roman"/>
          <w:spacing w:val="12"/>
          <w:kern w:val="2"/>
          <w:sz w:val="32"/>
          <w:szCs w:val="32"/>
        </w:rPr>
        <w:t>是湖南对外文化艺术交流的重要窗口之一。</w:t>
      </w:r>
    </w:p>
    <w:p w14:paraId="3349E7BB">
      <w:pPr>
        <w:numPr>
          <w:ilvl w:val="0"/>
          <w:numId w:val="1"/>
        </w:numPr>
        <w:spacing w:line="600" w:lineRule="exact"/>
        <w:ind w:firstLine="643" w:firstLineChars="200"/>
        <w:jc w:val="left"/>
        <w:rPr>
          <w:rFonts w:eastAsia="楷体_GB2312"/>
          <w:b/>
          <w:sz w:val="32"/>
          <w:szCs w:val="32"/>
        </w:rPr>
      </w:pPr>
      <w:r>
        <w:rPr>
          <w:rFonts w:eastAsia="楷体_GB2312"/>
          <w:b/>
          <w:sz w:val="32"/>
          <w:szCs w:val="32"/>
        </w:rPr>
        <w:t>职能职责。</w:t>
      </w:r>
    </w:p>
    <w:p w14:paraId="486E6DA1">
      <w:pPr>
        <w:spacing w:line="560" w:lineRule="exact"/>
        <w:ind w:firstLine="688" w:firstLineChars="200"/>
        <w:rPr>
          <w:rFonts w:eastAsia="楷体_GB2312"/>
          <w:b/>
          <w:sz w:val="32"/>
          <w:szCs w:val="32"/>
        </w:rPr>
      </w:pPr>
      <w:r>
        <w:rPr>
          <w:rFonts w:hint="default" w:ascii="Times New Roman" w:hAnsi="Times New Roman" w:eastAsia="仿宋_GB2312" w:cs="Times New Roman"/>
          <w:spacing w:val="12"/>
          <w:sz w:val="32"/>
          <w:szCs w:val="32"/>
        </w:rPr>
        <w:t>贯彻执行党和国家的文艺工作方针、政策和法律、法规，坚持以习近平新时代中国特色社会主义思想为指导，深入学习贯彻习近平总书记系列重要讲话精神，以培育和践行社会主义核心价值观为根本目标，以满足人民群众文化需求为出发点和落脚点，以改革创新为动力，以创作生产优秀</w:t>
      </w:r>
      <w:r>
        <w:rPr>
          <w:rFonts w:hint="eastAsia" w:eastAsia="仿宋_GB2312" w:cs="Times New Roman"/>
          <w:spacing w:val="12"/>
          <w:sz w:val="32"/>
          <w:szCs w:val="32"/>
          <w:lang w:eastAsia="zh-CN"/>
        </w:rPr>
        <w:t>美术</w:t>
      </w:r>
      <w:r>
        <w:rPr>
          <w:rFonts w:hint="default" w:ascii="Times New Roman" w:hAnsi="Times New Roman" w:eastAsia="仿宋_GB2312" w:cs="Times New Roman"/>
          <w:spacing w:val="12"/>
          <w:sz w:val="32"/>
          <w:szCs w:val="32"/>
        </w:rPr>
        <w:t>作品为中心环节，充分发挥</w:t>
      </w:r>
      <w:r>
        <w:rPr>
          <w:rFonts w:hint="eastAsia" w:eastAsia="仿宋_GB2312" w:cs="Times New Roman"/>
          <w:spacing w:val="12"/>
          <w:sz w:val="32"/>
          <w:szCs w:val="32"/>
          <w:lang w:eastAsia="zh-CN"/>
        </w:rPr>
        <w:t>画院</w:t>
      </w:r>
      <w:r>
        <w:rPr>
          <w:rFonts w:hint="default" w:ascii="Times New Roman" w:hAnsi="Times New Roman" w:eastAsia="仿宋_GB2312" w:cs="Times New Roman"/>
          <w:spacing w:val="12"/>
          <w:sz w:val="32"/>
          <w:szCs w:val="32"/>
        </w:rPr>
        <w:t>美术创作、研究以及展览、收藏的基本职能，积极开展学术研究、创作、交流活动，不断催生文艺事业的生机和活力，集中优势力量</w:t>
      </w:r>
      <w:r>
        <w:rPr>
          <w:rFonts w:hint="eastAsia" w:eastAsia="仿宋_GB2312" w:cs="Times New Roman"/>
          <w:spacing w:val="12"/>
          <w:sz w:val="32"/>
          <w:szCs w:val="32"/>
          <w:lang w:eastAsia="zh-CN"/>
        </w:rPr>
        <w:t>打造</w:t>
      </w:r>
      <w:r>
        <w:rPr>
          <w:rFonts w:hint="default" w:ascii="Times New Roman" w:hAnsi="Times New Roman" w:eastAsia="仿宋_GB2312" w:cs="Times New Roman"/>
          <w:spacing w:val="12"/>
          <w:sz w:val="32"/>
          <w:szCs w:val="32"/>
        </w:rPr>
        <w:t>精品力作，推动</w:t>
      </w:r>
      <w:r>
        <w:rPr>
          <w:rFonts w:hint="eastAsia" w:eastAsia="仿宋_GB2312" w:cs="Times New Roman"/>
          <w:spacing w:val="12"/>
          <w:sz w:val="32"/>
          <w:szCs w:val="32"/>
          <w:lang w:eastAsia="zh-CN"/>
        </w:rPr>
        <w:t>湖南</w:t>
      </w:r>
      <w:r>
        <w:rPr>
          <w:rFonts w:hint="default" w:ascii="Times New Roman" w:hAnsi="Times New Roman" w:eastAsia="仿宋_GB2312" w:cs="Times New Roman"/>
          <w:spacing w:val="12"/>
          <w:sz w:val="32"/>
          <w:szCs w:val="32"/>
        </w:rPr>
        <w:t>省</w:t>
      </w:r>
      <w:r>
        <w:rPr>
          <w:rFonts w:hint="eastAsia" w:eastAsia="仿宋_GB2312" w:cs="Times New Roman"/>
          <w:spacing w:val="12"/>
          <w:sz w:val="32"/>
          <w:szCs w:val="32"/>
          <w:lang w:eastAsia="zh-CN"/>
        </w:rPr>
        <w:t>美术</w:t>
      </w:r>
      <w:r>
        <w:rPr>
          <w:rFonts w:hint="default" w:ascii="Times New Roman" w:hAnsi="Times New Roman" w:eastAsia="仿宋_GB2312" w:cs="Times New Roman"/>
          <w:spacing w:val="12"/>
          <w:sz w:val="32"/>
          <w:szCs w:val="32"/>
        </w:rPr>
        <w:t>事业</w:t>
      </w:r>
      <w:r>
        <w:rPr>
          <w:rFonts w:hint="eastAsia" w:eastAsia="仿宋_GB2312" w:cs="Times New Roman"/>
          <w:spacing w:val="12"/>
          <w:sz w:val="32"/>
          <w:szCs w:val="32"/>
          <w:lang w:eastAsia="zh-CN"/>
        </w:rPr>
        <w:t>的</w:t>
      </w:r>
      <w:r>
        <w:rPr>
          <w:rFonts w:hint="default" w:ascii="Times New Roman" w:hAnsi="Times New Roman" w:eastAsia="仿宋_GB2312" w:cs="Times New Roman"/>
          <w:spacing w:val="12"/>
          <w:sz w:val="32"/>
          <w:szCs w:val="32"/>
        </w:rPr>
        <w:t>繁荣</w:t>
      </w:r>
      <w:r>
        <w:rPr>
          <w:rFonts w:hint="eastAsia" w:eastAsia="仿宋_GB2312" w:cs="Times New Roman"/>
          <w:spacing w:val="12"/>
          <w:sz w:val="32"/>
          <w:szCs w:val="32"/>
          <w:lang w:eastAsia="zh-CN"/>
        </w:rPr>
        <w:t>发展</w:t>
      </w:r>
      <w:r>
        <w:rPr>
          <w:rFonts w:hint="default" w:ascii="Times New Roman" w:hAnsi="Times New Roman" w:eastAsia="仿宋_GB2312" w:cs="Times New Roman"/>
          <w:spacing w:val="12"/>
          <w:sz w:val="32"/>
          <w:szCs w:val="32"/>
        </w:rPr>
        <w:t>。</w:t>
      </w:r>
    </w:p>
    <w:p w14:paraId="4328A342">
      <w:pPr>
        <w:numPr>
          <w:ilvl w:val="0"/>
          <w:numId w:val="1"/>
        </w:numPr>
        <w:spacing w:line="600" w:lineRule="exact"/>
        <w:ind w:left="0" w:leftChars="0" w:firstLine="643" w:firstLineChars="200"/>
        <w:jc w:val="left"/>
        <w:rPr>
          <w:rFonts w:eastAsia="楷体_GB2312"/>
          <w:b/>
          <w:sz w:val="32"/>
          <w:szCs w:val="32"/>
        </w:rPr>
      </w:pPr>
      <w:r>
        <w:rPr>
          <w:rFonts w:eastAsia="楷体_GB2312"/>
          <w:b/>
          <w:sz w:val="32"/>
          <w:szCs w:val="32"/>
        </w:rPr>
        <w:t>机构设置。</w:t>
      </w:r>
    </w:p>
    <w:p w14:paraId="5D404A4D">
      <w:pPr>
        <w:keepNext w:val="0"/>
        <w:keepLines w:val="0"/>
        <w:pageBreakBefore w:val="0"/>
        <w:widowControl w:val="0"/>
        <w:kinsoku/>
        <w:wordWrap/>
        <w:overflowPunct/>
        <w:topLinePunct w:val="0"/>
        <w:autoSpaceDE/>
        <w:autoSpaceDN/>
        <w:bidi w:val="0"/>
        <w:adjustRightInd/>
        <w:snapToGrid/>
        <w:spacing w:line="600" w:lineRule="exact"/>
        <w:ind w:firstLine="688" w:firstLineChars="200"/>
        <w:jc w:val="left"/>
        <w:textAlignment w:val="auto"/>
        <w:rPr>
          <w:rFonts w:hint="eastAsia" w:eastAsia="仿宋_GB2312" w:cs="Times New Roman"/>
          <w:spacing w:val="12"/>
          <w:sz w:val="32"/>
          <w:szCs w:val="32"/>
          <w:lang w:eastAsia="zh-CN"/>
        </w:rPr>
      </w:pPr>
      <w:r>
        <w:rPr>
          <w:rFonts w:hint="default" w:ascii="Times New Roman" w:hAnsi="Times New Roman" w:eastAsia="仿宋_GB2312" w:cs="Times New Roman"/>
          <w:spacing w:val="12"/>
          <w:sz w:val="32"/>
          <w:szCs w:val="32"/>
        </w:rPr>
        <w:t>湖南省画院</w:t>
      </w:r>
      <w:r>
        <w:rPr>
          <w:rFonts w:hint="eastAsia" w:eastAsia="仿宋_GB2312" w:cs="Times New Roman"/>
          <w:spacing w:val="12"/>
          <w:sz w:val="32"/>
          <w:szCs w:val="32"/>
          <w:lang w:eastAsia="zh-CN"/>
        </w:rPr>
        <w:t>下设</w:t>
      </w:r>
      <w:r>
        <w:rPr>
          <w:rFonts w:hint="eastAsia" w:eastAsia="仿宋_GB2312" w:cs="Times New Roman"/>
          <w:spacing w:val="12"/>
          <w:sz w:val="32"/>
          <w:szCs w:val="32"/>
          <w:lang w:val="en-US" w:eastAsia="zh-CN"/>
        </w:rPr>
        <w:t>3</w:t>
      </w:r>
      <w:r>
        <w:rPr>
          <w:rFonts w:hint="default" w:ascii="Times New Roman" w:hAnsi="Times New Roman" w:eastAsia="仿宋_GB2312" w:cs="Times New Roman"/>
          <w:spacing w:val="12"/>
          <w:sz w:val="32"/>
          <w:szCs w:val="32"/>
        </w:rPr>
        <w:t>个</w:t>
      </w:r>
      <w:r>
        <w:rPr>
          <w:rFonts w:hint="eastAsia" w:eastAsia="仿宋_GB2312" w:cs="Times New Roman"/>
          <w:spacing w:val="12"/>
          <w:sz w:val="32"/>
          <w:szCs w:val="32"/>
          <w:lang w:eastAsia="zh-CN"/>
        </w:rPr>
        <w:t>职能部门</w:t>
      </w:r>
      <w:r>
        <w:rPr>
          <w:rFonts w:hint="default" w:ascii="Times New Roman" w:hAnsi="Times New Roman" w:eastAsia="仿宋_GB2312" w:cs="Times New Roman"/>
          <w:spacing w:val="12"/>
          <w:sz w:val="32"/>
          <w:szCs w:val="32"/>
        </w:rPr>
        <w:t>，具体为办公室、</w:t>
      </w:r>
      <w:r>
        <w:rPr>
          <w:rFonts w:hint="eastAsia" w:eastAsia="仿宋_GB2312" w:cs="Times New Roman"/>
          <w:spacing w:val="12"/>
          <w:sz w:val="32"/>
          <w:szCs w:val="32"/>
          <w:lang w:eastAsia="zh-CN"/>
        </w:rPr>
        <w:t>创作研究部（</w:t>
      </w:r>
      <w:r>
        <w:rPr>
          <w:rFonts w:hint="default" w:ascii="Times New Roman" w:hAnsi="Times New Roman" w:eastAsia="仿宋_GB2312" w:cs="Times New Roman"/>
          <w:spacing w:val="12"/>
          <w:sz w:val="32"/>
          <w:szCs w:val="32"/>
        </w:rPr>
        <w:t>青年画院</w:t>
      </w:r>
      <w:r>
        <w:rPr>
          <w:rFonts w:hint="eastAsia" w:eastAsia="仿宋_GB2312" w:cs="Times New Roman"/>
          <w:spacing w:val="12"/>
          <w:sz w:val="32"/>
          <w:szCs w:val="32"/>
          <w:lang w:eastAsia="zh-CN"/>
        </w:rPr>
        <w:t>）、</w:t>
      </w:r>
      <w:r>
        <w:rPr>
          <w:rFonts w:hint="default" w:ascii="Times New Roman" w:hAnsi="Times New Roman" w:eastAsia="仿宋_GB2312" w:cs="Times New Roman"/>
          <w:spacing w:val="12"/>
          <w:sz w:val="32"/>
          <w:szCs w:val="32"/>
        </w:rPr>
        <w:t>美术馆。</w:t>
      </w:r>
      <w:r>
        <w:rPr>
          <w:rFonts w:hint="eastAsia" w:eastAsia="仿宋_GB2312" w:cs="Times New Roman"/>
          <w:spacing w:val="12"/>
          <w:sz w:val="32"/>
          <w:szCs w:val="32"/>
          <w:lang w:eastAsia="zh-CN"/>
        </w:rPr>
        <w:t>其中，创作研究部设立了人物画工作室、山水画工作室、花鸟画工作室、综合艺术工作室、书法篆刻工作室、理论研究工作室。</w:t>
      </w:r>
    </w:p>
    <w:p w14:paraId="1B4D59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黑体" w:cs="Times New Roman"/>
          <w:bCs/>
          <w:kern w:val="0"/>
          <w:sz w:val="32"/>
          <w:szCs w:val="32"/>
          <w:lang w:eastAsia="zh-CN"/>
        </w:rPr>
      </w:pPr>
      <w:r>
        <w:rPr>
          <w:rFonts w:hint="eastAsia" w:ascii="Times New Roman" w:hAnsi="Times New Roman" w:eastAsia="黑体" w:cs="Times New Roman"/>
          <w:bCs/>
          <w:kern w:val="0"/>
          <w:sz w:val="32"/>
          <w:szCs w:val="32"/>
          <w:lang w:eastAsia="zh-CN"/>
        </w:rPr>
        <w:t>二、预算单位构成</w:t>
      </w:r>
    </w:p>
    <w:p w14:paraId="16E132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bCs/>
          <w:kern w:val="0"/>
          <w:sz w:val="32"/>
          <w:szCs w:val="32"/>
          <w:lang w:eastAsia="zh-CN"/>
        </w:rPr>
      </w:pPr>
      <w:r>
        <w:rPr>
          <w:rFonts w:hint="eastAsia" w:eastAsia="仿宋_GB2312"/>
          <w:sz w:val="32"/>
          <w:szCs w:val="32"/>
          <w:lang w:eastAsia="zh-CN"/>
        </w:rPr>
        <w:t>湖南省画院</w:t>
      </w:r>
      <w:r>
        <w:rPr>
          <w:rFonts w:eastAsia="仿宋_GB2312"/>
          <w:sz w:val="32"/>
          <w:szCs w:val="32"/>
        </w:rPr>
        <w:t>只有本级，</w:t>
      </w:r>
      <w:r>
        <w:rPr>
          <w:rFonts w:hint="eastAsia" w:ascii="Times New Roman" w:hAnsi="Times New Roman" w:eastAsia="仿宋_GB2312" w:cs="Times New Roman"/>
          <w:sz w:val="32"/>
          <w:szCs w:val="32"/>
          <w:lang w:eastAsia="zh-CN"/>
        </w:rPr>
        <w:t>无下属</w:t>
      </w:r>
      <w:r>
        <w:rPr>
          <w:rFonts w:hint="default" w:ascii="Times New Roman" w:hAnsi="Times New Roman" w:eastAsia="仿宋_GB2312" w:cs="Times New Roman"/>
          <w:sz w:val="32"/>
          <w:szCs w:val="32"/>
        </w:rPr>
        <w:t>预算单位。</w:t>
      </w:r>
    </w:p>
    <w:p w14:paraId="2CFF4A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lang w:eastAsia="zh-CN"/>
        </w:rPr>
        <w:t>三</w:t>
      </w:r>
      <w:r>
        <w:rPr>
          <w:rFonts w:hint="default" w:ascii="Times New Roman" w:hAnsi="Times New Roman" w:eastAsia="黑体" w:cs="Times New Roman"/>
          <w:bCs/>
          <w:kern w:val="0"/>
          <w:sz w:val="32"/>
          <w:szCs w:val="32"/>
        </w:rPr>
        <w:t>、单位收支总体情况</w:t>
      </w:r>
    </w:p>
    <w:p w14:paraId="48FAF90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楷体_GB2312" w:cs="Times New Roman"/>
          <w:b/>
          <w:sz w:val="32"/>
          <w:szCs w:val="32"/>
        </w:rPr>
        <w:t>（一）收入预算：</w:t>
      </w:r>
      <w:r>
        <w:rPr>
          <w:rFonts w:hint="default" w:ascii="Times New Roman" w:hAnsi="Times New Roman" w:eastAsia="仿宋_GB2312" w:cs="Times New Roman"/>
          <w:sz w:val="32"/>
          <w:szCs w:val="32"/>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本单位收入预算</w:t>
      </w:r>
      <w:r>
        <w:rPr>
          <w:rFonts w:hint="eastAsia" w:eastAsia="仿宋_GB2312" w:cs="Times New Roman"/>
          <w:sz w:val="32"/>
          <w:szCs w:val="32"/>
          <w:lang w:val="en-US" w:eastAsia="zh-CN"/>
        </w:rPr>
        <w:t>645.53</w:t>
      </w:r>
      <w:r>
        <w:rPr>
          <w:rFonts w:hint="default" w:ascii="Times New Roman" w:hAnsi="Times New Roman" w:eastAsia="仿宋_GB2312" w:cs="Times New Roman"/>
          <w:sz w:val="32"/>
          <w:szCs w:val="32"/>
        </w:rPr>
        <w:t>万元，其中，一般公共预算拨款</w:t>
      </w:r>
      <w:r>
        <w:rPr>
          <w:rFonts w:hint="eastAsia" w:eastAsia="仿宋_GB2312" w:cs="Times New Roman"/>
          <w:sz w:val="32"/>
          <w:szCs w:val="32"/>
          <w:lang w:val="en-US" w:eastAsia="zh-CN"/>
        </w:rPr>
        <w:t>496.77</w:t>
      </w:r>
      <w:r>
        <w:rPr>
          <w:rFonts w:hint="default" w:ascii="Times New Roman" w:hAnsi="Times New Roman" w:eastAsia="仿宋_GB2312" w:cs="Times New Roman"/>
          <w:sz w:val="32"/>
          <w:szCs w:val="32"/>
        </w:rPr>
        <w:t>万元，其他收入0.07万元，上年结转结余</w:t>
      </w:r>
      <w:r>
        <w:rPr>
          <w:rFonts w:hint="eastAsia" w:eastAsia="仿宋_GB2312" w:cs="Times New Roman"/>
          <w:sz w:val="32"/>
          <w:szCs w:val="32"/>
          <w:lang w:val="en-US" w:eastAsia="zh-CN"/>
        </w:rPr>
        <w:t>148.69</w:t>
      </w:r>
      <w:r>
        <w:rPr>
          <w:rFonts w:hint="default" w:ascii="Times New Roman" w:hAnsi="Times New Roman" w:eastAsia="仿宋_GB2312" w:cs="Times New Roman"/>
          <w:sz w:val="32"/>
          <w:szCs w:val="32"/>
        </w:rPr>
        <w:t>万元。本年度收入较去年</w:t>
      </w:r>
      <w:r>
        <w:rPr>
          <w:rFonts w:hint="eastAsia" w:eastAsia="仿宋_GB2312" w:cs="Times New Roman"/>
          <w:sz w:val="32"/>
          <w:szCs w:val="32"/>
          <w:lang w:eastAsia="zh-CN"/>
        </w:rPr>
        <w:t>增加</w:t>
      </w:r>
      <w:r>
        <w:rPr>
          <w:rFonts w:hint="eastAsia" w:eastAsia="仿宋_GB2312" w:cs="Times New Roman"/>
          <w:sz w:val="32"/>
          <w:szCs w:val="32"/>
          <w:lang w:val="en-US" w:eastAsia="zh-CN"/>
        </w:rPr>
        <w:t>37.52</w:t>
      </w:r>
      <w:r>
        <w:rPr>
          <w:rFonts w:hint="default" w:ascii="Times New Roman" w:hAnsi="Times New Roman" w:eastAsia="仿宋_GB2312" w:cs="Times New Roman"/>
          <w:sz w:val="32"/>
          <w:szCs w:val="32"/>
        </w:rPr>
        <w:t>万元，主要是上年度</w:t>
      </w:r>
      <w:r>
        <w:rPr>
          <w:rFonts w:hint="eastAsia" w:eastAsia="仿宋_GB2312" w:cs="Times New Roman"/>
          <w:sz w:val="32"/>
          <w:szCs w:val="32"/>
          <w:lang w:eastAsia="zh-CN"/>
        </w:rPr>
        <w:t>结转结余增加</w:t>
      </w:r>
      <w:r>
        <w:rPr>
          <w:rFonts w:hint="default" w:ascii="Times New Roman" w:hAnsi="Times New Roman" w:eastAsia="仿宋_GB2312" w:cs="Times New Roman"/>
          <w:sz w:val="32"/>
          <w:szCs w:val="32"/>
        </w:rPr>
        <w:t>。</w:t>
      </w:r>
    </w:p>
    <w:p w14:paraId="0835840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eastAsia="仿宋_GB2312" w:cs="Times New Roman"/>
          <w:spacing w:val="12"/>
          <w:sz w:val="32"/>
          <w:szCs w:val="32"/>
          <w:lang w:eastAsia="zh-CN"/>
        </w:rPr>
      </w:pPr>
      <w:r>
        <w:rPr>
          <w:rFonts w:hint="default" w:ascii="Times New Roman" w:hAnsi="Times New Roman" w:eastAsia="楷体_GB2312" w:cs="Times New Roman"/>
          <w:b/>
          <w:sz w:val="32"/>
          <w:szCs w:val="32"/>
        </w:rPr>
        <w:t>（二）支出预算：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本单位支出预算</w:t>
      </w:r>
      <w:r>
        <w:rPr>
          <w:rFonts w:hint="eastAsia" w:eastAsia="仿宋_GB2312" w:cs="Times New Roman"/>
          <w:sz w:val="32"/>
          <w:szCs w:val="32"/>
          <w:lang w:val="en-US" w:eastAsia="zh-CN"/>
        </w:rPr>
        <w:t>645.53</w:t>
      </w:r>
      <w:r>
        <w:rPr>
          <w:rFonts w:hint="default" w:ascii="Times New Roman" w:hAnsi="Times New Roman" w:eastAsia="仿宋_GB2312" w:cs="Times New Roman"/>
          <w:sz w:val="32"/>
          <w:szCs w:val="32"/>
        </w:rPr>
        <w:t>万元，其中，</w:t>
      </w:r>
      <w:r>
        <w:rPr>
          <w:rFonts w:hint="eastAsia" w:eastAsia="仿宋_GB2312" w:cs="Times New Roman"/>
          <w:spacing w:val="12"/>
          <w:sz w:val="32"/>
          <w:szCs w:val="32"/>
          <w:lang w:eastAsia="zh-CN"/>
        </w:rPr>
        <w:t>教育支出</w:t>
      </w:r>
      <w:r>
        <w:rPr>
          <w:rFonts w:hint="eastAsia" w:eastAsia="仿宋_GB2312" w:cs="Times New Roman"/>
          <w:spacing w:val="12"/>
          <w:sz w:val="32"/>
          <w:szCs w:val="32"/>
          <w:lang w:val="en-US" w:eastAsia="zh-CN"/>
        </w:rPr>
        <w:t>2万元，</w:t>
      </w:r>
      <w:r>
        <w:rPr>
          <w:rFonts w:hint="default" w:ascii="Times New Roman" w:hAnsi="Times New Roman" w:eastAsia="仿宋_GB2312" w:cs="Times New Roman"/>
          <w:spacing w:val="12"/>
          <w:sz w:val="32"/>
          <w:szCs w:val="32"/>
        </w:rPr>
        <w:t>文化旅游体育与传媒支出</w:t>
      </w:r>
      <w:r>
        <w:rPr>
          <w:rFonts w:hint="eastAsia" w:eastAsia="仿宋_GB2312" w:cs="Times New Roman"/>
          <w:spacing w:val="12"/>
          <w:sz w:val="32"/>
          <w:szCs w:val="32"/>
          <w:lang w:val="en-US" w:eastAsia="zh-CN"/>
        </w:rPr>
        <w:t>579.31</w:t>
      </w:r>
      <w:r>
        <w:rPr>
          <w:rFonts w:hint="default" w:ascii="Times New Roman" w:hAnsi="Times New Roman" w:eastAsia="仿宋_GB2312" w:cs="Times New Roman"/>
          <w:spacing w:val="12"/>
          <w:sz w:val="32"/>
          <w:szCs w:val="32"/>
        </w:rPr>
        <w:t>万元，</w:t>
      </w:r>
      <w:r>
        <w:rPr>
          <w:rFonts w:hint="eastAsia" w:eastAsia="仿宋_GB2312" w:cs="Times New Roman"/>
          <w:spacing w:val="12"/>
          <w:sz w:val="32"/>
          <w:szCs w:val="32"/>
          <w:lang w:eastAsia="zh-CN"/>
        </w:rPr>
        <w:t>社会保障和就业支出</w:t>
      </w:r>
      <w:r>
        <w:rPr>
          <w:rFonts w:hint="eastAsia" w:eastAsia="仿宋_GB2312" w:cs="Times New Roman"/>
          <w:spacing w:val="12"/>
          <w:sz w:val="32"/>
          <w:szCs w:val="32"/>
          <w:lang w:val="en-US" w:eastAsia="zh-CN"/>
        </w:rPr>
        <w:t>30.86万元，</w:t>
      </w:r>
      <w:r>
        <w:rPr>
          <w:rFonts w:hint="default" w:ascii="Times New Roman" w:hAnsi="Times New Roman" w:eastAsia="仿宋_GB2312" w:cs="Times New Roman"/>
          <w:spacing w:val="12"/>
          <w:sz w:val="32"/>
          <w:szCs w:val="32"/>
        </w:rPr>
        <w:t>住房保障支出</w:t>
      </w:r>
      <w:r>
        <w:rPr>
          <w:rFonts w:hint="eastAsia" w:eastAsia="仿宋_GB2312" w:cs="Times New Roman"/>
          <w:spacing w:val="12"/>
          <w:sz w:val="32"/>
          <w:szCs w:val="32"/>
          <w:lang w:val="en-US" w:eastAsia="zh-CN"/>
        </w:rPr>
        <w:t>33.36</w:t>
      </w:r>
      <w:r>
        <w:rPr>
          <w:rFonts w:hint="default" w:ascii="Times New Roman" w:hAnsi="Times New Roman" w:eastAsia="仿宋_GB2312" w:cs="Times New Roman"/>
          <w:spacing w:val="12"/>
          <w:sz w:val="32"/>
          <w:szCs w:val="32"/>
        </w:rPr>
        <w:t>万元。</w:t>
      </w:r>
      <w:r>
        <w:rPr>
          <w:rFonts w:hint="eastAsia" w:eastAsia="仿宋_GB2312" w:cs="Times New Roman"/>
          <w:spacing w:val="12"/>
          <w:sz w:val="32"/>
          <w:szCs w:val="32"/>
          <w:lang w:eastAsia="zh-CN"/>
        </w:rPr>
        <w:t>本年度</w:t>
      </w:r>
      <w:r>
        <w:rPr>
          <w:rFonts w:hint="default" w:eastAsia="仿宋_GB2312" w:cs="Times New Roman"/>
          <w:spacing w:val="12"/>
          <w:sz w:val="32"/>
          <w:szCs w:val="32"/>
          <w:lang w:eastAsia="zh-CN"/>
        </w:rPr>
        <w:t>支出较去年增加</w:t>
      </w:r>
      <w:r>
        <w:rPr>
          <w:rFonts w:hint="eastAsia" w:eastAsia="仿宋_GB2312" w:cs="Times New Roman"/>
          <w:spacing w:val="12"/>
          <w:sz w:val="32"/>
          <w:szCs w:val="32"/>
          <w:lang w:val="en-US" w:eastAsia="zh-CN"/>
        </w:rPr>
        <w:t>37.52</w:t>
      </w:r>
      <w:r>
        <w:rPr>
          <w:rFonts w:hint="default" w:eastAsia="仿宋_GB2312" w:cs="Times New Roman"/>
          <w:spacing w:val="12"/>
          <w:sz w:val="32"/>
          <w:szCs w:val="32"/>
          <w:lang w:eastAsia="zh-CN"/>
        </w:rPr>
        <w:t>万元，主要是</w:t>
      </w:r>
      <w:r>
        <w:rPr>
          <w:rFonts w:hint="default" w:ascii="Times New Roman" w:hAnsi="Times New Roman" w:eastAsia="仿宋_GB2312" w:cs="Times New Roman"/>
          <w:sz w:val="32"/>
          <w:szCs w:val="32"/>
        </w:rPr>
        <w:t>上年度</w:t>
      </w:r>
      <w:r>
        <w:rPr>
          <w:rFonts w:hint="eastAsia" w:eastAsia="仿宋_GB2312" w:cs="Times New Roman"/>
          <w:sz w:val="32"/>
          <w:szCs w:val="32"/>
          <w:lang w:eastAsia="zh-CN"/>
        </w:rPr>
        <w:t>结转结余增加</w:t>
      </w:r>
      <w:r>
        <w:rPr>
          <w:rFonts w:hint="default" w:eastAsia="仿宋_GB2312" w:cs="Times New Roman"/>
          <w:spacing w:val="12"/>
          <w:sz w:val="32"/>
          <w:szCs w:val="32"/>
          <w:lang w:eastAsia="zh-CN"/>
        </w:rPr>
        <w:t>。</w:t>
      </w:r>
    </w:p>
    <w:p w14:paraId="3A1A3E9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、一般公共预算拨款支出</w:t>
      </w:r>
    </w:p>
    <w:p w14:paraId="74F846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本单位一般公共预算拨款支出预算</w:t>
      </w:r>
      <w:r>
        <w:rPr>
          <w:rFonts w:hint="eastAsia" w:eastAsia="仿宋_GB2312" w:cs="Times New Roman"/>
          <w:sz w:val="32"/>
          <w:szCs w:val="32"/>
          <w:lang w:val="en-US" w:eastAsia="zh-CN"/>
        </w:rPr>
        <w:t>645.46</w:t>
      </w:r>
      <w:r>
        <w:rPr>
          <w:rFonts w:hint="default" w:ascii="Times New Roman" w:hAnsi="Times New Roman" w:eastAsia="仿宋_GB2312" w:cs="Times New Roman"/>
          <w:sz w:val="32"/>
          <w:szCs w:val="32"/>
        </w:rPr>
        <w:t>万元，其中，</w:t>
      </w:r>
      <w:r>
        <w:rPr>
          <w:rFonts w:hint="eastAsia" w:eastAsia="仿宋_GB2312" w:cs="Times New Roman"/>
          <w:spacing w:val="12"/>
          <w:sz w:val="32"/>
          <w:szCs w:val="32"/>
          <w:lang w:eastAsia="zh-CN"/>
        </w:rPr>
        <w:t>教育支出</w:t>
      </w:r>
      <w:r>
        <w:rPr>
          <w:rFonts w:hint="eastAsia" w:eastAsia="仿宋_GB2312" w:cs="Times New Roman"/>
          <w:spacing w:val="12"/>
          <w:sz w:val="32"/>
          <w:szCs w:val="32"/>
          <w:lang w:val="en-US" w:eastAsia="zh-CN"/>
        </w:rPr>
        <w:t>2万元，占0.31%；</w:t>
      </w:r>
      <w:r>
        <w:rPr>
          <w:rFonts w:hint="default" w:ascii="Times New Roman" w:hAnsi="Times New Roman" w:eastAsia="仿宋_GB2312" w:cs="Times New Roman"/>
          <w:spacing w:val="12"/>
          <w:sz w:val="32"/>
          <w:szCs w:val="32"/>
        </w:rPr>
        <w:t>文化旅游体育与传媒支出</w:t>
      </w:r>
      <w:r>
        <w:rPr>
          <w:rFonts w:hint="eastAsia" w:eastAsia="仿宋_GB2312" w:cs="Times New Roman"/>
          <w:spacing w:val="12"/>
          <w:sz w:val="32"/>
          <w:szCs w:val="32"/>
          <w:lang w:val="en-US" w:eastAsia="zh-CN"/>
        </w:rPr>
        <w:t>579.24</w:t>
      </w:r>
      <w:r>
        <w:rPr>
          <w:rFonts w:hint="default" w:ascii="Times New Roman" w:hAnsi="Times New Roman" w:eastAsia="仿宋_GB2312" w:cs="Times New Roman"/>
          <w:spacing w:val="12"/>
          <w:sz w:val="32"/>
          <w:szCs w:val="32"/>
        </w:rPr>
        <w:t>万元，</w:t>
      </w:r>
      <w:r>
        <w:rPr>
          <w:rFonts w:hint="eastAsia" w:eastAsia="仿宋_GB2312" w:cs="Times New Roman"/>
          <w:spacing w:val="12"/>
          <w:sz w:val="32"/>
          <w:szCs w:val="32"/>
          <w:lang w:val="en-US" w:eastAsia="zh-CN"/>
        </w:rPr>
        <w:t>占89.74%；</w:t>
      </w:r>
      <w:r>
        <w:rPr>
          <w:rFonts w:hint="eastAsia" w:eastAsia="仿宋_GB2312" w:cs="Times New Roman"/>
          <w:spacing w:val="12"/>
          <w:sz w:val="32"/>
          <w:szCs w:val="32"/>
          <w:lang w:eastAsia="zh-CN"/>
        </w:rPr>
        <w:t>社会保障和就业支出</w:t>
      </w:r>
      <w:r>
        <w:rPr>
          <w:rFonts w:hint="eastAsia" w:eastAsia="仿宋_GB2312" w:cs="Times New Roman"/>
          <w:spacing w:val="12"/>
          <w:sz w:val="32"/>
          <w:szCs w:val="32"/>
          <w:lang w:val="en-US" w:eastAsia="zh-CN"/>
        </w:rPr>
        <w:t>30.86万元，占4.78%；</w:t>
      </w:r>
      <w:r>
        <w:rPr>
          <w:rFonts w:hint="default" w:ascii="Times New Roman" w:hAnsi="Times New Roman" w:eastAsia="仿宋_GB2312" w:cs="Times New Roman"/>
          <w:spacing w:val="12"/>
          <w:sz w:val="32"/>
          <w:szCs w:val="32"/>
        </w:rPr>
        <w:t>住房保障支出</w:t>
      </w:r>
      <w:r>
        <w:rPr>
          <w:rFonts w:hint="eastAsia" w:eastAsia="仿宋_GB2312" w:cs="Times New Roman"/>
          <w:spacing w:val="12"/>
          <w:sz w:val="32"/>
          <w:szCs w:val="32"/>
          <w:lang w:val="en-US" w:eastAsia="zh-CN"/>
        </w:rPr>
        <w:t>33.36</w:t>
      </w:r>
      <w:r>
        <w:rPr>
          <w:rFonts w:hint="default" w:ascii="Times New Roman" w:hAnsi="Times New Roman" w:eastAsia="仿宋_GB2312" w:cs="Times New Roman"/>
          <w:spacing w:val="12"/>
          <w:sz w:val="32"/>
          <w:szCs w:val="32"/>
        </w:rPr>
        <w:t>万元</w:t>
      </w:r>
      <w:r>
        <w:rPr>
          <w:rFonts w:hint="eastAsia" w:eastAsia="仿宋_GB2312" w:cs="Times New Roman"/>
          <w:spacing w:val="12"/>
          <w:sz w:val="32"/>
          <w:szCs w:val="32"/>
          <w:lang w:eastAsia="zh-CN"/>
        </w:rPr>
        <w:t>，</w:t>
      </w:r>
      <w:r>
        <w:rPr>
          <w:rFonts w:hint="eastAsia" w:eastAsia="仿宋_GB2312" w:cs="Times New Roman"/>
          <w:spacing w:val="12"/>
          <w:sz w:val="32"/>
          <w:szCs w:val="32"/>
          <w:lang w:val="en-US" w:eastAsia="zh-CN"/>
        </w:rPr>
        <w:t>占5.17%；</w:t>
      </w:r>
      <w:r>
        <w:rPr>
          <w:rFonts w:hint="default" w:ascii="Times New Roman" w:hAnsi="Times New Roman" w:eastAsia="仿宋_GB2312" w:cs="Times New Roman"/>
          <w:spacing w:val="12"/>
          <w:sz w:val="32"/>
          <w:szCs w:val="32"/>
        </w:rPr>
        <w:t>。</w:t>
      </w:r>
      <w:r>
        <w:rPr>
          <w:rFonts w:hint="default" w:ascii="Times New Roman" w:hAnsi="Times New Roman" w:eastAsia="仿宋_GB2312" w:cs="Times New Roman"/>
          <w:sz w:val="32"/>
          <w:szCs w:val="32"/>
        </w:rPr>
        <w:t>具体安排情况如下：</w:t>
      </w:r>
    </w:p>
    <w:p w14:paraId="29F9FE4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
          <w:sz w:val="32"/>
          <w:szCs w:val="32"/>
        </w:rPr>
        <w:t>（一）基本支出：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本单位基本支出预算数</w:t>
      </w:r>
      <w:r>
        <w:rPr>
          <w:rFonts w:hint="eastAsia" w:eastAsia="仿宋_GB2312" w:cs="Times New Roman"/>
          <w:sz w:val="32"/>
          <w:szCs w:val="32"/>
          <w:lang w:val="en-US" w:eastAsia="zh-CN"/>
        </w:rPr>
        <w:t>387.57</w:t>
      </w:r>
      <w:r>
        <w:rPr>
          <w:rFonts w:hint="default" w:ascii="Times New Roman" w:hAnsi="Times New Roman" w:eastAsia="仿宋_GB2312" w:cs="Times New Roman"/>
          <w:sz w:val="32"/>
          <w:szCs w:val="32"/>
        </w:rPr>
        <w:t>万元，主要是为保障单位机构正常运转、完成日常工作任务而发生的各项支出，包括用于基本工资、津贴补贴等人员经费以及办公费、印刷费、水电费、办公设备购置等公用经费。</w:t>
      </w:r>
    </w:p>
    <w:p w14:paraId="4A69ADD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楷体_GB2312" w:cs="Times New Roman"/>
          <w:b/>
          <w:sz w:val="32"/>
          <w:szCs w:val="32"/>
        </w:rPr>
        <w:t>（二）项目支出：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本单位项目支出预算</w:t>
      </w:r>
      <w:r>
        <w:rPr>
          <w:rFonts w:hint="eastAsia" w:eastAsia="仿宋_GB2312" w:cs="Times New Roman"/>
          <w:sz w:val="32"/>
          <w:szCs w:val="32"/>
          <w:lang w:val="en-US" w:eastAsia="zh-CN"/>
        </w:rPr>
        <w:t>257.89</w:t>
      </w:r>
      <w:r>
        <w:rPr>
          <w:rFonts w:hint="default" w:ascii="Times New Roman" w:hAnsi="Times New Roman" w:eastAsia="仿宋_GB2312" w:cs="Times New Roman"/>
          <w:sz w:val="32"/>
          <w:szCs w:val="32"/>
        </w:rPr>
        <w:t>万元，主要是部门为完成特定行政工作任务或事业发展目标而发生的支出，包括有关事业发展专项、专项业务费、基本建设支出等，其中：运行维护项目支出40万元，主要用于单位运行维护方面；</w:t>
      </w:r>
      <w:r>
        <w:rPr>
          <w:rFonts w:hint="eastAsia" w:eastAsia="仿宋_GB2312" w:cs="Times New Roman"/>
          <w:sz w:val="32"/>
          <w:szCs w:val="32"/>
          <w:lang w:eastAsia="zh-CN"/>
        </w:rPr>
        <w:t>其他事业发展资金</w:t>
      </w:r>
      <w:r>
        <w:rPr>
          <w:rFonts w:hint="default" w:ascii="Times New Roman" w:hAnsi="Times New Roman" w:eastAsia="仿宋_GB2312" w:cs="Times New Roman"/>
          <w:sz w:val="32"/>
          <w:szCs w:val="32"/>
        </w:rPr>
        <w:t>支出</w:t>
      </w:r>
      <w:r>
        <w:rPr>
          <w:rFonts w:hint="eastAsia" w:eastAsia="仿宋_GB2312" w:cs="Times New Roman"/>
          <w:sz w:val="32"/>
          <w:szCs w:val="32"/>
          <w:lang w:val="en-US" w:eastAsia="zh-CN"/>
        </w:rPr>
        <w:t>217.89</w:t>
      </w:r>
      <w:r>
        <w:rPr>
          <w:rFonts w:hint="default" w:ascii="Times New Roman" w:hAnsi="Times New Roman" w:eastAsia="仿宋_GB2312" w:cs="Times New Roman"/>
          <w:sz w:val="32"/>
          <w:szCs w:val="32"/>
        </w:rPr>
        <w:t>万元，主要用于</w:t>
      </w:r>
      <w:r>
        <w:rPr>
          <w:rFonts w:hint="eastAsia" w:ascii="仿宋_GB2312" w:hAnsi="仿宋" w:eastAsia="仿宋_GB2312"/>
          <w:sz w:val="32"/>
          <w:szCs w:val="32"/>
          <w:lang w:val="en-US" w:eastAsia="zh-CN"/>
        </w:rPr>
        <w:t>中央支持地方公共文化服务体系建设、</w:t>
      </w:r>
      <w:r>
        <w:rPr>
          <w:rFonts w:hint="eastAsia" w:ascii="仿宋_GB2312" w:hAnsi="仿宋" w:eastAsia="仿宋_GB2312"/>
          <w:sz w:val="32"/>
          <w:szCs w:val="32"/>
        </w:rPr>
        <w:t>中国湖南.中国画双年展</w:t>
      </w:r>
      <w:r>
        <w:rPr>
          <w:rFonts w:hint="default" w:ascii="Times New Roman" w:hAnsi="Times New Roman" w:eastAsia="仿宋_GB2312" w:cs="Times New Roman"/>
          <w:sz w:val="32"/>
          <w:szCs w:val="32"/>
        </w:rPr>
        <w:t>等方面</w:t>
      </w:r>
      <w:r>
        <w:rPr>
          <w:rFonts w:hint="eastAsia" w:eastAsia="仿宋_GB2312" w:cs="Times New Roman"/>
          <w:sz w:val="32"/>
          <w:szCs w:val="32"/>
          <w:lang w:eastAsia="zh-CN"/>
        </w:rPr>
        <w:t>。</w:t>
      </w:r>
    </w:p>
    <w:p w14:paraId="16A0F9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五</w:t>
      </w:r>
      <w:r>
        <w:rPr>
          <w:rFonts w:hint="default" w:ascii="Times New Roman" w:hAnsi="Times New Roman" w:eastAsia="黑体" w:cs="Times New Roman"/>
          <w:sz w:val="32"/>
          <w:szCs w:val="32"/>
        </w:rPr>
        <w:t>、政府性基金预算支出</w:t>
      </w:r>
    </w:p>
    <w:p w14:paraId="6AFEFC5E">
      <w:pPr>
        <w:spacing w:line="60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仿宋_GB2312" w:cs="Times New Roman"/>
          <w:sz w:val="32"/>
          <w:szCs w:val="32"/>
          <w:lang w:eastAsia="zh-CN"/>
        </w:rPr>
        <w:t>2026年</w:t>
      </w:r>
      <w:r>
        <w:rPr>
          <w:rFonts w:hint="eastAsia" w:eastAsia="仿宋_GB2312"/>
          <w:sz w:val="32"/>
          <w:szCs w:val="32"/>
        </w:rPr>
        <w:t>本</w:t>
      </w:r>
      <w:r>
        <w:rPr>
          <w:rFonts w:hint="eastAsia" w:eastAsia="仿宋_GB2312"/>
          <w:sz w:val="32"/>
          <w:szCs w:val="32"/>
          <w:lang w:eastAsia="zh-CN"/>
        </w:rPr>
        <w:t>单位</w:t>
      </w:r>
      <w:r>
        <w:rPr>
          <w:rFonts w:hint="eastAsia" w:eastAsia="仿宋_GB2312"/>
          <w:sz w:val="32"/>
          <w:szCs w:val="32"/>
        </w:rPr>
        <w:t>无政府性基金安排的支出</w:t>
      </w:r>
      <w:r>
        <w:rPr>
          <w:rFonts w:hint="eastAsia" w:eastAsia="仿宋_GB2312"/>
          <w:sz w:val="32"/>
          <w:szCs w:val="32"/>
          <w:lang w:eastAsia="zh-CN"/>
        </w:rPr>
        <w:t>。</w:t>
      </w:r>
    </w:p>
    <w:p w14:paraId="2DBF72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六</w:t>
      </w:r>
      <w:r>
        <w:rPr>
          <w:rFonts w:hint="default" w:ascii="Times New Roman" w:hAnsi="Times New Roman" w:eastAsia="黑体" w:cs="Times New Roman"/>
          <w:sz w:val="32"/>
          <w:szCs w:val="32"/>
        </w:rPr>
        <w:t>、其他重要事项的情况说明</w:t>
      </w:r>
    </w:p>
    <w:p w14:paraId="37FC873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（一）运行经费：</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本单位运行经费</w:t>
      </w:r>
      <w:r>
        <w:rPr>
          <w:rFonts w:hint="eastAsia" w:eastAsia="仿宋_GB2312" w:cs="Times New Roman"/>
          <w:sz w:val="32"/>
          <w:szCs w:val="32"/>
          <w:lang w:val="en-US" w:eastAsia="zh-CN"/>
        </w:rPr>
        <w:t>76.33</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与</w:t>
      </w:r>
      <w:r>
        <w:rPr>
          <w:rFonts w:hint="default" w:ascii="Times New Roman" w:hAnsi="Times New Roman" w:eastAsia="仿宋_GB2312" w:cs="Times New Roman"/>
          <w:sz w:val="32"/>
          <w:szCs w:val="32"/>
        </w:rPr>
        <w:t>上年预算持平</w:t>
      </w:r>
      <w:r>
        <w:rPr>
          <w:rFonts w:hint="eastAsia" w:eastAsia="仿宋_GB2312" w:cs="Times New Roman"/>
          <w:sz w:val="32"/>
          <w:szCs w:val="32"/>
          <w:lang w:eastAsia="zh-CN"/>
        </w:rPr>
        <w:t>，主要是落实压减行政运行开支的要求</w:t>
      </w:r>
      <w:r>
        <w:rPr>
          <w:rFonts w:hint="default" w:ascii="Times New Roman" w:hAnsi="Times New Roman" w:eastAsia="仿宋_GB2312" w:cs="Times New Roman"/>
          <w:sz w:val="32"/>
          <w:szCs w:val="32"/>
        </w:rPr>
        <w:t>。</w:t>
      </w:r>
    </w:p>
    <w:p w14:paraId="1260677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（二）“三公”经费预算：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本单位“三公”经费预算数为</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万元，其中，公务接待费</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万元，公务用车购置及运行费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万元（其中，公务用车购置费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万元，公务用车运行费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万元），因公出国（境）费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“三公”经费预算较上年持平，主要是本着厉行节约的原则，结合单位实际情况没有新增公务接待费。</w:t>
      </w:r>
    </w:p>
    <w:p w14:paraId="44C0382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楷体_GB2312" w:cs="Times New Roman"/>
          <w:b/>
          <w:sz w:val="32"/>
          <w:szCs w:val="32"/>
        </w:rPr>
        <w:t>（三）一般性支出情况：</w:t>
      </w:r>
      <w:r>
        <w:rPr>
          <w:rFonts w:hint="eastAsia" w:ascii="Times New Roman" w:hAnsi="Times New Roman" w:eastAsia="仿宋_GB2312" w:cs="Times New Roman"/>
          <w:kern w:val="0"/>
          <w:sz w:val="32"/>
          <w:szCs w:val="32"/>
          <w:lang w:eastAsia="zh-CN"/>
        </w:rPr>
        <w:t>2026年本单位会议费预算</w:t>
      </w:r>
      <w:r>
        <w:rPr>
          <w:rFonts w:hint="eastAsia" w:eastAsia="仿宋_GB2312" w:cs="Times New Roman"/>
          <w:kern w:val="0"/>
          <w:sz w:val="32"/>
          <w:szCs w:val="32"/>
          <w:lang w:val="en-US" w:eastAsia="zh-CN"/>
        </w:rPr>
        <w:t>3</w:t>
      </w:r>
      <w:r>
        <w:rPr>
          <w:rFonts w:hint="eastAsia" w:ascii="Times New Roman" w:hAnsi="Times New Roman" w:eastAsia="仿宋_GB2312" w:cs="Times New Roman"/>
          <w:kern w:val="0"/>
          <w:sz w:val="32"/>
          <w:szCs w:val="32"/>
          <w:lang w:eastAsia="zh-CN"/>
        </w:rPr>
        <w:t>万元，拟召开单位各项工作会议，人数130人左右，内容为画院专职画家主题创作工作会、青年画院美术创作工作会、陈白一先生艺术文献展研讨会、“溪山无尽”——王跃奎中国画作品展研讨会、山东画院交流展研讨会等；培训费预算2万元，拟开展工作人员培训及学习教育，人数50人左右，内容为专职画家及青年画院画家美术创作培训班，重点美术创作工作者培训班，事业单位工作人员培训等；无节庆、晚会、论坛、赛事活动，经费预算0万元。</w:t>
      </w:r>
    </w:p>
    <w:p w14:paraId="7CB0B8C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（四）政府采购情况：</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w:t>
      </w:r>
      <w:r>
        <w:rPr>
          <w:rFonts w:hint="eastAsia" w:eastAsia="仿宋_GB2312" w:cs="Times New Roman"/>
          <w:sz w:val="32"/>
          <w:szCs w:val="32"/>
          <w:lang w:eastAsia="zh-CN"/>
        </w:rPr>
        <w:t>单位</w:t>
      </w:r>
      <w:r>
        <w:rPr>
          <w:rFonts w:hint="default" w:ascii="Times New Roman" w:hAnsi="Times New Roman" w:eastAsia="仿宋_GB2312" w:cs="Times New Roman"/>
          <w:sz w:val="32"/>
          <w:szCs w:val="32"/>
        </w:rPr>
        <w:t>政府采购预算总额</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万元，其中，货物类采购预算</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万元；工程类采购预算</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万元；服务类采购预算</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w:t>
      </w:r>
    </w:p>
    <w:p w14:paraId="72E1DC6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楷体_GB2312" w:cs="Times New Roman"/>
          <w:b/>
          <w:color w:val="auto"/>
          <w:sz w:val="32"/>
          <w:szCs w:val="32"/>
          <w:lang w:val="en-US" w:eastAsia="zh-CN"/>
        </w:rPr>
      </w:pP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五</w:t>
      </w: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委托业务费情况：</w:t>
      </w:r>
      <w:r>
        <w:rPr>
          <w:rFonts w:hint="eastAsia" w:ascii="Times New Roman" w:hAnsi="Times New Roman" w:eastAsia="仿宋_GB2312" w:cs="Times New Roman"/>
          <w:color w:val="auto"/>
          <w:sz w:val="32"/>
          <w:szCs w:val="32"/>
          <w:lang w:eastAsia="zh-CN"/>
        </w:rPr>
        <w:t>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本单位的</w:t>
      </w:r>
      <w:r>
        <w:rPr>
          <w:rFonts w:hint="eastAsia" w:ascii="Times New Roman" w:hAnsi="Times New Roman" w:eastAsia="仿宋_GB2312" w:cs="Times New Roman"/>
          <w:color w:val="auto"/>
          <w:sz w:val="32"/>
          <w:szCs w:val="32"/>
          <w:lang w:val="en-US" w:eastAsia="zh-CN"/>
        </w:rPr>
        <w:t>委托业务费</w:t>
      </w:r>
      <w:r>
        <w:rPr>
          <w:rFonts w:hint="eastAsia" w:eastAsia="仿宋_GB2312" w:cs="Times New Roman"/>
          <w:color w:val="auto"/>
          <w:sz w:val="32"/>
          <w:szCs w:val="32"/>
          <w:lang w:val="en-US" w:eastAsia="zh-CN"/>
        </w:rPr>
        <w:t>32.56</w:t>
      </w:r>
      <w:r>
        <w:rPr>
          <w:rFonts w:hint="default" w:ascii="Times New Roman" w:hAnsi="Times New Roman" w:eastAsia="仿宋_GB2312" w:cs="Times New Roman"/>
          <w:color w:val="auto"/>
          <w:sz w:val="32"/>
          <w:szCs w:val="32"/>
        </w:rPr>
        <w:t>万元，比上年预算增加</w:t>
      </w:r>
      <w:r>
        <w:rPr>
          <w:rFonts w:hint="eastAsia" w:eastAsia="仿宋_GB2312" w:cs="Times New Roman"/>
          <w:color w:val="auto"/>
          <w:sz w:val="32"/>
          <w:szCs w:val="32"/>
          <w:lang w:val="en-US" w:eastAsia="zh-CN"/>
        </w:rPr>
        <w:t>12.75</w:t>
      </w:r>
      <w:r>
        <w:rPr>
          <w:rFonts w:hint="default" w:ascii="Times New Roman" w:hAnsi="Times New Roman" w:eastAsia="仿宋_GB2312" w:cs="Times New Roman"/>
          <w:color w:val="auto"/>
          <w:sz w:val="32"/>
          <w:szCs w:val="32"/>
        </w:rPr>
        <w:t>万元，上升</w:t>
      </w:r>
      <w:r>
        <w:rPr>
          <w:rFonts w:hint="eastAsia" w:eastAsia="仿宋_GB2312" w:cs="Times New Roman"/>
          <w:color w:val="auto"/>
          <w:sz w:val="32"/>
          <w:szCs w:val="32"/>
          <w:lang w:val="en-US" w:eastAsia="zh-CN"/>
        </w:rPr>
        <w:t>64.36</w:t>
      </w:r>
      <w:r>
        <w:rPr>
          <w:rFonts w:hint="default" w:ascii="Times New Roman" w:hAnsi="Times New Roman" w:eastAsia="仿宋_GB2312" w:cs="Times New Roman"/>
          <w:color w:val="auto"/>
          <w:sz w:val="32"/>
          <w:szCs w:val="32"/>
        </w:rPr>
        <w:t>%，主要是</w:t>
      </w:r>
      <w:r>
        <w:rPr>
          <w:rFonts w:hint="eastAsia" w:ascii="仿宋_GB2312" w:hAnsi="仿宋" w:eastAsia="仿宋_GB2312"/>
          <w:sz w:val="32"/>
          <w:szCs w:val="32"/>
          <w:lang w:eastAsia="zh-CN"/>
        </w:rPr>
        <w:t>项目活动有关委托业务费增加</w:t>
      </w:r>
      <w:r>
        <w:rPr>
          <w:rFonts w:hint="default" w:ascii="Times New Roman" w:hAnsi="Times New Roman" w:eastAsia="仿宋_GB2312" w:cs="Times New Roman"/>
          <w:color w:val="auto"/>
          <w:sz w:val="32"/>
          <w:szCs w:val="32"/>
        </w:rPr>
        <w:t>。</w:t>
      </w:r>
    </w:p>
    <w:p w14:paraId="3489371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六</w:t>
      </w:r>
      <w:r>
        <w:rPr>
          <w:rFonts w:hint="default" w:ascii="Times New Roman" w:hAnsi="Times New Roman" w:eastAsia="楷体_GB2312" w:cs="Times New Roman"/>
          <w:b/>
          <w:sz w:val="32"/>
          <w:szCs w:val="32"/>
        </w:rPr>
        <w:t>）国有资产占用使用及新增资产配置情况：</w:t>
      </w:r>
      <w:r>
        <w:rPr>
          <w:rFonts w:hint="default" w:ascii="Times New Roman" w:hAnsi="Times New Roman" w:eastAsia="仿宋_GB2312" w:cs="Times New Roman"/>
          <w:sz w:val="32"/>
          <w:szCs w:val="32"/>
        </w:rPr>
        <w:t>截至</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12月底，本单位</w:t>
      </w:r>
      <w:r>
        <w:rPr>
          <w:rFonts w:hint="default" w:ascii="Times New Roman" w:hAnsi="Times New Roman" w:eastAsia="仿宋_GB2312" w:cs="Times New Roman"/>
          <w:bCs/>
          <w:kern w:val="0"/>
          <w:sz w:val="32"/>
          <w:szCs w:val="32"/>
        </w:rPr>
        <w:t>共有公务用车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辆，其中，机要通信用车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辆，应急保障用车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辆，执法执勤用车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辆，特种专业技术用车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辆，其他按照规定配备的公务用车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辆；单位价值50万元以上通用设备</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台，单位价值100万元以上专用设备</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台。</w:t>
      </w:r>
      <w:r>
        <w:rPr>
          <w:rFonts w:hint="eastAsia" w:ascii="Times New Roman" w:hAnsi="Times New Roman" w:eastAsia="仿宋_GB2312" w:cs="Times New Roman"/>
          <w:bCs/>
          <w:kern w:val="0"/>
          <w:sz w:val="32"/>
          <w:szCs w:val="32"/>
          <w:lang w:eastAsia="zh-CN"/>
        </w:rPr>
        <w:t>2026年</w:t>
      </w:r>
      <w:r>
        <w:rPr>
          <w:rFonts w:hint="default" w:ascii="Times New Roman" w:hAnsi="Times New Roman" w:eastAsia="仿宋_GB2312" w:cs="Times New Roman"/>
          <w:bCs/>
          <w:kern w:val="0"/>
          <w:sz w:val="32"/>
          <w:szCs w:val="32"/>
        </w:rPr>
        <w:t>拟新增配置公务用车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辆，其中，机要通信用车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辆，应急保障用车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辆，执法执勤用车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辆，特种专业技术用车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辆，其他按照规定配备的公务用车</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辆；新增配备单位价值50万元以上通用设备</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台，单位价值100万元以上专用设备</w:t>
      </w:r>
      <w:r>
        <w:rPr>
          <w:rFonts w:hint="eastAsia" w:eastAsia="仿宋_GB2312" w:cs="Times New Roman"/>
          <w:bCs/>
          <w:kern w:val="0"/>
          <w:sz w:val="32"/>
          <w:szCs w:val="32"/>
          <w:lang w:val="en-US" w:eastAsia="zh-CN"/>
        </w:rPr>
        <w:t>0</w:t>
      </w:r>
      <w:r>
        <w:rPr>
          <w:rFonts w:hint="default" w:ascii="Times New Roman" w:hAnsi="Times New Roman" w:eastAsia="仿宋_GB2312" w:cs="Times New Roman"/>
          <w:bCs/>
          <w:kern w:val="0"/>
          <w:sz w:val="32"/>
          <w:szCs w:val="32"/>
        </w:rPr>
        <w:t>台。</w:t>
      </w:r>
    </w:p>
    <w:p w14:paraId="613C472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楷体_GB2312" w:cs="Times New Roman"/>
          <w:b/>
          <w:bCs/>
          <w:kern w:val="0"/>
          <w:sz w:val="32"/>
          <w:szCs w:val="32"/>
        </w:rPr>
        <w:t>（</w:t>
      </w:r>
      <w:r>
        <w:rPr>
          <w:rFonts w:hint="eastAsia" w:ascii="Times New Roman" w:hAnsi="Times New Roman" w:eastAsia="楷体_GB2312" w:cs="Times New Roman"/>
          <w:b/>
          <w:bCs/>
          <w:kern w:val="0"/>
          <w:sz w:val="32"/>
          <w:szCs w:val="32"/>
          <w:lang w:val="en-US" w:eastAsia="zh-CN"/>
        </w:rPr>
        <w:t>七</w:t>
      </w:r>
      <w:r>
        <w:rPr>
          <w:rFonts w:hint="default" w:ascii="Times New Roman" w:hAnsi="Times New Roman" w:eastAsia="楷体_GB2312" w:cs="Times New Roman"/>
          <w:b/>
          <w:bCs/>
          <w:kern w:val="0"/>
          <w:sz w:val="32"/>
          <w:szCs w:val="32"/>
        </w:rPr>
        <w:t>）预算绩效目标说明：</w:t>
      </w:r>
      <w:r>
        <w:rPr>
          <w:rFonts w:hint="default" w:ascii="Times New Roman" w:hAnsi="Times New Roman" w:eastAsia="仿宋_GB2312" w:cs="Times New Roman"/>
          <w:bCs/>
          <w:kern w:val="0"/>
          <w:sz w:val="32"/>
          <w:szCs w:val="32"/>
        </w:rPr>
        <w:t>本单位所有支出实行绩效目标管理。纳入</w:t>
      </w:r>
      <w:r>
        <w:rPr>
          <w:rFonts w:hint="eastAsia" w:ascii="Times New Roman" w:hAnsi="Times New Roman" w:eastAsia="仿宋_GB2312" w:cs="Times New Roman"/>
          <w:bCs/>
          <w:kern w:val="0"/>
          <w:sz w:val="32"/>
          <w:szCs w:val="32"/>
          <w:lang w:eastAsia="zh-CN"/>
        </w:rPr>
        <w:t>2026年</w:t>
      </w:r>
      <w:r>
        <w:rPr>
          <w:rFonts w:hint="default" w:ascii="Times New Roman" w:hAnsi="Times New Roman" w:eastAsia="仿宋_GB2312" w:cs="Times New Roman"/>
          <w:bCs/>
          <w:kern w:val="0"/>
          <w:sz w:val="32"/>
          <w:szCs w:val="32"/>
        </w:rPr>
        <w:t>单位整体支出绩效目标的金额为</w:t>
      </w:r>
      <w:r>
        <w:rPr>
          <w:rFonts w:hint="eastAsia" w:eastAsia="仿宋_GB2312" w:cs="Times New Roman"/>
          <w:bCs/>
          <w:kern w:val="0"/>
          <w:sz w:val="32"/>
          <w:szCs w:val="32"/>
          <w:lang w:val="en-US" w:eastAsia="zh-CN"/>
        </w:rPr>
        <w:t>496.84</w:t>
      </w:r>
      <w:r>
        <w:rPr>
          <w:rFonts w:hint="default" w:ascii="Times New Roman" w:hAnsi="Times New Roman" w:eastAsia="仿宋_GB2312" w:cs="Times New Roman"/>
          <w:bCs/>
          <w:kern w:val="0"/>
          <w:sz w:val="32"/>
          <w:szCs w:val="32"/>
        </w:rPr>
        <w:t>万元，其中，基本支出</w:t>
      </w:r>
      <w:r>
        <w:rPr>
          <w:rFonts w:hint="eastAsia" w:eastAsia="仿宋_GB2312" w:cs="Times New Roman"/>
          <w:bCs/>
          <w:kern w:val="0"/>
          <w:sz w:val="32"/>
          <w:szCs w:val="32"/>
          <w:lang w:val="en-US" w:eastAsia="zh-CN"/>
        </w:rPr>
        <w:t>387.64</w:t>
      </w:r>
      <w:r>
        <w:rPr>
          <w:rFonts w:hint="default" w:ascii="Times New Roman" w:hAnsi="Times New Roman" w:eastAsia="仿宋_GB2312" w:cs="Times New Roman"/>
          <w:bCs/>
          <w:kern w:val="0"/>
          <w:sz w:val="32"/>
          <w:szCs w:val="32"/>
        </w:rPr>
        <w:t>万元，项目支出</w:t>
      </w:r>
      <w:r>
        <w:rPr>
          <w:rFonts w:hint="eastAsia" w:eastAsia="仿宋_GB2312" w:cs="Times New Roman"/>
          <w:bCs/>
          <w:kern w:val="0"/>
          <w:sz w:val="32"/>
          <w:szCs w:val="32"/>
          <w:lang w:val="en-US" w:eastAsia="zh-CN"/>
        </w:rPr>
        <w:t>109.20</w:t>
      </w:r>
      <w:r>
        <w:rPr>
          <w:rFonts w:hint="default" w:ascii="Times New Roman" w:hAnsi="Times New Roman" w:eastAsia="仿宋_GB2312" w:cs="Times New Roman"/>
          <w:bCs/>
          <w:kern w:val="0"/>
          <w:sz w:val="32"/>
          <w:szCs w:val="32"/>
        </w:rPr>
        <w:t>万元，具体绩效目标详见报表。</w:t>
      </w:r>
    </w:p>
    <w:p w14:paraId="6EE298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、名词解释</w:t>
      </w:r>
    </w:p>
    <w:p w14:paraId="76C1E4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14:paraId="0704E6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61306E13">
      <w:pPr>
        <w:widowControl/>
        <w:spacing w:line="600" w:lineRule="exact"/>
        <w:ind w:firstLine="660"/>
        <w:rPr>
          <w:rFonts w:hint="default" w:ascii="Times New Roman" w:hAnsi="Times New Roman" w:eastAsia="仿宋_GB2312" w:cs="Times New Roman"/>
          <w:sz w:val="32"/>
          <w:szCs w:val="32"/>
        </w:rPr>
      </w:pPr>
    </w:p>
    <w:p w14:paraId="31C216C2">
      <w:pPr>
        <w:widowControl/>
        <w:spacing w:line="600" w:lineRule="exact"/>
        <w:jc w:val="left"/>
        <w:rPr>
          <w:rFonts w:hint="default" w:ascii="Times New Roman" w:hAnsi="Times New Roman" w:eastAsia="黑体" w:cs="Times New Roman"/>
          <w:sz w:val="32"/>
          <w:szCs w:val="32"/>
        </w:rPr>
      </w:pPr>
    </w:p>
    <w:p w14:paraId="0C047D62">
      <w:pPr>
        <w:widowControl/>
        <w:spacing w:line="600" w:lineRule="exact"/>
        <w:jc w:val="left"/>
        <w:rPr>
          <w:rFonts w:hint="default" w:ascii="Times New Roman" w:hAnsi="Times New Roman" w:eastAsia="黑体" w:cs="Times New Roman"/>
          <w:sz w:val="32"/>
          <w:szCs w:val="32"/>
        </w:rPr>
      </w:pPr>
      <w:bookmarkStart w:id="0" w:name="_GoBack"/>
      <w:bookmarkEnd w:id="0"/>
    </w:p>
    <w:p w14:paraId="23A223C5">
      <w:pPr>
        <w:widowControl/>
        <w:spacing w:line="600" w:lineRule="exact"/>
        <w:jc w:val="left"/>
        <w:rPr>
          <w:rFonts w:hint="default" w:ascii="Times New Roman" w:hAnsi="Times New Roman" w:eastAsia="黑体" w:cs="Times New Roman"/>
          <w:sz w:val="32"/>
          <w:szCs w:val="32"/>
        </w:rPr>
      </w:pPr>
    </w:p>
    <w:p w14:paraId="73DE8521">
      <w:pPr>
        <w:widowControl/>
        <w:spacing w:line="600" w:lineRule="exact"/>
        <w:ind w:firstLine="720" w:firstLineChars="200"/>
        <w:jc w:val="center"/>
        <w:rPr>
          <w:rFonts w:hint="default" w:ascii="Times New Roman" w:hAnsi="Times New Roman" w:eastAsia="黑体" w:cs="Times New Roman"/>
          <w:sz w:val="32"/>
          <w:szCs w:val="32"/>
        </w:rPr>
      </w:pPr>
      <w:r>
        <w:rPr>
          <w:rFonts w:hint="default" w:ascii="Times New Roman" w:hAnsi="Times New Roman" w:eastAsia="方正小标宋_GBK" w:cs="Times New Roman"/>
          <w:bCs/>
          <w:kern w:val="0"/>
          <w:sz w:val="36"/>
          <w:szCs w:val="36"/>
        </w:rPr>
        <w:t xml:space="preserve">第二部分 </w:t>
      </w:r>
      <w:r>
        <w:rPr>
          <w:rFonts w:hint="eastAsia" w:ascii="Times New Roman" w:hAnsi="Times New Roman" w:eastAsia="方正小标宋_GBK" w:cs="Times New Roman"/>
          <w:bCs/>
          <w:kern w:val="0"/>
          <w:sz w:val="36"/>
          <w:szCs w:val="36"/>
          <w:lang w:eastAsia="zh-CN"/>
        </w:rPr>
        <w:t>2026年</w:t>
      </w:r>
      <w:r>
        <w:rPr>
          <w:rFonts w:hint="default" w:ascii="Times New Roman" w:hAnsi="Times New Roman" w:eastAsia="方正小标宋_GBK" w:cs="Times New Roman"/>
          <w:bCs/>
          <w:kern w:val="0"/>
          <w:sz w:val="36"/>
          <w:szCs w:val="36"/>
        </w:rPr>
        <w:t>单位预算表</w:t>
      </w:r>
    </w:p>
    <w:p w14:paraId="5E6E1B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0C019">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14:paraId="76ACB8E6">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5CAF5"/>
    <w:multiLevelType w:val="singleLevel"/>
    <w:tmpl w:val="1E35CA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16474"/>
    <w:rsid w:val="00940EF7"/>
    <w:rsid w:val="02C9294A"/>
    <w:rsid w:val="17EB6122"/>
    <w:rsid w:val="188542B7"/>
    <w:rsid w:val="1A8312FB"/>
    <w:rsid w:val="2CF31B9B"/>
    <w:rsid w:val="31950990"/>
    <w:rsid w:val="43183F5D"/>
    <w:rsid w:val="4FA16474"/>
    <w:rsid w:val="593C73CD"/>
    <w:rsid w:val="5BCB5AD1"/>
    <w:rsid w:val="62A12606"/>
    <w:rsid w:val="638E20B5"/>
    <w:rsid w:val="66AA4BC9"/>
    <w:rsid w:val="6F76490F"/>
    <w:rsid w:val="795C61F7"/>
    <w:rsid w:val="7C881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2812</Words>
  <Characters>2998</Characters>
  <Lines>0</Lines>
  <Paragraphs>0</Paragraphs>
  <TotalTime>45</TotalTime>
  <ScaleCrop>false</ScaleCrop>
  <LinksUpToDate>false</LinksUpToDate>
  <CharactersWithSpaces>3058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2026-03-12T08:19:00Z</dcterms:created>
  <dc:creator>珺</dc:creator>
  <cp:lastModifiedBy>珺</cp:lastModifiedBy>
  <dcterms:modified xsi:type="dcterms:W3CDTF">2026-03-17T03:37:19Z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09A930B48E0B42B6950EFEDBDDE926BE_11</vt:lpwstr>
  </property>
  <property fmtid="{D5CDD505-2E9C-101B-9397-08002B2CF9AE}" pid="4" name="KSOTemplateDocerSaveRecord">
    <vt:lpwstr>eyJoZGlkIjoiNzc0ODkyNDRmMTBjODkwZTcyOTI0MmE5NTZjMWFiOWUiLCJ1c2VySWQiOiI2Mzk2NDUwNDEifQ==</vt:lpwstr>
  </property>
</Properties>
</file>