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jc w:val="center"/>
        <w:rPr>
          <w:sz w:val="56"/>
          <w:szCs w:val="56"/>
        </w:rPr>
      </w:pPr>
      <w:r>
        <w:rPr>
          <w:rFonts w:ascii="黑体" w:hAnsi="Calibri" w:eastAsia="黑体" w:cs="黑体"/>
          <w:color w:val="000000"/>
          <w:sz w:val="56"/>
          <w:szCs w:val="24"/>
          <w:lang w:val="en-US" w:eastAsia="zh-CN" w:bidi="ar-SA"/>
        </w:rPr>
        <w:pict>
          <v:shape id="Quad Arrow 2" o:spid="_x0000_s1026" type="#_x0000_t202" style="position:absolute;left:0;margin-left:-18.6pt;margin-top:-23.4pt;height:40.75pt;width:119.95pt;rotation:0f;z-index:251658240;" o:ole="f" fillcolor="#FFFFFF" filled="t" o:preferrelative="t" stroked="f" coordorigin="0,0" coordsize="21600,21600">
            <v:imagedata gain="65536f" blacklevel="0f" gamma="0"/>
            <o:lock v:ext="edit" position="f" selection="f" grouping="f" rotation="f" cropping="f" text="f" aspectratio="f"/>
            <v:textbox>
              <w:txbxContent>
                <w:p>
                  <w:pPr>
                    <w:rPr>
                      <w:rFonts w:ascii="黑体" w:hAnsi="黑体" w:eastAsia="黑体" w:cs="楷体"/>
                      <w:sz w:val="28"/>
                      <w:szCs w:val="28"/>
                    </w:rPr>
                  </w:pPr>
                </w:p>
              </w:txbxContent>
            </v:textbox>
          </v:shape>
        </w:pic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ascii="方正小标宋_GBK" w:hAnsi="方正小标宋_GBK" w:eastAsia="方正小标宋_GBK" w:cs="方正小标宋_GBK"/>
          <w:sz w:val="72"/>
          <w:szCs w:val="72"/>
        </w:rPr>
      </w:pPr>
      <w:r>
        <w:rPr>
          <w:rFonts w:ascii="Times New Roman" w:hAnsi="Times New Roman" w:eastAsia="方正小标宋_GBK" w:cs="Times New Roman"/>
          <w:sz w:val="72"/>
          <w:szCs w:val="72"/>
        </w:rPr>
        <w:t>2023</w:t>
      </w:r>
      <w:r>
        <w:rPr>
          <w:rFonts w:hint="eastAsia" w:ascii="方正小标宋_GBK" w:hAnsi="方正小标宋_GBK" w:eastAsia="方正小标宋_GBK" w:cs="方正小标宋_GBK"/>
          <w:sz w:val="72"/>
          <w:szCs w:val="72"/>
        </w:rPr>
        <w:t>年度</w:t>
      </w: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中共湖南省委组织部</w:t>
      </w: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pPr>
        <w:pStyle w:val="17"/>
        <w:jc w:val="center"/>
        <w:rPr>
          <w:rFonts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both"/>
        <w:rPr>
          <w:sz w:val="56"/>
          <w:szCs w:val="56"/>
        </w:rPr>
      </w:pPr>
    </w:p>
    <w:p>
      <w:pPr>
        <w:pStyle w:val="17"/>
        <w:spacing w:line="500" w:lineRule="exact"/>
        <w:jc w:val="both"/>
        <w:rPr>
          <w:b/>
          <w:sz w:val="36"/>
          <w:szCs w:val="28"/>
        </w:rPr>
      </w:pPr>
    </w:p>
    <w:p>
      <w:pPr>
        <w:pStyle w:val="17"/>
        <w:spacing w:line="500" w:lineRule="exact"/>
        <w:jc w:val="center"/>
        <w:rPr>
          <w:rFonts w:hint="eastAsia"/>
          <w:sz w:val="36"/>
          <w:szCs w:val="28"/>
        </w:rPr>
      </w:pPr>
      <w:r>
        <w:rPr>
          <w:rFonts w:hint="eastAsia"/>
          <w:sz w:val="36"/>
          <w:szCs w:val="28"/>
        </w:rPr>
        <w:t>目 录</w:t>
      </w:r>
    </w:p>
    <w:p>
      <w:pPr>
        <w:pStyle w:val="17"/>
        <w:spacing w:line="500" w:lineRule="exact"/>
        <w:jc w:val="center"/>
        <w:rPr>
          <w:rFonts w:hint="eastAsia"/>
          <w:sz w:val="36"/>
          <w:szCs w:val="28"/>
        </w:rPr>
      </w:pPr>
    </w:p>
    <w:p>
      <w:pPr>
        <w:pStyle w:val="17"/>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w:t>
      </w:r>
      <w:r>
        <w:rPr>
          <w:rFonts w:hint="eastAsia" w:hAnsi="黑体"/>
          <w:bCs/>
          <w:sz w:val="28"/>
          <w:szCs w:val="28"/>
        </w:rPr>
        <w:t>中共湖南省委组织部概况</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Ansi="黑体"/>
          <w:bCs/>
          <w:sz w:val="28"/>
          <w:szCs w:val="28"/>
        </w:rPr>
      </w:pPr>
      <w:r>
        <w:rPr>
          <w:rFonts w:hint="eastAsia" w:hAnsi="黑体"/>
          <w:bCs/>
          <w:sz w:val="28"/>
          <w:szCs w:val="28"/>
        </w:rPr>
        <w:t>第三部分</w:t>
      </w:r>
      <w:r>
        <w:rPr>
          <w:rFonts w:hint="eastAsia" w:hAnsi="黑体"/>
          <w:bCs/>
          <w:sz w:val="28"/>
          <w:szCs w:val="28"/>
          <w:lang w:val="en-US" w:eastAsia="zh-CN"/>
        </w:rPr>
        <w:t xml:space="preserve">  </w:t>
      </w:r>
      <w:r>
        <w:rPr>
          <w:rFonts w:hint="eastAsia" w:hAnsi="黑体"/>
          <w:bCs/>
          <w:sz w:val="28"/>
          <w:szCs w:val="28"/>
        </w:rPr>
        <w:t>部门决算情况说明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7"/>
        <w:spacing w:line="500" w:lineRule="exact"/>
        <w:rPr>
          <w:rFonts w:hint="eastAsia" w:hAnsi="黑体"/>
          <w:bCs/>
          <w:sz w:val="28"/>
          <w:szCs w:val="28"/>
        </w:rPr>
      </w:pPr>
      <w:r>
        <w:rPr>
          <w:rFonts w:hint="eastAsia" w:hAnsi="黑体"/>
          <w:bCs/>
          <w:sz w:val="28"/>
          <w:szCs w:val="28"/>
        </w:rPr>
        <w:t>第四部分</w:t>
      </w:r>
      <w:r>
        <w:rPr>
          <w:rFonts w:hint="eastAsia" w:hAnsi="黑体"/>
          <w:bCs/>
          <w:sz w:val="28"/>
          <w:szCs w:val="28"/>
          <w:lang w:val="en-US" w:eastAsia="zh-CN"/>
        </w:rPr>
        <w:t xml:space="preserve">  </w:t>
      </w:r>
      <w:r>
        <w:rPr>
          <w:rFonts w:hint="eastAsia" w:hAnsi="黑体"/>
          <w:bCs/>
          <w:sz w:val="28"/>
          <w:szCs w:val="28"/>
        </w:rPr>
        <w:t>名词解释</w:t>
      </w:r>
    </w:p>
    <w:p>
      <w:pPr>
        <w:pStyle w:val="17"/>
        <w:spacing w:line="500" w:lineRule="exact"/>
        <w:rPr>
          <w:rFonts w:hint="eastAsia" w:hAnsi="黑体" w:eastAsia="黑体"/>
          <w:bCs/>
          <w:sz w:val="28"/>
          <w:szCs w:val="28"/>
          <w:lang w:val="en-US" w:eastAsia="zh-CN"/>
        </w:rPr>
      </w:pPr>
      <w:r>
        <w:rPr>
          <w:rFonts w:hint="eastAsia" w:hAnsi="黑体"/>
          <w:bCs/>
          <w:sz w:val="28"/>
          <w:szCs w:val="28"/>
          <w:lang w:val="en-US" w:eastAsia="zh-CN"/>
        </w:rPr>
        <w:t>第五部分  附 件</w:t>
      </w:r>
    </w:p>
    <w:p>
      <w:pPr>
        <w:pStyle w:val="17"/>
        <w:spacing w:line="500" w:lineRule="exact"/>
        <w:rPr>
          <w:rFonts w:hAnsi="黑体"/>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2"/>
      </w:pPr>
    </w:p>
    <w:p>
      <w:pPr>
        <w:pStyle w:val="7"/>
        <w:ind w:firstLine="480"/>
      </w:pPr>
    </w:p>
    <w:p/>
    <w:p>
      <w:pPr>
        <w:pStyle w:val="12"/>
      </w:pPr>
    </w:p>
    <w:p>
      <w:pPr>
        <w:pStyle w:val="7"/>
        <w:ind w:firstLine="480"/>
      </w:pPr>
    </w:p>
    <w:p/>
    <w:p>
      <w:pPr>
        <w:pStyle w:val="12"/>
      </w:pPr>
    </w:p>
    <w:p>
      <w:pPr>
        <w:pStyle w:val="7"/>
        <w:ind w:firstLine="480"/>
      </w:pPr>
    </w:p>
    <w:p/>
    <w:p>
      <w:pPr>
        <w:pStyle w:val="12"/>
      </w:pPr>
    </w:p>
    <w:p>
      <w:pPr>
        <w:pStyle w:val="7"/>
        <w:ind w:firstLine="480"/>
      </w:pPr>
    </w:p>
    <w:p/>
    <w:p>
      <w:pPr>
        <w:pStyle w:val="12"/>
      </w:pPr>
    </w:p>
    <w:p>
      <w:pPr>
        <w:pStyle w:val="7"/>
        <w:ind w:firstLine="480"/>
      </w:pPr>
    </w:p>
    <w:p/>
    <w:p>
      <w:pPr>
        <w:pStyle w:val="12"/>
      </w:pPr>
    </w:p>
    <w:p>
      <w:pPr>
        <w:pStyle w:val="17"/>
        <w:jc w:val="center"/>
        <w:rPr>
          <w:rFonts w:ascii="方正小标宋_GBK" w:hAnsi="方正小标宋_GBK" w:eastAsia="方正小标宋_GBK" w:cs="方正小标宋_GBK"/>
          <w:sz w:val="84"/>
          <w:szCs w:val="84"/>
        </w:rPr>
      </w:pPr>
    </w:p>
    <w:p>
      <w:pPr>
        <w:pStyle w:val="17"/>
        <w:jc w:val="center"/>
        <w:rPr>
          <w:rFonts w:ascii="方正小标宋_GBK" w:hAnsi="方正小标宋_GBK" w:eastAsia="方正小标宋_GBK" w:cs="方正小标宋_GBK"/>
          <w:sz w:val="84"/>
          <w:szCs w:val="84"/>
        </w:rPr>
      </w:pPr>
    </w:p>
    <w:p>
      <w:pPr>
        <w:pStyle w:val="17"/>
        <w:jc w:val="center"/>
        <w:rPr>
          <w:rFonts w:ascii="方正小标宋简体" w:hAnsi="方正小标宋_GBK" w:eastAsia="方正小标宋简体" w:cs="方正小标宋_GBK"/>
          <w:sz w:val="72"/>
          <w:szCs w:val="72"/>
        </w:rPr>
      </w:pPr>
      <w:r>
        <w:rPr>
          <w:rFonts w:hint="eastAsia" w:ascii="方正小标宋简体" w:hAnsi="方正小标宋_GBK" w:eastAsia="方正小标宋简体" w:cs="方正小标宋_GBK"/>
          <w:sz w:val="72"/>
          <w:szCs w:val="72"/>
        </w:rPr>
        <w:t xml:space="preserve">第一部分 </w:t>
      </w:r>
    </w:p>
    <w:p>
      <w:pPr>
        <w:pStyle w:val="17"/>
        <w:jc w:val="center"/>
        <w:rPr>
          <w:rFonts w:ascii="Times New Roman" w:hAnsi="Times New Roman" w:eastAsia="方正小标宋简体" w:cs="Times New Roman"/>
          <w:color w:val="auto"/>
          <w:sz w:val="72"/>
          <w:szCs w:val="72"/>
        </w:rPr>
      </w:pPr>
      <w:r>
        <w:rPr>
          <w:rFonts w:ascii="Times New Roman" w:hAnsi="Times New Roman" w:eastAsia="方正小标宋简体" w:cs="Times New Roman"/>
          <w:color w:val="auto"/>
          <w:sz w:val="72"/>
          <w:szCs w:val="72"/>
        </w:rPr>
        <w:t>中共湖南省委组织部概况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8"/>
        <w:ind w:left="720" w:firstLine="0" w:firstLineChars="0"/>
        <w:jc w:val="left"/>
        <w:rPr>
          <w:rFonts w:ascii="黑体" w:hAnsi="黑体" w:eastAsia="黑体" w:cs="黑体"/>
          <w:sz w:val="32"/>
          <w:szCs w:val="32"/>
        </w:rPr>
      </w:pPr>
    </w:p>
    <w:p>
      <w:pPr>
        <w:pStyle w:val="18"/>
        <w:ind w:left="720" w:firstLine="0" w:firstLineChars="0"/>
        <w:jc w:val="left"/>
        <w:rPr>
          <w:rFonts w:ascii="黑体" w:hAnsi="黑体" w:eastAsia="黑体" w:cs="黑体"/>
          <w:sz w:val="32"/>
          <w:szCs w:val="32"/>
        </w:rPr>
      </w:pPr>
    </w:p>
    <w:p>
      <w:pPr>
        <w:pStyle w:val="18"/>
        <w:ind w:left="720" w:firstLine="0" w:firstLineChars="0"/>
        <w:jc w:val="left"/>
        <w:rPr>
          <w:rFonts w:ascii="黑体" w:hAnsi="黑体" w:eastAsia="黑体" w:cs="黑体"/>
          <w:sz w:val="32"/>
          <w:szCs w:val="32"/>
        </w:rPr>
      </w:pPr>
    </w:p>
    <w:p>
      <w:pPr>
        <w:pStyle w:val="18"/>
        <w:numPr>
          <w:ilvl w:val="0"/>
          <w:numId w:val="1"/>
        </w:numPr>
        <w:spacing w:line="600" w:lineRule="exact"/>
        <w:ind w:firstLineChars="0"/>
        <w:jc w:val="left"/>
        <w:rPr>
          <w:rFonts w:ascii="黑体" w:hAnsi="黑体" w:eastAsia="黑体" w:cs="黑体"/>
          <w:sz w:val="32"/>
          <w:szCs w:val="32"/>
        </w:rPr>
      </w:pPr>
      <w:r>
        <w:rPr>
          <w:rFonts w:hint="eastAsia" w:ascii="黑体" w:hAnsi="黑体" w:eastAsia="黑体" w:cs="黑体"/>
          <w:sz w:val="32"/>
          <w:szCs w:val="32"/>
        </w:rPr>
        <w:t>部门职责</w:t>
      </w:r>
    </w:p>
    <w:p>
      <w:pPr>
        <w:widowControl/>
        <w:spacing w:line="600" w:lineRule="exact"/>
        <w:ind w:firstLine="640" w:firstLineChars="200"/>
        <w:rPr>
          <w:rFonts w:eastAsia="仿宋_GB2312"/>
          <w:sz w:val="32"/>
          <w:szCs w:val="32"/>
        </w:rPr>
      </w:pPr>
      <w:r>
        <w:rPr>
          <w:rFonts w:hint="eastAsia" w:eastAsia="仿宋_GB2312"/>
          <w:sz w:val="32"/>
          <w:szCs w:val="32"/>
        </w:rPr>
        <w:t>省委组织部是省委主管组织工作、干部工作、公务员工作和人才工作的综合职能部门。</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eastAsia="仿宋_GB2312"/>
          <w:sz w:val="32"/>
          <w:szCs w:val="32"/>
        </w:rPr>
      </w:pPr>
      <w:r>
        <w:rPr>
          <w:rFonts w:hint="eastAsia" w:ascii="楷体_GB2312" w:hAnsi="Times New Roman" w:eastAsia="楷体_GB2312" w:cs="仿宋_GB2312"/>
          <w:bCs/>
          <w:kern w:val="0"/>
          <w:sz w:val="32"/>
          <w:szCs w:val="32"/>
        </w:rPr>
        <w:t>（一）内设机构设置。</w:t>
      </w:r>
      <w:r>
        <w:rPr>
          <w:rFonts w:hint="eastAsia" w:eastAsia="仿宋_GB2312"/>
          <w:sz w:val="32"/>
          <w:szCs w:val="32"/>
          <w:lang w:eastAsia="zh-CN"/>
        </w:rPr>
        <w:t>省委组织部</w:t>
      </w:r>
      <w:r>
        <w:rPr>
          <w:rFonts w:hint="eastAsia" w:eastAsia="仿宋_GB2312"/>
          <w:sz w:val="32"/>
          <w:szCs w:val="32"/>
        </w:rPr>
        <w:t>共有内设职能处室</w:t>
      </w:r>
      <w:r>
        <w:rPr>
          <w:rFonts w:ascii="Times New Roman" w:hAnsi="Times New Roman" w:eastAsia="仿宋_GB2312" w:cs="Times New Roman"/>
          <w:sz w:val="32"/>
          <w:szCs w:val="32"/>
        </w:rPr>
        <w:t>20</w:t>
      </w:r>
      <w:r>
        <w:rPr>
          <w:rFonts w:hint="eastAsia" w:eastAsia="仿宋_GB2312"/>
          <w:sz w:val="32"/>
          <w:szCs w:val="32"/>
        </w:rPr>
        <w:t>个，下设省人才发展中心、党员教育中心（省委远教办）、党建研究所等</w:t>
      </w:r>
      <w:r>
        <w:rPr>
          <w:rFonts w:ascii="Times New Roman" w:hAnsi="Times New Roman" w:eastAsia="仿宋_GB2312" w:cs="Times New Roman"/>
          <w:sz w:val="32"/>
          <w:szCs w:val="32"/>
        </w:rPr>
        <w:t>3</w:t>
      </w:r>
      <w:r>
        <w:rPr>
          <w:rFonts w:hint="eastAsia" w:eastAsia="仿宋_GB2312"/>
          <w:sz w:val="32"/>
          <w:szCs w:val="32"/>
        </w:rPr>
        <w:t>个公益一类事业单位。</w:t>
      </w:r>
    </w:p>
    <w:p>
      <w:pPr>
        <w:widowControl/>
        <w:spacing w:line="600" w:lineRule="exact"/>
        <w:ind w:firstLine="640" w:firstLineChars="200"/>
        <w:jc w:val="left"/>
        <w:rPr>
          <w:rFonts w:ascii="Times New Roman" w:hAnsi="Times New Roman" w:eastAsia="仿宋_GB2312" w:cs="Times New Roman"/>
          <w:sz w:val="28"/>
          <w:szCs w:val="32"/>
        </w:rPr>
      </w:pPr>
      <w:r>
        <w:rPr>
          <w:rFonts w:hint="eastAsia" w:ascii="楷体_GB2312" w:hAnsi="Times New Roman" w:eastAsia="楷体_GB2312" w:cs="仿宋_GB2312"/>
          <w:bCs/>
          <w:kern w:val="0"/>
          <w:sz w:val="32"/>
          <w:szCs w:val="32"/>
        </w:rPr>
        <w:t>（二）决算单位构成。</w:t>
      </w:r>
      <w:r>
        <w:rPr>
          <w:rFonts w:ascii="Times New Roman" w:hAnsi="Times New Roman" w:eastAsia="仿宋_GB2312" w:cs="Times New Roman"/>
          <w:bCs/>
          <w:kern w:val="0"/>
          <w:sz w:val="32"/>
          <w:szCs w:val="32"/>
        </w:rPr>
        <w:t>省委组织部202</w:t>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年部门决算汇总公开单位构成包括：省委组织部本级。省委组织部为省直一级预算单位，无下属二级机构及其他。</w:t>
      </w:r>
    </w:p>
    <w:p>
      <w:pPr>
        <w:spacing w:line="600" w:lineRule="exact"/>
        <w:jc w:val="left"/>
        <w:rPr>
          <w:rFonts w:ascii="Times New Roman" w:hAnsi="Times New Roman" w:eastAsia="黑体" w:cs="Times New Roman"/>
          <w:sz w:val="28"/>
          <w:szCs w:val="28"/>
        </w:rPr>
      </w:pPr>
    </w:p>
    <w:p>
      <w:pPr>
        <w:widowControl/>
        <w:spacing w:line="600" w:lineRule="exac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7"/>
        <w:jc w:val="center"/>
        <w:rPr>
          <w:rFonts w:ascii="方正小标宋简体" w:hAnsi="方正小标宋_GBK" w:eastAsia="方正小标宋简体" w:cs="方正小标宋_GBK"/>
          <w:sz w:val="72"/>
          <w:szCs w:val="72"/>
        </w:rPr>
      </w:pPr>
      <w:r>
        <w:rPr>
          <w:rFonts w:hint="eastAsia" w:ascii="方正小标宋简体" w:hAnsi="方正小标宋_GBK" w:eastAsia="方正小标宋简体" w:cs="方正小标宋_GBK"/>
          <w:sz w:val="72"/>
          <w:szCs w:val="72"/>
        </w:rPr>
        <w:t>第二部分</w:t>
      </w:r>
    </w:p>
    <w:p>
      <w:pPr>
        <w:pStyle w:val="17"/>
        <w:jc w:val="center"/>
        <w:rPr>
          <w:rFonts w:ascii="方正小标宋简体" w:hAnsi="方正小标宋_GBK" w:eastAsia="方正小标宋简体" w:cs="方正小标宋_GBK"/>
          <w:sz w:val="72"/>
          <w:szCs w:val="72"/>
        </w:rPr>
      </w:pPr>
      <w:r>
        <w:rPr>
          <w:rFonts w:hint="eastAsia" w:ascii="方正小标宋简体" w:hAnsi="方正小标宋_GBK" w:eastAsia="方正小标宋简体" w:cs="方正小标宋_GBK"/>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footerReference r:id="rId4" w:type="default"/>
          <w:pgSz w:w="11906" w:h="16838"/>
          <w:pgMar w:top="1701" w:right="1701" w:bottom="1701" w:left="1701" w:header="851" w:footer="992" w:gutter="0"/>
          <w:cols w:space="720" w:num="1"/>
          <w:docGrid w:type="lines" w:linePitch="312" w:charSpace="0"/>
        </w:sectPr>
      </w:pPr>
    </w:p>
    <w:tbl>
      <w:tblPr>
        <w:tblStyle w:val="15"/>
        <w:tblW w:w="15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280" w:type="dxa"/>
            <w:tcBorders>
              <w:top w:val="nil"/>
              <w:left w:val="nil"/>
              <w:bottom w:val="nil"/>
              <w:right w:val="nil"/>
            </w:tcBorders>
            <w:tcMar>
              <w:top w:w="15" w:type="dxa"/>
              <w:left w:w="15" w:type="dxa"/>
              <w:bottom w:w="0" w:type="dxa"/>
              <w:right w:w="15" w:type="dxa"/>
            </w:tcMar>
            <w:vAlign w:val="center"/>
          </w:tcPr>
          <w:tbl>
            <w:tblPr>
              <w:tblStyle w:val="15"/>
              <w:tblW w:w="15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412"/>
              <w:gridCol w:w="413"/>
              <w:gridCol w:w="2552"/>
              <w:gridCol w:w="713"/>
              <w:gridCol w:w="242"/>
              <w:gridCol w:w="1187"/>
              <w:gridCol w:w="182"/>
              <w:gridCol w:w="1328"/>
              <w:gridCol w:w="1081"/>
              <w:gridCol w:w="886"/>
              <w:gridCol w:w="886"/>
              <w:gridCol w:w="266"/>
              <w:gridCol w:w="680"/>
              <w:gridCol w:w="412"/>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250" w:type="dxa"/>
                  <w:gridSpan w:val="16"/>
                  <w:tcBorders>
                    <w:top w:val="nil"/>
                    <w:left w:val="nil"/>
                    <w:bottom w:val="nil"/>
                    <w:right w:val="nil"/>
                  </w:tcBorders>
                  <w:vAlign w:val="center"/>
                </w:tcPr>
                <w:p>
                  <w:pPr>
                    <w:widowControl/>
                    <w:spacing w:line="260" w:lineRule="exact"/>
                    <w:jc w:val="center"/>
                    <w:rPr>
                      <w:rFonts w:ascii="黑体" w:hAnsi="黑体" w:eastAsia="黑体" w:cs="宋体"/>
                      <w:kern w:val="0"/>
                      <w:sz w:val="24"/>
                      <w:szCs w:val="24"/>
                    </w:rPr>
                  </w:pPr>
                  <w:r>
                    <w:rPr>
                      <w:rFonts w:hint="eastAsia" w:ascii="黑体" w:hAnsi="黑体" w:eastAsia="黑体" w:cs="宋体"/>
                      <w:kern w:val="0"/>
                      <w:sz w:val="24"/>
                      <w:szCs w:val="2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43" w:type="dxa"/>
                  <w:gridSpan w:val="4"/>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713" w:type="dxa"/>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1429" w:type="dxa"/>
                  <w:gridSpan w:val="2"/>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4629" w:type="dxa"/>
                  <w:gridSpan w:val="6"/>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680" w:type="dxa"/>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1956" w:type="dxa"/>
                  <w:gridSpan w:val="2"/>
                  <w:tcBorders>
                    <w:top w:val="nil"/>
                    <w:left w:val="nil"/>
                    <w:bottom w:val="nil"/>
                    <w:right w:val="nil"/>
                  </w:tcBorders>
                  <w:vAlign w:val="bottom"/>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43" w:type="dxa"/>
                  <w:gridSpan w:val="4"/>
                  <w:tcBorders>
                    <w:top w:val="nil"/>
                    <w:left w:val="nil"/>
                    <w:bottom w:val="nil"/>
                    <w:right w:val="nil"/>
                  </w:tcBorders>
                  <w:vAlign w:val="bottom"/>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部门：中共湖南省委组织部</w:t>
                  </w:r>
                </w:p>
              </w:tc>
              <w:tc>
                <w:tcPr>
                  <w:tcW w:w="713" w:type="dxa"/>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1429" w:type="dxa"/>
                  <w:gridSpan w:val="2"/>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4629" w:type="dxa"/>
                  <w:gridSpan w:val="6"/>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680" w:type="dxa"/>
                  <w:tcBorders>
                    <w:top w:val="nil"/>
                    <w:left w:val="nil"/>
                    <w:bottom w:val="nil"/>
                    <w:right w:val="nil"/>
                  </w:tcBorders>
                  <w:vAlign w:val="center"/>
                </w:tcPr>
                <w:p>
                  <w:pPr>
                    <w:widowControl/>
                    <w:spacing w:line="200" w:lineRule="exact"/>
                    <w:jc w:val="left"/>
                    <w:rPr>
                      <w:rFonts w:ascii="宋体" w:hAnsi="宋体" w:eastAsia="宋体" w:cs="宋体"/>
                      <w:color w:val="000000"/>
                      <w:kern w:val="0"/>
                      <w:sz w:val="18"/>
                      <w:szCs w:val="18"/>
                    </w:rPr>
                  </w:pPr>
                </w:p>
              </w:tc>
              <w:tc>
                <w:tcPr>
                  <w:tcW w:w="1956" w:type="dxa"/>
                  <w:gridSpan w:val="2"/>
                  <w:tcBorders>
                    <w:top w:val="nil"/>
                    <w:left w:val="nil"/>
                    <w:bottom w:val="nil"/>
                    <w:right w:val="nil"/>
                  </w:tcBorders>
                  <w:vAlign w:val="bottom"/>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798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收入</w:t>
                  </w:r>
                </w:p>
              </w:tc>
              <w:tc>
                <w:tcPr>
                  <w:tcW w:w="726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4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c>
                <w:tcPr>
                  <w:tcW w:w="4629" w:type="dxa"/>
                  <w:gridSpan w:val="6"/>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9" w:type="dxa"/>
                  <w:gridSpan w:val="6"/>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10,877.46</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四、上级补助收入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六、经营收入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七、附属单位上缴收入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八、其他收入</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本年收入合计</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10,877.46</w:t>
                  </w:r>
                </w:p>
              </w:tc>
              <w:tc>
                <w:tcPr>
                  <w:tcW w:w="4629" w:type="dxa"/>
                  <w:gridSpan w:val="6"/>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本年支出合计</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9,568.91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使用非财政拨款结余和专用结余</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结余分配</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年初结转和结余</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559.82</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年末结转和结余</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1,868.36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29"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956"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58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71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42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11,437.27</w:t>
                  </w:r>
                </w:p>
              </w:tc>
              <w:tc>
                <w:tcPr>
                  <w:tcW w:w="4629" w:type="dxa"/>
                  <w:gridSpan w:val="6"/>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6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956"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11,437.27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250" w:type="dxa"/>
                  <w:gridSpan w:val="16"/>
                  <w:tcBorders>
                    <w:top w:val="nil"/>
                    <w:left w:val="nil"/>
                    <w:bottom w:val="nil"/>
                    <w:right w:val="nil"/>
                  </w:tcBorders>
                  <w:vAlign w:val="center"/>
                </w:tcPr>
                <w:p>
                  <w:pPr>
                    <w:widowControl/>
                    <w:spacing w:line="1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250" w:type="dxa"/>
                  <w:gridSpan w:val="16"/>
                  <w:tcBorders>
                    <w:top w:val="nil"/>
                    <w:left w:val="nil"/>
                    <w:bottom w:val="nil"/>
                    <w:right w:val="nil"/>
                  </w:tcBorders>
                  <w:vAlign w:val="center"/>
                </w:tcPr>
                <w:p>
                  <w:pPr>
                    <w:widowControl/>
                    <w:spacing w:line="1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250" w:type="dxa"/>
                  <w:gridSpan w:val="16"/>
                  <w:tcBorders>
                    <w:top w:val="nil"/>
                    <w:left w:val="nil"/>
                    <w:bottom w:val="nil"/>
                    <w:right w:val="nil"/>
                  </w:tcBorders>
                  <w:vAlign w:val="center"/>
                </w:tcPr>
                <w:p>
                  <w:pPr>
                    <w:widowControl/>
                    <w:jc w:val="center"/>
                    <w:rPr>
                      <w:rFonts w:ascii="黑体" w:hAnsi="黑体" w:eastAsia="黑体" w:cs="宋体"/>
                      <w:kern w:val="0"/>
                      <w:sz w:val="20"/>
                      <w:szCs w:val="20"/>
                    </w:rPr>
                  </w:pPr>
                  <w:r>
                    <w:rPr>
                      <w:rFonts w:hint="eastAsia" w:ascii="黑体" w:hAnsi="黑体" w:eastAsia="黑体" w:cs="宋体"/>
                      <w:kern w:val="0"/>
                      <w:sz w:val="24"/>
                      <w:szCs w:val="2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66"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412"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413"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3507"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369" w:type="dxa"/>
                  <w:gridSpan w:val="2"/>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328"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081"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886"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886"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358"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544" w:type="dxa"/>
                  <w:tcBorders>
                    <w:top w:val="nil"/>
                    <w:left w:val="nil"/>
                    <w:bottom w:val="nil"/>
                    <w:right w:val="nil"/>
                  </w:tcBorders>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98" w:type="dxa"/>
                  <w:gridSpan w:val="6"/>
                  <w:tcBorders>
                    <w:top w:val="nil"/>
                    <w:left w:val="nil"/>
                    <w:bottom w:val="nil"/>
                    <w:right w:val="nil"/>
                  </w:tcBorders>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部门：中共湖南省委组织部</w:t>
                  </w:r>
                </w:p>
              </w:tc>
              <w:tc>
                <w:tcPr>
                  <w:tcW w:w="1369" w:type="dxa"/>
                  <w:gridSpan w:val="2"/>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328"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081"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886"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886"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358"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544" w:type="dxa"/>
                  <w:tcBorders>
                    <w:top w:val="nil"/>
                    <w:left w:val="nil"/>
                    <w:bottom w:val="nil"/>
                    <w:right w:val="nil"/>
                  </w:tcBorders>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79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3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本年收入合计</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财政拨款收入</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上级补助收入</w:t>
                  </w:r>
                </w:p>
              </w:tc>
              <w:tc>
                <w:tcPr>
                  <w:tcW w:w="8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8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经营收入</w:t>
                  </w:r>
                </w:p>
              </w:tc>
              <w:tc>
                <w:tcPr>
                  <w:tcW w:w="135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附属单位上缴收入</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29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科目代码</w:t>
                  </w:r>
                </w:p>
              </w:tc>
              <w:tc>
                <w:tcPr>
                  <w:tcW w:w="350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2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5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2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5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79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栏次</w:t>
                  </w:r>
                </w:p>
              </w:tc>
              <w:tc>
                <w:tcPr>
                  <w:tcW w:w="136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2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8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8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8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58"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4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79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10,877.46</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10,877.46</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一般公共服务支出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8,603.16</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8,603.16</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组织事务</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8,603.16</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8,603.16</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2013201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4,599.73</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4,599.73</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4,003.44</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4,003.44</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教育支出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20508</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进修及培训</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2050803</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培训支出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461.00</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708.82</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708.82</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698.21</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698.21</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245.00</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245.00</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453.21</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453.21</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20808</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抚恤</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2080899</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其他优抚支出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662.18</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662.18</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662.18</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662.18</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388.74</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388.74</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2101103</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公务员医疗补助</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273.44</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273.44</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住房保障支出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440.00</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440.00</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2210203</w:t>
                  </w:r>
                </w:p>
              </w:tc>
              <w:tc>
                <w:tcPr>
                  <w:tcW w:w="3507"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购房补贴</w:t>
                  </w:r>
                </w:p>
              </w:tc>
              <w:tc>
                <w:tcPr>
                  <w:tcW w:w="1369"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32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08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86"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58"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4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250" w:type="dxa"/>
                  <w:gridSpan w:val="16"/>
                  <w:tcBorders>
                    <w:top w:val="nil"/>
                    <w:left w:val="nil"/>
                    <w:bottom w:val="nil"/>
                    <w:right w:val="nil"/>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注：本表反映部门本年度取得的各项收入情况。</w:t>
                  </w:r>
                </w:p>
                <w:tbl>
                  <w:tblPr>
                    <w:tblStyle w:val="15"/>
                    <w:tblW w:w="15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
                    <w:gridCol w:w="305"/>
                    <w:gridCol w:w="431"/>
                    <w:gridCol w:w="640"/>
                    <w:gridCol w:w="382"/>
                    <w:gridCol w:w="131"/>
                    <w:gridCol w:w="1216"/>
                    <w:gridCol w:w="986"/>
                    <w:gridCol w:w="427"/>
                    <w:gridCol w:w="22"/>
                    <w:gridCol w:w="1652"/>
                    <w:gridCol w:w="927"/>
                    <w:gridCol w:w="486"/>
                    <w:gridCol w:w="99"/>
                    <w:gridCol w:w="850"/>
                    <w:gridCol w:w="743"/>
                    <w:gridCol w:w="722"/>
                    <w:gridCol w:w="718"/>
                    <w:gridCol w:w="717"/>
                    <w:gridCol w:w="341"/>
                    <w:gridCol w:w="955"/>
                    <w:gridCol w:w="490"/>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034" w:type="dxa"/>
                        <w:gridSpan w:val="23"/>
                        <w:tcBorders>
                          <w:top w:val="nil"/>
                          <w:left w:val="nil"/>
                          <w:bottom w:val="nil"/>
                          <w:right w:val="nil"/>
                        </w:tcBorders>
                        <w:vAlign w:val="center"/>
                      </w:tcPr>
                      <w:p>
                        <w:pPr>
                          <w:widowControl/>
                          <w:jc w:val="center"/>
                          <w:rPr>
                            <w:rFonts w:hint="eastAsia" w:ascii="黑体" w:hAnsi="黑体" w:eastAsia="黑体" w:cs="宋体"/>
                            <w:kern w:val="0"/>
                            <w:sz w:val="24"/>
                            <w:szCs w:val="24"/>
                          </w:rPr>
                        </w:pPr>
                      </w:p>
                      <w:p>
                        <w:pPr>
                          <w:widowControl/>
                          <w:jc w:val="center"/>
                          <w:rPr>
                            <w:rFonts w:ascii="黑体" w:hAnsi="黑体" w:eastAsia="黑体" w:cs="宋体"/>
                            <w:kern w:val="0"/>
                            <w:sz w:val="20"/>
                            <w:szCs w:val="20"/>
                          </w:rPr>
                        </w:pPr>
                        <w:r>
                          <w:rPr>
                            <w:rFonts w:hint="eastAsia" w:ascii="黑体" w:hAnsi="黑体" w:eastAsia="黑体" w:cs="宋体"/>
                            <w:kern w:val="0"/>
                            <w:sz w:val="24"/>
                            <w:szCs w:val="2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4"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431" w:type="dxa"/>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640" w:type="dxa"/>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3164" w:type="dxa"/>
                        <w:gridSpan w:val="6"/>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652" w:type="dxa"/>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512" w:type="dxa"/>
                        <w:gridSpan w:val="3"/>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593"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440"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058"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3120" w:type="dxa"/>
                        <w:gridSpan w:val="3"/>
                        <w:tcBorders>
                          <w:top w:val="nil"/>
                          <w:left w:val="nil"/>
                          <w:bottom w:val="nil"/>
                          <w:right w:val="nil"/>
                        </w:tcBorders>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9" w:type="dxa"/>
                        <w:gridSpan w:val="10"/>
                        <w:tcBorders>
                          <w:top w:val="nil"/>
                          <w:left w:val="nil"/>
                          <w:bottom w:val="nil"/>
                          <w:right w:val="nil"/>
                        </w:tcBorders>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部门：中共湖南省委组织部</w:t>
                        </w:r>
                      </w:p>
                    </w:tc>
                    <w:tc>
                      <w:tcPr>
                        <w:tcW w:w="1652" w:type="dxa"/>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512" w:type="dxa"/>
                        <w:gridSpan w:val="3"/>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593"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440"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p>
                    </w:tc>
                    <w:tc>
                      <w:tcPr>
                        <w:tcW w:w="1058" w:type="dxa"/>
                        <w:gridSpan w:val="2"/>
                        <w:tcBorders>
                          <w:top w:val="nil"/>
                          <w:left w:val="nil"/>
                          <w:bottom w:val="nil"/>
                          <w:right w:val="nil"/>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3120" w:type="dxa"/>
                        <w:gridSpan w:val="3"/>
                        <w:tcBorders>
                          <w:top w:val="nil"/>
                          <w:left w:val="nil"/>
                          <w:bottom w:val="nil"/>
                          <w:right w:val="nil"/>
                        </w:tcBorders>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65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6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本年支出合计</w:t>
                        </w:r>
                      </w:p>
                    </w:tc>
                    <w:tc>
                      <w:tcPr>
                        <w:tcW w:w="151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15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c>
                      <w:tcPr>
                        <w:tcW w:w="14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上缴上级支出</w:t>
                        </w:r>
                      </w:p>
                    </w:tc>
                    <w:tc>
                      <w:tcPr>
                        <w:tcW w:w="105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经营支出</w:t>
                        </w:r>
                      </w:p>
                    </w:tc>
                    <w:tc>
                      <w:tcPr>
                        <w:tcW w:w="312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9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科目代码</w:t>
                        </w:r>
                      </w:p>
                    </w:tc>
                    <w:tc>
                      <w:tcPr>
                        <w:tcW w:w="3164" w:type="dxa"/>
                        <w:gridSpan w:val="6"/>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1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16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1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16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1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65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栏次</w:t>
                        </w:r>
                      </w:p>
                    </w:tc>
                    <w:tc>
                      <w:tcPr>
                        <w:tcW w:w="165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12"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9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58"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120"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65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9,568.91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6,237.39</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3,331.52</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一般公共服务支出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7,720.07</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4,438.78</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3,281.30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组织事务</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7,720.07</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4,438.78</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3,281.30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2013201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4,438.78</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4,438.78</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2013202</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3,281.30</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3,281.30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教育支出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20508</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进修及培训</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2050803</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培训支出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39.61</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708.82</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698.21</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698.21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698.21</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行政单位离退休</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245.00</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245.00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453.21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453.21</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20808</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抚恤</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2080899</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其他优抚支出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10.62</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658.11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658.11</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658.11</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658.11</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384.67</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384.67</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2101103</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公务员医疗补助</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273.44</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273.44</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住房保障支出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442.29</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440.00</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440.00</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2210203</w:t>
                        </w:r>
                      </w:p>
                    </w:tc>
                    <w:tc>
                      <w:tcPr>
                        <w:tcW w:w="316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购房补贴</w:t>
                        </w:r>
                      </w:p>
                    </w:tc>
                    <w:tc>
                      <w:tcPr>
                        <w:tcW w:w="1652"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512"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59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440"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5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20"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034" w:type="dxa"/>
                        <w:gridSpan w:val="23"/>
                        <w:tcBorders>
                          <w:top w:val="nil"/>
                          <w:left w:val="nil"/>
                          <w:bottom w:val="nil"/>
                          <w:right w:val="nil"/>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390" w:hRule="atLeast"/>
                    </w:trPr>
                    <w:tc>
                      <w:tcPr>
                        <w:tcW w:w="14915" w:type="dxa"/>
                        <w:gridSpan w:val="22"/>
                        <w:tcBorders>
                          <w:top w:val="nil"/>
                          <w:left w:val="nil"/>
                          <w:bottom w:val="nil"/>
                          <w:right w:val="nil"/>
                        </w:tcBorders>
                        <w:vAlign w:val="center"/>
                      </w:tcPr>
                      <w:p>
                        <w:pPr>
                          <w:widowControl/>
                          <w:spacing w:line="240" w:lineRule="exact"/>
                          <w:jc w:val="center"/>
                          <w:rPr>
                            <w:rFonts w:ascii="黑体" w:hAnsi="黑体" w:eastAsia="黑体" w:cs="宋体"/>
                            <w:kern w:val="0"/>
                            <w:sz w:val="20"/>
                            <w:szCs w:val="20"/>
                          </w:rPr>
                        </w:pPr>
                        <w:r>
                          <w:rPr>
                            <w:rFonts w:hint="eastAsia" w:ascii="黑体" w:hAnsi="黑体" w:eastAsia="黑体" w:cs="宋体"/>
                            <w:kern w:val="0"/>
                            <w:sz w:val="24"/>
                            <w:szCs w:val="2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758" w:type="dxa"/>
                        <w:gridSpan w:val="4"/>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2333"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427" w:type="dxa"/>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2601"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435" w:type="dxa"/>
                        <w:gridSpan w:val="3"/>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465" w:type="dxa"/>
                        <w:gridSpan w:val="2"/>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435" w:type="dxa"/>
                        <w:gridSpan w:val="2"/>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1296" w:type="dxa"/>
                        <w:gridSpan w:val="2"/>
                        <w:tcBorders>
                          <w:top w:val="nil"/>
                          <w:left w:val="nil"/>
                          <w:bottom w:val="nil"/>
                          <w:right w:val="nil"/>
                        </w:tcBorders>
                        <w:vAlign w:val="center"/>
                      </w:tcPr>
                      <w:p>
                        <w:pPr>
                          <w:widowControl/>
                          <w:jc w:val="left"/>
                          <w:rPr>
                            <w:rFonts w:ascii="宋体" w:hAnsi="宋体" w:eastAsia="宋体" w:cs="宋体"/>
                            <w:color w:val="000000"/>
                            <w:kern w:val="0"/>
                            <w:sz w:val="18"/>
                            <w:szCs w:val="18"/>
                          </w:rPr>
                        </w:pPr>
                      </w:p>
                    </w:tc>
                    <w:tc>
                      <w:tcPr>
                        <w:tcW w:w="2165" w:type="dxa"/>
                        <w:gridSpan w:val="2"/>
                        <w:tcBorders>
                          <w:top w:val="nil"/>
                          <w:left w:val="nil"/>
                          <w:bottom w:val="nil"/>
                          <w:right w:val="nil"/>
                        </w:tcBorders>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4091" w:type="dxa"/>
                        <w:gridSpan w:val="7"/>
                        <w:tcBorders>
                          <w:top w:val="nil"/>
                          <w:left w:val="nil"/>
                          <w:bottom w:val="nil"/>
                          <w:right w:val="nil"/>
                        </w:tcBorders>
                        <w:vAlign w:val="top"/>
                      </w:tcPr>
                      <w:p>
                        <w:pPr>
                          <w:rPr>
                            <w:rFonts w:ascii="Calibri" w:hAnsi="Calibri" w:eastAsia="宋体" w:cs="Times New Roman"/>
                            <w:color w:val="000000"/>
                            <w:kern w:val="0"/>
                            <w:sz w:val="18"/>
                            <w:szCs w:val="18"/>
                          </w:rPr>
                        </w:pPr>
                        <w:r>
                          <w:rPr>
                            <w:rFonts w:hint="eastAsia" w:ascii="宋体" w:hAnsi="宋体" w:eastAsia="宋体" w:cs="宋体"/>
                            <w:kern w:val="0"/>
                            <w:sz w:val="20"/>
                            <w:szCs w:val="20"/>
                          </w:rPr>
                          <w:t>部门：中共湖南省委组织部</w:t>
                        </w:r>
                      </w:p>
                    </w:tc>
                    <w:tc>
                      <w:tcPr>
                        <w:tcW w:w="427" w:type="dxa"/>
                        <w:tcBorders>
                          <w:top w:val="nil"/>
                          <w:left w:val="nil"/>
                          <w:bottom w:val="nil"/>
                          <w:right w:val="nil"/>
                        </w:tcBorders>
                        <w:vAlign w:val="center"/>
                      </w:tcPr>
                      <w:p>
                        <w:pPr>
                          <w:rPr>
                            <w:rFonts w:ascii="Calibri" w:hAnsi="Calibri" w:eastAsia="宋体" w:cs="Times New Roman"/>
                            <w:color w:val="000000"/>
                            <w:kern w:val="0"/>
                            <w:sz w:val="18"/>
                            <w:szCs w:val="18"/>
                          </w:rPr>
                        </w:pPr>
                      </w:p>
                    </w:tc>
                    <w:tc>
                      <w:tcPr>
                        <w:tcW w:w="2601" w:type="dxa"/>
                        <w:gridSpan w:val="3"/>
                        <w:tcBorders>
                          <w:top w:val="nil"/>
                          <w:left w:val="nil"/>
                          <w:bottom w:val="nil"/>
                          <w:right w:val="nil"/>
                        </w:tcBorders>
                        <w:vAlign w:val="center"/>
                      </w:tcPr>
                      <w:p>
                        <w:pPr>
                          <w:rPr>
                            <w:rFonts w:ascii="Calibri" w:hAnsi="Calibri" w:eastAsia="宋体" w:cs="Times New Roman"/>
                            <w:color w:val="000000"/>
                            <w:kern w:val="0"/>
                            <w:sz w:val="18"/>
                            <w:szCs w:val="18"/>
                          </w:rPr>
                        </w:pPr>
                      </w:p>
                    </w:tc>
                    <w:tc>
                      <w:tcPr>
                        <w:tcW w:w="1435" w:type="dxa"/>
                        <w:gridSpan w:val="3"/>
                        <w:tcBorders>
                          <w:top w:val="nil"/>
                          <w:left w:val="nil"/>
                          <w:bottom w:val="nil"/>
                          <w:right w:val="nil"/>
                        </w:tcBorders>
                        <w:vAlign w:val="center"/>
                      </w:tcPr>
                      <w:p>
                        <w:pPr>
                          <w:rPr>
                            <w:rFonts w:ascii="Calibri" w:hAnsi="Calibri" w:eastAsia="宋体" w:cs="Times New Roman"/>
                            <w:color w:val="000000"/>
                            <w:kern w:val="0"/>
                            <w:sz w:val="18"/>
                            <w:szCs w:val="18"/>
                          </w:rPr>
                        </w:pPr>
                      </w:p>
                    </w:tc>
                    <w:tc>
                      <w:tcPr>
                        <w:tcW w:w="1465" w:type="dxa"/>
                        <w:gridSpan w:val="2"/>
                        <w:tcBorders>
                          <w:top w:val="nil"/>
                          <w:left w:val="nil"/>
                          <w:bottom w:val="nil"/>
                          <w:right w:val="nil"/>
                        </w:tcBorders>
                        <w:vAlign w:val="center"/>
                      </w:tcPr>
                      <w:p>
                        <w:pPr>
                          <w:rPr>
                            <w:rFonts w:ascii="Calibri" w:hAnsi="Calibri" w:eastAsia="宋体" w:cs="Times New Roman"/>
                            <w:color w:val="000000"/>
                            <w:kern w:val="0"/>
                            <w:sz w:val="18"/>
                            <w:szCs w:val="18"/>
                          </w:rPr>
                        </w:pPr>
                      </w:p>
                    </w:tc>
                    <w:tc>
                      <w:tcPr>
                        <w:tcW w:w="1435" w:type="dxa"/>
                        <w:gridSpan w:val="2"/>
                        <w:tcBorders>
                          <w:top w:val="nil"/>
                          <w:left w:val="nil"/>
                          <w:bottom w:val="nil"/>
                          <w:right w:val="nil"/>
                        </w:tcBorders>
                        <w:vAlign w:val="center"/>
                      </w:tcPr>
                      <w:p>
                        <w:pPr>
                          <w:rPr>
                            <w:rFonts w:ascii="Calibri" w:hAnsi="Calibri" w:eastAsia="宋体" w:cs="Times New Roman"/>
                            <w:color w:val="000000"/>
                            <w:kern w:val="0"/>
                            <w:sz w:val="18"/>
                            <w:szCs w:val="18"/>
                          </w:rPr>
                        </w:pPr>
                      </w:p>
                    </w:tc>
                    <w:tc>
                      <w:tcPr>
                        <w:tcW w:w="1296" w:type="dxa"/>
                        <w:gridSpan w:val="2"/>
                        <w:tcBorders>
                          <w:top w:val="nil"/>
                          <w:left w:val="nil"/>
                          <w:bottom w:val="nil"/>
                          <w:right w:val="nil"/>
                        </w:tcBorders>
                        <w:vAlign w:val="center"/>
                      </w:tcPr>
                      <w:p>
                        <w:pPr>
                          <w:rPr>
                            <w:rFonts w:ascii="Calibri" w:hAnsi="Calibri" w:eastAsia="宋体" w:cs="Times New Roman"/>
                            <w:color w:val="000000"/>
                            <w:kern w:val="0"/>
                            <w:sz w:val="18"/>
                            <w:szCs w:val="18"/>
                          </w:rPr>
                        </w:pPr>
                      </w:p>
                    </w:tc>
                    <w:tc>
                      <w:tcPr>
                        <w:tcW w:w="2165" w:type="dxa"/>
                        <w:gridSpan w:val="2"/>
                        <w:tcBorders>
                          <w:top w:val="nil"/>
                          <w:left w:val="nil"/>
                          <w:bottom w:val="nil"/>
                          <w:right w:val="nil"/>
                        </w:tcBorders>
                        <w:vAlign w:val="bottom"/>
                      </w:tcPr>
                      <w:p>
                        <w:pPr>
                          <w:rPr>
                            <w:rFonts w:ascii="Calibri" w:hAnsi="Calibri" w:eastAsia="宋体" w:cs="Times New Roman"/>
                            <w:kern w:val="0"/>
                            <w:sz w:val="18"/>
                            <w:szCs w:val="18"/>
                          </w:rPr>
                        </w:pPr>
                        <w:r>
                          <w:rPr>
                            <w:rFonts w:hint="eastAsia" w:ascii="Calibri" w:hAnsi="Calibri" w:eastAsia="宋体" w:cs="Times New Roman"/>
                            <w:kern w:val="0"/>
                            <w:sz w:val="18"/>
                            <w:szCs w:val="18"/>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45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收     入</w:t>
                        </w:r>
                      </w:p>
                    </w:tc>
                    <w:tc>
                      <w:tcPr>
                        <w:tcW w:w="10397"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413"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c>
                      <w:tcPr>
                        <w:tcW w:w="3087" w:type="dxa"/>
                        <w:gridSpan w:val="4"/>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94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465"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435"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一般公共预算财政拨款</w:t>
                        </w:r>
                      </w:p>
                    </w:tc>
                    <w:tc>
                      <w:tcPr>
                        <w:tcW w:w="1786" w:type="dxa"/>
                        <w:gridSpan w:val="3"/>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政府性基金预算财政拨款</w:t>
                        </w:r>
                      </w:p>
                    </w:tc>
                    <w:tc>
                      <w:tcPr>
                        <w:tcW w:w="167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8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4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78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087"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3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86"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6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10,877.46</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7,720.07</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7,720.07</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39.61</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39.61</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708.82</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708.82</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658.11</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658.11</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442.29</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442.29</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本年收入合计</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10,877.46</w:t>
                        </w:r>
                      </w:p>
                    </w:tc>
                    <w:tc>
                      <w:tcPr>
                        <w:tcW w:w="3087"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本年支出合计</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9,568.91</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9,568.91</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559.82</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1,868.36</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1,868.36</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559.82</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087"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255" w:hRule="exact"/>
                    </w:trPr>
                    <w:tc>
                      <w:tcPr>
                        <w:tcW w:w="188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413"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11,437.27</w:t>
                        </w:r>
                      </w:p>
                    </w:tc>
                    <w:tc>
                      <w:tcPr>
                        <w:tcW w:w="3087"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9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46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11,437.27</w:t>
                        </w:r>
                      </w:p>
                    </w:tc>
                    <w:tc>
                      <w:tcPr>
                        <w:tcW w:w="1435"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11,437.27</w:t>
                        </w:r>
                      </w:p>
                    </w:tc>
                    <w:tc>
                      <w:tcPr>
                        <w:tcW w:w="1786"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7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9" w:type="dxa"/>
                      <w:trHeight w:val="300" w:hRule="atLeast"/>
                    </w:trPr>
                    <w:tc>
                      <w:tcPr>
                        <w:tcW w:w="13240" w:type="dxa"/>
                        <w:gridSpan w:val="21"/>
                        <w:tcBorders>
                          <w:top w:val="nil"/>
                          <w:left w:val="nil"/>
                          <w:bottom w:val="nil"/>
                          <w:right w:val="nil"/>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注：本表反映部门本年度一般公共预算财政拨款、政府性基金预算财政拨款和国有资本经营预算财政拨款的总收支和年末结转结余情况。</w:t>
                        </w:r>
                      </w:p>
                    </w:tc>
                    <w:tc>
                      <w:tcPr>
                        <w:tcW w:w="1675" w:type="dxa"/>
                        <w:tcBorders>
                          <w:top w:val="nil"/>
                          <w:left w:val="nil"/>
                          <w:bottom w:val="nil"/>
                          <w:right w:val="nil"/>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widowControl/>
                    <w:jc w:val="center"/>
                    <w:textAlignment w:val="center"/>
                    <w:rPr>
                      <w:rFonts w:ascii="黑体" w:hAnsi="黑体" w:eastAsia="黑体" w:cs="宋体"/>
                      <w:kern w:val="0"/>
                      <w:sz w:val="24"/>
                      <w:szCs w:val="24"/>
                    </w:rPr>
                  </w:pPr>
                </w:p>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一般公共预算财政拨款支出决算表</w:t>
                  </w:r>
                </w:p>
                <w:tbl>
                  <w:tblPr>
                    <w:tblStyle w:val="15"/>
                    <w:tblW w:w="15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637"/>
                    <w:gridCol w:w="637"/>
                    <w:gridCol w:w="3305"/>
                    <w:gridCol w:w="1791"/>
                    <w:gridCol w:w="237"/>
                    <w:gridCol w:w="1491"/>
                    <w:gridCol w:w="2761"/>
                    <w:gridCol w:w="237"/>
                    <w:gridCol w:w="3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40" w:type="dxa"/>
                        <w:tcBorders>
                          <w:top w:val="nil"/>
                          <w:left w:val="nil"/>
                          <w:bottom w:val="nil"/>
                          <w:right w:val="nil"/>
                        </w:tcBorders>
                        <w:vAlign w:val="center"/>
                      </w:tcPr>
                      <w:p>
                        <w:pPr>
                          <w:rPr>
                            <w:rFonts w:ascii="宋体" w:hAnsi="宋体" w:eastAsia="宋体" w:cs="宋体"/>
                            <w:color w:val="000000"/>
                            <w:sz w:val="20"/>
                            <w:szCs w:val="20"/>
                          </w:rPr>
                        </w:pPr>
                      </w:p>
                    </w:tc>
                    <w:tc>
                      <w:tcPr>
                        <w:tcW w:w="637" w:type="dxa"/>
                        <w:tcBorders>
                          <w:top w:val="nil"/>
                          <w:left w:val="nil"/>
                          <w:bottom w:val="nil"/>
                          <w:right w:val="nil"/>
                        </w:tcBorders>
                        <w:vAlign w:val="center"/>
                      </w:tcPr>
                      <w:p>
                        <w:pPr>
                          <w:rPr>
                            <w:rFonts w:ascii="宋体" w:hAnsi="宋体" w:eastAsia="宋体" w:cs="宋体"/>
                            <w:color w:val="000000"/>
                            <w:sz w:val="20"/>
                            <w:szCs w:val="20"/>
                          </w:rPr>
                        </w:pPr>
                      </w:p>
                    </w:tc>
                    <w:tc>
                      <w:tcPr>
                        <w:tcW w:w="637" w:type="dxa"/>
                        <w:tcBorders>
                          <w:top w:val="nil"/>
                          <w:left w:val="nil"/>
                          <w:bottom w:val="nil"/>
                          <w:right w:val="nil"/>
                        </w:tcBorders>
                        <w:vAlign w:val="center"/>
                      </w:tcPr>
                      <w:p>
                        <w:pPr>
                          <w:rPr>
                            <w:rFonts w:ascii="宋体" w:hAnsi="宋体" w:eastAsia="宋体" w:cs="宋体"/>
                            <w:color w:val="000000"/>
                            <w:sz w:val="20"/>
                            <w:szCs w:val="20"/>
                          </w:rPr>
                        </w:pPr>
                      </w:p>
                    </w:tc>
                    <w:tc>
                      <w:tcPr>
                        <w:tcW w:w="3305" w:type="dxa"/>
                        <w:tcBorders>
                          <w:top w:val="nil"/>
                          <w:left w:val="nil"/>
                          <w:bottom w:val="nil"/>
                          <w:right w:val="nil"/>
                        </w:tcBorders>
                        <w:vAlign w:val="center"/>
                      </w:tcPr>
                      <w:p>
                        <w:pPr>
                          <w:rPr>
                            <w:rFonts w:ascii="宋体" w:hAnsi="宋体" w:eastAsia="宋体" w:cs="宋体"/>
                            <w:color w:val="000000"/>
                            <w:sz w:val="20"/>
                            <w:szCs w:val="20"/>
                          </w:rPr>
                        </w:pPr>
                      </w:p>
                    </w:tc>
                    <w:tc>
                      <w:tcPr>
                        <w:tcW w:w="2028" w:type="dxa"/>
                        <w:gridSpan w:val="2"/>
                        <w:tcBorders>
                          <w:top w:val="nil"/>
                          <w:left w:val="nil"/>
                          <w:bottom w:val="nil"/>
                          <w:right w:val="nil"/>
                        </w:tcBorders>
                        <w:vAlign w:val="center"/>
                      </w:tcPr>
                      <w:p>
                        <w:pPr>
                          <w:rPr>
                            <w:rFonts w:ascii="宋体" w:hAnsi="宋体" w:eastAsia="宋体" w:cs="宋体"/>
                            <w:color w:val="000000"/>
                            <w:sz w:val="20"/>
                            <w:szCs w:val="20"/>
                          </w:rPr>
                        </w:pPr>
                      </w:p>
                    </w:tc>
                    <w:tc>
                      <w:tcPr>
                        <w:tcW w:w="4252" w:type="dxa"/>
                        <w:gridSpan w:val="2"/>
                        <w:tcBorders>
                          <w:top w:val="nil"/>
                          <w:left w:val="nil"/>
                          <w:bottom w:val="nil"/>
                          <w:right w:val="nil"/>
                        </w:tcBorders>
                        <w:vAlign w:val="center"/>
                      </w:tcPr>
                      <w:p>
                        <w:pPr>
                          <w:rPr>
                            <w:rFonts w:ascii="宋体" w:hAnsi="宋体" w:eastAsia="宋体" w:cs="宋体"/>
                            <w:color w:val="000000"/>
                            <w:sz w:val="20"/>
                            <w:szCs w:val="20"/>
                          </w:rPr>
                        </w:pPr>
                      </w:p>
                    </w:tc>
                    <w:tc>
                      <w:tcPr>
                        <w:tcW w:w="3535" w:type="dxa"/>
                        <w:gridSpan w:val="2"/>
                        <w:tcBorders>
                          <w:top w:val="nil"/>
                          <w:left w:val="nil"/>
                          <w:bottom w:val="nil"/>
                          <w:right w:val="nil"/>
                        </w:tcBorders>
                        <w:vAlign w:val="bottom"/>
                      </w:tcPr>
                      <w:p>
                        <w:pPr>
                          <w:widowControl/>
                          <w:ind w:firstLine="8000" w:firstLineChars="4000"/>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5034" w:type="dxa"/>
                        <w:gridSpan w:val="10"/>
                        <w:tcBorders>
                          <w:top w:val="nil"/>
                          <w:left w:val="nil"/>
                          <w:bottom w:val="nil"/>
                          <w:right w:val="nil"/>
                        </w:tcBorders>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部门：中共湖南省委组织部                                                                                                              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70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02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91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科目代码</w:t>
                        </w:r>
                      </w:p>
                    </w:tc>
                    <w:tc>
                      <w:tcPr>
                        <w:tcW w:w="50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科目名称</w:t>
                        </w:r>
                      </w:p>
                    </w:tc>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小计</w:t>
                        </w:r>
                      </w:p>
                    </w:tc>
                    <w:tc>
                      <w:tcPr>
                        <w:tcW w:w="29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基本支出</w:t>
                        </w:r>
                      </w:p>
                    </w:tc>
                    <w:tc>
                      <w:tcPr>
                        <w:tcW w:w="32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5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2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32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5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2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c>
                      <w:tcPr>
                        <w:tcW w:w="32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70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70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9,568.91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6,237.39</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7,720.07</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4,438.78</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3,281.30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20132</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组织事务</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7,720.07</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4,438.78</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3,281.30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2013201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4,438.78</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4,438.78</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2013202</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一般行政管理事务</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3,281.30</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3,281.30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进修及培训</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社会保障和就业支出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708.82</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698.21</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行政事业单位养老支出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698.21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698.21</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行政单位离退休</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245.00</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453.21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453.21</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20808</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抚恤</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10.62</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2080899</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其他优抚支出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10.62</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卫生健康支出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658.11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658.11</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行政事业单位医疗</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658.11</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658.11</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行政单位医疗</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384.67</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384.67</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2101103</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273.44</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273.44</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442.29</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442.29</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住房改革支出</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442.29</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442.29</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440.00</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440.00</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9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2210203</w:t>
                        </w:r>
                      </w:p>
                    </w:tc>
                    <w:tc>
                      <w:tcPr>
                        <w:tcW w:w="50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购房补贴</w:t>
                        </w:r>
                      </w:p>
                    </w:tc>
                    <w:tc>
                      <w:tcPr>
                        <w:tcW w:w="17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2.29</w:t>
                        </w:r>
                      </w:p>
                    </w:tc>
                    <w:tc>
                      <w:tcPr>
                        <w:tcW w:w="2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2.29</w:t>
                        </w:r>
                      </w:p>
                    </w:tc>
                    <w:tc>
                      <w:tcPr>
                        <w:tcW w:w="3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034" w:type="dxa"/>
                        <w:gridSpan w:val="10"/>
                        <w:tcBorders>
                          <w:top w:val="nil"/>
                          <w:left w:val="nil"/>
                          <w:bottom w:val="nil"/>
                          <w:right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注：本表反映部门本年度一般公共预算财政拨款支出情况。</w:t>
                        </w:r>
                      </w:p>
                      <w:p>
                        <w:pPr>
                          <w:pStyle w:val="12"/>
                        </w:pPr>
                      </w:p>
                    </w:tc>
                  </w:tr>
                </w:tbl>
                <w:p>
                  <w:pPr>
                    <w:rPr>
                      <w:rFonts w:ascii="Calibri" w:hAnsi="Calibri" w:eastAsia="宋体" w:cs="Times New Roman"/>
                      <w:sz w:val="20"/>
                      <w:szCs w:val="20"/>
                    </w:rPr>
                  </w:pPr>
                </w:p>
                <w:tbl>
                  <w:tblPr>
                    <w:tblStyle w:val="15"/>
                    <w:tblW w:w="15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557"/>
                    <w:gridCol w:w="56"/>
                    <w:gridCol w:w="432"/>
                    <w:gridCol w:w="534"/>
                    <w:gridCol w:w="535"/>
                    <w:gridCol w:w="1039"/>
                    <w:gridCol w:w="56"/>
                    <w:gridCol w:w="912"/>
                    <w:gridCol w:w="293"/>
                    <w:gridCol w:w="198"/>
                    <w:gridCol w:w="488"/>
                    <w:gridCol w:w="391"/>
                    <w:gridCol w:w="488"/>
                    <w:gridCol w:w="275"/>
                    <w:gridCol w:w="1098"/>
                    <w:gridCol w:w="11"/>
                    <w:gridCol w:w="996"/>
                    <w:gridCol w:w="488"/>
                    <w:gridCol w:w="681"/>
                    <w:gridCol w:w="2452"/>
                    <w:gridCol w:w="752"/>
                    <w:gridCol w:w="1477"/>
                    <w:gridCol w:w="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5034" w:type="dxa"/>
                        <w:gridSpan w:val="24"/>
                        <w:tcBorders>
                          <w:top w:val="nil"/>
                          <w:left w:val="nil"/>
                          <w:bottom w:val="nil"/>
                          <w:right w:val="nil"/>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一般公共预算财政拨款基本支出决算明细表</w:t>
                        </w:r>
                      </w:p>
                      <w:p>
                        <w:pPr>
                          <w:pStyle w:val="12"/>
                        </w:pPr>
                      </w:p>
                      <w:p>
                        <w:pPr>
                          <w:pStyle w:val="7"/>
                          <w:ind w:firstLine="480"/>
                        </w:pPr>
                      </w:p>
                      <w:p/>
                      <w:p>
                        <w:pPr>
                          <w:pStyle w:val="12"/>
                        </w:pPr>
                      </w:p>
                      <w:p>
                        <w:pPr>
                          <w:pStyle w:val="7"/>
                          <w:ind w:firstLine="480"/>
                        </w:pPr>
                      </w:p>
                      <w:p/>
                      <w:p>
                        <w:pPr>
                          <w:pStyle w:val="12"/>
                        </w:pPr>
                      </w:p>
                      <w:p>
                        <w:pPr>
                          <w:pStyle w:val="7"/>
                          <w:ind w:firstLine="480"/>
                        </w:pPr>
                      </w:p>
                      <w:p/>
                      <w:p>
                        <w:pPr>
                          <w:pStyle w:val="12"/>
                        </w:pPr>
                      </w:p>
                      <w:p>
                        <w:pPr>
                          <w:widowControl/>
                          <w:jc w:val="center"/>
                          <w:textAlignment w:val="center"/>
                          <w:rPr>
                            <w:rFonts w:ascii="黑体" w:hAnsi="宋体" w:eastAsia="黑体" w:cs="黑体"/>
                            <w:color w:val="000000"/>
                            <w:sz w:val="20"/>
                            <w:szCs w:val="20"/>
                          </w:rPr>
                        </w:pPr>
                        <w:r>
                          <w:rPr>
                            <w:rFonts w:hint="eastAsia" w:ascii="黑体" w:hAnsi="黑体" w:eastAsia="黑体" w:cs="宋体"/>
                            <w:kern w:val="0"/>
                            <w:sz w:val="24"/>
                            <w:szCs w:val="24"/>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5034" w:type="dxa"/>
                        <w:gridSpan w:val="24"/>
                        <w:tcBorders>
                          <w:top w:val="nil"/>
                          <w:left w:val="nil"/>
                          <w:bottom w:val="nil"/>
                          <w:right w:val="nil"/>
                        </w:tcBorders>
                        <w:vAlign w:val="center"/>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trPr>
                    <w:tc>
                      <w:tcPr>
                        <w:tcW w:w="15034" w:type="dxa"/>
                        <w:gridSpan w:val="24"/>
                        <w:tcBorders>
                          <w:top w:val="nil"/>
                          <w:left w:val="nil"/>
                          <w:bottom w:val="nil"/>
                          <w:right w:val="nil"/>
                        </w:tcBorders>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部门：中共湖南省委组织部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370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w:t>
                        </w:r>
                      </w:p>
                    </w:tc>
                    <w:tc>
                      <w:tcPr>
                        <w:tcW w:w="11056"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596"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45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c>
                      <w:tcPr>
                        <w:tcW w:w="8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科目代码</w:t>
                        </w:r>
                      </w:p>
                    </w:tc>
                    <w:tc>
                      <w:tcPr>
                        <w:tcW w:w="186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00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c>
                      <w:tcPr>
                        <w:tcW w:w="11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科目代码</w:t>
                        </w:r>
                      </w:p>
                    </w:tc>
                    <w:tc>
                      <w:tcPr>
                        <w:tcW w:w="32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4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596"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145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18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10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116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14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工资福利支出</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5,111.33</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商品和服务支出</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639.81</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债务利息及费用支出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基本工资</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1,307.03</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30201</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30701</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国内债务付息</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津贴补贴</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982.30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30202</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印刷费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8.34</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30702</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国外债务付息</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奖金</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341.60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30203</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咨询费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资本性支出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伙食补助费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156.50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30204</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手续费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31001</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房屋建筑物购建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绩效工资</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856.40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30205</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水费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31002</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办公设备购置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453.21</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30206</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电费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31003</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专用设备购置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职业年金缴费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30207</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邮电费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23.02</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31005</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基础设施建设</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职工基本医疗保险缴费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300.86</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30208</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取暖费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31006</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大型修缮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公务员医疗补助缴费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273.44</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30209</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物业管理费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31007</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信息网络及软件购置更新</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其他社会保障缴费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30211</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差旅费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31008</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物资储备</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30212</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因公出国（境）费用</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土地补偿</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30213</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维修（护）费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31010</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安置补助</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其他工资福利支出</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30214</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租赁费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31011</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地上附着物和青苗补偿</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对个人和家庭的补助</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486.24</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30215</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会议费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31012</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拆迁补偿</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离休费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30216</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9.77</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31013</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退休费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30217</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公务接待费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1.99</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其他交通工具购置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退职（役）费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30218</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专用材料费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31021</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文物和陈列品购置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抚恤金</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46.14</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30224</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被装购置费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31022</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无形资产购置</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生活补助</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30225</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专用燃料费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31099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其他资本性支出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救济费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30226</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劳务费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79.85</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医疗费补助</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143.29</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30227</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委托业务费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39907</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国家赔偿费用支出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助学金</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30228</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工会经费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39908</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奖励金</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30229</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福利费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经常性赠与</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个人农业生产补贴</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30231</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公务用车运行维护费</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45.55</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39910</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资本性赠与</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代缴社会保险费</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30239</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其他交通费用</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226.28</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39999</w:t>
                        </w: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其他支出</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其他对个人和家庭的补助</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51.82</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30240</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税金及附加费用</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55" w:hRule="exact"/>
                    </w:trPr>
                    <w:tc>
                      <w:tcPr>
                        <w:tcW w:w="111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8"/>
                            <w:szCs w:val="18"/>
                          </w:rPr>
                        </w:pP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30299</w:t>
                        </w:r>
                      </w:p>
                    </w:tc>
                    <w:tc>
                      <w:tcPr>
                        <w:tcW w:w="18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其他商品和服务支出</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c>
                      <w:tcPr>
                        <w:tcW w:w="320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72" w:type="dxa"/>
                      <w:trHeight w:val="283" w:hRule="exact"/>
                    </w:trPr>
                    <w:tc>
                      <w:tcPr>
                        <w:tcW w:w="370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145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5,597.58</w:t>
                        </w:r>
                      </w:p>
                    </w:tc>
                    <w:tc>
                      <w:tcPr>
                        <w:tcW w:w="812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trPr>
                    <w:tc>
                      <w:tcPr>
                        <w:tcW w:w="15034" w:type="dxa"/>
                        <w:gridSpan w:val="24"/>
                        <w:tcBorders>
                          <w:top w:val="nil"/>
                          <w:left w:val="nil"/>
                          <w:bottom w:val="nil"/>
                          <w:right w:val="nil"/>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034" w:type="dxa"/>
                        <w:gridSpan w:val="24"/>
                        <w:tcBorders>
                          <w:top w:val="nil"/>
                          <w:left w:val="nil"/>
                          <w:bottom w:val="nil"/>
                          <w:right w:val="nil"/>
                        </w:tcBorders>
                        <w:vAlign w:val="center"/>
                      </w:tcPr>
                      <w:p>
                        <w:pPr>
                          <w:widowControl/>
                          <w:jc w:val="center"/>
                          <w:textAlignment w:val="center"/>
                          <w:rPr>
                            <w:rFonts w:ascii="黑体" w:hAnsi="宋体" w:eastAsia="黑体" w:cs="黑体"/>
                            <w:color w:val="000000"/>
                            <w:kern w:val="0"/>
                            <w:sz w:val="24"/>
                            <w:szCs w:val="24"/>
                          </w:rPr>
                        </w:pPr>
                      </w:p>
                      <w:p>
                        <w:pPr>
                          <w:pStyle w:val="12"/>
                        </w:pPr>
                      </w:p>
                      <w:p>
                        <w:pPr>
                          <w:pStyle w:val="7"/>
                          <w:ind w:firstLine="480"/>
                        </w:pPr>
                      </w:p>
                      <w:p>
                        <w:pPr>
                          <w:widowControl/>
                          <w:jc w:val="center"/>
                          <w:textAlignment w:val="center"/>
                          <w:rPr>
                            <w:rFonts w:ascii="黑体" w:hAnsi="宋体" w:eastAsia="黑体" w:cs="黑体"/>
                            <w:color w:val="000000"/>
                            <w:sz w:val="30"/>
                            <w:szCs w:val="30"/>
                          </w:rPr>
                        </w:pPr>
                        <w:r>
                          <w:rPr>
                            <w:rFonts w:hint="eastAsia" w:ascii="黑体" w:hAnsi="黑体" w:eastAsia="黑体" w:cs="宋体"/>
                            <w:kern w:val="0"/>
                            <w:sz w:val="24"/>
                            <w:szCs w:val="2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034" w:type="dxa"/>
                        <w:gridSpan w:val="24"/>
                        <w:tcBorders>
                          <w:top w:val="nil"/>
                          <w:left w:val="nil"/>
                          <w:bottom w:val="nil"/>
                          <w:right w:val="nil"/>
                        </w:tcBorders>
                        <w:vAlign w:val="center"/>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034" w:type="dxa"/>
                        <w:gridSpan w:val="24"/>
                        <w:tcBorders>
                          <w:top w:val="nil"/>
                          <w:left w:val="nil"/>
                          <w:bottom w:val="nil"/>
                          <w:right w:val="nil"/>
                        </w:tcBorders>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部门：中共湖南省委组织部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3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63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12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756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250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6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9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6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840"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2593"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3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250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840"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593"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50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840"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593"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50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3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8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3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8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3" w:type="dxa"/>
                        <w:tcBorders>
                          <w:top w:val="nil"/>
                          <w:left w:val="nil"/>
                          <w:bottom w:val="single" w:color="D4D4D4" w:sz="4" w:space="0"/>
                          <w:right w:val="single" w:color="D4D4D4" w:sz="4" w:space="0"/>
                        </w:tcBorders>
                        <w:vAlign w:val="center"/>
                      </w:tcPr>
                      <w:p>
                        <w:pPr>
                          <w:jc w:val="left"/>
                          <w:rPr>
                            <w:rFonts w:ascii="宋体" w:hAnsi="宋体" w:eastAsia="宋体" w:cs="宋体"/>
                            <w:color w:val="000000"/>
                            <w:sz w:val="22"/>
                          </w:rPr>
                        </w:pPr>
                      </w:p>
                    </w:tc>
                    <w:tc>
                      <w:tcPr>
                        <w:tcW w:w="1045" w:type="dxa"/>
                        <w:gridSpan w:val="3"/>
                        <w:tcBorders>
                          <w:top w:val="nil"/>
                          <w:left w:val="nil"/>
                          <w:bottom w:val="single" w:color="D4D4D4" w:sz="4" w:space="0"/>
                          <w:right w:val="single" w:color="D4D4D4" w:sz="4" w:space="0"/>
                        </w:tcBorders>
                        <w:vAlign w:val="center"/>
                      </w:tcPr>
                      <w:p>
                        <w:pPr>
                          <w:jc w:val="left"/>
                          <w:rPr>
                            <w:rFonts w:ascii="宋体" w:hAnsi="宋体" w:eastAsia="宋体" w:cs="宋体"/>
                            <w:color w:val="000000"/>
                            <w:sz w:val="22"/>
                          </w:rPr>
                        </w:pPr>
                      </w:p>
                    </w:tc>
                    <w:tc>
                      <w:tcPr>
                        <w:tcW w:w="1069" w:type="dxa"/>
                        <w:gridSpan w:val="2"/>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c>
                      <w:tcPr>
                        <w:tcW w:w="2007" w:type="dxa"/>
                        <w:gridSpan w:val="3"/>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c>
                      <w:tcPr>
                        <w:tcW w:w="979" w:type="dxa"/>
                        <w:gridSpan w:val="3"/>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c>
                      <w:tcPr>
                        <w:tcW w:w="879" w:type="dxa"/>
                        <w:gridSpan w:val="2"/>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c>
                      <w:tcPr>
                        <w:tcW w:w="1384" w:type="dxa"/>
                        <w:gridSpan w:val="3"/>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c>
                      <w:tcPr>
                        <w:tcW w:w="7118" w:type="dxa"/>
                        <w:gridSpan w:val="7"/>
                        <w:tcBorders>
                          <w:top w:val="nil"/>
                          <w:left w:val="nil"/>
                          <w:bottom w:val="single" w:color="D4D4D4" w:sz="4" w:space="0"/>
                          <w:right w:val="single" w:color="D4D4D4" w:sz="4" w:space="0"/>
                        </w:tcBorders>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034" w:type="dxa"/>
                        <w:gridSpan w:val="24"/>
                        <w:tcBorders>
                          <w:top w:val="nil"/>
                          <w:left w:val="nil"/>
                          <w:bottom w:val="nil"/>
                          <w:right w:val="nil"/>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w:t>
                        </w:r>
                      </w:p>
                    </w:tc>
                  </w:tr>
                </w:tbl>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pPr>
                </w:p>
                <w:p>
                  <w:pPr>
                    <w:pStyle w:val="7"/>
                    <w:ind w:firstLine="480"/>
                  </w:pPr>
                </w:p>
                <w:tbl>
                  <w:tblPr>
                    <w:tblStyle w:val="15"/>
                    <w:tblW w:w="15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
                    <w:gridCol w:w="228"/>
                    <w:gridCol w:w="1688"/>
                    <w:gridCol w:w="3152"/>
                    <w:gridCol w:w="2794"/>
                    <w:gridCol w:w="3719"/>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034" w:type="dxa"/>
                        <w:gridSpan w:val="7"/>
                        <w:tcBorders>
                          <w:top w:val="nil"/>
                          <w:left w:val="nil"/>
                          <w:bottom w:val="nil"/>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黑体" w:eastAsia="黑体" w:cs="宋体"/>
                            <w:kern w:val="0"/>
                            <w:sz w:val="24"/>
                            <w:szCs w:val="2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28" w:type="dxa"/>
                        <w:tcBorders>
                          <w:top w:val="nil"/>
                          <w:left w:val="nil"/>
                          <w:bottom w:val="nil"/>
                          <w:right w:val="nil"/>
                        </w:tcBorders>
                        <w:vAlign w:val="center"/>
                      </w:tcPr>
                      <w:p>
                        <w:pPr>
                          <w:rPr>
                            <w:rFonts w:ascii="宋体" w:hAnsi="宋体" w:eastAsia="宋体" w:cs="宋体"/>
                            <w:color w:val="000000"/>
                            <w:sz w:val="20"/>
                            <w:szCs w:val="20"/>
                          </w:rPr>
                        </w:pPr>
                      </w:p>
                    </w:tc>
                    <w:tc>
                      <w:tcPr>
                        <w:tcW w:w="228" w:type="dxa"/>
                        <w:tcBorders>
                          <w:top w:val="nil"/>
                          <w:left w:val="nil"/>
                          <w:bottom w:val="nil"/>
                          <w:right w:val="nil"/>
                        </w:tcBorders>
                        <w:vAlign w:val="center"/>
                      </w:tcPr>
                      <w:p>
                        <w:pPr>
                          <w:rPr>
                            <w:rFonts w:ascii="宋体" w:hAnsi="宋体" w:eastAsia="宋体" w:cs="宋体"/>
                            <w:color w:val="000000"/>
                            <w:sz w:val="20"/>
                            <w:szCs w:val="20"/>
                          </w:rPr>
                        </w:pPr>
                      </w:p>
                    </w:tc>
                    <w:tc>
                      <w:tcPr>
                        <w:tcW w:w="1688" w:type="dxa"/>
                        <w:tcBorders>
                          <w:top w:val="nil"/>
                          <w:left w:val="nil"/>
                          <w:bottom w:val="nil"/>
                          <w:right w:val="nil"/>
                        </w:tcBorders>
                        <w:vAlign w:val="center"/>
                      </w:tcPr>
                      <w:p>
                        <w:pPr>
                          <w:rPr>
                            <w:rFonts w:ascii="宋体" w:hAnsi="宋体" w:eastAsia="宋体" w:cs="宋体"/>
                            <w:color w:val="000000"/>
                            <w:sz w:val="20"/>
                            <w:szCs w:val="20"/>
                          </w:rPr>
                        </w:pPr>
                      </w:p>
                    </w:tc>
                    <w:tc>
                      <w:tcPr>
                        <w:tcW w:w="3152" w:type="dxa"/>
                        <w:tcBorders>
                          <w:top w:val="nil"/>
                          <w:left w:val="nil"/>
                          <w:bottom w:val="nil"/>
                          <w:right w:val="nil"/>
                        </w:tcBorders>
                        <w:vAlign w:val="center"/>
                      </w:tcPr>
                      <w:p>
                        <w:pPr>
                          <w:rPr>
                            <w:rFonts w:ascii="宋体" w:hAnsi="宋体" w:eastAsia="宋体" w:cs="宋体"/>
                            <w:color w:val="000000"/>
                            <w:sz w:val="20"/>
                            <w:szCs w:val="20"/>
                          </w:rPr>
                        </w:pPr>
                      </w:p>
                    </w:tc>
                    <w:tc>
                      <w:tcPr>
                        <w:tcW w:w="2794" w:type="dxa"/>
                        <w:tcBorders>
                          <w:top w:val="nil"/>
                          <w:left w:val="nil"/>
                          <w:bottom w:val="nil"/>
                          <w:right w:val="nil"/>
                        </w:tcBorders>
                        <w:vAlign w:val="center"/>
                      </w:tcPr>
                      <w:p>
                        <w:pPr>
                          <w:rPr>
                            <w:rFonts w:ascii="宋体" w:hAnsi="宋体" w:eastAsia="宋体" w:cs="宋体"/>
                            <w:color w:val="000000"/>
                            <w:sz w:val="20"/>
                            <w:szCs w:val="20"/>
                          </w:rPr>
                        </w:pPr>
                      </w:p>
                    </w:tc>
                    <w:tc>
                      <w:tcPr>
                        <w:tcW w:w="3719" w:type="dxa"/>
                        <w:tcBorders>
                          <w:top w:val="nil"/>
                          <w:left w:val="nil"/>
                          <w:bottom w:val="nil"/>
                          <w:right w:val="nil"/>
                        </w:tcBorders>
                        <w:vAlign w:val="center"/>
                      </w:tcPr>
                      <w:p>
                        <w:pPr>
                          <w:rPr>
                            <w:rFonts w:ascii="宋体" w:hAnsi="宋体" w:eastAsia="宋体" w:cs="宋体"/>
                            <w:color w:val="000000"/>
                            <w:sz w:val="20"/>
                            <w:szCs w:val="20"/>
                          </w:rPr>
                        </w:pPr>
                      </w:p>
                    </w:tc>
                    <w:tc>
                      <w:tcPr>
                        <w:tcW w:w="3225" w:type="dxa"/>
                        <w:tcBorders>
                          <w:top w:val="nil"/>
                          <w:left w:val="nil"/>
                          <w:bottom w:val="nil"/>
                          <w:right w:val="nil"/>
                        </w:tcBorders>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5034" w:type="dxa"/>
                        <w:gridSpan w:val="7"/>
                        <w:tcBorders>
                          <w:top w:val="nil"/>
                          <w:left w:val="nil"/>
                          <w:bottom w:val="nil"/>
                          <w:right w:val="nil"/>
                        </w:tcBorders>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部门：中共湖南省委组织部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97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14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3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37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3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14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7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14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2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7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034" w:type="dxa"/>
                        <w:gridSpan w:val="7"/>
                        <w:tcBorders>
                          <w:top w:val="nil"/>
                          <w:left w:val="nil"/>
                          <w:bottom w:val="nil"/>
                          <w:right w:val="nil"/>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注：本表反映部门本年度国有资本经营预算财政拨款支出情况。</w:t>
                        </w:r>
                      </w:p>
                    </w:tc>
                  </w:tr>
                </w:tbl>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00"/>
                    <w:rPr>
                      <w:sz w:val="20"/>
                      <w:szCs w:val="20"/>
                    </w:rPr>
                  </w:pPr>
                </w:p>
                <w:p>
                  <w:pPr>
                    <w:rPr>
                      <w:sz w:val="20"/>
                      <w:szCs w:val="20"/>
                    </w:rPr>
                  </w:pPr>
                </w:p>
                <w:p>
                  <w:pPr>
                    <w:pStyle w:val="12"/>
                    <w:rPr>
                      <w:sz w:val="20"/>
                      <w:szCs w:val="20"/>
                    </w:rPr>
                  </w:pPr>
                </w:p>
                <w:p>
                  <w:pPr>
                    <w:pStyle w:val="7"/>
                    <w:ind w:firstLine="480"/>
                  </w:pPr>
                </w:p>
                <w:tbl>
                  <w:tblPr>
                    <w:tblStyle w:val="15"/>
                    <w:tblW w:w="150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1021"/>
                    <w:gridCol w:w="871"/>
                    <w:gridCol w:w="1200"/>
                    <w:gridCol w:w="1951"/>
                    <w:gridCol w:w="1110"/>
                    <w:gridCol w:w="1125"/>
                    <w:gridCol w:w="1155"/>
                    <w:gridCol w:w="1140"/>
                    <w:gridCol w:w="1485"/>
                    <w:gridCol w:w="186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093" w:type="dxa"/>
                        <w:gridSpan w:val="12"/>
                        <w:tcBorders>
                          <w:top w:val="nil"/>
                          <w:left w:val="nil"/>
                          <w:bottom w:val="nil"/>
                          <w:right w:val="nil"/>
                        </w:tcBorders>
                        <w:vAlign w:val="center"/>
                      </w:tcPr>
                      <w:p>
                        <w:pPr>
                          <w:widowControl/>
                          <w:jc w:val="center"/>
                          <w:textAlignment w:val="center"/>
                          <w:rPr>
                            <w:rFonts w:ascii="黑体" w:hAnsi="宋体" w:eastAsia="黑体" w:cs="黑体"/>
                            <w:color w:val="000000"/>
                            <w:sz w:val="44"/>
                            <w:szCs w:val="44"/>
                          </w:rPr>
                        </w:pPr>
                        <w:r>
                          <w:rPr>
                            <w:rFonts w:hint="eastAsia" w:ascii="黑体" w:hAnsi="黑体" w:eastAsia="黑体" w:cs="宋体"/>
                            <w:kern w:val="0"/>
                            <w:sz w:val="24"/>
                            <w:szCs w:val="24"/>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093" w:type="dxa"/>
                        <w:gridSpan w:val="12"/>
                        <w:tcBorders>
                          <w:top w:val="nil"/>
                          <w:left w:val="nil"/>
                          <w:bottom w:val="nil"/>
                          <w:right w:val="nil"/>
                        </w:tcBorders>
                        <w:vAlign w:val="center"/>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5093" w:type="dxa"/>
                        <w:gridSpan w:val="12"/>
                        <w:tcBorders>
                          <w:top w:val="nil"/>
                          <w:left w:val="nil"/>
                          <w:bottom w:val="nil"/>
                          <w:right w:val="nil"/>
                        </w:tcBorders>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部门：中共湖南省委组织部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13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7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0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公务用车购置及运行维护费</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4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公务用车购置及运行维护费</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254.00</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160.00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25.00</w:t>
                        </w:r>
                      </w:p>
                    </w:tc>
                    <w:tc>
                      <w:tcPr>
                        <w:tcW w:w="1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72.52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70.53</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24.98</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45.55</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5093" w:type="dxa"/>
                        <w:gridSpan w:val="12"/>
                        <w:tcBorders>
                          <w:top w:val="nil"/>
                          <w:left w:val="nil"/>
                          <w:bottom w:val="nil"/>
                          <w:right w:val="nil"/>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7"/>
                    <w:ind w:firstLine="400"/>
                    <w:rPr>
                      <w:sz w:val="20"/>
                      <w:szCs w:val="20"/>
                    </w:rPr>
                  </w:pPr>
                </w:p>
                <w:p>
                  <w:pPr>
                    <w:rPr>
                      <w:sz w:val="20"/>
                      <w:szCs w:val="20"/>
                    </w:rPr>
                  </w:pPr>
                </w:p>
              </w:tc>
            </w:tr>
          </w:tbl>
          <w:p>
            <w:pPr>
              <w:jc w:val="center"/>
              <w:rPr>
                <w:rFonts w:ascii="华文中宋" w:hAnsi="华文中宋" w:eastAsia="华文中宋" w:cs="宋体"/>
                <w:color w:val="000000"/>
                <w:sz w:val="32"/>
                <w:szCs w:val="32"/>
              </w:rPr>
            </w:pPr>
          </w:p>
        </w:tc>
      </w:tr>
    </w:tbl>
    <w:p>
      <w:pPr>
        <w:widowControl/>
        <w:rPr>
          <w:sz w:val="72"/>
          <w:szCs w:val="72"/>
        </w:rPr>
        <w:sectPr>
          <w:pgSz w:w="16838" w:h="11906" w:orient="landscape"/>
          <w:pgMar w:top="454" w:right="737" w:bottom="454" w:left="851" w:header="851" w:footer="397" w:gutter="0"/>
          <w:cols w:space="720" w:num="1"/>
          <w:docGrid w:type="lines" w:linePitch="312" w:charSpace="0"/>
        </w:sectPr>
      </w:pPr>
    </w:p>
    <w:p>
      <w:pPr>
        <w:pStyle w:val="17"/>
        <w:rPr>
          <w:sz w:val="72"/>
          <w:szCs w:val="72"/>
        </w:rPr>
      </w:pPr>
    </w:p>
    <w:p>
      <w:pPr>
        <w:pStyle w:val="17"/>
        <w:rPr>
          <w:sz w:val="72"/>
          <w:szCs w:val="72"/>
        </w:rPr>
      </w:pPr>
    </w:p>
    <w:p>
      <w:pPr>
        <w:pStyle w:val="17"/>
        <w:rPr>
          <w:sz w:val="72"/>
          <w:szCs w:val="72"/>
        </w:rPr>
      </w:pPr>
    </w:p>
    <w:p>
      <w:pPr>
        <w:pStyle w:val="17"/>
        <w:jc w:val="center"/>
        <w:rPr>
          <w:rFonts w:ascii="方正小标宋简体" w:hAnsi="方正小标宋_GBK" w:eastAsia="方正小标宋简体" w:cs="方正小标宋_GBK"/>
          <w:spacing w:val="-20"/>
          <w:sz w:val="72"/>
          <w:szCs w:val="72"/>
        </w:rPr>
      </w:pPr>
      <w:r>
        <w:rPr>
          <w:rFonts w:hint="eastAsia" w:ascii="方正小标宋简体" w:hAnsi="方正小标宋_GBK" w:eastAsia="方正小标宋简体" w:cs="方正小标宋_GBK"/>
          <w:spacing w:val="-20"/>
          <w:sz w:val="72"/>
          <w:szCs w:val="72"/>
        </w:rPr>
        <w:t>第三部分</w:t>
      </w:r>
    </w:p>
    <w:p>
      <w:pPr>
        <w:pStyle w:val="17"/>
        <w:jc w:val="center"/>
        <w:rPr>
          <w:rFonts w:hint="eastAsia" w:ascii="方正小标宋简体" w:hAnsi="方正小标宋_GBK" w:eastAsia="方正小标宋简体" w:cs="方正小标宋_GBK"/>
          <w:spacing w:val="-20"/>
          <w:sz w:val="72"/>
          <w:szCs w:val="72"/>
        </w:rPr>
      </w:pPr>
      <w:r>
        <w:rPr>
          <w:rFonts w:hint="eastAsia" w:ascii="方正小标宋简体" w:hAnsi="方正小标宋_GBK" w:eastAsia="方正小标宋简体" w:cs="方正小标宋_GBK"/>
          <w:spacing w:val="-20"/>
          <w:sz w:val="72"/>
          <w:szCs w:val="72"/>
        </w:rPr>
        <w:t>2023年度部门决算情况说明</w:t>
      </w:r>
    </w:p>
    <w:p>
      <w:pPr>
        <w:pStyle w:val="17"/>
        <w:jc w:val="center"/>
        <w:rPr>
          <w:rFonts w:hint="eastAsia" w:ascii="方正小标宋简体" w:hAnsi="方正小标宋_GBK" w:eastAsia="方正小标宋简体" w:cs="方正小标宋_GBK"/>
          <w:spacing w:val="-20"/>
          <w:sz w:val="72"/>
          <w:szCs w:val="72"/>
        </w:rPr>
      </w:pPr>
    </w:p>
    <w:p>
      <w:pPr>
        <w:widowControl/>
        <w:jc w:val="left"/>
        <w:rPr>
          <w:rFonts w:ascii="宋体" w:hAnsi="宋体"/>
          <w:sz w:val="32"/>
          <w:szCs w:val="32"/>
        </w:rPr>
      </w:pPr>
      <w:r>
        <w:rPr>
          <w:rFonts w:hint="eastAsia" w:ascii="方正小标宋_GBK" w:hAnsi="方正小标宋_GBK" w:eastAsia="方正小标宋_GBK" w:cs="方正小标宋_GBK"/>
          <w:sz w:val="70"/>
          <w:szCs w:val="70"/>
        </w:rPr>
        <w:br w:type="page"/>
      </w:r>
    </w:p>
    <w:p>
      <w:pPr>
        <w:pStyle w:val="17"/>
        <w:widowControl w:val="0"/>
        <w:numPr>
          <w:ilvl w:val="0"/>
          <w:numId w:val="1"/>
        </w:numPr>
        <w:wordWrap/>
        <w:spacing w:line="600" w:lineRule="exact"/>
        <w:ind w:right="0"/>
        <w:jc w:val="both"/>
        <w:textAlignment w:val="auto"/>
        <w:outlineLvl w:val="9"/>
        <w:rPr>
          <w:rFonts w:hAnsi="黑体"/>
          <w:bCs/>
          <w:sz w:val="32"/>
          <w:szCs w:val="32"/>
        </w:rPr>
      </w:pPr>
      <w:r>
        <w:rPr>
          <w:rFonts w:hint="eastAsia" w:hAnsi="黑体"/>
          <w:bCs/>
          <w:sz w:val="32"/>
          <w:szCs w:val="32"/>
        </w:rPr>
        <w:t>收入支出决算总体情况说明</w:t>
      </w:r>
    </w:p>
    <w:p>
      <w:pPr>
        <w:pStyle w:val="17"/>
        <w:widowControl w:val="0"/>
        <w:wordWrap/>
        <w:spacing w:line="600" w:lineRule="exact"/>
        <w:ind w:right="0" w:firstLine="640" w:firstLineChars="200"/>
        <w:jc w:val="both"/>
        <w:textAlignment w:val="auto"/>
        <w:outlineLvl w:val="9"/>
        <w:rPr>
          <w:rFonts w:hAnsi="黑体"/>
          <w:bCs/>
          <w:color w:val="FF0000"/>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年度总收入</w:t>
      </w:r>
      <w:r>
        <w:rPr>
          <w:rFonts w:hint="eastAsia" w:ascii="Times New Roman" w:hAnsi="Times New Roman" w:eastAsia="仿宋_GB2312" w:cs="Times New Roman"/>
          <w:color w:val="auto"/>
          <w:sz w:val="32"/>
          <w:szCs w:val="32"/>
        </w:rPr>
        <w:t>11437.27</w:t>
      </w:r>
      <w:r>
        <w:rPr>
          <w:rFonts w:ascii="Times New Roman" w:hAnsi="Times New Roman" w:eastAsia="仿宋_GB2312" w:cs="Times New Roman"/>
          <w:color w:val="auto"/>
          <w:sz w:val="32"/>
          <w:szCs w:val="32"/>
        </w:rPr>
        <w:t>万元，总支出</w:t>
      </w:r>
      <w:r>
        <w:rPr>
          <w:rFonts w:hint="eastAsia" w:ascii="Times New Roman" w:hAnsi="Times New Roman" w:eastAsia="仿宋_GB2312" w:cs="Times New Roman"/>
          <w:color w:val="auto"/>
          <w:sz w:val="32"/>
          <w:szCs w:val="32"/>
        </w:rPr>
        <w:t>9568.91</w:t>
      </w:r>
      <w:r>
        <w:rPr>
          <w:rFonts w:ascii="Times New Roman" w:hAnsi="Times New Roman" w:eastAsia="仿宋_GB2312" w:cs="Times New Roman"/>
          <w:color w:val="auto"/>
          <w:sz w:val="32"/>
          <w:szCs w:val="32"/>
        </w:rPr>
        <w:t>万元。与上年相比，收入、支出分别减少</w:t>
      </w:r>
      <w:r>
        <w:rPr>
          <w:rFonts w:hint="eastAsia" w:ascii="Times New Roman" w:hAnsi="Times New Roman" w:eastAsia="仿宋_GB2312" w:cs="Times New Roman"/>
          <w:color w:val="auto"/>
          <w:sz w:val="32"/>
          <w:szCs w:val="32"/>
        </w:rPr>
        <w:t>3597.66万元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1187.06</w:t>
      </w:r>
      <w:r>
        <w:rPr>
          <w:rFonts w:ascii="Times New Roman" w:hAnsi="Times New Roman" w:eastAsia="仿宋_GB2312" w:cs="Times New Roman"/>
          <w:color w:val="auto"/>
          <w:sz w:val="32"/>
          <w:szCs w:val="32"/>
        </w:rPr>
        <w:t>万元，分别</w:t>
      </w:r>
      <w:r>
        <w:rPr>
          <w:rFonts w:hint="eastAsia" w:ascii="Times New Roman" w:hAnsi="Times New Roman" w:eastAsia="仿宋_GB2312" w:cs="Times New Roman"/>
          <w:color w:val="auto"/>
          <w:sz w:val="32"/>
          <w:szCs w:val="32"/>
        </w:rPr>
        <w:t>降低23.93</w:t>
      </w:r>
      <w:r>
        <w:rPr>
          <w:rFonts w:ascii="Times New Roman" w:hAnsi="Times New Roman" w:eastAsia="仿宋_GB2312" w:cs="Times New Roman"/>
          <w:color w:val="auto"/>
          <w:sz w:val="32"/>
          <w:szCs w:val="32"/>
        </w:rPr>
        <w:t>%、</w:t>
      </w:r>
      <w:r>
        <w:rPr>
          <w:rFonts w:ascii="Times New Roman" w:hAnsi="Times New Roman" w:eastAsia="仿宋_GB2312"/>
          <w:color w:val="auto"/>
          <w:sz w:val="32"/>
        </w:rPr>
        <w:t>11.04</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。主要原因：</w:t>
      </w:r>
      <w:r>
        <w:rPr>
          <w:rFonts w:hint="eastAsia" w:ascii="Times New Roman" w:hAnsi="Times New Roman" w:eastAsia="仿宋_GB2312"/>
          <w:color w:val="auto"/>
          <w:sz w:val="32"/>
          <w:lang w:val="zh-CN"/>
        </w:rPr>
        <w:t>收入减少主要是</w:t>
      </w:r>
      <w:r>
        <w:rPr>
          <w:rFonts w:ascii="Times New Roman" w:hAnsi="Times New Roman" w:eastAsia="仿宋_GB2312"/>
          <w:color w:val="auto"/>
          <w:sz w:val="32"/>
          <w:lang w:val="zh-CN"/>
        </w:rPr>
        <w:t>严格落实过紧日子要求，</w:t>
      </w:r>
      <w:r>
        <w:rPr>
          <w:rFonts w:hint="eastAsia" w:ascii="Times New Roman" w:hAnsi="Times New Roman" w:eastAsia="仿宋_GB2312"/>
          <w:color w:val="auto"/>
          <w:sz w:val="32"/>
          <w:lang w:val="zh-CN"/>
        </w:rPr>
        <w:t>坚持因事定财，主动压缩部门预算收入；支出减少主要是进一步</w:t>
      </w:r>
      <w:r>
        <w:rPr>
          <w:rFonts w:ascii="Times New Roman" w:hAnsi="Times New Roman" w:eastAsia="仿宋_GB2312"/>
          <w:color w:val="auto"/>
          <w:sz w:val="32"/>
          <w:lang w:val="zh-CN"/>
        </w:rPr>
        <w:t>压减一般性</w:t>
      </w:r>
      <w:r>
        <w:rPr>
          <w:rFonts w:hint="eastAsia" w:ascii="Times New Roman" w:hAnsi="Times New Roman" w:eastAsia="仿宋_GB2312"/>
          <w:color w:val="auto"/>
          <w:sz w:val="32"/>
          <w:lang w:val="zh-CN"/>
        </w:rPr>
        <w:t>行政</w:t>
      </w:r>
      <w:r>
        <w:rPr>
          <w:rFonts w:ascii="Times New Roman" w:hAnsi="Times New Roman" w:eastAsia="仿宋_GB2312"/>
          <w:color w:val="auto"/>
          <w:sz w:val="32"/>
          <w:lang w:val="zh-CN"/>
        </w:rPr>
        <w:t>支出</w:t>
      </w:r>
      <w:r>
        <w:rPr>
          <w:rFonts w:hint="eastAsia" w:ascii="Times New Roman" w:hAnsi="Times New Roman" w:eastAsia="仿宋_GB2312"/>
          <w:color w:val="auto"/>
          <w:sz w:val="32"/>
          <w:lang w:val="zh-CN"/>
        </w:rPr>
        <w:t>，且部分项目受政策影响取消执行。</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二、收入决算情况说明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2023年度收入合计</w:t>
      </w:r>
      <w:r>
        <w:rPr>
          <w:rFonts w:hint="eastAsia" w:ascii="Times New Roman" w:hAnsi="Times New Roman" w:eastAsia="仿宋_GB2312" w:cs="Times New Roman"/>
          <w:color w:val="auto"/>
          <w:sz w:val="32"/>
          <w:szCs w:val="32"/>
        </w:rPr>
        <w:t>11437.27</w:t>
      </w:r>
      <w:r>
        <w:rPr>
          <w:rFonts w:hint="eastAsia" w:ascii="Times New Roman" w:hAnsi="Times New Roman" w:eastAsia="仿宋_GB2312"/>
          <w:sz w:val="32"/>
          <w:szCs w:val="32"/>
        </w:rPr>
        <w:t>万元，其中：财政拨款收入</w:t>
      </w:r>
      <w:r>
        <w:rPr>
          <w:rFonts w:hint="eastAsia" w:ascii="Times New Roman" w:hAnsi="Times New Roman" w:eastAsia="仿宋_GB2312" w:cs="Times New Roman"/>
          <w:color w:val="auto"/>
          <w:sz w:val="32"/>
          <w:szCs w:val="32"/>
        </w:rPr>
        <w:t>11437.27</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三、支出决算情况说明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2023年度支出合计9568.91万元，其中：基本支出</w:t>
      </w:r>
      <w:r>
        <w:rPr>
          <w:rFonts w:ascii="Times New Roman" w:hAnsi="Times New Roman" w:eastAsia="仿宋_GB2312"/>
          <w:sz w:val="32"/>
        </w:rPr>
        <w:t>6237.39</w:t>
      </w:r>
      <w:r>
        <w:rPr>
          <w:rFonts w:hint="eastAsia" w:ascii="Times New Roman" w:hAnsi="Times New Roman" w:eastAsia="仿宋_GB2312"/>
          <w:sz w:val="32"/>
          <w:szCs w:val="32"/>
        </w:rPr>
        <w:t>万元，占65.18%；项目支出</w:t>
      </w:r>
      <w:r>
        <w:rPr>
          <w:rFonts w:ascii="Times New Roman" w:hAnsi="Times New Roman" w:eastAsia="仿宋_GB2312"/>
          <w:sz w:val="32"/>
        </w:rPr>
        <w:t>3331.52</w:t>
      </w:r>
      <w:r>
        <w:rPr>
          <w:rFonts w:hint="eastAsia" w:ascii="Times New Roman" w:hAnsi="Times New Roman" w:eastAsia="仿宋_GB2312"/>
          <w:sz w:val="32"/>
          <w:szCs w:val="32"/>
        </w:rPr>
        <w:t>万元，占34.82%；上缴上级支出0万元，占0%；经营支出0万元，占0%；对附属单位补助支出0万元，占0%。</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四、财政拨款收入支出决算总体情况说明</w:t>
      </w:r>
    </w:p>
    <w:p>
      <w:pPr>
        <w:pStyle w:val="17"/>
        <w:widowControl w:val="0"/>
        <w:wordWrap/>
        <w:spacing w:line="600" w:lineRule="exact"/>
        <w:ind w:right="0" w:firstLine="640" w:firstLineChars="200"/>
        <w:jc w:val="both"/>
        <w:textAlignment w:val="auto"/>
        <w:outlineLvl w:val="9"/>
        <w:rPr>
          <w:rFonts w:hint="eastAsia" w:ascii="Times New Roman" w:hAnsi="Times New Roman" w:eastAsia="仿宋_GB2312"/>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年度总收入</w:t>
      </w:r>
      <w:r>
        <w:rPr>
          <w:rFonts w:hint="eastAsia" w:ascii="Times New Roman" w:hAnsi="Times New Roman" w:eastAsia="仿宋_GB2312" w:cs="Times New Roman"/>
          <w:color w:val="auto"/>
          <w:sz w:val="32"/>
          <w:szCs w:val="32"/>
        </w:rPr>
        <w:t>11437.27</w:t>
      </w:r>
      <w:r>
        <w:rPr>
          <w:rFonts w:ascii="Times New Roman" w:hAnsi="Times New Roman" w:eastAsia="仿宋_GB2312" w:cs="Times New Roman"/>
          <w:color w:val="auto"/>
          <w:sz w:val="32"/>
          <w:szCs w:val="32"/>
        </w:rPr>
        <w:t>万元，总支出</w:t>
      </w:r>
      <w:r>
        <w:rPr>
          <w:rFonts w:hint="eastAsia" w:ascii="Times New Roman" w:hAnsi="Times New Roman" w:eastAsia="仿宋_GB2312" w:cs="Times New Roman"/>
          <w:color w:val="auto"/>
          <w:sz w:val="32"/>
          <w:szCs w:val="32"/>
        </w:rPr>
        <w:t>9568.91</w:t>
      </w:r>
      <w:r>
        <w:rPr>
          <w:rFonts w:ascii="Times New Roman" w:hAnsi="Times New Roman" w:eastAsia="仿宋_GB2312" w:cs="Times New Roman"/>
          <w:color w:val="auto"/>
          <w:sz w:val="32"/>
          <w:szCs w:val="32"/>
        </w:rPr>
        <w:t>万元。与上年相比，收入、支出分别减少</w:t>
      </w:r>
      <w:r>
        <w:rPr>
          <w:rFonts w:hint="eastAsia" w:ascii="Times New Roman" w:hAnsi="Times New Roman" w:eastAsia="仿宋_GB2312" w:cs="Times New Roman"/>
          <w:color w:val="auto"/>
          <w:sz w:val="32"/>
          <w:szCs w:val="32"/>
        </w:rPr>
        <w:t>3597.66万元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1187.06</w:t>
      </w:r>
      <w:r>
        <w:rPr>
          <w:rFonts w:ascii="Times New Roman" w:hAnsi="Times New Roman" w:eastAsia="仿宋_GB2312" w:cs="Times New Roman"/>
          <w:color w:val="auto"/>
          <w:sz w:val="32"/>
          <w:szCs w:val="32"/>
        </w:rPr>
        <w:t>万元，分别减少</w:t>
      </w:r>
      <w:r>
        <w:rPr>
          <w:rFonts w:hint="eastAsia" w:ascii="Times New Roman" w:hAnsi="Times New Roman" w:eastAsia="仿宋_GB2312" w:cs="Times New Roman"/>
          <w:color w:val="auto"/>
          <w:sz w:val="32"/>
          <w:szCs w:val="32"/>
        </w:rPr>
        <w:t>23.93</w:t>
      </w:r>
      <w:r>
        <w:rPr>
          <w:rFonts w:ascii="Times New Roman" w:hAnsi="Times New Roman" w:eastAsia="仿宋_GB2312" w:cs="Times New Roman"/>
          <w:color w:val="auto"/>
          <w:sz w:val="32"/>
          <w:szCs w:val="32"/>
        </w:rPr>
        <w:t>%、</w:t>
      </w:r>
      <w:r>
        <w:rPr>
          <w:rFonts w:ascii="Times New Roman" w:hAnsi="Times New Roman" w:eastAsia="仿宋_GB2312"/>
          <w:color w:val="auto"/>
          <w:sz w:val="32"/>
        </w:rPr>
        <w:t>11.04</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。主要原因：</w:t>
      </w:r>
      <w:r>
        <w:rPr>
          <w:rFonts w:hint="eastAsia" w:ascii="Times New Roman" w:hAnsi="Times New Roman" w:eastAsia="仿宋_GB2312"/>
          <w:color w:val="auto"/>
          <w:sz w:val="32"/>
          <w:lang w:val="zh-CN"/>
        </w:rPr>
        <w:t>收入减少主要是</w:t>
      </w:r>
      <w:r>
        <w:rPr>
          <w:rFonts w:ascii="Times New Roman" w:hAnsi="Times New Roman" w:eastAsia="仿宋_GB2312"/>
          <w:color w:val="auto"/>
          <w:sz w:val="32"/>
          <w:lang w:val="zh-CN"/>
        </w:rPr>
        <w:t>严格落实过紧日子要求，</w:t>
      </w:r>
      <w:r>
        <w:rPr>
          <w:rFonts w:hint="eastAsia" w:ascii="Times New Roman" w:hAnsi="Times New Roman" w:eastAsia="仿宋_GB2312"/>
          <w:color w:val="auto"/>
          <w:sz w:val="32"/>
          <w:lang w:val="zh-CN"/>
        </w:rPr>
        <w:t>坚持因事定财，主动压缩部门预算收入；支出减少主要是进一步</w:t>
      </w:r>
      <w:r>
        <w:rPr>
          <w:rFonts w:ascii="Times New Roman" w:hAnsi="Times New Roman" w:eastAsia="仿宋_GB2312"/>
          <w:color w:val="auto"/>
          <w:sz w:val="32"/>
          <w:lang w:val="zh-CN"/>
        </w:rPr>
        <w:t>压减一般性</w:t>
      </w:r>
      <w:r>
        <w:rPr>
          <w:rFonts w:hint="eastAsia" w:ascii="Times New Roman" w:hAnsi="Times New Roman" w:eastAsia="仿宋_GB2312"/>
          <w:color w:val="auto"/>
          <w:sz w:val="32"/>
          <w:lang w:val="zh-CN"/>
        </w:rPr>
        <w:t>行政</w:t>
      </w:r>
      <w:r>
        <w:rPr>
          <w:rFonts w:ascii="Times New Roman" w:hAnsi="Times New Roman" w:eastAsia="仿宋_GB2312"/>
          <w:color w:val="auto"/>
          <w:sz w:val="32"/>
          <w:lang w:val="zh-CN"/>
        </w:rPr>
        <w:t>支出</w:t>
      </w:r>
      <w:r>
        <w:rPr>
          <w:rFonts w:hint="eastAsia" w:ascii="Times New Roman" w:hAnsi="Times New Roman" w:eastAsia="仿宋_GB2312"/>
          <w:color w:val="auto"/>
          <w:sz w:val="32"/>
          <w:lang w:val="zh-CN"/>
        </w:rPr>
        <w:t>，且部分项目受政策影响取消执行。</w:t>
      </w:r>
    </w:p>
    <w:p>
      <w:pPr>
        <w:pStyle w:val="17"/>
        <w:widowControl w:val="0"/>
        <w:wordWrap/>
        <w:spacing w:line="600" w:lineRule="exact"/>
        <w:ind w:right="0" w:firstLine="640" w:firstLineChars="200"/>
        <w:jc w:val="both"/>
        <w:textAlignment w:val="auto"/>
        <w:outlineLvl w:val="9"/>
        <w:rPr>
          <w:rFonts w:hAnsi="黑体"/>
          <w:bCs/>
          <w:color w:val="auto"/>
          <w:sz w:val="32"/>
          <w:szCs w:val="32"/>
        </w:rPr>
      </w:pPr>
      <w:r>
        <w:rPr>
          <w:rFonts w:hint="eastAsia" w:hAnsi="黑体"/>
          <w:bCs/>
          <w:color w:val="auto"/>
          <w:sz w:val="32"/>
          <w:szCs w:val="32"/>
        </w:rPr>
        <w:t>五、一般公共预算财政拨款支出决算情况说明</w:t>
      </w:r>
    </w:p>
    <w:p>
      <w:pPr>
        <w:pStyle w:val="17"/>
        <w:widowControl w:val="0"/>
        <w:wordWrap/>
        <w:spacing w:line="600" w:lineRule="exact"/>
        <w:ind w:right="0" w:firstLine="640" w:firstLineChars="200"/>
        <w:jc w:val="both"/>
        <w:textAlignment w:val="auto"/>
        <w:outlineLvl w:val="9"/>
        <w:rPr>
          <w:rFonts w:ascii="楷体" w:hAnsi="楷体" w:eastAsia="楷体" w:cs="楷体"/>
          <w:bCs/>
          <w:color w:val="auto"/>
          <w:sz w:val="32"/>
          <w:szCs w:val="32"/>
        </w:rPr>
      </w:pPr>
      <w:r>
        <w:rPr>
          <w:rFonts w:hint="eastAsia" w:ascii="楷体" w:hAnsi="楷体" w:eastAsia="楷体" w:cs="楷体"/>
          <w:bCs/>
          <w:color w:val="auto"/>
          <w:sz w:val="32"/>
          <w:szCs w:val="32"/>
        </w:rPr>
        <w:t>（一）一般公共预算财政拨款支出决算总体情况</w:t>
      </w:r>
    </w:p>
    <w:p>
      <w:pPr>
        <w:pStyle w:val="17"/>
        <w:widowControl w:val="0"/>
        <w:wordWrap/>
        <w:spacing w:line="600" w:lineRule="exact"/>
        <w:ind w:right="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2023年度财政拨款支出9568.91万元，占本年支出合计的100%，与上年相比，财政拨款支出减少1187.06万元，减少11.04%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主要原因：一是</w:t>
      </w:r>
      <w:r>
        <w:rPr>
          <w:rFonts w:ascii="Times New Roman" w:hAnsi="Times New Roman" w:eastAsia="仿宋_GB2312" w:cs="Times New Roman"/>
          <w:color w:val="auto"/>
          <w:sz w:val="32"/>
          <w:szCs w:val="32"/>
        </w:rPr>
        <w:t>严格落实</w:t>
      </w:r>
      <w:r>
        <w:rPr>
          <w:rFonts w:hint="eastAsia" w:ascii="Times New Roman" w:hAnsi="Times New Roman" w:eastAsia="仿宋_GB2312" w:cs="Times New Roman"/>
          <w:color w:val="auto"/>
          <w:sz w:val="32"/>
          <w:szCs w:val="32"/>
          <w:lang w:eastAsia="zh-CN"/>
        </w:rPr>
        <w:t>过</w:t>
      </w:r>
      <w:r>
        <w:rPr>
          <w:rFonts w:ascii="Times New Roman" w:hAnsi="Times New Roman" w:eastAsia="仿宋_GB2312" w:cs="Times New Roman"/>
          <w:color w:val="auto"/>
          <w:sz w:val="32"/>
          <w:szCs w:val="32"/>
        </w:rPr>
        <w:t>紧日子要求，</w:t>
      </w:r>
      <w:r>
        <w:rPr>
          <w:rFonts w:hint="eastAsia" w:ascii="Times New Roman" w:hAnsi="Times New Roman" w:eastAsia="仿宋_GB2312" w:cs="Times New Roman"/>
          <w:color w:val="auto"/>
          <w:sz w:val="32"/>
          <w:szCs w:val="32"/>
          <w:lang w:eastAsia="zh-CN"/>
        </w:rPr>
        <w:t>对</w:t>
      </w:r>
      <w:r>
        <w:rPr>
          <w:rFonts w:ascii="Times New Roman" w:hAnsi="Times New Roman" w:eastAsia="仿宋_GB2312" w:cs="Times New Roman"/>
          <w:color w:val="auto"/>
          <w:sz w:val="32"/>
          <w:szCs w:val="32"/>
        </w:rPr>
        <w:t>一般性</w:t>
      </w:r>
      <w:r>
        <w:rPr>
          <w:rFonts w:hint="eastAsia" w:ascii="Times New Roman" w:hAnsi="Times New Roman" w:eastAsia="仿宋_GB2312" w:cs="Times New Roman"/>
          <w:color w:val="auto"/>
          <w:sz w:val="32"/>
          <w:szCs w:val="32"/>
        </w:rPr>
        <w:t>行政</w:t>
      </w:r>
      <w:r>
        <w:rPr>
          <w:rFonts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eastAsia="zh-CN"/>
        </w:rPr>
        <w:t>持续予以压减</w:t>
      </w:r>
      <w:r>
        <w:rPr>
          <w:rFonts w:hint="eastAsia" w:ascii="Times New Roman" w:hAnsi="Times New Roman" w:eastAsia="仿宋_GB2312" w:cs="Times New Roman"/>
          <w:color w:val="auto"/>
          <w:sz w:val="32"/>
          <w:szCs w:val="32"/>
        </w:rPr>
        <w:t>，对项目经费支出从严</w:t>
      </w:r>
      <w:r>
        <w:rPr>
          <w:rFonts w:hint="eastAsia" w:ascii="Times New Roman" w:hAnsi="Times New Roman" w:eastAsia="仿宋_GB2312" w:cs="Times New Roman"/>
          <w:color w:val="auto"/>
          <w:sz w:val="32"/>
          <w:szCs w:val="32"/>
          <w:lang w:eastAsia="zh-CN"/>
        </w:rPr>
        <w:t>审核把关</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二是受政策影响，</w:t>
      </w:r>
      <w:r>
        <w:rPr>
          <w:rFonts w:hint="eastAsia" w:ascii="仿宋_GB2312" w:hAnsi="Times New Roman" w:eastAsia="仿宋_GB2312" w:cs="Times New Roman"/>
          <w:color w:val="auto"/>
          <w:sz w:val="32"/>
          <w:szCs w:val="32"/>
          <w:lang w:eastAsia="zh-CN"/>
        </w:rPr>
        <w:t>部分</w:t>
      </w:r>
      <w:r>
        <w:rPr>
          <w:rFonts w:hint="eastAsia" w:ascii="仿宋_GB2312" w:hAnsi="Times New Roman" w:eastAsia="仿宋_GB2312" w:cs="Times New Roman"/>
          <w:color w:val="auto"/>
          <w:sz w:val="32"/>
          <w:szCs w:val="32"/>
        </w:rPr>
        <w:t>项目取消执行。</w:t>
      </w:r>
    </w:p>
    <w:p>
      <w:pPr>
        <w:pStyle w:val="17"/>
        <w:widowControl w:val="0"/>
        <w:wordWrap/>
        <w:spacing w:line="600" w:lineRule="exact"/>
        <w:ind w:right="0" w:firstLine="640" w:firstLineChars="200"/>
        <w:jc w:val="both"/>
        <w:textAlignment w:val="auto"/>
        <w:outlineLvl w:val="9"/>
        <w:rPr>
          <w:rFonts w:ascii="楷体" w:hAnsi="楷体" w:eastAsia="楷体" w:cs="楷体"/>
          <w:bCs/>
          <w:color w:val="auto"/>
          <w:sz w:val="32"/>
          <w:szCs w:val="32"/>
        </w:rPr>
      </w:pPr>
      <w:r>
        <w:rPr>
          <w:rFonts w:hint="eastAsia" w:ascii="楷体" w:hAnsi="楷体" w:eastAsia="楷体" w:cs="楷体"/>
          <w:bCs/>
          <w:color w:val="auto"/>
          <w:sz w:val="32"/>
          <w:szCs w:val="32"/>
        </w:rPr>
        <w:t>（二）一般公共预算财政拨款支出决算结构情况</w:t>
      </w:r>
    </w:p>
    <w:p>
      <w:pPr>
        <w:pStyle w:val="17"/>
        <w:widowControl w:val="0"/>
        <w:wordWrap/>
        <w:spacing w:line="600" w:lineRule="exact"/>
        <w:ind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2023年度财政拨款支出</w:t>
      </w:r>
      <w:r>
        <w:rPr>
          <w:rFonts w:ascii="Times New Roman" w:hAnsi="Times New Roman" w:eastAsia="仿宋_GB2312"/>
          <w:color w:val="auto"/>
          <w:sz w:val="32"/>
        </w:rPr>
        <w:t>9568.91</w:t>
      </w:r>
      <w:r>
        <w:rPr>
          <w:rFonts w:hint="eastAsia" w:ascii="Times New Roman" w:hAnsi="Times New Roman" w:eastAsia="仿宋_GB2312"/>
          <w:color w:val="auto"/>
          <w:sz w:val="32"/>
          <w:szCs w:val="32"/>
        </w:rPr>
        <w:t>万元，主要用于以下方面：一般公共服务（类）支出</w:t>
      </w:r>
      <w:r>
        <w:rPr>
          <w:rFonts w:ascii="Times New Roman" w:hAnsi="Times New Roman" w:eastAsia="仿宋_GB2312"/>
          <w:color w:val="auto"/>
          <w:sz w:val="32"/>
        </w:rPr>
        <w:t>7720.07</w:t>
      </w:r>
      <w:r>
        <w:rPr>
          <w:rFonts w:hint="eastAsia" w:ascii="Times New Roman" w:hAnsi="Times New Roman" w:eastAsia="仿宋_GB2312"/>
          <w:color w:val="auto"/>
          <w:sz w:val="32"/>
          <w:szCs w:val="32"/>
        </w:rPr>
        <w:t>万元，占80.67%；教育（类）支出</w:t>
      </w:r>
      <w:r>
        <w:rPr>
          <w:rFonts w:ascii="Times New Roman" w:hAnsi="Times New Roman" w:eastAsia="仿宋_GB2312"/>
          <w:color w:val="auto"/>
          <w:sz w:val="32"/>
        </w:rPr>
        <w:t>39.61</w:t>
      </w:r>
      <w:r>
        <w:rPr>
          <w:rFonts w:hint="eastAsia" w:ascii="Times New Roman" w:hAnsi="Times New Roman" w:eastAsia="仿宋_GB2312"/>
          <w:color w:val="auto"/>
          <w:sz w:val="32"/>
          <w:szCs w:val="32"/>
        </w:rPr>
        <w:t>万元，占0.42%;</w:t>
      </w:r>
      <w:r>
        <w:rPr>
          <w:rFonts w:ascii="Times New Roman" w:hAnsi="Times New Roman" w:eastAsia="仿宋_GB2312"/>
          <w:color w:val="auto"/>
          <w:sz w:val="32"/>
          <w:szCs w:val="32"/>
        </w:rPr>
        <w:t>社会保障和就业</w:t>
      </w:r>
      <w:r>
        <w:rPr>
          <w:rFonts w:hint="eastAsia" w:ascii="Times New Roman" w:hAnsi="Times New Roman" w:eastAsia="仿宋_GB2312"/>
          <w:color w:val="auto"/>
          <w:sz w:val="32"/>
          <w:szCs w:val="32"/>
        </w:rPr>
        <w:t>（类）</w:t>
      </w:r>
      <w:r>
        <w:rPr>
          <w:rFonts w:ascii="Times New Roman" w:hAnsi="Times New Roman" w:eastAsia="仿宋_GB2312"/>
          <w:color w:val="auto"/>
          <w:sz w:val="32"/>
          <w:szCs w:val="32"/>
        </w:rPr>
        <w:t>支出</w:t>
      </w:r>
      <w:r>
        <w:rPr>
          <w:rFonts w:ascii="Times New Roman" w:hAnsi="Times New Roman" w:eastAsia="仿宋_GB2312"/>
          <w:color w:val="auto"/>
          <w:sz w:val="32"/>
        </w:rPr>
        <w:t>708.8</w:t>
      </w:r>
      <w:r>
        <w:rPr>
          <w:rFonts w:hint="eastAsia" w:ascii="Times New Roman" w:hAnsi="Times New Roman" w:eastAsia="仿宋_GB2312"/>
          <w:color w:val="auto"/>
          <w:sz w:val="32"/>
        </w:rPr>
        <w:t>2</w:t>
      </w:r>
      <w:r>
        <w:rPr>
          <w:rFonts w:ascii="Times New Roman" w:hAnsi="Times New Roman" w:eastAsia="仿宋_GB2312"/>
          <w:color w:val="auto"/>
          <w:sz w:val="32"/>
          <w:szCs w:val="32"/>
        </w:rPr>
        <w:t>万元，占7.41%；卫生健康支出658.11万元，占6.88%；住房保障支出442.29万元，占4.62%。</w:t>
      </w:r>
    </w:p>
    <w:p>
      <w:pPr>
        <w:pStyle w:val="17"/>
        <w:widowControl w:val="0"/>
        <w:wordWrap/>
        <w:spacing w:line="600" w:lineRule="exact"/>
        <w:ind w:right="0" w:firstLine="640" w:firstLineChars="200"/>
        <w:jc w:val="both"/>
        <w:textAlignment w:val="auto"/>
        <w:outlineLvl w:val="9"/>
        <w:rPr>
          <w:rFonts w:ascii="楷体" w:hAnsi="楷体" w:eastAsia="楷体" w:cs="楷体"/>
          <w:bCs/>
          <w:color w:val="auto"/>
          <w:sz w:val="32"/>
          <w:szCs w:val="32"/>
        </w:rPr>
      </w:pPr>
      <w:r>
        <w:rPr>
          <w:rFonts w:hint="eastAsia" w:ascii="楷体" w:hAnsi="楷体" w:eastAsia="楷体" w:cs="楷体"/>
          <w:bCs/>
          <w:color w:val="auto"/>
          <w:sz w:val="32"/>
          <w:szCs w:val="32"/>
        </w:rPr>
        <w:t>（三）一般公共预算财政拨款支出决算具体情况</w:t>
      </w:r>
    </w:p>
    <w:p>
      <w:pPr>
        <w:pStyle w:val="17"/>
        <w:widowControl w:val="0"/>
        <w:wordWrap/>
        <w:spacing w:line="600" w:lineRule="exact"/>
        <w:ind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2023年度财政拨款支出全年预算数为11437.27万元，支出决算数为9568.91万元，完成全年预算的83.66%，其中：</w:t>
      </w:r>
    </w:p>
    <w:p>
      <w:pPr>
        <w:pStyle w:val="17"/>
        <w:widowControl w:val="0"/>
        <w:wordWrap/>
        <w:spacing w:line="600" w:lineRule="exact"/>
        <w:ind w:right="0" w:firstLine="643" w:firstLineChars="200"/>
        <w:jc w:val="both"/>
        <w:textAlignment w:val="auto"/>
        <w:outlineLvl w:val="9"/>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1.一般公共服务（类）组织事务（款）行政运行（项）</w:t>
      </w:r>
    </w:p>
    <w:p>
      <w:pPr>
        <w:widowControl w:val="0"/>
        <w:wordWrap/>
        <w:spacing w:line="600" w:lineRule="exact"/>
        <w:ind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kern w:val="10"/>
          <w:sz w:val="32"/>
          <w:szCs w:val="32"/>
        </w:rPr>
        <w:t>4599.73</w:t>
      </w:r>
      <w:r>
        <w:rPr>
          <w:rFonts w:ascii="Times New Roman" w:hAnsi="Times New Roman" w:eastAsia="仿宋_GB2312" w:cs="Times New Roman"/>
          <w:sz w:val="32"/>
          <w:szCs w:val="32"/>
        </w:rPr>
        <w:t>万元，支出决算为</w:t>
      </w:r>
      <w:r>
        <w:rPr>
          <w:rFonts w:hint="eastAsia" w:ascii="Times New Roman" w:hAnsi="Times New Roman" w:eastAsia="仿宋_GB2312"/>
          <w:kern w:val="10"/>
          <w:sz w:val="32"/>
          <w:szCs w:val="32"/>
        </w:rPr>
        <w:t>4438.78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96.5</w:t>
      </w:r>
      <w:r>
        <w:rPr>
          <w:rFonts w:ascii="Times New Roman" w:hAnsi="Times New Roman" w:eastAsia="仿宋_GB2312" w:cs="Times New Roman"/>
          <w:sz w:val="32"/>
          <w:szCs w:val="32"/>
        </w:rPr>
        <w:t xml:space="preserve"> %。</w:t>
      </w:r>
    </w:p>
    <w:p>
      <w:pPr>
        <w:pStyle w:val="17"/>
        <w:widowControl w:val="0"/>
        <w:wordWrap/>
        <w:spacing w:line="600" w:lineRule="exact"/>
        <w:ind w:right="0" w:firstLine="611" w:firstLineChars="200"/>
        <w:jc w:val="both"/>
        <w:textAlignment w:val="auto"/>
        <w:outlineLvl w:val="9"/>
        <w:rPr>
          <w:rFonts w:ascii="Times New Roman" w:hAnsi="Times New Roman" w:eastAsia="仿宋_GB2312" w:cs="Times New Roman"/>
          <w:b/>
          <w:color w:val="auto"/>
          <w:spacing w:val="-8"/>
          <w:sz w:val="32"/>
          <w:szCs w:val="32"/>
        </w:rPr>
      </w:pPr>
      <w:r>
        <w:rPr>
          <w:rFonts w:ascii="Times New Roman" w:hAnsi="Times New Roman" w:eastAsia="仿宋_GB2312" w:cs="Times New Roman"/>
          <w:b/>
          <w:color w:val="auto"/>
          <w:spacing w:val="-8"/>
          <w:sz w:val="32"/>
          <w:szCs w:val="32"/>
        </w:rPr>
        <w:t>2.一般公共服务（类）组织事务（款）一般行政管理事务（项）</w:t>
      </w:r>
    </w:p>
    <w:p>
      <w:pPr>
        <w:pStyle w:val="17"/>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4563.26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3281.3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71.91</w:t>
      </w:r>
      <w:r>
        <w:rPr>
          <w:rFonts w:ascii="Times New Roman" w:hAnsi="Times New Roman" w:eastAsia="仿宋_GB2312" w:cs="Times New Roman"/>
          <w:sz w:val="32"/>
          <w:szCs w:val="32"/>
        </w:rPr>
        <w:t>%，决算数小于预算数的主要原因</w:t>
      </w:r>
      <w:r>
        <w:rPr>
          <w:rFonts w:hint="eastAsia" w:ascii="Times New Roman" w:hAnsi="Times New Roman" w:eastAsia="仿宋_GB2312" w:cs="Times New Roman"/>
          <w:sz w:val="32"/>
          <w:szCs w:val="32"/>
        </w:rPr>
        <w:t>：</w:t>
      </w:r>
      <w:r>
        <w:rPr>
          <w:rFonts w:hint="eastAsia" w:ascii="Times New Roman" w:hAnsi="Times New Roman" w:eastAsia="仿宋_GB2312"/>
          <w:color w:val="auto"/>
          <w:sz w:val="32"/>
          <w:szCs w:val="32"/>
        </w:rPr>
        <w:t>一是</w:t>
      </w:r>
      <w:r>
        <w:rPr>
          <w:rFonts w:hint="eastAsia" w:ascii="Times New Roman" w:hAnsi="Times New Roman" w:eastAsia="仿宋_GB2312"/>
          <w:color w:val="auto"/>
          <w:sz w:val="32"/>
          <w:szCs w:val="32"/>
          <w:lang w:eastAsia="zh-CN"/>
        </w:rPr>
        <w:t>对</w:t>
      </w:r>
      <w:r>
        <w:rPr>
          <w:rFonts w:hint="eastAsia" w:ascii="Times New Roman" w:hAnsi="Times New Roman" w:eastAsia="仿宋_GB2312" w:cs="Times New Roman"/>
          <w:color w:val="auto"/>
          <w:sz w:val="32"/>
          <w:szCs w:val="32"/>
        </w:rPr>
        <w:t>项目经费支出从严</w:t>
      </w:r>
      <w:r>
        <w:rPr>
          <w:rFonts w:hint="eastAsia" w:ascii="Times New Roman" w:hAnsi="Times New Roman" w:eastAsia="仿宋_GB2312" w:cs="Times New Roman"/>
          <w:color w:val="auto"/>
          <w:sz w:val="32"/>
          <w:szCs w:val="32"/>
          <w:lang w:eastAsia="zh-CN"/>
        </w:rPr>
        <w:t>审核把关，不断提升资金使用效能</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二是</w:t>
      </w:r>
      <w:r>
        <w:rPr>
          <w:rFonts w:hint="eastAsia" w:ascii="仿宋_GB2312" w:hAnsi="Times New Roman" w:eastAsia="仿宋_GB2312" w:cs="Times New Roman"/>
          <w:color w:val="auto"/>
          <w:sz w:val="32"/>
          <w:szCs w:val="32"/>
          <w:lang w:eastAsia="zh-CN"/>
        </w:rPr>
        <w:t>因工作计划调整，</w:t>
      </w:r>
      <w:r>
        <w:rPr>
          <w:rFonts w:hint="eastAsia" w:ascii="仿宋_GB2312" w:hAnsi="Times New Roman" w:eastAsia="仿宋_GB2312" w:cs="Times New Roman"/>
          <w:color w:val="auto"/>
          <w:spacing w:val="-4"/>
          <w:sz w:val="32"/>
          <w:szCs w:val="32"/>
          <w:lang w:val="en-US" w:eastAsia="zh-CN"/>
        </w:rPr>
        <w:t>部分项目支出较年初预算规模缩小</w:t>
      </w:r>
      <w:r>
        <w:rPr>
          <w:rFonts w:hint="eastAsia" w:ascii="仿宋_GB2312" w:hAnsi="Times New Roman" w:eastAsia="仿宋_GB2312" w:cs="Times New Roman"/>
          <w:color w:val="auto"/>
          <w:spacing w:val="-4"/>
          <w:sz w:val="32"/>
          <w:szCs w:val="32"/>
        </w:rPr>
        <w:t>。</w:t>
      </w:r>
    </w:p>
    <w:p>
      <w:pPr>
        <w:pStyle w:val="17"/>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3.教育支出（类）进修及培训（款）培训支出（项）</w:t>
      </w:r>
    </w:p>
    <w:p>
      <w:pPr>
        <w:pStyle w:val="17"/>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color w:val="auto"/>
          <w:sz w:val="32"/>
          <w:lang w:val="zh-CN"/>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461</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39.61</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rPr>
        <w:t>8.59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决算数小于预算数的主要原因是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受政策影响</w:t>
      </w:r>
      <w:r>
        <w:rPr>
          <w:rFonts w:hint="eastAsia" w:ascii="Times New Roman" w:hAnsi="Times New Roman" w:eastAsia="仿宋_GB2312" w:cs="Times New Roman"/>
          <w:color w:val="auto"/>
          <w:sz w:val="32"/>
          <w:szCs w:val="32"/>
          <w:lang w:eastAsia="zh-CN"/>
        </w:rPr>
        <w:t>，出国（境）培训等项目</w:t>
      </w:r>
      <w:r>
        <w:rPr>
          <w:rFonts w:hint="eastAsia" w:ascii="Times New Roman" w:hAnsi="Times New Roman" w:eastAsia="仿宋_GB2312" w:cs="Times New Roman"/>
          <w:color w:val="auto"/>
          <w:sz w:val="32"/>
          <w:szCs w:val="32"/>
        </w:rPr>
        <w:t>取消</w:t>
      </w:r>
      <w:r>
        <w:rPr>
          <w:rFonts w:ascii="Times New Roman" w:hAnsi="Times New Roman" w:eastAsia="仿宋_GB2312" w:cs="Times New Roman"/>
          <w:color w:val="auto"/>
          <w:sz w:val="32"/>
          <w:lang w:val="zh-CN"/>
        </w:rPr>
        <w:t>。</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.社会保障和就业支出(类)行政事业单位养老支出(款)行政单位离退休(项)</w:t>
      </w:r>
    </w:p>
    <w:p>
      <w:pPr>
        <w:widowControl w:val="0"/>
        <w:wordWrap/>
        <w:snapToGrid/>
        <w:spacing w:line="580" w:lineRule="exact"/>
        <w:ind w:left="0" w:leftChars="0" w:right="0" w:firstLine="640" w:firstLineChars="200"/>
        <w:jc w:val="both"/>
        <w:textAlignment w:val="auto"/>
        <w:outlineLvl w:val="9"/>
        <w:rPr>
          <w:rFonts w:ascii="Times New Roman" w:hAnsi="Times New Roman" w:eastAsia="宋体" w:cs="Times New Roman"/>
          <w:spacing w:val="-12"/>
          <w:sz w:val="32"/>
          <w:szCs w:val="32"/>
        </w:rPr>
      </w:pPr>
      <w:r>
        <w:rPr>
          <w:rFonts w:hint="eastAsia" w:ascii="Times New Roman" w:hAnsi="Times New Roman" w:eastAsia="仿宋_GB2312" w:cs="Times New Roman"/>
          <w:sz w:val="32"/>
          <w:szCs w:val="32"/>
        </w:rPr>
        <w:t>年初</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为245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24"/>
        </w:rPr>
        <w:t>245</w:t>
      </w:r>
      <w:r>
        <w:rPr>
          <w:rFonts w:ascii="Times New Roman" w:hAnsi="Times New Roman" w:eastAsia="仿宋_GB2312" w:cs="Times New Roman"/>
          <w:sz w:val="32"/>
          <w:szCs w:val="32"/>
        </w:rPr>
        <w:t>万元，完成预算的</w:t>
      </w:r>
      <w:r>
        <w:rPr>
          <w:rFonts w:hint="eastAsia" w:ascii="Times New Roman" w:hAnsi="Times New Roman" w:eastAsia="宋体" w:cs="Times New Roman"/>
          <w:spacing w:val="-12"/>
          <w:sz w:val="32"/>
          <w:szCs w:val="32"/>
        </w:rPr>
        <w:t>100</w:t>
      </w:r>
      <w:r>
        <w:rPr>
          <w:rFonts w:ascii="Times New Roman" w:hAnsi="Times New Roman" w:eastAsia="宋体" w:cs="Times New Roman"/>
          <w:spacing w:val="-12"/>
          <w:sz w:val="32"/>
          <w:szCs w:val="32"/>
        </w:rPr>
        <w:t>%。</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5</w:t>
      </w:r>
      <w:r>
        <w:rPr>
          <w:rFonts w:ascii="Times New Roman" w:hAnsi="Times New Roman" w:eastAsia="仿宋_GB2312" w:cs="Times New Roman"/>
          <w:b/>
          <w:sz w:val="32"/>
          <w:szCs w:val="32"/>
        </w:rPr>
        <w:t>.社会保障和就业支出(类)行政事业单位养老支出(款)机关事业单位基本养老保险缴费支出(项)</w:t>
      </w:r>
    </w:p>
    <w:p>
      <w:pPr>
        <w:widowControl w:val="0"/>
        <w:wordWrap/>
        <w:snapToGrid/>
        <w:spacing w:line="580" w:lineRule="exact"/>
        <w:ind w:left="0" w:leftChars="0" w:right="0" w:firstLine="640" w:firstLineChars="200"/>
        <w:jc w:val="both"/>
        <w:textAlignment w:val="auto"/>
        <w:outlineLvl w:val="9"/>
        <w:rPr>
          <w:rFonts w:ascii="Times New Roman" w:hAnsi="Times New Roman" w:eastAsia="宋体" w:cs="Times New Roman"/>
          <w:spacing w:val="-12"/>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453.21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24"/>
        </w:rPr>
        <w:t>453.21</w:t>
      </w:r>
      <w:r>
        <w:rPr>
          <w:rFonts w:ascii="Times New Roman" w:hAnsi="Times New Roman" w:eastAsia="仿宋_GB2312" w:cs="Times New Roman"/>
          <w:sz w:val="32"/>
          <w:szCs w:val="32"/>
        </w:rPr>
        <w:t>万元，完成预算的</w:t>
      </w:r>
      <w:r>
        <w:rPr>
          <w:rFonts w:ascii="Times New Roman" w:hAnsi="Times New Roman" w:eastAsia="宋体" w:cs="Times New Roman"/>
          <w:spacing w:val="-12"/>
          <w:sz w:val="32"/>
          <w:szCs w:val="32"/>
        </w:rPr>
        <w:t>100%。</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.社会保障和就业支出(类)</w:t>
      </w:r>
      <w:r>
        <w:rPr>
          <w:rFonts w:hint="eastAsia" w:ascii="Times New Roman" w:hAnsi="Times New Roman" w:eastAsia="仿宋_GB2312" w:cs="Times New Roman"/>
          <w:b/>
          <w:sz w:val="32"/>
          <w:szCs w:val="32"/>
        </w:rPr>
        <w:t>抚恤</w:t>
      </w:r>
      <w:r>
        <w:rPr>
          <w:rFonts w:ascii="Times New Roman" w:hAnsi="Times New Roman" w:eastAsia="仿宋_GB2312" w:cs="Times New Roman"/>
          <w:b/>
          <w:sz w:val="32"/>
          <w:szCs w:val="32"/>
        </w:rPr>
        <w:t>(款)</w:t>
      </w:r>
      <w:r>
        <w:rPr>
          <w:rFonts w:hint="eastAsia" w:ascii="Times New Roman" w:hAnsi="Times New Roman" w:eastAsia="仿宋_GB2312" w:cs="Times New Roman"/>
          <w:b/>
          <w:sz w:val="32"/>
          <w:szCs w:val="32"/>
        </w:rPr>
        <w:t>其他优抚支出</w:t>
      </w:r>
      <w:r>
        <w:rPr>
          <w:rFonts w:ascii="Times New Roman" w:hAnsi="Times New Roman" w:eastAsia="仿宋_GB2312" w:cs="Times New Roman"/>
          <w:b/>
          <w:sz w:val="32"/>
          <w:szCs w:val="32"/>
        </w:rPr>
        <w:t>(项)</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10.62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10.62</w:t>
      </w:r>
      <w:r>
        <w:rPr>
          <w:rFonts w:ascii="Times New Roman" w:hAnsi="Times New Roman" w:eastAsia="仿宋_GB2312" w:cs="Times New Roman"/>
          <w:sz w:val="32"/>
          <w:szCs w:val="32"/>
        </w:rPr>
        <w:t>万元，完成预算的100%。</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spacing w:val="-10"/>
          <w:sz w:val="32"/>
          <w:szCs w:val="32"/>
        </w:rPr>
      </w:pPr>
      <w:r>
        <w:rPr>
          <w:rFonts w:hint="eastAsia" w:ascii="Times New Roman" w:hAnsi="Times New Roman" w:eastAsia="仿宋_GB2312" w:cs="Times New Roman"/>
          <w:b/>
          <w:spacing w:val="-10"/>
          <w:sz w:val="32"/>
          <w:szCs w:val="32"/>
        </w:rPr>
        <w:t>7</w:t>
      </w:r>
      <w:r>
        <w:rPr>
          <w:rFonts w:ascii="Times New Roman" w:hAnsi="Times New Roman" w:eastAsia="仿宋_GB2312" w:cs="Times New Roman"/>
          <w:b/>
          <w:spacing w:val="-10"/>
          <w:sz w:val="32"/>
          <w:szCs w:val="32"/>
        </w:rPr>
        <w:t>.卫生健康支出(类)行政事业单位医疗(款)行政单位医疗(项)</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388.74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384.67</w:t>
      </w:r>
      <w:r>
        <w:rPr>
          <w:rFonts w:ascii="Times New Roman" w:hAnsi="Times New Roman" w:eastAsia="仿宋_GB2312" w:cs="Times New Roman"/>
          <w:sz w:val="32"/>
          <w:szCs w:val="32"/>
        </w:rPr>
        <w:t>万元，完成预算的100%。</w:t>
      </w:r>
    </w:p>
    <w:p>
      <w:pPr>
        <w:widowControl w:val="0"/>
        <w:wordWrap/>
        <w:snapToGrid/>
        <w:spacing w:line="58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8</w:t>
      </w:r>
      <w:r>
        <w:rPr>
          <w:rFonts w:ascii="Times New Roman" w:hAnsi="Times New Roman" w:eastAsia="仿宋_GB2312" w:cs="Times New Roman"/>
          <w:b/>
          <w:sz w:val="32"/>
          <w:szCs w:val="32"/>
        </w:rPr>
        <w:t>.卫生健康支出(类)行政事业单位医疗(款)公务员医疗补助(项)</w:t>
      </w:r>
    </w:p>
    <w:p>
      <w:pPr>
        <w:widowControl w:val="0"/>
        <w:wordWrap/>
        <w:spacing w:line="600" w:lineRule="exact"/>
        <w:ind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rPr>
        <w:t>273.44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273.44</w:t>
      </w:r>
      <w:r>
        <w:rPr>
          <w:rFonts w:ascii="Times New Roman" w:hAnsi="Times New Roman" w:eastAsia="仿宋_GB2312" w:cs="Times New Roman"/>
          <w:sz w:val="32"/>
          <w:szCs w:val="32"/>
        </w:rPr>
        <w:t>万元，完成预算的100%。</w:t>
      </w:r>
    </w:p>
    <w:p>
      <w:pPr>
        <w:widowControl w:val="0"/>
        <w:wordWrap/>
        <w:spacing w:line="600" w:lineRule="exact"/>
        <w:ind w:right="0" w:firstLine="643"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9</w:t>
      </w:r>
      <w:r>
        <w:rPr>
          <w:rFonts w:ascii="Times New Roman" w:hAnsi="Times New Roman" w:eastAsia="仿宋_GB2312" w:cs="Times New Roman"/>
          <w:b/>
          <w:sz w:val="32"/>
          <w:szCs w:val="32"/>
        </w:rPr>
        <w:t>.住房保障支出(类)住房改革支出(款)住房公积金(项)</w:t>
      </w:r>
    </w:p>
    <w:p>
      <w:pPr>
        <w:widowControl w:val="0"/>
        <w:wordWrap/>
        <w:spacing w:line="600" w:lineRule="exact"/>
        <w:ind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440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440</w:t>
      </w:r>
      <w:r>
        <w:rPr>
          <w:rFonts w:ascii="Times New Roman" w:hAnsi="Times New Roman" w:eastAsia="仿宋_GB2312" w:cs="Times New Roman"/>
          <w:sz w:val="32"/>
          <w:szCs w:val="32"/>
        </w:rPr>
        <w:t>万元，完成预算的100%。</w:t>
      </w:r>
    </w:p>
    <w:p>
      <w:pPr>
        <w:pStyle w:val="12"/>
        <w:widowControl w:val="0"/>
        <w:wordWrap/>
        <w:spacing w:line="600" w:lineRule="exact"/>
        <w:ind w:right="0" w:firstLine="643" w:firstLineChars="200"/>
        <w:jc w:val="both"/>
        <w:textAlignment w:val="auto"/>
        <w:outlineLvl w:val="9"/>
        <w:rPr>
          <w:rFonts w:ascii="仿宋" w:hAnsi="仿宋" w:eastAsia="仿宋" w:cs="仿宋"/>
          <w:b/>
          <w:bCs/>
          <w:spacing w:val="-3"/>
          <w:sz w:val="32"/>
          <w:szCs w:val="32"/>
        </w:rPr>
      </w:pPr>
      <w:r>
        <w:rPr>
          <w:rFonts w:hint="eastAsia" w:ascii="仿宋" w:hAnsi="仿宋" w:eastAsia="仿宋" w:cs="仿宋"/>
          <w:b/>
          <w:bCs/>
          <w:spacing w:val="-3"/>
          <w:sz w:val="32"/>
          <w:szCs w:val="32"/>
        </w:rPr>
        <w:t>10.住房保障支出（类）住房改革支出（款）住房补贴（项）</w:t>
      </w:r>
    </w:p>
    <w:p>
      <w:pPr>
        <w:pStyle w:val="12"/>
        <w:widowControl w:val="0"/>
        <w:wordWrap/>
        <w:spacing w:line="600" w:lineRule="exact"/>
        <w:ind w:right="0" w:firstLine="640" w:firstLineChars="200"/>
        <w:jc w:val="both"/>
        <w:textAlignment w:val="auto"/>
        <w:outlineLvl w:val="9"/>
        <w:rPr>
          <w:rFonts w:ascii="Times New Roman" w:hAnsi="Times New Roman" w:eastAsia="仿宋" w:cs="Times New Roman"/>
          <w:sz w:val="32"/>
          <w:szCs w:val="32"/>
        </w:rPr>
      </w:pPr>
      <w:r>
        <w:rPr>
          <w:rFonts w:ascii="Times New Roman" w:hAnsi="仿宋" w:eastAsia="仿宋" w:cs="Times New Roman"/>
          <w:sz w:val="32"/>
          <w:szCs w:val="32"/>
        </w:rPr>
        <w:t>年初预算为</w:t>
      </w:r>
      <w:r>
        <w:rPr>
          <w:rFonts w:ascii="Times New Roman" w:hAnsi="Times New Roman" w:eastAsia="仿宋" w:cs="Times New Roman"/>
          <w:sz w:val="32"/>
          <w:szCs w:val="32"/>
        </w:rPr>
        <w:t>2.29</w:t>
      </w:r>
      <w:r>
        <w:rPr>
          <w:rFonts w:ascii="Times New Roman" w:hAnsi="仿宋" w:eastAsia="仿宋" w:cs="Times New Roman"/>
          <w:sz w:val="32"/>
          <w:szCs w:val="32"/>
        </w:rPr>
        <w:t>万元，支出决算为</w:t>
      </w:r>
      <w:r>
        <w:rPr>
          <w:rFonts w:ascii="Times New Roman" w:hAnsi="Times New Roman" w:eastAsia="仿宋" w:cs="Times New Roman"/>
          <w:sz w:val="32"/>
          <w:szCs w:val="32"/>
        </w:rPr>
        <w:t>2.29</w:t>
      </w:r>
      <w:r>
        <w:rPr>
          <w:rFonts w:ascii="Times New Roman" w:hAnsi="仿宋" w:eastAsia="仿宋" w:cs="Times New Roman"/>
          <w:sz w:val="32"/>
          <w:szCs w:val="32"/>
        </w:rPr>
        <w:t>万元，完成年初预算的</w:t>
      </w:r>
      <w:r>
        <w:rPr>
          <w:rFonts w:ascii="Times New Roman" w:hAnsi="Times New Roman" w:eastAsia="仿宋" w:cs="Times New Roman"/>
          <w:sz w:val="32"/>
          <w:szCs w:val="32"/>
        </w:rPr>
        <w:t>100%</w:t>
      </w:r>
      <w:r>
        <w:rPr>
          <w:rFonts w:ascii="Times New Roman" w:hAnsi="仿宋" w:eastAsia="仿宋" w:cs="Times New Roman"/>
          <w:sz w:val="32"/>
          <w:szCs w:val="32"/>
        </w:rPr>
        <w:t>。</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六、一般公共预算财政拨款基本支出决算情况说明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2023年度财政拨款基本支出6237.39万元，其中：</w:t>
      </w:r>
    </w:p>
    <w:p>
      <w:pPr>
        <w:pStyle w:val="17"/>
        <w:widowControl w:val="0"/>
        <w:wordWrap/>
        <w:spacing w:line="600" w:lineRule="exact"/>
        <w:ind w:right="0" w:firstLine="643" w:firstLineChars="200"/>
        <w:jc w:val="both"/>
        <w:textAlignment w:val="auto"/>
        <w:outlineLvl w:val="9"/>
        <w:rPr>
          <w:rFonts w:ascii="Times New Roman" w:hAnsi="Times New Roman" w:eastAsia="楷体" w:cs="Times New Roman"/>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bCs/>
          <w:sz w:val="32"/>
          <w:szCs w:val="32"/>
        </w:rPr>
        <w:t>5597.58</w:t>
      </w:r>
      <w:r>
        <w:rPr>
          <w:rFonts w:hint="eastAsia" w:ascii="Times New Roman" w:hAnsi="Times New Roman" w:eastAsia="仿宋_GB2312"/>
          <w:sz w:val="32"/>
          <w:szCs w:val="32"/>
        </w:rPr>
        <w:t>万元，占基本支出的89.74%,</w:t>
      </w:r>
      <w:r>
        <w:rPr>
          <w:rFonts w:ascii="Times New Roman" w:hAnsi="Times New Roman" w:eastAsia="仿宋_GB2312" w:cs="Times New Roman"/>
          <w:color w:val="auto"/>
          <w:sz w:val="32"/>
          <w:szCs w:val="32"/>
        </w:rPr>
        <w:t>主要包括基本工资、津贴补贴、</w:t>
      </w:r>
      <w:r>
        <w:rPr>
          <w:rFonts w:hint="eastAsia" w:ascii="Times New Roman" w:hAnsi="Times New Roman" w:eastAsia="仿宋_GB2312" w:cs="Times New Roman"/>
          <w:color w:val="auto"/>
          <w:sz w:val="32"/>
          <w:szCs w:val="32"/>
        </w:rPr>
        <w:t>基础绩效</w:t>
      </w:r>
      <w:r>
        <w:rPr>
          <w:rFonts w:ascii="Times New Roman" w:hAnsi="Times New Roman" w:eastAsia="仿宋_GB2312" w:cs="Times New Roman"/>
          <w:color w:val="auto"/>
          <w:sz w:val="32"/>
          <w:szCs w:val="32"/>
        </w:rPr>
        <w:t>奖金、伙食补助费、机关事业单位养老保险缴费、职工基本医疗保障缴费、</w:t>
      </w:r>
      <w:r>
        <w:rPr>
          <w:rFonts w:hint="eastAsia" w:ascii="Times New Roman" w:hAnsi="Times New Roman" w:eastAsia="仿宋_GB2312" w:cs="Times New Roman"/>
          <w:color w:val="auto"/>
          <w:sz w:val="32"/>
          <w:szCs w:val="32"/>
        </w:rPr>
        <w:t>公务员医疗补助缴费、</w:t>
      </w:r>
      <w:r>
        <w:rPr>
          <w:rFonts w:ascii="Times New Roman" w:hAnsi="Times New Roman" w:eastAsia="仿宋_GB2312" w:cs="Times New Roman"/>
          <w:color w:val="auto"/>
          <w:sz w:val="32"/>
          <w:szCs w:val="32"/>
        </w:rPr>
        <w:t>住房公积金、医疗</w:t>
      </w:r>
      <w:r>
        <w:rPr>
          <w:rFonts w:hint="eastAsia" w:ascii="Times New Roman" w:hAnsi="Times New Roman" w:eastAsia="仿宋_GB2312" w:cs="Times New Roman"/>
          <w:color w:val="auto"/>
          <w:sz w:val="32"/>
          <w:szCs w:val="32"/>
        </w:rPr>
        <w:t>补助</w:t>
      </w:r>
      <w:r>
        <w:rPr>
          <w:rFonts w:ascii="Times New Roman" w:hAnsi="Times New Roman" w:eastAsia="仿宋_GB2312" w:cs="Times New Roman"/>
          <w:color w:val="auto"/>
          <w:sz w:val="32"/>
          <w:szCs w:val="32"/>
        </w:rPr>
        <w:t>、</w:t>
      </w:r>
      <w:r>
        <w:rPr>
          <w:rFonts w:ascii="Times New Roman" w:hAnsi="Times New Roman" w:eastAsia="仿宋" w:cs="Times New Roman"/>
          <w:color w:val="auto"/>
          <w:spacing w:val="-1"/>
          <w:sz w:val="32"/>
          <w:szCs w:val="32"/>
        </w:rPr>
        <w:t>离休</w:t>
      </w:r>
      <w:r>
        <w:rPr>
          <w:rFonts w:ascii="Times New Roman" w:hAnsi="Times New Roman" w:eastAsia="仿宋" w:cs="Times New Roman"/>
          <w:color w:val="auto"/>
          <w:spacing w:val="-2"/>
          <w:sz w:val="32"/>
          <w:szCs w:val="32"/>
        </w:rPr>
        <w:t>费、</w:t>
      </w:r>
      <w:r>
        <w:rPr>
          <w:rFonts w:hint="eastAsia" w:ascii="Times New Roman" w:hAnsi="Times New Roman" w:eastAsia="仿宋" w:cs="Times New Roman"/>
          <w:color w:val="auto"/>
          <w:spacing w:val="-2"/>
          <w:sz w:val="32"/>
          <w:szCs w:val="32"/>
        </w:rPr>
        <w:t>退休费、</w:t>
      </w:r>
      <w:r>
        <w:rPr>
          <w:rFonts w:ascii="Times New Roman" w:hAnsi="Times New Roman" w:eastAsia="仿宋" w:cs="Times New Roman"/>
          <w:color w:val="auto"/>
          <w:spacing w:val="-5"/>
          <w:sz w:val="32"/>
          <w:szCs w:val="32"/>
        </w:rPr>
        <w:t>抚恤金、其他对个人和家庭的补助支出等</w:t>
      </w:r>
      <w:r>
        <w:rPr>
          <w:rFonts w:ascii="Times New Roman" w:hAnsi="Times New Roman" w:eastAsia="仿宋_GB2312" w:cs="Times New Roman"/>
          <w:color w:val="auto"/>
          <w:sz w:val="32"/>
          <w:szCs w:val="32"/>
        </w:rPr>
        <w:t>。</w:t>
      </w:r>
    </w:p>
    <w:p>
      <w:pPr>
        <w:widowControl w:val="0"/>
        <w:wordWrap/>
        <w:spacing w:line="600" w:lineRule="exact"/>
        <w:ind w:right="0" w:firstLine="643" w:firstLineChars="200"/>
        <w:jc w:val="both"/>
        <w:textAlignment w:val="auto"/>
        <w:outlineLvl w:val="9"/>
        <w:rPr>
          <w:rFonts w:ascii="Times New Roman" w:hAnsi="Times New Roman" w:eastAsia="仿宋" w:cs="Times New Roman"/>
          <w:spacing w:val="-3"/>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639.81万元，占基本支出的10.26%，</w:t>
      </w:r>
      <w:r>
        <w:rPr>
          <w:rFonts w:ascii="Times New Roman" w:hAnsi="Times New Roman" w:eastAsia="仿宋" w:cs="Times New Roman"/>
          <w:spacing w:val="1"/>
          <w:sz w:val="32"/>
          <w:szCs w:val="32"/>
        </w:rPr>
        <w:t>主要包括办公费</w:t>
      </w:r>
      <w:r>
        <w:rPr>
          <w:rFonts w:ascii="Times New Roman" w:hAnsi="Times New Roman" w:eastAsia="仿宋" w:cs="Times New Roman"/>
          <w:sz w:val="32"/>
          <w:szCs w:val="32"/>
        </w:rPr>
        <w:t>、印刷费、电费、邮电费</w:t>
      </w:r>
      <w:r>
        <w:rPr>
          <w:rFonts w:hint="eastAsia" w:ascii="Times New Roman" w:hAnsi="Times New Roman" w:eastAsia="仿宋" w:cs="Times New Roman"/>
          <w:sz w:val="32"/>
          <w:szCs w:val="32"/>
          <w:lang w:eastAsia="zh-CN"/>
        </w:rPr>
        <w:t>、</w:t>
      </w:r>
      <w:r>
        <w:rPr>
          <w:rFonts w:ascii="Times New Roman" w:hAnsi="Times New Roman" w:eastAsia="仿宋" w:cs="Times New Roman"/>
          <w:spacing w:val="-2"/>
          <w:sz w:val="32"/>
          <w:szCs w:val="32"/>
        </w:rPr>
        <w:t>差旅费、会议费、培训费、公务接待费、工会经费、公务用车运</w:t>
      </w:r>
      <w:r>
        <w:rPr>
          <w:rFonts w:ascii="Times New Roman" w:hAnsi="Times New Roman" w:eastAsia="仿宋" w:cs="Times New Roman"/>
          <w:spacing w:val="-3"/>
          <w:sz w:val="32"/>
          <w:szCs w:val="32"/>
        </w:rPr>
        <w:t>行维护费、其他交通费用、其他商品和服务支出等。</w:t>
      </w:r>
    </w:p>
    <w:p>
      <w:pPr>
        <w:pStyle w:val="17"/>
        <w:widowControl w:val="0"/>
        <w:wordWrap/>
        <w:spacing w:line="600" w:lineRule="exact"/>
        <w:ind w:right="0" w:firstLine="640" w:firstLineChars="200"/>
        <w:jc w:val="both"/>
        <w:textAlignment w:val="auto"/>
        <w:outlineLvl w:val="9"/>
        <w:rPr>
          <w:rFonts w:ascii="Times New Roman" w:hAnsi="Times New Roman" w:eastAsia="仿宋_GB2312"/>
          <w:b/>
          <w:sz w:val="32"/>
          <w:szCs w:val="32"/>
        </w:rPr>
      </w:pPr>
      <w:r>
        <w:rPr>
          <w:rFonts w:hint="eastAsia" w:hAnsi="黑体"/>
          <w:bCs/>
          <w:sz w:val="32"/>
          <w:szCs w:val="32"/>
        </w:rPr>
        <w:t>七、财政拨款三公经费支出决算情况说明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“三公”经费财政拨款支出预算为254万元，支出决算为</w:t>
      </w:r>
      <w:r>
        <w:rPr>
          <w:rFonts w:ascii="Times New Roman" w:hAnsi="Times New Roman" w:eastAsia="仿宋_GB2312"/>
          <w:sz w:val="32"/>
        </w:rPr>
        <w:t>72.52</w:t>
      </w:r>
      <w:r>
        <w:rPr>
          <w:rFonts w:hint="eastAsia" w:ascii="Times New Roman" w:hAnsi="Times New Roman" w:eastAsia="仿宋_GB2312"/>
          <w:sz w:val="32"/>
          <w:szCs w:val="32"/>
        </w:rPr>
        <w:t>万元，完成预算的28.55%，与上年相比减少38.74万元，下降34.82%，主要原因是</w:t>
      </w:r>
      <w:r>
        <w:rPr>
          <w:rFonts w:hint="eastAsia" w:ascii="Times New Roman" w:hAnsi="Times New Roman" w:eastAsia="仿宋_GB2312"/>
          <w:sz w:val="32"/>
          <w:szCs w:val="32"/>
          <w:lang w:eastAsia="zh-CN"/>
        </w:rPr>
        <w:t>：</w:t>
      </w:r>
      <w:r>
        <w:rPr>
          <w:rFonts w:ascii="Times New Roman" w:hAnsi="Times New Roman" w:eastAsia="仿宋_GB2312"/>
          <w:sz w:val="32"/>
        </w:rPr>
        <w:t>2023年度较2022年减少购置公务用车一台</w:t>
      </w:r>
      <w:r>
        <w:rPr>
          <w:rFonts w:ascii="Times New Roman" w:hAnsi="Times New Roman" w:eastAsia="仿宋" w:cs="Times New Roman"/>
          <w:spacing w:val="-3"/>
          <w:sz w:val="32"/>
          <w:szCs w:val="32"/>
        </w:rPr>
        <w:t>。</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因公出国（境）费支出预算为160万元，支出决算为0万元，完成预算的0%，主要</w:t>
      </w:r>
      <w:r>
        <w:rPr>
          <w:rFonts w:hint="eastAsia" w:ascii="Times New Roman" w:hAnsi="Times New Roman" w:eastAsia="仿宋_GB2312"/>
          <w:sz w:val="32"/>
          <w:szCs w:val="32"/>
          <w:lang w:eastAsia="zh-CN"/>
        </w:rPr>
        <w:t>原因</w:t>
      </w:r>
      <w:r>
        <w:rPr>
          <w:rFonts w:hint="eastAsia" w:ascii="Times New Roman" w:hAnsi="Times New Roman" w:eastAsia="仿宋_GB2312"/>
          <w:sz w:val="32"/>
          <w:szCs w:val="32"/>
        </w:rPr>
        <w:t>是</w:t>
      </w:r>
      <w:r>
        <w:rPr>
          <w:rFonts w:hint="eastAsia" w:ascii="Times New Roman" w:hAnsi="Times New Roman" w:eastAsia="仿宋_GB2312"/>
          <w:sz w:val="32"/>
          <w:szCs w:val="32"/>
          <w:lang w:eastAsia="zh-CN"/>
        </w:rPr>
        <w:t>：</w:t>
      </w:r>
      <w:r>
        <w:rPr>
          <w:rFonts w:ascii="Times New Roman" w:hAnsi="Times New Roman" w:eastAsia="仿宋_GB2312"/>
          <w:sz w:val="32"/>
        </w:rPr>
        <w:t>根据有关政策规定</w:t>
      </w:r>
      <w:r>
        <w:rPr>
          <w:rFonts w:hint="eastAsia" w:ascii="Times New Roman" w:hAnsi="Times New Roman" w:eastAsia="仿宋_GB2312"/>
          <w:sz w:val="32"/>
        </w:rPr>
        <w:t>本年度</w:t>
      </w:r>
      <w:r>
        <w:rPr>
          <w:rFonts w:ascii="Times New Roman" w:hAnsi="Times New Roman" w:eastAsia="仿宋_GB2312"/>
          <w:sz w:val="32"/>
        </w:rPr>
        <w:t>出国（境）培训项目</w:t>
      </w:r>
      <w:r>
        <w:rPr>
          <w:rFonts w:hint="eastAsia" w:ascii="Times New Roman" w:hAnsi="Times New Roman" w:eastAsia="仿宋_GB2312"/>
          <w:sz w:val="32"/>
        </w:rPr>
        <w:t>取消</w:t>
      </w:r>
      <w:r>
        <w:rPr>
          <w:rFonts w:ascii="Times New Roman" w:hAnsi="Times New Roman" w:eastAsia="仿宋_GB2312"/>
          <w:sz w:val="32"/>
        </w:rPr>
        <w:t>，2023年未产生因公出国（境）费</w:t>
      </w:r>
      <w:r>
        <w:rPr>
          <w:rFonts w:hint="eastAsia" w:ascii="Times New Roman" w:hAnsi="Times New Roman" w:eastAsia="仿宋_GB2312"/>
          <w:sz w:val="32"/>
          <w:szCs w:val="32"/>
        </w:rPr>
        <w:t>。</w:t>
      </w:r>
    </w:p>
    <w:p>
      <w:pPr>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公务接待费支出预算为20万元，支出决算为1.99万元，完成预算的9.95%，与上年相比减少8.19万元，降幅80.45%，决算数小于预算数、当年支出小于上年支出的主要原因是</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落实厉行节约有关要求</w:t>
      </w:r>
      <w:r>
        <w:rPr>
          <w:rFonts w:ascii="Times New Roman" w:hAnsi="Times New Roman" w:eastAsia="仿宋_GB2312" w:cs="Times New Roman"/>
          <w:spacing w:val="-13"/>
          <w:sz w:val="32"/>
          <w:szCs w:val="32"/>
        </w:rPr>
        <w:t>，不断规范</w:t>
      </w:r>
      <w:r>
        <w:rPr>
          <w:rFonts w:ascii="Times New Roman" w:hAnsi="Times New Roman" w:eastAsia="仿宋_GB2312" w:cs="Times New Roman"/>
          <w:spacing w:val="-4"/>
          <w:sz w:val="32"/>
          <w:szCs w:val="32"/>
        </w:rPr>
        <w:t>公务接待管理，有效</w:t>
      </w:r>
      <w:r>
        <w:rPr>
          <w:rFonts w:hint="eastAsia" w:ascii="Times New Roman" w:hAnsi="Times New Roman" w:eastAsia="仿宋_GB2312" w:cs="Times New Roman"/>
          <w:spacing w:val="-4"/>
          <w:sz w:val="32"/>
          <w:szCs w:val="32"/>
        </w:rPr>
        <w:t>降低</w:t>
      </w:r>
      <w:r>
        <w:rPr>
          <w:rFonts w:ascii="Times New Roman" w:hAnsi="Times New Roman" w:eastAsia="仿宋_GB2312" w:cs="Times New Roman"/>
          <w:spacing w:val="-4"/>
          <w:sz w:val="32"/>
          <w:szCs w:val="32"/>
        </w:rPr>
        <w:t>了公务接待开支</w:t>
      </w:r>
      <w:r>
        <w:rPr>
          <w:rFonts w:hint="eastAsia" w:ascii="Times New Roman" w:hAnsi="Times New Roman" w:eastAsia="仿宋_GB2312"/>
          <w:sz w:val="32"/>
          <w:szCs w:val="32"/>
        </w:rPr>
        <w:t>。</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公务用车购置费支出预算为25万元，支出决算为24.98万元，完成预算的99.92%。</w:t>
      </w:r>
    </w:p>
    <w:p>
      <w:pPr>
        <w:pStyle w:val="17"/>
        <w:widowControl w:val="0"/>
        <w:wordWrap/>
        <w:spacing w:line="600" w:lineRule="exact"/>
        <w:ind w:right="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sz w:val="32"/>
          <w:szCs w:val="32"/>
        </w:rPr>
        <w:t>公务用车运行维护费支出预算为49万元，支出决算为45.55万元，完成预算的92.96%，</w:t>
      </w:r>
      <w:r>
        <w:rPr>
          <w:rFonts w:ascii="Times New Roman" w:hAnsi="Times New Roman" w:eastAsia="仿宋_GB2312"/>
          <w:sz w:val="32"/>
        </w:rPr>
        <w:t>比上年减少</w:t>
      </w:r>
      <w:r>
        <w:rPr>
          <w:rFonts w:hint="eastAsia" w:ascii="Times New Roman" w:hAnsi="Times New Roman" w:eastAsia="仿宋_GB2312"/>
          <w:sz w:val="32"/>
        </w:rPr>
        <w:t>8.43</w:t>
      </w:r>
      <w:r>
        <w:rPr>
          <w:rFonts w:ascii="Times New Roman" w:hAnsi="Times New Roman" w:eastAsia="仿宋_GB2312"/>
          <w:sz w:val="32"/>
        </w:rPr>
        <w:t>万元，</w:t>
      </w:r>
      <w:r>
        <w:rPr>
          <w:rFonts w:hint="eastAsia" w:ascii="Times New Roman" w:hAnsi="Times New Roman" w:eastAsia="仿宋_GB2312"/>
          <w:sz w:val="32"/>
          <w:lang w:eastAsia="zh-CN"/>
        </w:rPr>
        <w:t>降</w:t>
      </w:r>
      <w:r>
        <w:rPr>
          <w:rFonts w:ascii="Times New Roman" w:hAnsi="Times New Roman" w:eastAsia="仿宋_GB2312"/>
          <w:sz w:val="32"/>
        </w:rPr>
        <w:t>幅</w:t>
      </w:r>
      <w:r>
        <w:rPr>
          <w:rFonts w:hint="eastAsia" w:ascii="Times New Roman" w:hAnsi="Times New Roman" w:eastAsia="仿宋_GB2312"/>
          <w:sz w:val="32"/>
        </w:rPr>
        <w:t>15.61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w:t>
      </w:r>
      <w:r>
        <w:rPr>
          <w:rFonts w:hint="eastAsia" w:ascii="Times New Roman" w:hAnsi="Times New Roman" w:eastAsia="仿宋_GB2312" w:cs="Times New Roman"/>
          <w:color w:val="auto"/>
          <w:sz w:val="32"/>
          <w:szCs w:val="32"/>
        </w:rPr>
        <w:t>不断优化细化</w:t>
      </w:r>
      <w:r>
        <w:rPr>
          <w:rFonts w:hint="eastAsia" w:ascii="Times New Roman" w:hAnsi="Times New Roman" w:eastAsia="仿宋_GB2312" w:cs="Times New Roman"/>
          <w:color w:val="auto"/>
          <w:sz w:val="32"/>
          <w:szCs w:val="32"/>
          <w:lang w:eastAsia="zh-CN"/>
        </w:rPr>
        <w:t>公务用车</w:t>
      </w:r>
      <w:r>
        <w:rPr>
          <w:rFonts w:hint="eastAsia" w:ascii="Times New Roman" w:hAnsi="Times New Roman" w:eastAsia="仿宋_GB2312" w:cs="Times New Roman"/>
          <w:color w:val="auto"/>
          <w:sz w:val="32"/>
          <w:szCs w:val="32"/>
        </w:rPr>
        <w:t>和驾驶员管理，有效降低了车辆</w:t>
      </w:r>
      <w:r>
        <w:rPr>
          <w:rFonts w:hint="eastAsia" w:ascii="Times New Roman" w:hAnsi="Times New Roman" w:eastAsia="仿宋_GB2312" w:cs="Times New Roman"/>
          <w:color w:val="auto"/>
          <w:sz w:val="32"/>
          <w:szCs w:val="32"/>
          <w:lang w:eastAsia="zh-CN"/>
        </w:rPr>
        <w:t>运行维护</w:t>
      </w:r>
      <w:r>
        <w:rPr>
          <w:rFonts w:hint="eastAsia" w:ascii="Times New Roman" w:hAnsi="Times New Roman" w:eastAsia="仿宋_GB2312" w:cs="Times New Roman"/>
          <w:color w:val="auto"/>
          <w:sz w:val="32"/>
          <w:szCs w:val="32"/>
        </w:rPr>
        <w:t>开支。</w:t>
      </w:r>
    </w:p>
    <w:p>
      <w:pPr>
        <w:pStyle w:val="17"/>
        <w:widowControl w:val="0"/>
        <w:wordWrap/>
        <w:spacing w:line="600" w:lineRule="exact"/>
        <w:ind w:right="0" w:firstLine="640" w:firstLineChars="200"/>
        <w:jc w:val="both"/>
        <w:textAlignment w:val="auto"/>
        <w:outlineLvl w:val="9"/>
        <w:rPr>
          <w:rFonts w:ascii="楷体" w:hAnsi="楷体" w:eastAsia="楷体" w:cs="楷体"/>
          <w:b/>
          <w:bCs/>
          <w:i/>
          <w:color w:val="auto"/>
          <w:sz w:val="32"/>
          <w:szCs w:val="32"/>
        </w:rPr>
      </w:pPr>
      <w:r>
        <w:rPr>
          <w:rFonts w:hint="eastAsia" w:ascii="Times New Roman" w:hAnsi="Times New Roman" w:eastAsia="仿宋_GB2312"/>
          <w:color w:val="auto"/>
          <w:sz w:val="32"/>
          <w:szCs w:val="32"/>
        </w:rPr>
        <w:t>公务用车购置费及运行维护费支出决算为70.53万元，其中：公务用车购置费24.98万元，主要用于新购公务用车1辆。公务用车运行维护费45.55万元，主要是</w:t>
      </w:r>
      <w:r>
        <w:rPr>
          <w:rFonts w:ascii="Times New Roman" w:hAnsi="Times New Roman" w:eastAsia="仿宋_GB2312" w:cs="Times New Roman"/>
          <w:color w:val="auto"/>
          <w:spacing w:val="-4"/>
          <w:sz w:val="32"/>
          <w:szCs w:val="32"/>
        </w:rPr>
        <w:t>用于机要</w:t>
      </w:r>
      <w:r>
        <w:rPr>
          <w:rFonts w:ascii="Times New Roman" w:hAnsi="Times New Roman" w:eastAsia="仿宋_GB2312" w:cs="Times New Roman"/>
          <w:color w:val="auto"/>
          <w:spacing w:val="-5"/>
          <w:sz w:val="32"/>
          <w:szCs w:val="32"/>
        </w:rPr>
        <w:t>文件取送、市</w:t>
      </w:r>
      <w:r>
        <w:rPr>
          <w:rFonts w:ascii="Times New Roman" w:hAnsi="Times New Roman" w:eastAsia="仿宋_GB2312" w:cs="Times New Roman"/>
          <w:color w:val="auto"/>
          <w:spacing w:val="2"/>
          <w:sz w:val="32"/>
          <w:szCs w:val="32"/>
        </w:rPr>
        <w:t>内因公出行及省委、省委组织部派出的专项检查督查所需车辆燃</w:t>
      </w:r>
      <w:r>
        <w:rPr>
          <w:rFonts w:ascii="Times New Roman" w:hAnsi="Times New Roman" w:eastAsia="仿宋_GB2312" w:cs="Times New Roman"/>
          <w:color w:val="auto"/>
          <w:spacing w:val="14"/>
          <w:sz w:val="32"/>
          <w:szCs w:val="32"/>
        </w:rPr>
        <w:t>料费、维修费、过桥过路费、保险费等</w:t>
      </w:r>
      <w:r>
        <w:rPr>
          <w:rFonts w:ascii="Times New Roman" w:hAnsi="Times New Roman" w:eastAsia="仿宋_GB2312" w:cs="Times New Roman"/>
          <w:color w:val="auto"/>
          <w:sz w:val="32"/>
          <w:szCs w:val="32"/>
        </w:rPr>
        <w:t>支出</w:t>
      </w:r>
      <w:r>
        <w:rPr>
          <w:rFonts w:hint="eastAsia" w:ascii="Times New Roman" w:hAnsi="Times New Roman" w:eastAsia="仿宋_GB2312"/>
          <w:color w:val="auto"/>
          <w:sz w:val="32"/>
          <w:szCs w:val="32"/>
        </w:rPr>
        <w:t>。截止2023年12月31日，我单位财政拨款</w:t>
      </w:r>
      <w:r>
        <w:rPr>
          <w:rFonts w:hint="eastAsia" w:ascii="Times New Roman" w:hAnsi="Times New Roman" w:eastAsia="仿宋_GB2312"/>
          <w:color w:val="auto"/>
          <w:sz w:val="32"/>
          <w:szCs w:val="32"/>
          <w:lang w:eastAsia="zh-CN"/>
        </w:rPr>
        <w:t>保障</w:t>
      </w:r>
      <w:r>
        <w:rPr>
          <w:rFonts w:hint="eastAsia" w:ascii="Times New Roman" w:hAnsi="Times New Roman" w:eastAsia="仿宋_GB2312"/>
          <w:color w:val="auto"/>
          <w:sz w:val="32"/>
          <w:szCs w:val="32"/>
        </w:rPr>
        <w:t>的公务用车保有量为11辆。</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八、政府性基金预算收入支出决算情况</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2023年度政府性基金预算财政拨款收入0万元。</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九、关于机关运行经费支出说明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b/>
          <w:color w:val="auto"/>
          <w:sz w:val="32"/>
          <w:szCs w:val="32"/>
        </w:rPr>
      </w:pPr>
      <w:r>
        <w:rPr>
          <w:rFonts w:ascii="Times New Roman" w:hAnsi="Times New Roman" w:eastAsia="仿宋_GB2312" w:cs="Times New Roman"/>
          <w:color w:val="auto"/>
          <w:sz w:val="32"/>
          <w:szCs w:val="32"/>
        </w:rPr>
        <w:t>本部门202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年度机关运行经费支出6</w:t>
      </w:r>
      <w:r>
        <w:rPr>
          <w:rFonts w:hint="eastAsia" w:ascii="Times New Roman" w:hAnsi="Times New Roman" w:eastAsia="仿宋_GB2312" w:cs="Times New Roman"/>
          <w:color w:val="auto"/>
          <w:sz w:val="32"/>
          <w:szCs w:val="32"/>
        </w:rPr>
        <w:t>39.81</w:t>
      </w:r>
      <w:r>
        <w:rPr>
          <w:rFonts w:ascii="Times New Roman" w:hAnsi="Times New Roman" w:eastAsia="仿宋_GB2312" w:cs="Times New Roman"/>
          <w:color w:val="auto"/>
          <w:sz w:val="32"/>
          <w:szCs w:val="32"/>
        </w:rPr>
        <w:t>万元</w:t>
      </w:r>
      <w:r>
        <w:rPr>
          <w:rFonts w:ascii="Times New Roman" w:hAnsi="Times New Roman" w:eastAsia="仿宋_GB2312" w:cs="Times New Roman"/>
          <w:b/>
          <w:bCs/>
          <w:i/>
          <w:color w:val="auto"/>
          <w:sz w:val="32"/>
          <w:szCs w:val="32"/>
        </w:rPr>
        <w:t>，</w:t>
      </w:r>
      <w:r>
        <w:rPr>
          <w:rFonts w:ascii="Times New Roman" w:hAnsi="Times New Roman" w:eastAsia="仿宋_GB2312" w:cs="Times New Roman"/>
          <w:color w:val="auto"/>
          <w:sz w:val="32"/>
          <w:szCs w:val="32"/>
        </w:rPr>
        <w:t>比上年决算数</w:t>
      </w:r>
      <w:r>
        <w:rPr>
          <w:rFonts w:hint="eastAsia" w:ascii="Times New Roman" w:hAnsi="Times New Roman" w:eastAsia="仿宋_GB2312" w:cs="Times New Roman"/>
          <w:color w:val="auto"/>
          <w:sz w:val="32"/>
          <w:szCs w:val="32"/>
        </w:rPr>
        <w:t>增加17.12</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增涨2.75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持续规范会计科目使用，优化调整了部门支出结构。</w:t>
      </w: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十、一般性支出情况说明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2023年本部门开支会议费168.48万元，参会约3800人次，</w:t>
      </w:r>
      <w:r>
        <w:rPr>
          <w:rFonts w:ascii="Times New Roman" w:hAnsi="Times New Roman" w:eastAsia="仿宋_GB2312" w:cs="Times New Roman"/>
          <w:color w:val="auto"/>
          <w:sz w:val="32"/>
          <w:szCs w:val="32"/>
        </w:rPr>
        <w:t>主要用于召开全省组织部长会议，</w:t>
      </w:r>
      <w:r>
        <w:rPr>
          <w:rFonts w:hint="eastAsia" w:ascii="Times New Roman" w:hAnsi="Times New Roman" w:eastAsia="仿宋_GB2312" w:cs="Times New Roman"/>
          <w:color w:val="auto"/>
          <w:sz w:val="32"/>
          <w:szCs w:val="32"/>
        </w:rPr>
        <w:t>全省组织部长工作会议，</w:t>
      </w:r>
      <w:r>
        <w:rPr>
          <w:rFonts w:ascii="Times New Roman" w:hAnsi="Times New Roman" w:eastAsia="仿宋_GB2312" w:cs="Times New Roman"/>
          <w:color w:val="auto"/>
          <w:sz w:val="32"/>
          <w:szCs w:val="32"/>
        </w:rPr>
        <w:t>市州和省直行业系统党（工）委书记抓基层党建述职评议会议，全省党建工作领导小组会议，</w:t>
      </w:r>
      <w:r>
        <w:rPr>
          <w:rFonts w:hint="eastAsia" w:ascii="Times New Roman" w:hAnsi="Times New Roman" w:eastAsia="仿宋_GB2312" w:cs="Times New Roman"/>
          <w:color w:val="auto"/>
          <w:sz w:val="32"/>
          <w:szCs w:val="32"/>
        </w:rPr>
        <w:t>全省人才工作会议，</w:t>
      </w:r>
      <w:r>
        <w:rPr>
          <w:rFonts w:ascii="Times New Roman" w:hAnsi="Times New Roman" w:eastAsia="仿宋_GB2312" w:cs="Times New Roman"/>
          <w:color w:val="auto"/>
          <w:sz w:val="32"/>
          <w:szCs w:val="32"/>
        </w:rPr>
        <w:t>全省公务员信息更新采集、干部统计工作会议，全省公务员工作推进会议，</w:t>
      </w:r>
      <w:r>
        <w:rPr>
          <w:rFonts w:hint="eastAsia" w:ascii="Times New Roman" w:hAnsi="Times New Roman" w:eastAsia="仿宋_GB2312" w:cs="Times New Roman"/>
          <w:color w:val="auto"/>
          <w:sz w:val="32"/>
          <w:szCs w:val="32"/>
        </w:rPr>
        <w:t>湖南省党内统计评审会议，援疆干部人才欢送会议</w:t>
      </w:r>
      <w:r>
        <w:rPr>
          <w:rFonts w:ascii="Times New Roman" w:hAnsi="Times New Roman" w:eastAsia="仿宋_GB2312" w:cs="Times New Roman"/>
          <w:color w:val="auto"/>
          <w:sz w:val="32"/>
          <w:szCs w:val="32"/>
        </w:rPr>
        <w:t>，全省两新工委会议</w:t>
      </w:r>
      <w:r>
        <w:rPr>
          <w:rFonts w:hint="eastAsia" w:ascii="Times New Roman" w:hAnsi="Times New Roman" w:eastAsia="仿宋_GB2312" w:cs="Times New Roman"/>
          <w:color w:val="auto"/>
          <w:sz w:val="32"/>
          <w:szCs w:val="32"/>
        </w:rPr>
        <w:t>等会议</w:t>
      </w:r>
      <w:r>
        <w:rPr>
          <w:rFonts w:hint="eastAsia" w:ascii="Times New Roman" w:hAnsi="Times New Roman" w:eastAsia="仿宋_GB2312"/>
          <w:color w:val="auto"/>
          <w:sz w:val="32"/>
          <w:szCs w:val="32"/>
        </w:rPr>
        <w:t>；开支培训费553.71万元，培训约2500人次，</w:t>
      </w:r>
      <w:r>
        <w:rPr>
          <w:rFonts w:ascii="Times New Roman" w:hAnsi="Times New Roman" w:eastAsia="仿宋_GB2312" w:cs="Times New Roman"/>
          <w:color w:val="auto"/>
          <w:sz w:val="32"/>
          <w:szCs w:val="32"/>
        </w:rPr>
        <w:t>主要用于</w:t>
      </w:r>
      <w:r>
        <w:rPr>
          <w:rFonts w:hint="eastAsia" w:ascii="Times New Roman" w:hAnsi="Times New Roman" w:eastAsia="仿宋_GB2312" w:cs="Times New Roman"/>
          <w:color w:val="auto"/>
          <w:sz w:val="32"/>
          <w:szCs w:val="32"/>
        </w:rPr>
        <w:t>组织全国社区党组织书记和居委会主任培训班</w:t>
      </w:r>
      <w:r>
        <w:rPr>
          <w:rFonts w:ascii="Times New Roman" w:hAnsi="Times New Roman" w:eastAsia="仿宋_GB2312" w:cs="Times New Roman"/>
          <w:color w:val="auto"/>
          <w:sz w:val="32"/>
          <w:szCs w:val="32"/>
        </w:rPr>
        <w:t>，新任公务员培训班，全省两新</w:t>
      </w:r>
      <w:r>
        <w:rPr>
          <w:rFonts w:hint="eastAsia" w:ascii="Times New Roman" w:hAnsi="Times New Roman" w:eastAsia="仿宋_GB2312" w:cs="Times New Roman"/>
          <w:color w:val="auto"/>
          <w:sz w:val="32"/>
          <w:szCs w:val="32"/>
        </w:rPr>
        <w:t>新任</w:t>
      </w:r>
      <w:r>
        <w:rPr>
          <w:rFonts w:ascii="Times New Roman" w:hAnsi="Times New Roman" w:eastAsia="仿宋_GB2312" w:cs="Times New Roman"/>
          <w:color w:val="auto"/>
          <w:sz w:val="32"/>
          <w:szCs w:val="32"/>
        </w:rPr>
        <w:t>党组织书记</w:t>
      </w:r>
      <w:r>
        <w:rPr>
          <w:rFonts w:hint="eastAsia" w:ascii="Times New Roman" w:hAnsi="Times New Roman" w:eastAsia="仿宋_GB2312" w:cs="Times New Roman"/>
          <w:color w:val="auto"/>
          <w:sz w:val="32"/>
          <w:szCs w:val="32"/>
        </w:rPr>
        <w:t>示范</w:t>
      </w:r>
      <w:r>
        <w:rPr>
          <w:rFonts w:ascii="Times New Roman" w:hAnsi="Times New Roman" w:eastAsia="仿宋_GB2312" w:cs="Times New Roman"/>
          <w:color w:val="auto"/>
          <w:sz w:val="32"/>
          <w:szCs w:val="32"/>
        </w:rPr>
        <w:t>培训班，</w:t>
      </w:r>
      <w:r>
        <w:rPr>
          <w:rFonts w:hint="eastAsia" w:ascii="Times New Roman" w:hAnsi="Times New Roman" w:eastAsia="仿宋_GB2312" w:cs="Times New Roman"/>
          <w:color w:val="auto"/>
          <w:sz w:val="32"/>
          <w:szCs w:val="32"/>
        </w:rPr>
        <w:t>全省两新党建业务骨干示范培训班，全省西藏、新疆籍基层公务员提升治理能力专题培训班</w:t>
      </w:r>
      <w:r>
        <w:rPr>
          <w:rFonts w:ascii="Times New Roman" w:hAnsi="Times New Roman" w:eastAsia="仿宋_GB2312" w:cs="Times New Roman"/>
          <w:color w:val="auto"/>
          <w:sz w:val="32"/>
          <w:szCs w:val="32"/>
        </w:rPr>
        <w:t>，选调生岗前集中培训班，全省</w:t>
      </w:r>
      <w:r>
        <w:rPr>
          <w:rFonts w:hint="eastAsia" w:ascii="Times New Roman" w:hAnsi="Times New Roman" w:eastAsia="仿宋_GB2312" w:cs="Times New Roman"/>
          <w:color w:val="auto"/>
          <w:sz w:val="32"/>
          <w:szCs w:val="32"/>
        </w:rPr>
        <w:t>组织部门干部人事档案和信息化业务培训班</w:t>
      </w:r>
      <w:r>
        <w:rPr>
          <w:rFonts w:ascii="Times New Roman" w:hAnsi="Times New Roman" w:eastAsia="仿宋_GB2312" w:cs="Times New Roman"/>
          <w:color w:val="auto"/>
          <w:sz w:val="32"/>
          <w:szCs w:val="32"/>
        </w:rPr>
        <w:t>，全省网宣员培训班，全省公务员面试考官培训班</w:t>
      </w:r>
      <w:r>
        <w:rPr>
          <w:rFonts w:hint="eastAsia" w:ascii="Times New Roman" w:hAnsi="Times New Roman" w:eastAsia="仿宋_GB2312" w:cs="Times New Roman"/>
          <w:color w:val="auto"/>
          <w:sz w:val="32"/>
          <w:szCs w:val="32"/>
        </w:rPr>
        <w:t>，乡村振兴专题培训班，加强和改进基层公务员培训工作专题培训班</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培训</w:t>
      </w:r>
      <w:r>
        <w:rPr>
          <w:rFonts w:ascii="Times New Roman" w:hAnsi="Times New Roman" w:eastAsia="仿宋_GB2312" w:cs="Times New Roman"/>
          <w:color w:val="auto"/>
          <w:sz w:val="32"/>
          <w:szCs w:val="32"/>
        </w:rPr>
        <w:t>。</w:t>
      </w:r>
    </w:p>
    <w:p>
      <w:pPr>
        <w:pStyle w:val="17"/>
        <w:widowControl w:val="0"/>
        <w:wordWrap/>
        <w:spacing w:line="600" w:lineRule="exact"/>
        <w:ind w:right="0" w:firstLine="640" w:firstLineChars="200"/>
        <w:jc w:val="both"/>
        <w:textAlignment w:val="auto"/>
        <w:outlineLvl w:val="9"/>
        <w:rPr>
          <w:rFonts w:ascii="Times New Roman" w:hAnsi="Times New Roman" w:eastAsia="仿宋_GB2312" w:cs="Times New Roman"/>
          <w:color w:val="auto"/>
          <w:sz w:val="32"/>
          <w:szCs w:val="32"/>
        </w:rPr>
      </w:pPr>
    </w:p>
    <w:p>
      <w:pPr>
        <w:pStyle w:val="17"/>
        <w:widowControl w:val="0"/>
        <w:wordWrap/>
        <w:spacing w:line="600" w:lineRule="exact"/>
        <w:ind w:right="0" w:firstLine="640" w:firstLineChars="200"/>
        <w:jc w:val="both"/>
        <w:textAlignment w:val="auto"/>
        <w:outlineLvl w:val="9"/>
        <w:rPr>
          <w:rFonts w:hAnsi="黑体"/>
          <w:bCs/>
          <w:sz w:val="32"/>
          <w:szCs w:val="32"/>
        </w:rPr>
      </w:pPr>
      <w:r>
        <w:rPr>
          <w:rFonts w:hint="eastAsia" w:hAnsi="黑体"/>
          <w:bCs/>
          <w:sz w:val="32"/>
          <w:szCs w:val="32"/>
        </w:rPr>
        <w:t>十一、关于政府采购支出说明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本部门2023年度政府采购支出总额2583.29万元，其中：政府采购货物支出501.22 万元、政府采购工程支出0万元、政府采购服务支出2082.07万元。</w:t>
      </w:r>
    </w:p>
    <w:p>
      <w:pPr>
        <w:pStyle w:val="17"/>
        <w:widowControl w:val="0"/>
        <w:wordWrap/>
        <w:spacing w:line="600" w:lineRule="exact"/>
        <w:ind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sz w:val="32"/>
          <w:szCs w:val="32"/>
        </w:rPr>
        <w:t>授予中小企业合同金额1302.24万元，占政府采购支出总额的50.41%，其中：授予小微企业合同金额656.62万元，</w:t>
      </w:r>
      <w:r>
        <w:rPr>
          <w:rFonts w:hint="eastAsia" w:ascii="Times New Roman" w:hAnsi="Times New Roman" w:eastAsia="仿宋_GB2312"/>
          <w:color w:val="auto"/>
          <w:sz w:val="32"/>
          <w:szCs w:val="32"/>
        </w:rPr>
        <w:t>占授予中小企业合同金额的50.42%。</w:t>
      </w:r>
    </w:p>
    <w:p>
      <w:pPr>
        <w:pStyle w:val="17"/>
        <w:widowControl w:val="0"/>
        <w:wordWrap/>
        <w:spacing w:line="600" w:lineRule="exact"/>
        <w:ind w:right="0" w:firstLine="640" w:firstLineChars="200"/>
        <w:jc w:val="both"/>
        <w:textAlignment w:val="auto"/>
        <w:outlineLvl w:val="9"/>
        <w:rPr>
          <w:rFonts w:ascii="楷体" w:hAnsi="楷体" w:eastAsia="楷体" w:cs="楷体"/>
          <w:b/>
          <w:bCs/>
          <w:i/>
          <w:color w:val="FF0000"/>
          <w:sz w:val="32"/>
          <w:szCs w:val="32"/>
        </w:rPr>
      </w:pPr>
      <w:r>
        <w:rPr>
          <w:rFonts w:hint="eastAsia" w:ascii="Times New Roman" w:hAnsi="Times New Roman" w:eastAsia="仿宋_GB2312"/>
          <w:color w:val="auto"/>
          <w:sz w:val="32"/>
          <w:szCs w:val="32"/>
        </w:rPr>
        <w:t>货物采购授予中小企业合同金额占货物支出金额的68.33%，工程采购授予中小企业合同金额占工程支出金额的0%，服务采购授予中小企业合同金额占服务支出金额的46.09%。</w:t>
      </w:r>
    </w:p>
    <w:p>
      <w:pPr>
        <w:pStyle w:val="17"/>
        <w:widowControl w:val="0"/>
        <w:wordWrap/>
        <w:spacing w:line="600" w:lineRule="exact"/>
        <w:ind w:right="0" w:firstLine="640" w:firstLineChars="200"/>
        <w:jc w:val="both"/>
        <w:textAlignment w:val="auto"/>
        <w:outlineLvl w:val="9"/>
        <w:rPr>
          <w:rFonts w:hAnsi="黑体"/>
          <w:bCs/>
          <w:color w:val="auto"/>
          <w:sz w:val="32"/>
          <w:szCs w:val="32"/>
        </w:rPr>
      </w:pPr>
      <w:r>
        <w:rPr>
          <w:rFonts w:hint="eastAsia" w:hAnsi="黑体"/>
          <w:bCs/>
          <w:color w:val="auto"/>
          <w:sz w:val="32"/>
          <w:szCs w:val="32"/>
        </w:rPr>
        <w:t>十二、关于国有资产占用情况说明</w:t>
      </w:r>
    </w:p>
    <w:p>
      <w:pPr>
        <w:pStyle w:val="17"/>
        <w:widowControl w:val="0"/>
        <w:wordWrap/>
        <w:spacing w:line="600" w:lineRule="exact"/>
        <w:ind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截至2023年12月31日，我部共有车辆11辆，其中，副部（省）级及以上领导用车1辆、主要负责人用车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辆、机要通信用车1辆、应急保障用车</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辆、执法执勤用车0辆、特种专业技术用车0辆、离退休干部服务用车3辆、其他用车0辆。单位价值100万元以上设备0台（套）。</w:t>
      </w:r>
    </w:p>
    <w:p>
      <w:pPr>
        <w:pStyle w:val="17"/>
        <w:widowControl w:val="0"/>
        <w:wordWrap/>
        <w:spacing w:line="600" w:lineRule="exact"/>
        <w:ind w:right="0" w:firstLine="640" w:firstLineChars="200"/>
        <w:jc w:val="both"/>
        <w:textAlignment w:val="auto"/>
        <w:outlineLvl w:val="9"/>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7"/>
        <w:widowControl w:val="0"/>
        <w:wordWrap/>
        <w:spacing w:line="600" w:lineRule="exact"/>
        <w:ind w:right="0" w:firstLine="643" w:firstLineChars="200"/>
        <w:jc w:val="both"/>
        <w:textAlignment w:val="auto"/>
        <w:outlineLvl w:val="9"/>
        <w:rPr>
          <w:rFonts w:ascii="楷体" w:hAnsi="楷体" w:eastAsia="楷体" w:cs="楷体"/>
          <w:b/>
          <w:bCs/>
          <w:sz w:val="32"/>
          <w:szCs w:val="32"/>
        </w:rPr>
      </w:pPr>
      <w:r>
        <w:rPr>
          <w:rFonts w:hint="eastAsia" w:ascii="楷体" w:hAnsi="楷体" w:eastAsia="楷体" w:cs="楷体"/>
          <w:b/>
          <w:bCs/>
          <w:sz w:val="32"/>
          <w:szCs w:val="32"/>
        </w:rPr>
        <w:t>（一）部门（单位）整体支出绩效情况</w:t>
      </w:r>
    </w:p>
    <w:p>
      <w:pPr>
        <w:widowControl w:val="0"/>
        <w:wordWrap/>
        <w:spacing w:line="600" w:lineRule="exact"/>
        <w:ind w:right="0" w:firstLine="640" w:firstLineChars="200"/>
        <w:jc w:val="both"/>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2023年，我部</w:t>
      </w:r>
      <w:r>
        <w:rPr>
          <w:rFonts w:ascii="Times New Roman" w:hAnsi="Times New Roman" w:eastAsia="仿宋_GB2312" w:cs="Times New Roman"/>
          <w:kern w:val="0"/>
          <w:sz w:val="32"/>
          <w:szCs w:val="32"/>
        </w:rPr>
        <w:t>全年预算</w:t>
      </w:r>
      <w:r>
        <w:rPr>
          <w:rFonts w:hint="eastAsia" w:ascii="Times New Roman" w:hAnsi="Times New Roman" w:eastAsia="仿宋_GB2312" w:cs="Times New Roman"/>
          <w:kern w:val="0"/>
          <w:sz w:val="32"/>
          <w:szCs w:val="32"/>
        </w:rPr>
        <w:t>收入11437.27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实际支出9568.91</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在扎实推进全省基层党建、党员管理、人才培育、干部选育等各项组织工作任务落地落实，保障部机关正常运转等方面发挥了积极作用，各项目经费的数质量指标、成本指标、社会效益指标、可持续影响指标也都达到了年初既定目标，取得了较好的成果，部门整体绩效自评99分</w:t>
      </w:r>
      <w:r>
        <w:rPr>
          <w:rFonts w:ascii="Times New Roman" w:hAnsi="Times New Roman" w:eastAsia="仿宋_GB2312" w:cs="Times New Roman"/>
          <w:kern w:val="0"/>
          <w:sz w:val="32"/>
          <w:szCs w:val="32"/>
        </w:rPr>
        <w:t>。</w:t>
      </w:r>
    </w:p>
    <w:p>
      <w:pPr>
        <w:pStyle w:val="17"/>
        <w:widowControl w:val="0"/>
        <w:wordWrap/>
        <w:spacing w:line="600" w:lineRule="exact"/>
        <w:ind w:right="0" w:firstLine="643" w:firstLineChars="200"/>
        <w:jc w:val="both"/>
        <w:textAlignment w:val="auto"/>
        <w:outlineLvl w:val="9"/>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17"/>
        <w:widowControl w:val="0"/>
        <w:wordWrap/>
        <w:spacing w:line="600" w:lineRule="exact"/>
        <w:ind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w:t>
      </w:r>
      <w:r>
        <w:rPr>
          <w:rFonts w:hint="eastAsia" w:ascii="Times New Roman" w:hAnsi="Times New Roman" w:eastAsia="仿宋_GB2312"/>
          <w:color w:val="auto"/>
          <w:sz w:val="32"/>
          <w:szCs w:val="32"/>
          <w:lang w:eastAsia="zh-CN"/>
        </w:rPr>
        <w:t>我</w:t>
      </w:r>
      <w:r>
        <w:rPr>
          <w:rFonts w:hint="eastAsia" w:ascii="Times New Roman" w:hAnsi="Times New Roman" w:eastAsia="仿宋_GB2312"/>
          <w:color w:val="auto"/>
          <w:sz w:val="32"/>
          <w:szCs w:val="32"/>
        </w:rPr>
        <w:t>部整体预算执行</w:t>
      </w:r>
      <w:r>
        <w:rPr>
          <w:rFonts w:ascii="Times New Roman" w:hAnsi="Times New Roman" w:eastAsia="仿宋_GB2312" w:cs="Times New Roman"/>
          <w:sz w:val="32"/>
          <w:szCs w:val="32"/>
        </w:rPr>
        <w:t>率</w:t>
      </w:r>
      <w:r>
        <w:rPr>
          <w:rFonts w:hint="eastAsia" w:ascii="Times New Roman" w:hAnsi="Times New Roman" w:eastAsia="仿宋_GB2312" w:cs="Times New Roman"/>
          <w:sz w:val="32"/>
          <w:szCs w:val="32"/>
        </w:rPr>
        <w:t>83.66</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rPr>
        <w:t>，虽较上年度有了较大提高，但对照省财政高质量预算绩效管理的要求，仍然存在项目支出进度不平衡、个别项目支出进度不达标的问题。主要原因：个别项目受上级政策影响，全年预算执行率较低。例如本年度干部教育培训工作的国（境）外培训全部取消。</w:t>
      </w:r>
    </w:p>
    <w:p>
      <w:pPr>
        <w:pStyle w:val="17"/>
        <w:spacing w:line="600" w:lineRule="exact"/>
        <w:ind w:firstLine="640" w:firstLineChars="200"/>
        <w:jc w:val="both"/>
        <w:rPr>
          <w:rFonts w:ascii="Times New Roman" w:hAnsi="Times New Roman" w:eastAsia="仿宋_GB2312"/>
          <w:color w:val="auto"/>
          <w:sz w:val="32"/>
          <w:szCs w:val="32"/>
        </w:rPr>
      </w:pPr>
    </w:p>
    <w:p>
      <w:pPr>
        <w:pStyle w:val="17"/>
        <w:spacing w:line="600" w:lineRule="exact"/>
        <w:ind w:firstLine="1440" w:firstLineChars="200"/>
        <w:jc w:val="both"/>
        <w:rPr>
          <w:color w:val="auto"/>
          <w:sz w:val="72"/>
          <w:szCs w:val="72"/>
        </w:rPr>
      </w:pPr>
    </w:p>
    <w:p>
      <w:pPr>
        <w:pStyle w:val="17"/>
        <w:jc w:val="center"/>
        <w:rPr>
          <w:sz w:val="72"/>
          <w:szCs w:val="72"/>
        </w:rPr>
      </w:pPr>
    </w:p>
    <w:p>
      <w:pPr>
        <w:pStyle w:val="17"/>
        <w:jc w:val="center"/>
        <w:rPr>
          <w:sz w:val="72"/>
          <w:szCs w:val="72"/>
        </w:rPr>
      </w:pPr>
    </w:p>
    <w:p>
      <w:pPr>
        <w:pStyle w:val="17"/>
        <w:jc w:val="both"/>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一、财政拨款收入：指财政当年拨付的资金。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二、年初结转和结余：指以前年度尚未完成、结转到本年按有关规定继续使用的资金。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三、年末结转和结余：指本年度或以前年度预算安排、因客 观条件发生变化无法按计划实施，需要延迟到以后年度按有关规定继续使用的资金。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四、基本支出：指为保障机构正常运转、完成日常工作任务而发生的人员支出和公用支出。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五、项目支出：指在基本支出之外为完成特定行政任务和事业发展目标所发生的支出。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六、“三公”经费：指财政拨款安排的因公出国(境)、公务用车购置及运行费和公务接待费。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七、机关运行经费：为保障行政单位运行用于购买货物和服务的各项资金，包括办公费、印刷费、邮电费、差旅费、会议费、 福利费、日常维修费、专用材料及一般设备购置费、办公用房水电费、办公用房取暖费、办公用房物业管理费、公务用车购置运行费以及其他费用。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八、一般公共服务支出(类)组织事务(款)行政运行(项):反映组织部门用于保障机构正常运行、开展日常工作的基本支出。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九、一般公共服务支出(类)组织事务(款)一般行政管理事务(项):反映组织部门未单独设置项级科目的其他项目支出。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十、教育支出(类)进修及培训(款)培训支出(项):反映为配合组织业务工作开展，用于培训的支出。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十二、社会保障和就业支出(类)人力资源和社会保障管理事务(款)行政运行(项):反映行政单位的基本支出。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十三、社会保障和就业支出(类)行政事业单位养老支出(款)行政单位离退休(项):反映为单位开支的离退休经费。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十四、社会保障和就业支出(类)行政事业单位养老支出(款)机关事业单位基本养老保险缴费支出(项):反映为单位实施养老保险制度由单位缴纳的基本养老保险费支出。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十五、卫生健康支出(类)行政事业单位医疗(款)行政单位医疗(项):反映为按国家享受离休人员、红军老战士待遇人员的医疗经费。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十六、住房保障支出(类)住房改革支出(款)住房公积金(项):反映为单位按照国家相关规定的基本工资和津贴补贴以及规定比例为职工缴纳的住房公积金。</w:t>
      </w: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spacing w:line="580" w:lineRule="exact"/>
        <w:ind w:firstLine="1440" w:firstLineChars="200"/>
        <w:jc w:val="both"/>
        <w:rPr>
          <w:rFonts w:ascii="Times New Roman" w:hAnsi="Times New Roman" w:cs="Times New Roman"/>
          <w:color w:val="auto"/>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pPr>
        <w:pStyle w:val="17"/>
        <w:jc w:val="center"/>
        <w:rPr>
          <w:rFonts w:hint="eastAsia" w:ascii="方正小标宋_GBK" w:hAnsi="方正小标宋_GBK" w:eastAsia="方正小标宋_GBK" w:cs="方正小标宋_GBK"/>
          <w:sz w:val="72"/>
          <w:szCs w:val="72"/>
          <w:lang w:eastAsia="zh-CN"/>
        </w:rPr>
      </w:pPr>
    </w:p>
    <w:p>
      <w:pPr>
        <w:pStyle w:val="17"/>
        <w:jc w:val="center"/>
        <w:rPr>
          <w:rFonts w:hint="eastAsia" w:ascii="方正小标宋_GBK" w:hAnsi="方正小标宋_GBK" w:eastAsia="方正小标宋_GBK" w:cs="方正小标宋_GBK"/>
          <w:sz w:val="72"/>
          <w:szCs w:val="72"/>
          <w:lang w:eastAsia="zh-CN"/>
        </w:rPr>
      </w:pPr>
    </w:p>
    <w:p>
      <w:pPr>
        <w:pStyle w:val="17"/>
        <w:jc w:val="center"/>
        <w:rPr>
          <w:rFonts w:hint="eastAsia" w:ascii="方正小标宋_GBK" w:hAnsi="方正小标宋_GBK" w:eastAsia="方正小标宋_GBK" w:cs="方正小标宋_GBK"/>
          <w:sz w:val="72"/>
          <w:szCs w:val="72"/>
          <w:lang w:eastAsia="zh-CN"/>
        </w:rPr>
      </w:pPr>
    </w:p>
    <w:p>
      <w:pPr>
        <w:jc w:val="left"/>
        <w:rPr>
          <w:rFonts w:ascii="宋体" w:hAnsi="宋体" w:cs="黑体"/>
          <w:color w:val="000000"/>
          <w:kern w:val="0"/>
          <w:sz w:val="32"/>
          <w:szCs w:val="32"/>
        </w:rPr>
      </w:pPr>
      <w:bookmarkStart w:id="0" w:name="_GoBack"/>
      <w:bookmarkEnd w:id="0"/>
    </w:p>
    <w:sectPr>
      <w:pgSz w:w="11906" w:h="16838"/>
      <w:pgMar w:top="1701" w:right="1701" w:bottom="1701"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0000000000000000000"/>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rPr>
        <w:sz w:val="22"/>
        <w:szCs w:val="22"/>
      </w:rPr>
      <w:fldChar w:fldCharType="begin"/>
    </w:r>
    <w:r>
      <w:rPr>
        <w:sz w:val="22"/>
        <w:szCs w:val="22"/>
      </w:rPr>
      <w:instrText xml:space="preserve"> PAGE   \* MERGEFORMAT </w:instrText>
    </w:r>
    <w:r>
      <w:rPr>
        <w:sz w:val="22"/>
        <w:szCs w:val="22"/>
      </w:rPr>
      <w:fldChar w:fldCharType="separate"/>
    </w:r>
    <w:r>
      <w:t>1</w:t>
    </w:r>
    <w:r>
      <w:rPr>
        <w:sz w:val="22"/>
        <w:szCs w:val="22"/>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58272522">
    <w:nsid w:val="273C710A"/>
    <w:multiLevelType w:val="multilevel"/>
    <w:tmpl w:val="273C710A"/>
    <w:lvl w:ilvl="0" w:tentative="1">
      <w:start w:val="1"/>
      <w:numFmt w:val="none"/>
      <w:lvlText w:val="一、"/>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6582725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I5YTI0MjE5NGI0NWZkNWY5Y2E5YTI4MzVmM2ViMDMifQ=="/>
    <w:docVar w:name="KSO_WPS_MARK_KEY" w:val="64d25995-0834-4e5b-8f3b-f6ebf22c5ae4"/>
  </w:docVars>
  <w:rsids>
    <w:rsidRoot w:val="004506F9"/>
    <w:rsid w:val="00005F80"/>
    <w:rsid w:val="00013B3A"/>
    <w:rsid w:val="0002229B"/>
    <w:rsid w:val="000273BD"/>
    <w:rsid w:val="000350B1"/>
    <w:rsid w:val="00040CBC"/>
    <w:rsid w:val="000415B7"/>
    <w:rsid w:val="00041E3F"/>
    <w:rsid w:val="00055DAA"/>
    <w:rsid w:val="00061F7B"/>
    <w:rsid w:val="000658A3"/>
    <w:rsid w:val="00074155"/>
    <w:rsid w:val="000922E4"/>
    <w:rsid w:val="0009534A"/>
    <w:rsid w:val="00097FC4"/>
    <w:rsid w:val="000A3F69"/>
    <w:rsid w:val="000A64F5"/>
    <w:rsid w:val="000A742A"/>
    <w:rsid w:val="000C7271"/>
    <w:rsid w:val="000F5F3B"/>
    <w:rsid w:val="00103957"/>
    <w:rsid w:val="00120F0A"/>
    <w:rsid w:val="00152C6D"/>
    <w:rsid w:val="00162D39"/>
    <w:rsid w:val="00162EB5"/>
    <w:rsid w:val="001678BD"/>
    <w:rsid w:val="00171F64"/>
    <w:rsid w:val="00176E8C"/>
    <w:rsid w:val="00182373"/>
    <w:rsid w:val="00193955"/>
    <w:rsid w:val="001A67DB"/>
    <w:rsid w:val="001B4A1B"/>
    <w:rsid w:val="001C3C29"/>
    <w:rsid w:val="001D24E9"/>
    <w:rsid w:val="001D51E5"/>
    <w:rsid w:val="001E080D"/>
    <w:rsid w:val="001E53D0"/>
    <w:rsid w:val="001F0C3B"/>
    <w:rsid w:val="00202C82"/>
    <w:rsid w:val="00204EA7"/>
    <w:rsid w:val="00214427"/>
    <w:rsid w:val="00226CB7"/>
    <w:rsid w:val="002441C9"/>
    <w:rsid w:val="00264552"/>
    <w:rsid w:val="00264EF9"/>
    <w:rsid w:val="00265724"/>
    <w:rsid w:val="0027426B"/>
    <w:rsid w:val="00286955"/>
    <w:rsid w:val="002A7420"/>
    <w:rsid w:val="002B2E59"/>
    <w:rsid w:val="002E0A30"/>
    <w:rsid w:val="002E109A"/>
    <w:rsid w:val="002E2504"/>
    <w:rsid w:val="00310858"/>
    <w:rsid w:val="003130C4"/>
    <w:rsid w:val="00316C4B"/>
    <w:rsid w:val="0032192B"/>
    <w:rsid w:val="003479BD"/>
    <w:rsid w:val="00362039"/>
    <w:rsid w:val="00365ED0"/>
    <w:rsid w:val="0037197D"/>
    <w:rsid w:val="003768D5"/>
    <w:rsid w:val="003926B9"/>
    <w:rsid w:val="00393A1A"/>
    <w:rsid w:val="003C47E6"/>
    <w:rsid w:val="003C4FC2"/>
    <w:rsid w:val="00416E61"/>
    <w:rsid w:val="00417218"/>
    <w:rsid w:val="00421E13"/>
    <w:rsid w:val="0042521F"/>
    <w:rsid w:val="0042790C"/>
    <w:rsid w:val="004313E2"/>
    <w:rsid w:val="004506F9"/>
    <w:rsid w:val="004611AA"/>
    <w:rsid w:val="004717A2"/>
    <w:rsid w:val="00473DF3"/>
    <w:rsid w:val="00487911"/>
    <w:rsid w:val="004911CB"/>
    <w:rsid w:val="00491741"/>
    <w:rsid w:val="00494021"/>
    <w:rsid w:val="004B0CEE"/>
    <w:rsid w:val="00500E5F"/>
    <w:rsid w:val="00510CBB"/>
    <w:rsid w:val="005122EF"/>
    <w:rsid w:val="0051441A"/>
    <w:rsid w:val="00517C33"/>
    <w:rsid w:val="00517D5F"/>
    <w:rsid w:val="00523644"/>
    <w:rsid w:val="0054069E"/>
    <w:rsid w:val="00544866"/>
    <w:rsid w:val="005767CC"/>
    <w:rsid w:val="00580D5D"/>
    <w:rsid w:val="00590D9F"/>
    <w:rsid w:val="00591BF0"/>
    <w:rsid w:val="00595D26"/>
    <w:rsid w:val="005A4FFC"/>
    <w:rsid w:val="005A74E6"/>
    <w:rsid w:val="005B404E"/>
    <w:rsid w:val="005D42F7"/>
    <w:rsid w:val="005D4D55"/>
    <w:rsid w:val="005E2CFB"/>
    <w:rsid w:val="005F2103"/>
    <w:rsid w:val="005F21BB"/>
    <w:rsid w:val="005F3D1C"/>
    <w:rsid w:val="0062378F"/>
    <w:rsid w:val="006369CF"/>
    <w:rsid w:val="00641842"/>
    <w:rsid w:val="00651EEC"/>
    <w:rsid w:val="00661A5B"/>
    <w:rsid w:val="00661EDA"/>
    <w:rsid w:val="00674930"/>
    <w:rsid w:val="00686673"/>
    <w:rsid w:val="00691E8C"/>
    <w:rsid w:val="00697CE2"/>
    <w:rsid w:val="006A0249"/>
    <w:rsid w:val="006A22C4"/>
    <w:rsid w:val="006A351B"/>
    <w:rsid w:val="006B0422"/>
    <w:rsid w:val="006C1B53"/>
    <w:rsid w:val="006D7730"/>
    <w:rsid w:val="006E2A30"/>
    <w:rsid w:val="006E5284"/>
    <w:rsid w:val="006F3EB5"/>
    <w:rsid w:val="006F4581"/>
    <w:rsid w:val="00702E34"/>
    <w:rsid w:val="00704395"/>
    <w:rsid w:val="00710FE7"/>
    <w:rsid w:val="00717621"/>
    <w:rsid w:val="00720FF1"/>
    <w:rsid w:val="00725CCA"/>
    <w:rsid w:val="00727A53"/>
    <w:rsid w:val="007360CF"/>
    <w:rsid w:val="0074717F"/>
    <w:rsid w:val="00772C88"/>
    <w:rsid w:val="00787B42"/>
    <w:rsid w:val="00790A27"/>
    <w:rsid w:val="007B5EE9"/>
    <w:rsid w:val="007C4539"/>
    <w:rsid w:val="007F3657"/>
    <w:rsid w:val="007F7805"/>
    <w:rsid w:val="00812ED5"/>
    <w:rsid w:val="008277D9"/>
    <w:rsid w:val="00834DD3"/>
    <w:rsid w:val="0084478C"/>
    <w:rsid w:val="00856374"/>
    <w:rsid w:val="00862018"/>
    <w:rsid w:val="0086638C"/>
    <w:rsid w:val="00890323"/>
    <w:rsid w:val="008A3E8D"/>
    <w:rsid w:val="008C2405"/>
    <w:rsid w:val="00905937"/>
    <w:rsid w:val="00915462"/>
    <w:rsid w:val="009237C4"/>
    <w:rsid w:val="00924CAB"/>
    <w:rsid w:val="009338FD"/>
    <w:rsid w:val="00944C48"/>
    <w:rsid w:val="00950252"/>
    <w:rsid w:val="00952069"/>
    <w:rsid w:val="00967F5D"/>
    <w:rsid w:val="009A0F95"/>
    <w:rsid w:val="009B3ADF"/>
    <w:rsid w:val="009B5E96"/>
    <w:rsid w:val="009C3B52"/>
    <w:rsid w:val="009C5C58"/>
    <w:rsid w:val="009D1E9F"/>
    <w:rsid w:val="009E3149"/>
    <w:rsid w:val="009E6817"/>
    <w:rsid w:val="009E6E9A"/>
    <w:rsid w:val="00A01D2B"/>
    <w:rsid w:val="00A13057"/>
    <w:rsid w:val="00A26A7D"/>
    <w:rsid w:val="00A42218"/>
    <w:rsid w:val="00A70249"/>
    <w:rsid w:val="00A70B02"/>
    <w:rsid w:val="00A71D9F"/>
    <w:rsid w:val="00A92E9F"/>
    <w:rsid w:val="00AA11ED"/>
    <w:rsid w:val="00AA39A9"/>
    <w:rsid w:val="00AB18FF"/>
    <w:rsid w:val="00AB2757"/>
    <w:rsid w:val="00B33BEA"/>
    <w:rsid w:val="00B33CFF"/>
    <w:rsid w:val="00B57C9F"/>
    <w:rsid w:val="00B63572"/>
    <w:rsid w:val="00B77C93"/>
    <w:rsid w:val="00B845B3"/>
    <w:rsid w:val="00B85D8B"/>
    <w:rsid w:val="00B87B0C"/>
    <w:rsid w:val="00B970C2"/>
    <w:rsid w:val="00BB4A40"/>
    <w:rsid w:val="00BD2883"/>
    <w:rsid w:val="00BD6C3E"/>
    <w:rsid w:val="00BE3674"/>
    <w:rsid w:val="00BE522C"/>
    <w:rsid w:val="00C10681"/>
    <w:rsid w:val="00C21002"/>
    <w:rsid w:val="00C3049A"/>
    <w:rsid w:val="00C31B1E"/>
    <w:rsid w:val="00C77645"/>
    <w:rsid w:val="00CB7709"/>
    <w:rsid w:val="00CC0477"/>
    <w:rsid w:val="00CC49A3"/>
    <w:rsid w:val="00CD3FAC"/>
    <w:rsid w:val="00CE04C3"/>
    <w:rsid w:val="00CE7090"/>
    <w:rsid w:val="00CE76A0"/>
    <w:rsid w:val="00CF03AB"/>
    <w:rsid w:val="00D0764B"/>
    <w:rsid w:val="00D148C6"/>
    <w:rsid w:val="00D17A8A"/>
    <w:rsid w:val="00D415BA"/>
    <w:rsid w:val="00D63780"/>
    <w:rsid w:val="00D644EE"/>
    <w:rsid w:val="00D71A4B"/>
    <w:rsid w:val="00D83AA6"/>
    <w:rsid w:val="00DA3139"/>
    <w:rsid w:val="00DB5846"/>
    <w:rsid w:val="00DC2C79"/>
    <w:rsid w:val="00DD06FF"/>
    <w:rsid w:val="00DD5FE9"/>
    <w:rsid w:val="00DE4269"/>
    <w:rsid w:val="00DF3731"/>
    <w:rsid w:val="00E00C7A"/>
    <w:rsid w:val="00E17DAD"/>
    <w:rsid w:val="00E37D6C"/>
    <w:rsid w:val="00E55B68"/>
    <w:rsid w:val="00E561AE"/>
    <w:rsid w:val="00E67BE6"/>
    <w:rsid w:val="00E74BDB"/>
    <w:rsid w:val="00E75EF1"/>
    <w:rsid w:val="00E8683C"/>
    <w:rsid w:val="00EA2B72"/>
    <w:rsid w:val="00EB49A6"/>
    <w:rsid w:val="00F00126"/>
    <w:rsid w:val="00F46E4F"/>
    <w:rsid w:val="00F74360"/>
    <w:rsid w:val="00F86861"/>
    <w:rsid w:val="00F93D61"/>
    <w:rsid w:val="00FB462F"/>
    <w:rsid w:val="00FB7054"/>
    <w:rsid w:val="00FE16FA"/>
    <w:rsid w:val="00FE24E4"/>
    <w:rsid w:val="00FE328A"/>
    <w:rsid w:val="00FE6269"/>
    <w:rsid w:val="00FF5CD6"/>
    <w:rsid w:val="02BA3B5E"/>
    <w:rsid w:val="04200F02"/>
    <w:rsid w:val="05C44FFA"/>
    <w:rsid w:val="067D3A7E"/>
    <w:rsid w:val="0CA062A9"/>
    <w:rsid w:val="13227B2D"/>
    <w:rsid w:val="1717156C"/>
    <w:rsid w:val="1D97DEFF"/>
    <w:rsid w:val="1DFF72E5"/>
    <w:rsid w:val="1EFC6F07"/>
    <w:rsid w:val="223B5D0C"/>
    <w:rsid w:val="2FDF85B8"/>
    <w:rsid w:val="2FFFEE04"/>
    <w:rsid w:val="34DF85B0"/>
    <w:rsid w:val="3AF07F34"/>
    <w:rsid w:val="3B084204"/>
    <w:rsid w:val="3B8F36BC"/>
    <w:rsid w:val="4211018C"/>
    <w:rsid w:val="438A1E1D"/>
    <w:rsid w:val="44A146DC"/>
    <w:rsid w:val="491FF225"/>
    <w:rsid w:val="4EFB30EA"/>
    <w:rsid w:val="4FFD214C"/>
    <w:rsid w:val="52610CBC"/>
    <w:rsid w:val="56C310E3"/>
    <w:rsid w:val="5777D4F5"/>
    <w:rsid w:val="58861777"/>
    <w:rsid w:val="59DD8326"/>
    <w:rsid w:val="5C3A63BB"/>
    <w:rsid w:val="5DEF592A"/>
    <w:rsid w:val="5FC6BB1E"/>
    <w:rsid w:val="5FF720F1"/>
    <w:rsid w:val="60D279CD"/>
    <w:rsid w:val="64F068F8"/>
    <w:rsid w:val="67FF5C0B"/>
    <w:rsid w:val="6CD268A6"/>
    <w:rsid w:val="6EFC0924"/>
    <w:rsid w:val="6F611A97"/>
    <w:rsid w:val="6FB74722"/>
    <w:rsid w:val="6FEF8B7E"/>
    <w:rsid w:val="71A6591B"/>
    <w:rsid w:val="737D59BA"/>
    <w:rsid w:val="77C37683"/>
    <w:rsid w:val="79FF515B"/>
    <w:rsid w:val="7E9E1962"/>
    <w:rsid w:val="7E9F11B4"/>
    <w:rsid w:val="7F37EC1E"/>
    <w:rsid w:val="7F7DCD9D"/>
    <w:rsid w:val="7F970A6F"/>
    <w:rsid w:val="7FC1FFF3"/>
    <w:rsid w:val="7FC30782"/>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keepNext/>
      <w:keepLines/>
      <w:spacing w:line="600" w:lineRule="exact"/>
      <w:ind w:firstLine="420" w:firstLineChars="200"/>
      <w:outlineLvl w:val="0"/>
    </w:pPr>
    <w:rPr>
      <w:rFonts w:eastAsia="黑体"/>
      <w:kern w:val="44"/>
      <w:sz w:val="32"/>
    </w:rPr>
  </w:style>
  <w:style w:type="paragraph" w:styleId="5">
    <w:name w:val="heading 2"/>
    <w:basedOn w:val="1"/>
    <w:next w:val="1"/>
    <w:unhideWhenUsed/>
    <w:qFormat/>
    <w:uiPriority w:val="9"/>
    <w:pPr>
      <w:keepNext/>
      <w:keepLines/>
      <w:spacing w:line="600" w:lineRule="exact"/>
      <w:ind w:firstLine="723" w:firstLineChars="200"/>
      <w:outlineLvl w:val="1"/>
    </w:pPr>
    <w:rPr>
      <w:rFonts w:ascii="Arial" w:hAnsi="Arial" w:eastAsia="楷体"/>
      <w:sz w:val="32"/>
    </w:rPr>
  </w:style>
  <w:style w:type="character" w:default="1" w:styleId="14">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2">
    <w:name w:val="Body Text"/>
    <w:basedOn w:val="1"/>
    <w:next w:val="3"/>
    <w:unhideWhenUsed/>
    <w:uiPriority w:val="0"/>
    <w:pPr>
      <w:spacing w:before="190"/>
    </w:pPr>
    <w:rPr>
      <w:rFonts w:ascii="宋体" w:hAnsi="宋体" w:eastAsia="宋体" w:cs="宋体"/>
      <w:sz w:val="32"/>
      <w:szCs w:val="32"/>
      <w:lang w:val="zh-CN" w:bidi="zh-CN"/>
    </w:rPr>
  </w:style>
  <w:style w:type="paragraph" w:styleId="3">
    <w:name w:val="toc 5"/>
    <w:basedOn w:val="1"/>
    <w:next w:val="1"/>
    <w:unhideWhenUsed/>
    <w:uiPriority w:val="39"/>
    <w:pPr>
      <w:ind w:left="1680" w:leftChars="800"/>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footnote text"/>
    <w:basedOn w:val="1"/>
    <w:next w:val="7"/>
    <w:semiHidden/>
    <w:qFormat/>
    <w:uiPriority w:val="0"/>
    <w:pPr>
      <w:snapToGrid w:val="0"/>
      <w:jc w:val="left"/>
    </w:pPr>
    <w:rPr>
      <w:sz w:val="18"/>
      <w:szCs w:val="18"/>
    </w:rPr>
  </w:style>
  <w:style w:type="paragraph" w:styleId="13">
    <w:name w:val="toc 2"/>
    <w:basedOn w:val="1"/>
    <w:next w:val="1"/>
    <w:unhideWhenUsed/>
    <w:uiPriority w:val="39"/>
    <w:pPr>
      <w:ind w:left="420" w:leftChars="200"/>
    </w:pPr>
  </w:style>
  <w:style w:type="table" w:styleId="16">
    <w:name w:val="Table Grid"/>
    <w:basedOn w:val="15"/>
    <w:uiPriority w:val="59"/>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List Paragraph"/>
    <w:basedOn w:val="1"/>
    <w:qFormat/>
    <w:uiPriority w:val="34"/>
    <w:pPr>
      <w:ind w:firstLine="420" w:firstLineChars="200"/>
    </w:pPr>
  </w:style>
  <w:style w:type="paragraph" w:customStyle="1" w:styleId="19">
    <w:name w:val="无间隔1"/>
    <w:qFormat/>
    <w:uiPriority w:val="1"/>
    <w:pPr>
      <w:widowControl w:val="0"/>
      <w:jc w:val="both"/>
    </w:pPr>
    <w:rPr>
      <w:rFonts w:ascii="Calibri" w:hAnsi="Calibri" w:eastAsia="宋体" w:cs="黑体"/>
      <w:kern w:val="2"/>
      <w:sz w:val="21"/>
      <w:szCs w:val="22"/>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批注框文本 Char"/>
    <w:basedOn w:val="14"/>
    <w:link w:val="8"/>
    <w:semiHidden/>
    <w:qFormat/>
    <w:uiPriority w:val="99"/>
    <w:rPr>
      <w:sz w:val="18"/>
      <w:szCs w:val="18"/>
    </w:rPr>
  </w:style>
  <w:style w:type="character" w:customStyle="1" w:styleId="23">
    <w:name w:val="font01"/>
    <w:basedOn w:val="14"/>
    <w:qFormat/>
    <w:uiPriority w:val="0"/>
    <w:rPr>
      <w:rFonts w:hint="eastAsia" w:ascii="宋体" w:hAnsi="宋体" w:eastAsia="宋体" w:cs="宋体"/>
      <w:color w:val="000000"/>
      <w:sz w:val="22"/>
      <w:szCs w:val="22"/>
      <w:u w:val="none"/>
    </w:rPr>
  </w:style>
  <w:style w:type="character" w:customStyle="1" w:styleId="24">
    <w:name w:val="font21"/>
    <w:basedOn w:val="14"/>
    <w:qFormat/>
    <w:uiPriority w:val="0"/>
    <w:rPr>
      <w:rFonts w:hint="eastAsia" w:ascii="宋体" w:hAnsi="宋体" w:eastAsia="宋体" w:cs="宋体"/>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paragraph" w:customStyle="1" w:styleId="26">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2304</Words>
  <Characters>13139</Characters>
  <Lines>109</Lines>
  <Paragraphs>30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2024-08-30T11:13:17Z</cp:lastPrinted>
  <dcterms:modified xsi:type="dcterms:W3CDTF">2024-08-30T11:15:49Z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F8AA70569A4C4D4F922E7CBC7D7ECAC4_12</vt:lpwstr>
  </property>
</Properties>
</file>