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  <w:u w:val="none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  <w:u w:val="none"/>
        </w:rPr>
        <w:t>20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u w:val="none"/>
        </w:rPr>
        <w:t>20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  <w:u w:val="none"/>
        </w:rPr>
        <w:t>年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u w:val="none"/>
          <w:lang w:eastAsia="zh-CN"/>
        </w:rPr>
        <w:t>湖南省医疗保障局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  <w:u w:val="none"/>
        </w:rPr>
        <w:t>部门预算</w:t>
      </w:r>
    </w:p>
    <w:p>
      <w:pPr>
        <w:widowControl/>
        <w:spacing w:line="600" w:lineRule="exact"/>
        <w:jc w:val="center"/>
        <w:rPr>
          <w:rFonts w:hint="eastAsia" w:ascii="楷体_GB2312" w:hAnsi="Times New Roman" w:eastAsia="楷体_GB2312" w:cs="Times New Roman"/>
          <w:bCs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ind w:firstLine="716" w:firstLineChars="200"/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6"/>
          <w:szCs w:val="36"/>
          <w:u w:val="none"/>
          <w:lang w:val="en-US" w:eastAsia="zh-CN"/>
        </w:rPr>
        <w:t>目 录</w:t>
      </w:r>
    </w:p>
    <w:p>
      <w:pPr>
        <w:widowControl/>
        <w:spacing w:line="600" w:lineRule="exact"/>
        <w:ind w:firstLine="636" w:firstLineChars="200"/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spacing w:line="600" w:lineRule="exact"/>
        <w:ind w:firstLine="636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第一部分 2020年部门预算说明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第二部分 2020年部门预算表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1、部门收支总体情况表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2、部门收入总体情况表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3、部门支出总体情况表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4、部门支出总表（按部门预算经济分类）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5、部门支出总表（按政府预算经济分类）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6、省级基本支出预算明细表-工资福利支出（按部门预算经济分类）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7、省级基本支出预算明细表-工资福利支出（按政府预算经济分类）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8、省级基本支出预算明细表-商品和服务支出（按部门预算经济分类）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9、省级基本支出预算明细表-商品和服务支出（按政府预算经济分类）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10、省级基本支出预算明细表-对个人和家庭的补助（按部门预算经济分类）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11、省级基本支出预算明细表-对个人和家庭的补助（按政府预算经济分类）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12、财政拨款收支总体情况表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13、一般公共预算支出情况表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14、一般公共预算基本支出情况表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15、一般公共预算省级基本支出预算明细表-工资福利支出（按部门预算经济分类）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16、一般公共预算省级基本支出预算明细表-工资福利支出（按政府预算经济分类）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17、一般公共预算省级基本支出预算明细表-商品和服务支出（按部门预算经济分类）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18、一般公共预算省级基本支出预算明细表-商品和服务支出（按政府预算经济分类）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19、一般公共预算省级基本支出预算明细表-对个人和家庭的补助（按部门预算经济分类）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20、一般公共预算省级基本支出预算明细表-对个人和家庭的补助（按政府预算经济分类）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21、政府性基金预算支出情况表（按部门预算经济分类）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22、政府性基金预算支出情况表（按政府预算经济分类）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23、纳入专户管理的非税收入拨款预算分类汇总表（按部门预算经济分类）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24、纳入专户管理的非税收入拨款预算分类汇总表（按政府预算经济分类）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25、一般公共预算拨款--经费拨款预算表（按部门预算经济分类）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26、一般公共预算拨款--经费拨款预算表（按政府预算经济分类）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27、省级专项资金预算汇总表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28、一般公共预算“三公”经费预算表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29、项目支出绩效目标表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30、整体支出绩效目标表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黑体" w:cs="Times New Roman"/>
          <w:bCs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bCs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</w:p>
    <w:p>
      <w:pPr>
        <w:widowControl/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Cs/>
          <w:kern w:val="0"/>
          <w:sz w:val="36"/>
          <w:szCs w:val="36"/>
          <w:u w:val="none"/>
        </w:rPr>
        <w:t>第一部分 2020年部门预算说明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ind w:firstLine="624" w:firstLineChars="196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  <w:u w:val="none"/>
        </w:rPr>
        <w:t>一、部门基本概况</w:t>
      </w:r>
    </w:p>
    <w:p>
      <w:pPr>
        <w:widowControl/>
        <w:spacing w:line="600" w:lineRule="exact"/>
        <w:ind w:firstLine="624" w:firstLineChars="196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职能职责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（1）拟订全省医疗保险、生育保险、医疗救助等医疗保障制度的地方性法规草案、政策、规划和标准，并组织实施。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（2）组织制定并实施全省医疗保障基金监督管理办法，监督管理相关医疗保障基金，建立健全医疗保障基金安全防控机制，推进医疗保障基金支付方式改革。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（3）组织制定全省医疗保障筹资和待遇政策，完善动态调整和区域调剂平衡机制，统筹城乡医疗保障待遇标准，建立健全与筹资水平相适应的待遇调整机制，组织拟订并实施长期护理保险制度改革方案。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（4）组织制定全省城乡统一的药品、医用耗材、医疗服务项目、医疗服务设施等医保目录和支付标准，建立动态调整机制，制定医保目录准入谈判规则并组织实施。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5）组织制定全省药品、医用耗材价格和医疗服务项目、医疗服务设施收费等政策，建立医保支付医药服务价格合理确定和动态调整机制，推动建立市场主导的社会医药服务价格形成机制，建立价格信息监测和信息发布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（6）制定全省药品、医用耗材的招标采购政策并监督实施，指导药品、医用耗材招标采购平台建设。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（7）制定全省定点医药机构协议和支付管理办法并组织实施，建立健全医疗保障信用评价体系和信息披露制度，监督管理纳入医保范围内的医疗服务行为和医疗费用，依法查处医疗保障领域违法违规行为。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8）负责全省医疗保障经办管理、公共服务体系和信息化建设。指导和监督全省医疗保险、生育保险、医疗救助等医疗保障经办业务工作。组织制定和完善异地就医管理和费用结算政策。建立健全医疗保障关系转移接续制度。开展医疗保障领域国内外合作交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（9）完成省委、省政府交办的其他任务。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10）职能转变。省医保局应完善统一的城乡居民基本医疗保险制度和大病保险制度，巩固完善城乡居民医疗救助制度，建立健全覆盖全民、城乡统筹的多层次医疗保障体系，不断提高医疗保障水平，确保医保资金合理使用、安全可控，推进医疗、医保、医药“三医联动”改革，更好保障人民群众就医需求、减轻医药费用负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3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（11）与省卫生健康委的有关职责分工。省卫生健康委、省医保局等部门在医疗、医保、医药等方面加强制度、政策衔接，建立沟通协商机制，协同推进改革，提高医疗资源使用效率和医疗保障水平。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机构设置</w:t>
      </w:r>
    </w:p>
    <w:p>
      <w:pPr>
        <w:widowControl/>
        <w:spacing w:line="600" w:lineRule="exact"/>
        <w:ind w:firstLine="636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根据编委核定，我局内设处室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个，所属事业单位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个，全部纳入20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年部门预算编制范围。</w:t>
      </w:r>
    </w:p>
    <w:p>
      <w:pPr>
        <w:widowControl/>
        <w:spacing w:line="600" w:lineRule="exact"/>
        <w:ind w:firstLine="636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内设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处室分别是：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办公室、规划财务和法规处、待遇保障处、医药服务管理处、医药价格和招标采购处、基金监管处、机关党委（人事处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）。</w:t>
      </w:r>
    </w:p>
    <w:p>
      <w:pPr>
        <w:widowControl/>
        <w:spacing w:line="600" w:lineRule="exact"/>
        <w:ind w:firstLine="636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所属事业单位是湖南省医疗生育保险服务中心。</w:t>
      </w:r>
    </w:p>
    <w:p>
      <w:pPr>
        <w:widowControl/>
        <w:spacing w:line="600" w:lineRule="exact"/>
        <w:ind w:firstLine="636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由于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三定方案尚未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下达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，三定方案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下达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后，职能职责和机构设置以三定方案为准。 </w:t>
      </w:r>
    </w:p>
    <w:p>
      <w:pPr>
        <w:widowControl/>
        <w:spacing w:line="600" w:lineRule="exact"/>
        <w:ind w:firstLine="624" w:firstLineChars="196"/>
        <w:jc w:val="left"/>
        <w:rPr>
          <w:rFonts w:ascii="Times New Roman" w:hAnsi="Times New Roman" w:eastAsia="黑体" w:cs="Times New Roman"/>
          <w:kern w:val="0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u w:val="none"/>
        </w:rPr>
        <w:t>二、部门预算单位构成</w:t>
      </w:r>
    </w:p>
    <w:p>
      <w:pPr>
        <w:widowControl/>
        <w:spacing w:line="600" w:lineRule="exact"/>
        <w:ind w:firstLine="624" w:firstLineChars="196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我局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只有本级，没有其他二级预算单位，因此，纳入2020年部门预算编制范围的只有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湖南省医疗保障局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本级。</w:t>
      </w:r>
    </w:p>
    <w:p>
      <w:pPr>
        <w:widowControl/>
        <w:spacing w:line="600" w:lineRule="exact"/>
        <w:ind w:firstLine="624" w:firstLineChars="196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  <w:u w:val="none"/>
        </w:rPr>
        <w:t>三、部门收支总体情况</w:t>
      </w:r>
    </w:p>
    <w:p>
      <w:pPr>
        <w:widowControl/>
        <w:spacing w:line="600" w:lineRule="exact"/>
        <w:ind w:firstLine="624" w:firstLineChars="196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年部门预算即我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本级预算。我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年没有政府性基金预算拨款、国有资本经营预算收入和纳入专户管理的非税收入拨款收入，也没有使用政府性基金预算拨款、国有资本经营预算收入和纳入专户管理的非税收入拨款安排的支出，所以公开的附件21、22、23、24表均为空。收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为一般公共预算收入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；支出包括保障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机关及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属事业单位基本运行的经费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600" w:lineRule="exact"/>
        <w:ind w:firstLine="636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收入预算：2020年年初预算数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2181.3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万元，其中，一般公共预算拨款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2181.3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万元，政府性基金预算拨款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万元，纳入专户管理的非税收入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万元，¨¨¨。收入较去年增加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926.29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经费拨款增加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926.29万元。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支出预算：2020年年初预算数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2181.3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万元，其中，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社会保障和就业支出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226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卫生健康支出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1825.3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住房保障支出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130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万元。支出较去年增加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926.29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基本支出增加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450.29万元，项目支出增加476万元。</w:t>
      </w:r>
    </w:p>
    <w:p>
      <w:pPr>
        <w:widowControl/>
        <w:spacing w:line="600" w:lineRule="exact"/>
        <w:ind w:firstLine="660"/>
        <w:jc w:val="left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sz w:val="32"/>
          <w:szCs w:val="32"/>
          <w:u w:val="none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2020年一般公共预算拨款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支出预算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2181.3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其中，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社会保障和就业支出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226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10.3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卫生健康支出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1825.3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83.7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 xml:space="preserve"> %；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住房保障支出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130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 xml:space="preserve"> %。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具体安排情况如下：</w:t>
      </w:r>
    </w:p>
    <w:p>
      <w:pPr>
        <w:widowControl/>
        <w:spacing w:line="600" w:lineRule="exact"/>
        <w:ind w:firstLine="660"/>
        <w:jc w:val="left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（一）基本支出：2020年基本支出年初预算数为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1705.3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万元，是指为保障单位机构正常运转、完成日常工作任务而发生的各项支出，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主要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（二）项目支出：2020年项目支出年初预算数为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476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万元，是指单位为完成特定行政工作任务或事业发展目标而发生的支出，包括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业务工作经费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和运行维护经费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。其中：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医保基金监管工作经费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200万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元，主要用于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基金监管的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稽核调查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、飞行检查、举报奖励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等；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医疗保障管理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195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万元，主要用于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委托第三方开展医疗服务和药品成本调查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、课题研究、业务培训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等；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办公设备购置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81万元，用于购置办公设备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60"/>
        <w:jc w:val="left"/>
        <w:rPr>
          <w:rFonts w:hint="eastAsia" w:ascii="黑体" w:hAnsi="黑体" w:eastAsia="黑体" w:cs="Times New Roman"/>
          <w:sz w:val="32"/>
          <w:szCs w:val="32"/>
          <w:u w:val="none"/>
        </w:rPr>
      </w:pPr>
      <w:r>
        <w:rPr>
          <w:rFonts w:hint="eastAsia" w:ascii="黑体" w:hAnsi="黑体" w:eastAsia="黑体" w:cs="Times New Roman"/>
          <w:sz w:val="32"/>
          <w:szCs w:val="32"/>
          <w:u w:val="none"/>
        </w:rPr>
        <w:t>五、政府性基金</w:t>
      </w:r>
      <w:r>
        <w:rPr>
          <w:rFonts w:ascii="黑体" w:hAnsi="黑体" w:eastAsia="黑体" w:cs="Times New Roman"/>
          <w:sz w:val="32"/>
          <w:szCs w:val="32"/>
          <w:u w:val="none"/>
        </w:rPr>
        <w:t>预算</w:t>
      </w:r>
      <w:r>
        <w:rPr>
          <w:rFonts w:hint="eastAsia" w:ascii="黑体" w:hAnsi="黑体" w:eastAsia="黑体" w:cs="Times New Roman"/>
          <w:sz w:val="32"/>
          <w:szCs w:val="32"/>
          <w:u w:val="none"/>
        </w:rPr>
        <w:t>支出</w:t>
      </w:r>
    </w:p>
    <w:p>
      <w:pPr>
        <w:widowControl/>
        <w:spacing w:line="600" w:lineRule="exact"/>
        <w:ind w:firstLine="660"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本部门无政府性基金安排的支出</w:t>
      </w:r>
    </w:p>
    <w:p>
      <w:pPr>
        <w:widowControl/>
        <w:spacing w:line="600" w:lineRule="exact"/>
        <w:ind w:firstLine="660"/>
        <w:jc w:val="left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sz w:val="32"/>
          <w:szCs w:val="32"/>
          <w:u w:val="none"/>
        </w:rPr>
        <w:t>五、其他重要事项的情况说明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1、机关运行经费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本级机关运行经费当年一般公共预算拨款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330.5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万元，比2019年预算增加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320.09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万元，上升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3074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%。</w:t>
      </w:r>
    </w:p>
    <w:p>
      <w:pPr>
        <w:widowControl/>
        <w:numPr>
          <w:ilvl w:val="0"/>
          <w:numId w:val="0"/>
        </w:numPr>
        <w:spacing w:line="600" w:lineRule="exact"/>
        <w:ind w:firstLine="636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2、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“三公”经费预算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2020年“三公”经费预算数为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60.5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万元，其中，公务接待费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万元，公务用车购置及运行费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30.5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万元（其中，公务用车购置费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万元，公务用车运行费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30.5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万元），因公出国（境）费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万元。2020年“三公”经费预算较2019年增加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55.5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我局为机构改革新组建部门，人员和职能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职责增加，新增职能职责相关的部门经费在2020年部门预算中体现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pacing w:line="600" w:lineRule="exact"/>
        <w:ind w:firstLine="636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3、一般性支出情况：2020年本部门会议费预算 10万元，拟召开10次会议，人数800人，内容为全省医保工作会、全省医保系统医药服务管理工作会、全省医保基金监管工作会、全省医保系统医药价格和招标工作会、全省待遇保障和医保扶贫工作会等;培训费预算80万元，拟开展15期培训，人数2000人，内容为基金监管政策培训、医药服务价格政策解读、药品招标采购政策和操作培训、DRG专项培训、系统医药服务培训、待遇保障政策及医保扶贫政策培训、十四五规划工作培训、法治医保培训等。</w:t>
      </w:r>
    </w:p>
    <w:p>
      <w:pPr>
        <w:widowControl/>
        <w:numPr>
          <w:ilvl w:val="0"/>
          <w:numId w:val="0"/>
        </w:numPr>
        <w:spacing w:line="600" w:lineRule="exact"/>
        <w:ind w:firstLine="636" w:firstLineChars="20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4、政府采购情况：2020年本部门政府采购预算总额   272万元，其中，政府采购货物采购预算81万元；政府采购服务采购预算191万元；政府采购工程采购预算0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万元。</w:t>
      </w:r>
    </w:p>
    <w:p>
      <w:pPr>
        <w:widowControl/>
        <w:spacing w:line="600" w:lineRule="exact"/>
        <w:ind w:firstLine="66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、国有资产占用使用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及新增资产配置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情况：截至20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19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底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共有车辆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辆，其中，领导干部用车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辆，一般公务用车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辆，一般执法执勤用车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辆，特种专业技术用车  辆，其他用车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辆。单位价值50万元以上通用设备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台。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  <w:t>2020年拟新增配置公务用车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  <w:t>辆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  <w:t>新增配备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单位价值50万元以上通用设备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台。</w:t>
      </w:r>
    </w:p>
    <w:p>
      <w:pPr>
        <w:widowControl/>
        <w:spacing w:line="600" w:lineRule="exact"/>
        <w:ind w:firstLine="660"/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  <w:t>6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、预算绩效目标说明：本部门整体支出和项目支出实行绩效目标管理，纳入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  <w:t>2020年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部门整体支出绩效目标的金额为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2181.3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万元，其中，基本支出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1705.3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476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u w:val="none"/>
        </w:rPr>
        <w:t>万元。</w:t>
      </w:r>
    </w:p>
    <w:p>
      <w:pPr>
        <w:widowControl/>
        <w:spacing w:line="600" w:lineRule="exact"/>
        <w:ind w:firstLine="660"/>
        <w:rPr>
          <w:rFonts w:ascii="Times New Roman" w:hAnsi="Times New Roman" w:eastAsia="黑体" w:cs="Times New Roman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sz w:val="32"/>
          <w:szCs w:val="32"/>
          <w:u w:val="none"/>
        </w:rPr>
        <w:t>六、名词解释</w:t>
      </w:r>
    </w:p>
    <w:p>
      <w:pPr>
        <w:widowControl/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1、机关运行经费：是指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各部门的公用经费，包括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2、“三公”经费：纳入省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（市/县）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住宿费、伙食费、培训费、公杂费等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等支出。</w:t>
      </w:r>
    </w:p>
    <w:p>
      <w:pPr>
        <w:widowControl/>
        <w:spacing w:line="600" w:lineRule="exact"/>
        <w:ind w:firstLine="636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ind w:firstLine="636" w:firstLineChars="200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第二部分 2020年部门预算表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1、部门收支总体情况表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2、部门收入总体情况表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3、部门支出总体情况表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4、部门支出总表（按部门预算经济分类）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5、部门支出总表（按政府预算经济分类）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6、省级基本支出预算明细表-工资福利支出（按部门预算经济分类）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7、省级基本支出预算明细表-工资福利支出（按政府预算经济分类）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8、省级基本支出预算明细表-商品和服务支出（按部门预算经济分类）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9、省级基本支出预算明细表-商品和服务支出（按政府预算经济分类）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10、省级基本支出预算明细表-对个人和家庭的补助（按部门预算经济分类）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11、省级基本支出预算明细表-对个人和家庭的补助（按政府预算经济分类）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12、财政拨款收支总体情况表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13、一般公共预算支出情况表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14、一般公共预算基本支出情况表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15、一般公共预算省级基本支出预算明细表-工资福利支出（按部门预算经济分类）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16、一般公共预算省级基本支出预算明细表-工资福利支出（按政府预算经济分类）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17、一般公共预算省级基本支出预算明细表-商品和服务支出（按部门预算经济分类）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18、一般公共预算省级基本支出预算明细表-商品和服务支出（按政府预算经济分类）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19、一般公共预算省级基本支出预算明细表-对个人和家庭的补助（按部门预算经济分类）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20、一般公共预算省级基本支出预算明细表-对个人和家庭的补助（按政府预算经济分类）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21、政府性基金预算支出情况表（按部门预算经济分类）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22、政府性基金预算支出情况表（按政府预算经济分类）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23、纳入专户管理的非税收入拨款预算分类汇总表（按部门预算经济分类）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24、纳入专户管理的非税收入拨款预算分类汇总表（按政府预算经济分类）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25、一般公共预算拨款--经费拨款预算表（按部门预算经济分类）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26、一般公共预算拨款--经费拨款预算表（按政府预算经济分类）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27、省级专项资金预算汇总表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28、一般公共预算“三公”经费预算表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29、项目支出绩效目标表</w:t>
      </w:r>
    </w:p>
    <w:p>
      <w:pPr>
        <w:widowControl/>
        <w:spacing w:line="600" w:lineRule="exact"/>
        <w:ind w:firstLine="636" w:firstLineChars="200"/>
        <w:jc w:val="left"/>
        <w:rPr>
          <w:rFonts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30、整体支出绩效目标表</w:t>
      </w:r>
    </w:p>
    <w:p>
      <w:pPr>
        <w:widowControl/>
        <w:spacing w:line="600" w:lineRule="exact"/>
        <w:ind w:firstLine="636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ind w:firstLine="636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</w:p>
    <w:p>
      <w:pPr>
        <w:widowControl/>
        <w:spacing w:line="600" w:lineRule="exact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none"/>
        </w:rPr>
      </w:pPr>
    </w:p>
    <w:p>
      <w:pPr>
        <w:rPr>
          <w:u w:val="none"/>
        </w:rPr>
      </w:pPr>
    </w:p>
    <w:sectPr>
      <w:footerReference r:id="rId3" w:type="default"/>
      <w:footerReference r:id="rId4" w:type="even"/>
      <w:pgSz w:w="11907" w:h="16840"/>
      <w:pgMar w:top="1134" w:right="1797" w:bottom="1304" w:left="1797" w:header="851" w:footer="992" w:gutter="0"/>
      <w:cols w:space="425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CE"/>
    <w:rsid w:val="000C3529"/>
    <w:rsid w:val="00162D08"/>
    <w:rsid w:val="00211BC1"/>
    <w:rsid w:val="00287E1E"/>
    <w:rsid w:val="00296037"/>
    <w:rsid w:val="002A2350"/>
    <w:rsid w:val="002A3E11"/>
    <w:rsid w:val="00344629"/>
    <w:rsid w:val="003460D9"/>
    <w:rsid w:val="00444161"/>
    <w:rsid w:val="0050072E"/>
    <w:rsid w:val="00555855"/>
    <w:rsid w:val="00574D3D"/>
    <w:rsid w:val="005A7CEB"/>
    <w:rsid w:val="006F53D8"/>
    <w:rsid w:val="007A1E6E"/>
    <w:rsid w:val="007A6C7B"/>
    <w:rsid w:val="007D45CE"/>
    <w:rsid w:val="00885704"/>
    <w:rsid w:val="008A63A4"/>
    <w:rsid w:val="008D4901"/>
    <w:rsid w:val="009C07FB"/>
    <w:rsid w:val="00A27497"/>
    <w:rsid w:val="00A64BCC"/>
    <w:rsid w:val="00C365D3"/>
    <w:rsid w:val="00C562C7"/>
    <w:rsid w:val="00CD70B2"/>
    <w:rsid w:val="00D113A0"/>
    <w:rsid w:val="00DB27E8"/>
    <w:rsid w:val="00F371B3"/>
    <w:rsid w:val="00FD3A43"/>
    <w:rsid w:val="02520A51"/>
    <w:rsid w:val="035E5317"/>
    <w:rsid w:val="03973BF1"/>
    <w:rsid w:val="05BD2670"/>
    <w:rsid w:val="065E7639"/>
    <w:rsid w:val="087461DD"/>
    <w:rsid w:val="0E717BEA"/>
    <w:rsid w:val="0E833850"/>
    <w:rsid w:val="1003420C"/>
    <w:rsid w:val="105E17F4"/>
    <w:rsid w:val="169C3304"/>
    <w:rsid w:val="16CA64C9"/>
    <w:rsid w:val="194E2F5C"/>
    <w:rsid w:val="1A3839C3"/>
    <w:rsid w:val="1AB31B45"/>
    <w:rsid w:val="1BF01CDD"/>
    <w:rsid w:val="1D5849CA"/>
    <w:rsid w:val="1EB45AE5"/>
    <w:rsid w:val="1EB913BB"/>
    <w:rsid w:val="1F197CE1"/>
    <w:rsid w:val="1F591486"/>
    <w:rsid w:val="1F8E21CF"/>
    <w:rsid w:val="1FE43110"/>
    <w:rsid w:val="215F54B7"/>
    <w:rsid w:val="241F7C59"/>
    <w:rsid w:val="2637167A"/>
    <w:rsid w:val="27896229"/>
    <w:rsid w:val="279F249D"/>
    <w:rsid w:val="2AE46797"/>
    <w:rsid w:val="2C0C5782"/>
    <w:rsid w:val="2C7A779B"/>
    <w:rsid w:val="2E7C056F"/>
    <w:rsid w:val="2EB423BB"/>
    <w:rsid w:val="2FE61FEA"/>
    <w:rsid w:val="33265AAC"/>
    <w:rsid w:val="33287130"/>
    <w:rsid w:val="345D6CD9"/>
    <w:rsid w:val="35AE6BB7"/>
    <w:rsid w:val="35D52A49"/>
    <w:rsid w:val="36F43ECD"/>
    <w:rsid w:val="398324E8"/>
    <w:rsid w:val="3AC96A3C"/>
    <w:rsid w:val="3C570610"/>
    <w:rsid w:val="3C810FEE"/>
    <w:rsid w:val="3E733781"/>
    <w:rsid w:val="402C31FA"/>
    <w:rsid w:val="486A5A0D"/>
    <w:rsid w:val="4BCA3148"/>
    <w:rsid w:val="4DFA429A"/>
    <w:rsid w:val="515E75E8"/>
    <w:rsid w:val="53437327"/>
    <w:rsid w:val="547A7D33"/>
    <w:rsid w:val="54F66CBE"/>
    <w:rsid w:val="56CB2416"/>
    <w:rsid w:val="572E386B"/>
    <w:rsid w:val="57686F4D"/>
    <w:rsid w:val="5A795A87"/>
    <w:rsid w:val="5BCC510A"/>
    <w:rsid w:val="60086834"/>
    <w:rsid w:val="682C0F6D"/>
    <w:rsid w:val="68B9370B"/>
    <w:rsid w:val="69AA362B"/>
    <w:rsid w:val="6A5604BA"/>
    <w:rsid w:val="6AC95B50"/>
    <w:rsid w:val="6C5C0E8A"/>
    <w:rsid w:val="6C931B1F"/>
    <w:rsid w:val="6E177D89"/>
    <w:rsid w:val="70763FED"/>
    <w:rsid w:val="7549397A"/>
    <w:rsid w:val="788F132C"/>
    <w:rsid w:val="7A432C50"/>
    <w:rsid w:val="7C723A23"/>
    <w:rsid w:val="7CDF1697"/>
    <w:rsid w:val="7CE23F34"/>
    <w:rsid w:val="7EE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471</Words>
  <Characters>2690</Characters>
  <Lines>22</Lines>
  <Paragraphs>6</Paragraphs>
  <TotalTime>6</TotalTime>
  <ScaleCrop>false</ScaleCrop>
  <LinksUpToDate>false</LinksUpToDate>
  <CharactersWithSpaces>3155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2020-02-24T01:17:00Z</dcterms:created>
  <dc:creator>严德勇 null</dc:creator>
  <cp:lastModifiedBy>1</cp:lastModifiedBy>
  <cp:lastPrinted>2020-02-26T02:09:00Z</cp:lastPrinted>
  <dcterms:modified xsi:type="dcterms:W3CDTF">2021-06-25T09:15:03Z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