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中国烟草总公司湘潭中等专业学校部门决算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第一部分中国烟草总公司湘潭中等专业学校单位概况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中国烟草总公司湘潭中等专业学校单位概况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0"/>
        <w:widowControl/>
        <w:spacing w:line="600" w:lineRule="exact"/>
        <w:ind w:firstLine="640"/>
        <w:rPr>
          <w:rFonts w:asciiTheme="minorEastAsia" w:hAnsiTheme="minorEastAsia"/>
          <w:bCs/>
          <w:kern w:val="0"/>
          <w:sz w:val="32"/>
          <w:szCs w:val="32"/>
        </w:rPr>
      </w:pPr>
      <w:r>
        <w:rPr>
          <w:rFonts w:hint="eastAsia" w:asciiTheme="minorEastAsia" w:hAnsiTheme="minorEastAsia"/>
          <w:bCs/>
          <w:kern w:val="0"/>
          <w:sz w:val="32"/>
          <w:szCs w:val="32"/>
        </w:rPr>
        <w:t>中国烟草总公司湘潭烟草中等专业学校与湖南省烟草职工培训中心实行两块牌子、一套人马的管理体制。本单位承担着烟草行业专业培训、特有工种职业技能鉴定前培训、职业技能竞赛和职业技术继续教育等职能，是湖南烟草商业系统人才教育培训的重要基地。</w:t>
      </w:r>
      <w:r>
        <w:rPr>
          <w:rFonts w:asciiTheme="minorEastAsia" w:hAnsiTheme="minorEastAsia"/>
          <w:bCs/>
          <w:kern w:val="0"/>
          <w:sz w:val="32"/>
          <w:szCs w:val="32"/>
        </w:rPr>
        <w:t>2019</w:t>
      </w:r>
      <w:r>
        <w:rPr>
          <w:rFonts w:hint="eastAsia" w:asciiTheme="minorEastAsia" w:hAnsiTheme="minorEastAsia"/>
          <w:bCs/>
          <w:kern w:val="0"/>
          <w:sz w:val="32"/>
          <w:szCs w:val="32"/>
        </w:rPr>
        <w:t>年</w:t>
      </w:r>
      <w:r>
        <w:rPr>
          <w:rFonts w:asciiTheme="minorEastAsia" w:hAnsiTheme="minorEastAsia"/>
          <w:bCs/>
          <w:kern w:val="0"/>
          <w:sz w:val="32"/>
          <w:szCs w:val="32"/>
        </w:rPr>
        <w:t>9</w:t>
      </w:r>
      <w:r>
        <w:rPr>
          <w:rFonts w:hint="eastAsia" w:asciiTheme="minorEastAsia" w:hAnsiTheme="minorEastAsia"/>
          <w:bCs/>
          <w:kern w:val="0"/>
          <w:sz w:val="32"/>
          <w:szCs w:val="32"/>
        </w:rPr>
        <w:t>月挂牌成立中共湖南省烟草专卖局党校。2021年6月挂牌成立中共湖南中烟工业责任公司党校。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（一）内设机构设置。中国烟草总公司湘潭中等专业学校设有7个内设机构，包括：党校培训部、业务培训部、培训服务部、办公室、党群工作部、监察审计部、财务部。</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（二）决算单位构成。中国烟草总公司湘潭中等专业学校202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年部门决算汇总公开单位构成只有中国烟草总公司湘潭中等专业学校本级。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中国烟草总公司湘潭中等专业学校</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5,142.41</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4,764.29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168.09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4"/>
                <w:szCs w:val="24"/>
              </w:rPr>
              <w:t>……</w:t>
            </w: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5,330.75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5,310.50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-1,302.26</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-1,282.01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4,028.49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kern w:val="0"/>
                <w:sz w:val="22"/>
                <w:lang w:val="en-US" w:eastAsia="zh-CN"/>
              </w:rPr>
              <w:t>4,028.49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4608" w:type="dxa"/>
        <w:tblInd w:w="0" w:type="dxa"/>
        <w:tblLayout w:type="autofit"/>
        <w:tblCellMar>
          <w:top w:w="0" w:type="dxa"/>
          <w:left w:w="0" w:type="dxa"/>
          <w:bottom w:w="0" w:type="dxa"/>
          <w:right w:w="0" w:type="dxa"/>
        </w:tblCellMar>
      </w:tblPr>
      <w:tblGrid>
        <w:gridCol w:w="69"/>
        <w:gridCol w:w="707"/>
        <w:gridCol w:w="4035"/>
        <w:gridCol w:w="1623"/>
        <w:gridCol w:w="1477"/>
        <w:gridCol w:w="1177"/>
        <w:gridCol w:w="1177"/>
        <w:gridCol w:w="1623"/>
        <w:gridCol w:w="1177"/>
        <w:gridCol w:w="1778"/>
      </w:tblGrid>
      <w:tr>
        <w:tblPrEx>
          <w:tblCellMar>
            <w:top w:w="0" w:type="dxa"/>
            <w:left w:w="0" w:type="dxa"/>
            <w:bottom w:w="0" w:type="dxa"/>
            <w:right w:w="0" w:type="dxa"/>
          </w:tblCellMar>
        </w:tblPrEx>
        <w:trPr>
          <w:trHeight w:val="435" w:hRule="atLeast"/>
        </w:trPr>
        <w:tc>
          <w:tcPr>
            <w:tcW w:w="1460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77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030"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color w:val="000000"/>
                <w:kern w:val="0"/>
                <w:sz w:val="20"/>
                <w:szCs w:val="20"/>
              </w:rPr>
              <w:t>中国烟草总公司湘潭中等专业学校</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80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2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7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03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7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03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5,330.75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566.46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4,764.29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205</w:t>
            </w:r>
          </w:p>
        </w:tc>
        <w:tc>
          <w:tcPr>
            <w:tcW w:w="30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教育支出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5,162.66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566.46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4,596.20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20503</w:t>
            </w:r>
          </w:p>
        </w:tc>
        <w:tc>
          <w:tcPr>
            <w:tcW w:w="30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职业教育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5,162.66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566.46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4,596.20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sz w:val="24"/>
                <w:szCs w:val="24"/>
                <w:lang w:val="en-US" w:eastAsia="zh-CN"/>
              </w:rPr>
            </w:pPr>
            <w:r>
              <w:rPr>
                <w:rFonts w:hint="eastAsia"/>
                <w:lang w:val="en-US" w:eastAsia="zh-CN"/>
              </w:rPr>
              <w:t>2050302</w:t>
            </w:r>
          </w:p>
        </w:tc>
        <w:tc>
          <w:tcPr>
            <w:tcW w:w="30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 xml:space="preserve">   中等职业教育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5,162.66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566.46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4,596.20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lang w:val="en-US" w:eastAsia="zh-CN"/>
              </w:rPr>
            </w:pPr>
            <w:r>
              <w:rPr>
                <w:rFonts w:hint="eastAsia"/>
                <w:lang w:val="en-US" w:eastAsia="zh-CN"/>
              </w:rPr>
              <w:t>208</w:t>
            </w:r>
          </w:p>
        </w:tc>
        <w:tc>
          <w:tcPr>
            <w:tcW w:w="30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lang w:val="en-US" w:eastAsia="zh-CN"/>
              </w:rPr>
            </w:pPr>
            <w:r>
              <w:rPr>
                <w:rFonts w:hint="eastAsia"/>
                <w:lang w:val="en-US" w:eastAsia="zh-CN"/>
              </w:rPr>
              <w:t>20805</w:t>
            </w:r>
          </w:p>
        </w:tc>
        <w:tc>
          <w:tcPr>
            <w:tcW w:w="30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 xml:space="preserve">  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0" w:type="dxa"/>
            <w:bottom w:w="0" w:type="dxa"/>
            <w:right w:w="0" w:type="dxa"/>
          </w:tblCellMar>
        </w:tblPrEx>
        <w:trPr>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lang w:val="en-US" w:eastAsia="zh-CN"/>
              </w:rPr>
            </w:pPr>
            <w:r>
              <w:rPr>
                <w:rFonts w:hint="eastAsia"/>
                <w:lang w:val="en-US" w:eastAsia="zh-CN"/>
              </w:rPr>
              <w:t>2080505</w:t>
            </w:r>
          </w:p>
        </w:tc>
        <w:tc>
          <w:tcPr>
            <w:tcW w:w="30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　   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0" w:type="dxa"/>
            <w:bottom w:w="0" w:type="dxa"/>
            <w:right w:w="0" w:type="dxa"/>
          </w:tblCellMar>
        </w:tblPrEx>
        <w:trPr>
          <w:trHeight w:val="615" w:hRule="atLeast"/>
        </w:trPr>
        <w:tc>
          <w:tcPr>
            <w:tcW w:w="1460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ind w:left="93"/>
        <w:jc w:val="center"/>
        <w:rPr>
          <w:rFonts w:ascii="Times New Roman" w:hAnsi="Times New Roman" w:eastAsia="方正小标宋_GBK" w:cs="Times New Roman"/>
          <w:color w:val="000000"/>
          <w:kern w:val="0"/>
          <w:sz w:val="36"/>
          <w:szCs w:val="21"/>
        </w:rPr>
      </w:pPr>
    </w:p>
    <w:tbl>
      <w:tblPr>
        <w:tblStyle w:val="5"/>
        <w:tblpPr w:leftFromText="180" w:rightFromText="180" w:vertAnchor="text" w:horzAnchor="page" w:tblpX="796" w:tblpY="620"/>
        <w:tblOverlap w:val="never"/>
        <w:tblW w:w="14116" w:type="dxa"/>
        <w:tblInd w:w="0" w:type="dxa"/>
        <w:tblLayout w:type="fixed"/>
        <w:tblCellMar>
          <w:top w:w="0" w:type="dxa"/>
          <w:left w:w="108" w:type="dxa"/>
          <w:bottom w:w="0" w:type="dxa"/>
          <w:right w:w="108" w:type="dxa"/>
        </w:tblCellMar>
      </w:tblPr>
      <w:tblGrid>
        <w:gridCol w:w="1008"/>
        <w:gridCol w:w="108"/>
        <w:gridCol w:w="238"/>
        <w:gridCol w:w="1337"/>
        <w:gridCol w:w="1762"/>
        <w:gridCol w:w="677"/>
        <w:gridCol w:w="1121"/>
        <w:gridCol w:w="285"/>
        <w:gridCol w:w="1417"/>
        <w:gridCol w:w="96"/>
        <w:gridCol w:w="1038"/>
        <w:gridCol w:w="760"/>
        <w:gridCol w:w="658"/>
        <w:gridCol w:w="1140"/>
        <w:gridCol w:w="844"/>
        <w:gridCol w:w="1627"/>
      </w:tblGrid>
      <w:tr>
        <w:tblPrEx>
          <w:tblCellMar>
            <w:top w:w="0" w:type="dxa"/>
            <w:left w:w="108" w:type="dxa"/>
            <w:bottom w:w="0" w:type="dxa"/>
            <w:right w:w="108" w:type="dxa"/>
          </w:tblCellMar>
        </w:tblPrEx>
        <w:trPr>
          <w:trHeight w:val="435" w:hRule="atLeast"/>
        </w:trPr>
        <w:tc>
          <w:tcPr>
            <w:tcW w:w="14116" w:type="dxa"/>
            <w:gridSpan w:val="1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11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9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4116" w:type="dxa"/>
            <w:gridSpan w:val="16"/>
            <w:tcBorders>
              <w:top w:val="nil"/>
              <w:left w:val="nil"/>
              <w:bottom w:val="nil"/>
              <w:right w:val="nil"/>
            </w:tcBorders>
            <w:shd w:val="clear" w:color="000000" w:fill="FFFFFF"/>
            <w:noWrap/>
            <w:vAlign w:val="center"/>
          </w:tcPr>
          <w:tbl>
            <w:tblPr>
              <w:tblStyle w:val="5"/>
              <w:tblW w:w="13900" w:type="dxa"/>
              <w:tblInd w:w="0" w:type="dxa"/>
              <w:tblLayout w:type="fixed"/>
              <w:tblCellMar>
                <w:top w:w="0" w:type="dxa"/>
                <w:left w:w="0" w:type="dxa"/>
                <w:bottom w:w="0" w:type="dxa"/>
                <w:right w:w="0" w:type="dxa"/>
              </w:tblCellMar>
            </w:tblPr>
            <w:tblGrid>
              <w:gridCol w:w="8842"/>
              <w:gridCol w:w="2021"/>
              <w:gridCol w:w="88"/>
              <w:gridCol w:w="88"/>
              <w:gridCol w:w="88"/>
              <w:gridCol w:w="88"/>
              <w:gridCol w:w="88"/>
              <w:gridCol w:w="88"/>
              <w:gridCol w:w="2509"/>
            </w:tblGrid>
            <w:tr>
              <w:tblPrEx>
                <w:tblCellMar>
                  <w:top w:w="0" w:type="dxa"/>
                  <w:left w:w="0" w:type="dxa"/>
                  <w:bottom w:w="0" w:type="dxa"/>
                  <w:right w:w="0" w:type="dxa"/>
                </w:tblCellMar>
              </w:tblPrEx>
              <w:trPr>
                <w:trHeight w:val="285" w:hRule="atLeast"/>
              </w:trPr>
              <w:tc>
                <w:tcPr>
                  <w:tcW w:w="8842" w:type="dxa"/>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中国烟草总公司湘潭中等专业学校</w:t>
                  </w:r>
                </w:p>
              </w:tc>
              <w:tc>
                <w:tcPr>
                  <w:tcW w:w="2021" w:type="dxa"/>
                  <w:tcBorders>
                    <w:top w:val="nil"/>
                    <w:left w:val="nil"/>
                    <w:bottom w:val="nil"/>
                    <w:right w:val="nil"/>
                  </w:tcBorders>
                  <w:shd w:val="clear" w:color="000000" w:fill="FFFFFF"/>
                  <w:noWrap/>
                  <w:tcMar>
                    <w:top w:w="15" w:type="dxa"/>
                    <w:left w:w="15" w:type="dxa"/>
                    <w:bottom w:w="0" w:type="dxa"/>
                    <w:right w:w="15" w:type="dxa"/>
                  </w:tcMar>
                  <w:vAlign w:val="center"/>
                </w:tcPr>
                <w:p>
                  <w:pPr>
                    <w:ind w:right="800"/>
                    <w:rPr>
                      <w:rFonts w:ascii="宋体" w:hAnsi="宋体" w:eastAsia="宋体" w:cs="宋体"/>
                      <w:sz w:val="24"/>
                      <w:szCs w:val="24"/>
                    </w:rPr>
                  </w:pPr>
                  <w:r>
                    <w:rPr>
                      <w:rFonts w:hint="eastAsia"/>
                    </w:rPr>
                    <w:t>　</w:t>
                  </w:r>
                </w:p>
              </w:tc>
              <w:tc>
                <w:tcPr>
                  <w:tcW w:w="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bl>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13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0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8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6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0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122" w:type="dxa"/>
            <w:gridSpan w:val="5"/>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12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5130"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0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3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1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8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5130"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06"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5,310.50　</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566.46</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984"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4,744.04</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205</w:t>
            </w:r>
          </w:p>
        </w:tc>
        <w:tc>
          <w:tcPr>
            <w:tcW w:w="4122" w:type="dxa"/>
            <w:gridSpan w:val="5"/>
            <w:tcBorders>
              <w:top w:val="nil"/>
              <w:left w:val="nil"/>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教育支出</w:t>
            </w:r>
          </w:p>
        </w:tc>
        <w:tc>
          <w:tcPr>
            <w:tcW w:w="1406"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5,142.41</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566.46</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41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984"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4,575.95</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20503</w:t>
            </w:r>
          </w:p>
        </w:tc>
        <w:tc>
          <w:tcPr>
            <w:tcW w:w="4122" w:type="dxa"/>
            <w:gridSpan w:val="5"/>
            <w:tcBorders>
              <w:top w:val="nil"/>
              <w:left w:val="nil"/>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　职业教育</w:t>
            </w:r>
          </w:p>
        </w:tc>
        <w:tc>
          <w:tcPr>
            <w:tcW w:w="1406"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5,142.41</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566.46</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41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98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4,575.95</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2050302</w:t>
            </w:r>
          </w:p>
        </w:tc>
        <w:tc>
          <w:tcPr>
            <w:tcW w:w="4122" w:type="dxa"/>
            <w:gridSpan w:val="5"/>
            <w:tcBorders>
              <w:top w:val="nil"/>
              <w:left w:val="nil"/>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　  中等职业教育</w:t>
            </w:r>
          </w:p>
        </w:tc>
        <w:tc>
          <w:tcPr>
            <w:tcW w:w="1406"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5,142.41</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566.46</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41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98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4,575.95</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208</w:t>
            </w:r>
          </w:p>
        </w:tc>
        <w:tc>
          <w:tcPr>
            <w:tcW w:w="4122" w:type="dxa"/>
            <w:gridSpan w:val="5"/>
            <w:tcBorders>
              <w:top w:val="nil"/>
              <w:left w:val="nil"/>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社会保障和就业支出</w:t>
            </w:r>
          </w:p>
        </w:tc>
        <w:tc>
          <w:tcPr>
            <w:tcW w:w="1406"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41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98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20805</w:t>
            </w:r>
          </w:p>
        </w:tc>
        <w:tc>
          <w:tcPr>
            <w:tcW w:w="4122" w:type="dxa"/>
            <w:gridSpan w:val="5"/>
            <w:tcBorders>
              <w:top w:val="nil"/>
              <w:left w:val="nil"/>
              <w:bottom w:val="single" w:color="auto" w:sz="4" w:space="0"/>
              <w:right w:val="single" w:color="auto" w:sz="4" w:space="0"/>
            </w:tcBorders>
            <w:shd w:val="clear" w:color="000000" w:fill="FFFFFF"/>
            <w:noWrap/>
            <w:vAlign w:val="center"/>
          </w:tcPr>
          <w:p>
            <w:pPr>
              <w:ind w:firstLine="210" w:firstLineChars="100"/>
              <w:jc w:val="both"/>
              <w:rPr>
                <w:rFonts w:hint="eastAsia"/>
                <w:lang w:val="en-US" w:eastAsia="zh-CN"/>
              </w:rPr>
            </w:pPr>
            <w:r>
              <w:rPr>
                <w:rFonts w:hint="eastAsia"/>
                <w:lang w:val="en-US" w:eastAsia="zh-CN"/>
              </w:rPr>
              <w:t>行政事业单位养老支出</w:t>
            </w:r>
          </w:p>
        </w:tc>
        <w:tc>
          <w:tcPr>
            <w:tcW w:w="1406"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41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98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lang w:val="en-US" w:eastAsia="zh-CN"/>
              </w:rPr>
            </w:pPr>
            <w:r>
              <w:rPr>
                <w:rFonts w:hint="eastAsia"/>
                <w:lang w:val="en-US" w:eastAsia="zh-CN"/>
              </w:rPr>
              <w:t>2080505</w:t>
            </w:r>
          </w:p>
        </w:tc>
        <w:tc>
          <w:tcPr>
            <w:tcW w:w="4122" w:type="dxa"/>
            <w:gridSpan w:val="5"/>
            <w:tcBorders>
              <w:top w:val="nil"/>
              <w:left w:val="nil"/>
              <w:bottom w:val="single" w:color="auto" w:sz="4" w:space="0"/>
              <w:right w:val="single" w:color="auto" w:sz="4" w:space="0"/>
            </w:tcBorders>
            <w:shd w:val="clear" w:color="000000" w:fill="FFFFFF"/>
            <w:noWrap/>
            <w:vAlign w:val="center"/>
          </w:tcPr>
          <w:p>
            <w:pPr>
              <w:ind w:firstLine="420" w:firstLineChars="200"/>
              <w:jc w:val="both"/>
              <w:rPr>
                <w:rFonts w:hint="eastAsia"/>
                <w:lang w:val="en-US" w:eastAsia="zh-CN"/>
              </w:rPr>
            </w:pPr>
            <w:r>
              <w:rPr>
                <w:rFonts w:hint="eastAsia"/>
                <w:lang w:val="en-US" w:eastAsia="zh-CN"/>
              </w:rPr>
              <w:t>机关事业单位基本养老保险缴费支出</w:t>
            </w:r>
          </w:p>
        </w:tc>
        <w:tc>
          <w:tcPr>
            <w:tcW w:w="1406"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41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p>
        </w:tc>
        <w:tc>
          <w:tcPr>
            <w:tcW w:w="198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168.09</w:t>
            </w:r>
          </w:p>
        </w:tc>
        <w:tc>
          <w:tcPr>
            <w:tcW w:w="16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4116" w:type="dxa"/>
            <w:gridSpan w:val="16"/>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777"/>
        <w:gridCol w:w="570"/>
        <w:gridCol w:w="1170"/>
        <w:gridCol w:w="3003"/>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77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777"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中国烟草总公司湘潭中等专业学校</w:t>
            </w:r>
          </w:p>
        </w:tc>
        <w:tc>
          <w:tcPr>
            <w:tcW w:w="5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1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004"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0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566.46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77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1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300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中国烟草总公司湘潭中等专业学校</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566.46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205</w:t>
            </w:r>
          </w:p>
        </w:tc>
        <w:tc>
          <w:tcPr>
            <w:tcW w:w="3527" w:type="dxa"/>
            <w:tcBorders>
              <w:top w:val="nil"/>
              <w:left w:val="nil"/>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566.46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20503</w:t>
            </w:r>
          </w:p>
        </w:tc>
        <w:tc>
          <w:tcPr>
            <w:tcW w:w="3527" w:type="dxa"/>
            <w:tcBorders>
              <w:top w:val="nil"/>
              <w:left w:val="nil"/>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　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566.46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2050302</w:t>
            </w:r>
          </w:p>
        </w:tc>
        <w:tc>
          <w:tcPr>
            <w:tcW w:w="3527" w:type="dxa"/>
            <w:tcBorders>
              <w:top w:val="nil"/>
              <w:left w:val="nil"/>
              <w:bottom w:val="single" w:color="auto" w:sz="4" w:space="0"/>
              <w:right w:val="single" w:color="auto" w:sz="4" w:space="0"/>
            </w:tcBorders>
            <w:shd w:val="clear" w:color="auto" w:fill="auto"/>
            <w:vAlign w:val="center"/>
          </w:tcPr>
          <w:p>
            <w:pPr>
              <w:jc w:val="both"/>
              <w:rPr>
                <w:rFonts w:ascii="Times New Roman" w:hAnsi="Times New Roman" w:eastAsia="仿宋_GB2312" w:cs="Times New Roman"/>
                <w:kern w:val="0"/>
                <w:szCs w:val="21"/>
              </w:rPr>
            </w:pPr>
            <w:r>
              <w:rPr>
                <w:rFonts w:hint="eastAsia"/>
                <w:lang w:val="en-US" w:eastAsia="zh-CN"/>
              </w:rPr>
              <w:t>　  中等职业教育</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566.46</w:t>
            </w:r>
            <w:r>
              <w:rPr>
                <w:rFonts w:hint="eastAsia" w:ascii="宋体" w:hAnsi="宋体" w:eastAsia="宋体" w:cs="宋体"/>
                <w:kern w:val="0"/>
                <w:sz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566.46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55"/>
        <w:gridCol w:w="2924"/>
        <w:gridCol w:w="1108"/>
        <w:gridCol w:w="1321"/>
        <w:gridCol w:w="2232"/>
        <w:gridCol w:w="697"/>
        <w:gridCol w:w="1321"/>
        <w:gridCol w:w="3958"/>
        <w:gridCol w:w="69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jc w:val="lef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                                                                                                                                       公开06表          </w:t>
            </w:r>
            <w:r>
              <w:rPr>
                <w:rFonts w:ascii="Times New Roman" w:hAnsi="Times New Roman" w:eastAsia="仿宋_GB2312" w:cs="Times New Roman"/>
                <w:color w:val="000000"/>
                <w:kern w:val="0"/>
                <w:szCs w:val="21"/>
              </w:rPr>
              <w:t>部门：中国烟草总公司湘潭中等专业学校</w:t>
            </w:r>
            <w:r>
              <w:rPr>
                <w:rFonts w:hint="eastAsia" w:ascii="Times New Roman" w:hAnsi="Times New Roman" w:eastAsia="仿宋_GB2312" w:cs="Times New Roman"/>
                <w:color w:val="000000"/>
                <w:kern w:val="0"/>
                <w:szCs w:val="21"/>
              </w:rPr>
              <w:t xml:space="preserve">                                                                                                  单位：万元</w:t>
            </w:r>
          </w:p>
        </w:tc>
      </w:tr>
      <w:tr>
        <w:tblPrEx>
          <w:tblCellMar>
            <w:top w:w="0" w:type="dxa"/>
            <w:left w:w="108" w:type="dxa"/>
            <w:bottom w:w="0" w:type="dxa"/>
            <w:right w:w="108" w:type="dxa"/>
          </w:tblCellMar>
        </w:tblPrEx>
        <w:trPr>
          <w:trHeight w:val="113" w:hRule="atLeast"/>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566.46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531.01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color w:val="000000"/>
                <w:kern w:val="0"/>
                <w:szCs w:val="20"/>
              </w:rPr>
              <w:t>　</w:t>
            </w:r>
            <w:r>
              <w:rPr>
                <w:rFonts w:hint="eastAsia" w:ascii="宋体" w:hAnsi="宋体" w:eastAsia="宋体" w:cs="宋体"/>
                <w:kern w:val="0"/>
                <w:sz w:val="22"/>
                <w:lang w:val="en-US" w:eastAsia="zh-CN"/>
              </w:rPr>
              <w:t>35.45</w:t>
            </w:r>
          </w:p>
          <w:p>
            <w:pPr>
              <w:jc w:val="left"/>
              <w:rPr>
                <w:rFonts w:ascii="宋体" w:hAnsi="宋体" w:eastAsia="宋体" w:cs="Arial"/>
                <w:sz w:val="20"/>
                <w:szCs w:val="20"/>
              </w:rPr>
            </w:pPr>
            <w:r>
              <w:rPr>
                <w:rFonts w:hint="eastAsia" w:cs="Arial"/>
                <w:sz w:val="20"/>
                <w:szCs w:val="20"/>
              </w:rPr>
              <w:t>181.46</w:t>
            </w:r>
          </w:p>
          <w:p>
            <w:pPr>
              <w:widowControl/>
              <w:jc w:val="left"/>
              <w:rPr>
                <w:rFonts w:ascii="宋体" w:hAnsi="宋体" w:eastAsia="宋体" w:cs="宋体"/>
                <w:color w:val="000000"/>
                <w:kern w:val="0"/>
                <w:szCs w:val="20"/>
              </w:rPr>
            </w:pPr>
          </w:p>
          <w:p>
            <w:pPr>
              <w:jc w:val="left"/>
              <w:rPr>
                <w:rFonts w:ascii="宋体" w:hAnsi="宋体" w:eastAsia="宋体" w:cs="Arial"/>
                <w:sz w:val="20"/>
                <w:szCs w:val="20"/>
              </w:rPr>
            </w:pPr>
            <w:r>
              <w:rPr>
                <w:rFonts w:hint="eastAsia" w:cs="Arial"/>
                <w:sz w:val="20"/>
                <w:szCs w:val="20"/>
              </w:rPr>
              <w:t>181.46</w:t>
            </w:r>
          </w:p>
          <w:p>
            <w:pPr>
              <w:widowControl/>
              <w:jc w:val="left"/>
              <w:rPr>
                <w:rFonts w:ascii="宋体" w:hAnsi="宋体" w:eastAsia="宋体" w:cs="宋体"/>
                <w:color w:val="000000"/>
                <w:kern w:val="0"/>
                <w:szCs w:val="20"/>
              </w:rPr>
            </w:pPr>
          </w:p>
          <w:p>
            <w:pPr>
              <w:jc w:val="left"/>
              <w:rPr>
                <w:rFonts w:ascii="宋体" w:hAnsi="宋体" w:eastAsia="宋体" w:cs="Arial"/>
                <w:sz w:val="20"/>
                <w:szCs w:val="20"/>
              </w:rPr>
            </w:pPr>
            <w:r>
              <w:rPr>
                <w:rFonts w:hint="eastAsia" w:cs="Arial"/>
                <w:sz w:val="20"/>
                <w:szCs w:val="20"/>
              </w:rPr>
              <w:t>181.46</w:t>
            </w:r>
          </w:p>
          <w:p>
            <w:pPr>
              <w:widowControl/>
              <w:jc w:val="lef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kern w:val="0"/>
                <w:sz w:val="22"/>
              </w:rPr>
              <w:t>566.46</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lang w:val="en-US" w:eastAsia="zh-CN"/>
        </w:rPr>
        <w:t>中国烟草总公司湘潭中等专业学校</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hint="eastAsia" w:ascii="宋体" w:hAnsi="宋体" w:eastAsia="宋体" w:cs="宋体"/>
          <w:b/>
          <w:bCs/>
          <w:i w:val="0"/>
          <w:color w:val="FF0000"/>
          <w:kern w:val="0"/>
          <w:sz w:val="24"/>
          <w:szCs w:val="24"/>
          <w:u w:val="none"/>
          <w:lang w:val="en-US" w:eastAsia="zh-CN"/>
        </w:rPr>
        <w:t>说明：中国烟草总公司湘潭中等专业学校没有财政拨款“三公”经费支出预决算支出。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中国烟草总公司湘潭中等专业学校</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color w:val="FF0000"/>
          <w:kern w:val="0"/>
          <w:szCs w:val="21"/>
          <w:lang w:val="en-US" w:eastAsia="zh-CN"/>
        </w:rPr>
        <w:t>中国烟草总公司湘潭中等专业学校</w:t>
      </w:r>
      <w:r>
        <w:rPr>
          <w:rFonts w:hint="eastAsia" w:ascii="Times New Roman" w:hAnsi="Times New Roman" w:eastAsia="仿宋_GB2312" w:cs="Times New Roman"/>
          <w:color w:val="FF0000"/>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9"/>
        <w:rPr>
          <w:sz w:val="72"/>
          <w:szCs w:val="72"/>
        </w:rPr>
      </w:pP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8680" w:type="dxa"/>
            <w:gridSpan w:val="7"/>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ascii="Times New Roman" w:hAnsi="Times New Roman" w:eastAsia="仿宋_GB2312" w:cs="Times New Roman"/>
                <w:color w:val="000000"/>
                <w:kern w:val="0"/>
                <w:szCs w:val="21"/>
              </w:rPr>
              <w:t>部门：中国烟草总公司湘潭中等专业学校</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楷体" w:hAnsi="楷体" w:eastAsia="楷体" w:cs="楷体"/>
                <w:b/>
                <w:bCs/>
                <w:i w:val="0"/>
                <w:color w:val="FF0000"/>
                <w:kern w:val="0"/>
                <w:sz w:val="24"/>
                <w:szCs w:val="24"/>
                <w:u w:val="none"/>
                <w:lang w:val="en-US" w:eastAsia="zh-CN"/>
              </w:rPr>
              <w:t>说明：中国烟草总公司湘潭中等专业学校没有使用国有资本经营预算安排的支出，故本表无数据。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4,028.49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1,068.00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36.08</w:t>
      </w:r>
      <w:r>
        <w:rPr>
          <w:rFonts w:hint="eastAsia" w:asciiTheme="minorEastAsia" w:hAnsiTheme="minorEastAsia" w:eastAsiaTheme="minorEastAsia"/>
          <w:sz w:val="32"/>
          <w:szCs w:val="32"/>
        </w:rPr>
        <w:t>%，主要是因为教育支出(类)职业教育（款）中</w:t>
      </w:r>
      <w:r>
        <w:rPr>
          <w:rFonts w:hint="eastAsia" w:asciiTheme="minorEastAsia" w:hAnsiTheme="minorEastAsia" w:eastAsiaTheme="minorEastAsia"/>
          <w:sz w:val="32"/>
          <w:szCs w:val="32"/>
          <w:lang w:val="en-US" w:eastAsia="zh-CN"/>
        </w:rPr>
        <w:t>等职业</w:t>
      </w:r>
      <w:r>
        <w:rPr>
          <w:rFonts w:hint="eastAsia" w:asciiTheme="minorEastAsia" w:hAnsiTheme="minorEastAsia" w:eastAsiaTheme="minorEastAsia"/>
          <w:sz w:val="32"/>
          <w:szCs w:val="32"/>
        </w:rPr>
        <w:t>教育（项）经营收支</w:t>
      </w:r>
      <w:r>
        <w:rPr>
          <w:rFonts w:hint="eastAsia" w:asciiTheme="minorEastAsia" w:hAnsiTheme="minorEastAsia" w:eastAsiaTheme="minorEastAsia"/>
          <w:sz w:val="32"/>
          <w:szCs w:val="32"/>
          <w:lang w:val="en-US" w:eastAsia="zh-CN"/>
        </w:rPr>
        <w:t>较2020年</w:t>
      </w:r>
      <w:r>
        <w:rPr>
          <w:rFonts w:hint="eastAsia" w:asciiTheme="minorEastAsia" w:hAnsiTheme="minorEastAsia" w:eastAsiaTheme="minorEastAsia"/>
          <w:sz w:val="32"/>
          <w:szCs w:val="32"/>
        </w:rPr>
        <w:t>因疫情</w:t>
      </w:r>
      <w:r>
        <w:rPr>
          <w:rFonts w:hint="eastAsia" w:asciiTheme="minorEastAsia" w:hAnsiTheme="minorEastAsia" w:eastAsiaTheme="minorEastAsia"/>
          <w:sz w:val="32"/>
          <w:szCs w:val="32"/>
          <w:lang w:val="en-US" w:eastAsia="zh-CN"/>
        </w:rPr>
        <w:t>有所好转增加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5,330.75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10.63</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4,764.29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89.37</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5,310.50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10.67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4,744.04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89.33</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%，主要是因为财政拨款预算指标</w:t>
      </w:r>
      <w:r>
        <w:rPr>
          <w:rFonts w:hint="eastAsia" w:asciiTheme="minorEastAsia" w:hAnsiTheme="minorEastAsia" w:eastAsiaTheme="minorEastAsia"/>
          <w:sz w:val="32"/>
          <w:szCs w:val="32"/>
          <w:lang w:val="en-US" w:eastAsia="zh-CN"/>
        </w:rPr>
        <w:t>相对固定，</w:t>
      </w:r>
      <w:r>
        <w:rPr>
          <w:rFonts w:hint="eastAsia" w:asciiTheme="minorEastAsia" w:hAnsiTheme="minorEastAsia" w:eastAsiaTheme="minorEastAsia"/>
          <w:sz w:val="32"/>
          <w:szCs w:val="32"/>
        </w:rPr>
        <w:t>全部用于教育（类）职业教育（款）中</w:t>
      </w:r>
      <w:r>
        <w:rPr>
          <w:rFonts w:hint="eastAsia" w:asciiTheme="minorEastAsia" w:hAnsiTheme="minorEastAsia" w:eastAsiaTheme="minorEastAsia"/>
          <w:sz w:val="32"/>
          <w:szCs w:val="32"/>
          <w:lang w:val="en-US" w:eastAsia="zh-CN"/>
        </w:rPr>
        <w:t>等职业</w:t>
      </w:r>
      <w:r>
        <w:rPr>
          <w:rFonts w:hint="eastAsia" w:asciiTheme="minorEastAsia" w:hAnsiTheme="minorEastAsia" w:eastAsiaTheme="minorEastAsia"/>
          <w:sz w:val="32"/>
          <w:szCs w:val="32"/>
        </w:rPr>
        <w:t>教育（项）支出</w:t>
      </w:r>
      <w:r>
        <w:rPr>
          <w:rFonts w:hint="eastAsia" w:asciiTheme="minorEastAsia" w:hAnsiTheme="minorEastAsia" w:eastAsiaTheme="minorEastAsia"/>
          <w:sz w:val="32"/>
          <w:szCs w:val="32"/>
          <w:lang w:val="en-US" w:eastAsia="zh-CN"/>
        </w:rPr>
        <w:t>人员经费。</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10.67</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，财政拨款支出增加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%，主要是因为财政拨款预算指标</w:t>
      </w:r>
      <w:r>
        <w:rPr>
          <w:rFonts w:hint="eastAsia" w:asciiTheme="minorEastAsia" w:hAnsiTheme="minorEastAsia" w:eastAsiaTheme="minorEastAsia"/>
          <w:sz w:val="32"/>
          <w:szCs w:val="32"/>
          <w:lang w:val="en-US" w:eastAsia="zh-CN"/>
        </w:rPr>
        <w:t>相对固定，</w:t>
      </w:r>
      <w:r>
        <w:rPr>
          <w:rFonts w:hint="eastAsia" w:asciiTheme="minorEastAsia" w:hAnsiTheme="minorEastAsia" w:eastAsiaTheme="minorEastAsia"/>
          <w:sz w:val="32"/>
          <w:szCs w:val="32"/>
        </w:rPr>
        <w:t>全部用于教育（类）职业教育（款）中</w:t>
      </w:r>
      <w:r>
        <w:rPr>
          <w:rFonts w:hint="eastAsia" w:asciiTheme="minorEastAsia" w:hAnsiTheme="minorEastAsia" w:eastAsiaTheme="minorEastAsia"/>
          <w:sz w:val="32"/>
          <w:szCs w:val="32"/>
          <w:lang w:val="en-US" w:eastAsia="zh-CN"/>
        </w:rPr>
        <w:t>等职业</w:t>
      </w:r>
      <w:r>
        <w:rPr>
          <w:rFonts w:hint="eastAsia" w:asciiTheme="minorEastAsia" w:hAnsiTheme="minorEastAsia" w:eastAsiaTheme="minorEastAsia"/>
          <w:sz w:val="32"/>
          <w:szCs w:val="32"/>
        </w:rPr>
        <w:t>教育（项）支出</w:t>
      </w:r>
      <w:r>
        <w:rPr>
          <w:rFonts w:hint="eastAsia" w:asciiTheme="minorEastAsia" w:hAnsiTheme="minorEastAsia" w:eastAsiaTheme="minorEastAsia"/>
          <w:sz w:val="32"/>
          <w:szCs w:val="32"/>
          <w:lang w:val="en-US" w:eastAsia="zh-CN"/>
        </w:rPr>
        <w:t>人员经费。</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全部用于</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%，全部用于教育（类）职业教育（款）中</w:t>
      </w:r>
      <w:r>
        <w:rPr>
          <w:rFonts w:hint="eastAsia" w:asciiTheme="minorEastAsia" w:hAnsiTheme="minorEastAsia" w:eastAsiaTheme="minorEastAsia"/>
          <w:sz w:val="32"/>
          <w:szCs w:val="32"/>
          <w:lang w:val="en-US" w:eastAsia="zh-CN"/>
        </w:rPr>
        <w:t>等职业</w:t>
      </w:r>
      <w:r>
        <w:rPr>
          <w:rFonts w:hint="eastAsia" w:asciiTheme="minorEastAsia" w:hAnsiTheme="minorEastAsia" w:eastAsiaTheme="minorEastAsia"/>
          <w:sz w:val="32"/>
          <w:szCs w:val="32"/>
        </w:rPr>
        <w:t>教育（项）支出</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教育（类）职业教育（款）中</w:t>
      </w:r>
      <w:r>
        <w:rPr>
          <w:rFonts w:hint="eastAsia" w:asciiTheme="minorEastAsia" w:hAnsiTheme="minorEastAsia" w:eastAsiaTheme="minorEastAsia"/>
          <w:sz w:val="32"/>
          <w:szCs w:val="32"/>
          <w:lang w:val="en-US" w:eastAsia="zh-CN"/>
        </w:rPr>
        <w:t>等职业</w:t>
      </w:r>
      <w:r>
        <w:rPr>
          <w:rFonts w:hint="eastAsia" w:asciiTheme="minorEastAsia" w:hAnsiTheme="minorEastAsia" w:eastAsiaTheme="minorEastAsia"/>
          <w:sz w:val="32"/>
          <w:szCs w:val="32"/>
        </w:rPr>
        <w:t>教育（项）支出年初预算为</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566.46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531.01</w:t>
      </w:r>
      <w:r>
        <w:rPr>
          <w:rFonts w:hint="eastAsia" w:asciiTheme="minorEastAsia" w:hAnsiTheme="minorEastAsia" w:eastAsiaTheme="minorEastAsia"/>
          <w:sz w:val="32"/>
          <w:szCs w:val="32"/>
        </w:rPr>
        <w:t>万元、绩效工资</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.4</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2021年度无“三公”经费财政拨款支出</w:t>
      </w:r>
      <w:r>
        <w:rPr>
          <w:rFonts w:hint="eastAsia" w:cs="黑体" w:asciiTheme="minorEastAsia" w:hAnsiTheme="minorEastAsia"/>
          <w:color w:val="FF0000"/>
          <w:kern w:val="0"/>
          <w:sz w:val="32"/>
          <w:szCs w:val="32"/>
        </w:rPr>
        <w:t>。</w:t>
      </w:r>
      <w:r>
        <w:rPr>
          <w:rFonts w:hint="eastAsia" w:asciiTheme="minorEastAsia" w:hAnsiTheme="minorEastAsia" w:eastAsiaTheme="minorEastAsia"/>
          <w:color w:val="FF0000"/>
          <w:sz w:val="32"/>
          <w:szCs w:val="32"/>
        </w:rPr>
        <w:t>“三公”经费财政拨款支出预算为</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万元，支出决算为</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lang w:val="en-US" w:eastAsia="zh-CN"/>
        </w:rPr>
        <w:t>由于预算数为0万元，无法计算百分比）</w:t>
      </w:r>
      <w:r>
        <w:rPr>
          <w:rFonts w:hint="eastAsia" w:asciiTheme="minorEastAsia" w:hAnsiTheme="minorEastAsia" w:eastAsiaTheme="minorEastAsia"/>
          <w:color w:val="FF0000"/>
          <w:sz w:val="32"/>
          <w:szCs w:val="32"/>
        </w:rPr>
        <w:t>，其中：</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eastAsia="仿宋_GB2312" w:asciiTheme="minorEastAsia" w:hAnsiTheme="minorEastAsia"/>
          <w:color w:val="FF0000"/>
          <w:sz w:val="32"/>
          <w:szCs w:val="32"/>
          <w:lang w:val="en-US" w:eastAsia="zh-CN"/>
        </w:rPr>
      </w:pPr>
      <w:r>
        <w:rPr>
          <w:rFonts w:hint="eastAsia" w:asciiTheme="minorEastAsia" w:hAnsiTheme="minorEastAsia" w:eastAsiaTheme="minorEastAsia"/>
          <w:color w:val="FF0000"/>
          <w:sz w:val="32"/>
          <w:szCs w:val="32"/>
        </w:rPr>
        <w:t>因公出国（境）费支出预算为</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万元，支出决算为</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lang w:val="en-US" w:eastAsia="zh-CN"/>
        </w:rPr>
        <w:t>由于预算数为0万元，无法计算百分比）</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rPr>
        <w:t>与上年相比减少</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lang w:val="en-US" w:eastAsia="zh-CN"/>
        </w:rPr>
        <w:t>由于上年支出决算为0万元，无法计算减少百分比）</w:t>
      </w:r>
      <w:r>
        <w:rPr>
          <w:rFonts w:hint="eastAsia" w:asciiTheme="minorEastAsia" w:hAnsiTheme="minorEastAsia" w:eastAsiaTheme="minorEastAsia"/>
          <w:color w:val="FF000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FF0000"/>
          <w:sz w:val="32"/>
          <w:szCs w:val="32"/>
          <w:lang w:eastAsia="zh-CN"/>
        </w:rPr>
      </w:pPr>
      <w:r>
        <w:rPr>
          <w:rFonts w:hint="eastAsia" w:asciiTheme="minorEastAsia" w:hAnsiTheme="minorEastAsia" w:eastAsiaTheme="minorEastAsia"/>
          <w:color w:val="FF0000"/>
          <w:sz w:val="32"/>
          <w:szCs w:val="32"/>
        </w:rPr>
        <w:t>公务接待费支出预算为</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万元，支出决算为</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lang w:val="en-US" w:eastAsia="zh-CN"/>
        </w:rPr>
        <w:t>由于预算数为0万元，无法计算百分比）</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rPr>
        <w:t>与上年相比减少</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lang w:val="en-US" w:eastAsia="zh-CN"/>
        </w:rPr>
        <w:t>由于上年支出决算为0万元，无法计算减少百分比）</w:t>
      </w:r>
      <w:r>
        <w:rPr>
          <w:rFonts w:hint="eastAsia" w:asciiTheme="minorEastAsia" w:hAnsiTheme="minorEastAsia" w:eastAsiaTheme="minorEastAsia"/>
          <w:color w:val="FF000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FF0000"/>
          <w:sz w:val="32"/>
          <w:szCs w:val="32"/>
          <w:lang w:eastAsia="zh-CN"/>
        </w:rPr>
      </w:pPr>
      <w:r>
        <w:rPr>
          <w:rFonts w:hint="eastAsia" w:asciiTheme="minorEastAsia" w:hAnsiTheme="minorEastAsia" w:eastAsiaTheme="minorEastAsia"/>
          <w:color w:val="FF0000"/>
          <w:sz w:val="32"/>
          <w:szCs w:val="32"/>
        </w:rPr>
        <w:t>公务用车购置费支出预算为</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万元，支出决算为</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lang w:val="en-US" w:eastAsia="zh-CN"/>
        </w:rPr>
        <w:t>由于预算数为0万元，无法计算百分比）</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rPr>
        <w:t>与上年相比减少</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lang w:val="en-US" w:eastAsia="zh-CN"/>
        </w:rPr>
        <w:t>由于上年支出决算为0万元，无法计算减少百分比）</w:t>
      </w:r>
      <w:r>
        <w:rPr>
          <w:rFonts w:hint="eastAsia" w:asciiTheme="minorEastAsia" w:hAnsiTheme="minorEastAsia" w:eastAsiaTheme="minorEastAsia"/>
          <w:color w:val="FF000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textAlignment w:val="auto"/>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公务用车运行维护费支出预算为</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万元，支出决算为</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lang w:val="en-US" w:eastAsia="zh-CN"/>
        </w:rPr>
        <w:t>由于预算数为0万元，无法计算百分比）</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rPr>
        <w:t>与上年相比减少</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color w:val="FF0000"/>
          <w:sz w:val="32"/>
          <w:szCs w:val="32"/>
          <w:lang w:eastAsia="zh-CN"/>
        </w:rPr>
        <w:t>（</w:t>
      </w:r>
      <w:r>
        <w:rPr>
          <w:rFonts w:hint="eastAsia" w:asciiTheme="minorEastAsia" w:hAnsiTheme="minorEastAsia" w:eastAsiaTheme="minorEastAsia"/>
          <w:color w:val="FF0000"/>
          <w:sz w:val="32"/>
          <w:szCs w:val="32"/>
          <w:lang w:val="en-US" w:eastAsia="zh-CN"/>
        </w:rPr>
        <w:t>由于上年支出决算为0万元，无法计算减少百分比）</w:t>
      </w:r>
      <w:bookmarkStart w:id="3" w:name="_GoBack"/>
      <w:bookmarkEnd w:id="3"/>
      <w:r>
        <w:rPr>
          <w:rFonts w:hint="eastAsia" w:asciiTheme="minorEastAsia" w:hAnsiTheme="minorEastAsia" w:eastAsiaTheme="minorEastAsia"/>
          <w:color w:val="FF0000"/>
          <w:sz w:val="32"/>
          <w:szCs w:val="32"/>
          <w:lang w:eastAsia="zh-CN"/>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2021年度无“三公”经费财政拨款支出</w:t>
      </w:r>
      <w:r>
        <w:rPr>
          <w:rFonts w:hint="eastAsia" w:cs="黑体" w:asciiTheme="minorEastAsia" w:hAnsiTheme="minorEastAsia"/>
          <w:color w:val="000000"/>
          <w:kern w:val="0"/>
          <w:sz w:val="32"/>
          <w:szCs w:val="32"/>
        </w:rPr>
        <w:t>。</w:t>
      </w: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b/>
          <w:sz w:val="32"/>
          <w:szCs w:val="32"/>
          <w:lang w:eastAsia="zh-CN"/>
          <w14:textFill>
            <w14:gradFill>
              <w14:gsLst>
                <w14:gs w14:pos="0">
                  <w14:srgbClr w14:val="FE4444"/>
                </w14:gs>
                <w14:gs w14:pos="100000">
                  <w14:srgbClr w14:val="832B2B"/>
                </w14:gs>
              </w14:gsLst>
              <w14:lin w14:scaled="0"/>
            </w14:gradFill>
          </w14:textFill>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imes New Roman" w:hAnsi="Times New Roman" w:eastAsia="仿宋_GB2312"/>
          <w:sz w:val="32"/>
          <w:szCs w:val="32"/>
          <w14:textFill>
            <w14:gradFill>
              <w14:gsLst>
                <w14:gs w14:pos="0">
                  <w14:srgbClr w14:val="FE4444"/>
                </w14:gs>
                <w14:gs w14:pos="100000">
                  <w14:srgbClr w14:val="832B2B"/>
                </w14:gs>
              </w14:gsLst>
              <w14:lin w14:scaled="0"/>
            </w14:gradFill>
          </w14:textFill>
        </w:rPr>
        <w:t>全年安排因公出国（境）团组</w:t>
      </w:r>
      <w:r>
        <w:rPr>
          <w:rFonts w:hint="eastAsia" w:ascii="Times New Roman" w:hAnsi="Times New Roman" w:eastAsia="仿宋_GB2312"/>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imes New Roman" w:hAnsi="Times New Roman" w:eastAsia="仿宋_GB2312"/>
          <w:sz w:val="32"/>
          <w:szCs w:val="32"/>
          <w14:textFill>
            <w14:gradFill>
              <w14:gsLst>
                <w14:gs w14:pos="0">
                  <w14:srgbClr w14:val="FE4444"/>
                </w14:gs>
                <w14:gs w14:pos="100000">
                  <w14:srgbClr w14:val="832B2B"/>
                </w14:gs>
              </w14:gsLst>
              <w14:lin w14:scaled="0"/>
            </w14:gradFill>
          </w14:textFill>
        </w:rPr>
        <w:t>个，累计</w:t>
      </w:r>
      <w:r>
        <w:rPr>
          <w:rFonts w:hint="eastAsia" w:ascii="Times New Roman" w:hAnsi="Times New Roman" w:eastAsia="仿宋_GB2312"/>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imes New Roman" w:hAnsi="Times New Roman" w:eastAsia="仿宋_GB2312"/>
          <w:sz w:val="32"/>
          <w:szCs w:val="32"/>
          <w14:textFill>
            <w14:gradFill>
              <w14:gsLst>
                <w14:gs w14:pos="0">
                  <w14:srgbClr w14:val="FE4444"/>
                </w14:gs>
                <w14:gs w14:pos="100000">
                  <w14:srgbClr w14:val="832B2B"/>
                </w14:gs>
              </w14:gsLst>
              <w14:lin w14:scaled="0"/>
            </w14:gradFill>
          </w14:textFill>
        </w:rPr>
        <w:t>人次</w:t>
      </w:r>
      <w:r>
        <w:rPr>
          <w:rFonts w:hint="eastAsia" w:asciiTheme="minorEastAsia" w:hAnsiTheme="minorEastAsia" w:eastAsiaTheme="minorEastAsia"/>
          <w:sz w:val="32"/>
          <w:szCs w:val="32"/>
          <w:lang w:eastAsia="zh-CN"/>
          <w14:textFill>
            <w14:gradFill>
              <w14:gsLst>
                <w14:gs w14:pos="0">
                  <w14:srgbClr w14:val="FE4444"/>
                </w14:gs>
                <w14:gs w14:pos="100000">
                  <w14:srgbClr w14:val="832B2B"/>
                </w14:gs>
              </w14:gsLst>
              <w14:lin w14:scaled="0"/>
            </w14:gradFill>
          </w14:textFill>
        </w:rPr>
        <w:t>。</w:t>
      </w:r>
    </w:p>
    <w:p>
      <w:pPr>
        <w:pStyle w:val="9"/>
        <w:rPr>
          <w:rFonts w:hint="eastAsia" w:asciiTheme="minorEastAsia" w:hAnsiTheme="minorEastAsia" w:eastAsiaTheme="minorEastAsia"/>
          <w:color w:val="FF0000"/>
          <w:sz w:val="32"/>
          <w:szCs w:val="32"/>
          <w:lang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FF0000"/>
          <w:sz w:val="32"/>
          <w:szCs w:val="32"/>
        </w:rPr>
        <w:t xml:space="preserve"> 2、公务接待费支出决算为</w:t>
      </w:r>
      <w:r>
        <w:rPr>
          <w:rFonts w:hint="eastAsia" w:asciiTheme="minorEastAsia" w:hAnsiTheme="minorEastAsia" w:eastAsiaTheme="minorEastAsia"/>
          <w:color w:val="FF0000"/>
          <w:sz w:val="32"/>
          <w:szCs w:val="32"/>
          <w:lang w:val="en-US" w:eastAsia="zh-CN"/>
        </w:rPr>
        <w:t>0</w:t>
      </w:r>
      <w:r>
        <w:rPr>
          <w:rFonts w:hint="eastAsia" w:asciiTheme="minorEastAsia" w:hAnsiTheme="minorEastAsia" w:eastAsiaTheme="minorEastAsia"/>
          <w:color w:val="FF0000"/>
          <w:sz w:val="32"/>
          <w:szCs w:val="32"/>
        </w:rPr>
        <w:t>万元</w:t>
      </w:r>
      <w:r>
        <w:rPr>
          <w:rFonts w:hint="eastAsia" w:asciiTheme="minorEastAsia" w:hAnsiTheme="minorEastAsia" w:eastAsiaTheme="minorEastAsia"/>
          <w:color w:val="FF0000"/>
          <w:sz w:val="32"/>
          <w:szCs w:val="32"/>
          <w:lang w:eastAsia="zh-CN"/>
        </w:rPr>
        <w:t>，</w:t>
      </w:r>
      <w:r>
        <w:rPr>
          <w:rFonts w:hint="eastAsia" w:ascii="Times New Roman" w:hAnsi="Times New Roman" w:eastAsia="仿宋_GB2312"/>
          <w:color w:val="FF0000"/>
          <w:sz w:val="32"/>
          <w:szCs w:val="32"/>
        </w:rPr>
        <w:t>全年共接待来访团组</w:t>
      </w:r>
      <w:r>
        <w:rPr>
          <w:rFonts w:hint="eastAsia" w:ascii="Times New Roman" w:hAnsi="Times New Roman" w:eastAsia="仿宋_GB2312"/>
          <w:color w:val="FF0000"/>
          <w:sz w:val="32"/>
          <w:szCs w:val="32"/>
          <w:lang w:val="en-US" w:eastAsia="zh-CN"/>
        </w:rPr>
        <w:t>0</w:t>
      </w:r>
      <w:r>
        <w:rPr>
          <w:rFonts w:hint="eastAsia" w:ascii="Times New Roman" w:hAnsi="Times New Roman" w:eastAsia="仿宋_GB2312"/>
          <w:color w:val="FF0000"/>
          <w:sz w:val="32"/>
          <w:szCs w:val="32"/>
        </w:rPr>
        <w:t>个、来宾</w:t>
      </w:r>
      <w:r>
        <w:rPr>
          <w:rFonts w:hint="eastAsia" w:ascii="Times New Roman" w:hAnsi="Times New Roman" w:eastAsia="仿宋_GB2312"/>
          <w:color w:val="FF0000"/>
          <w:sz w:val="32"/>
          <w:szCs w:val="32"/>
          <w:lang w:val="en-US" w:eastAsia="zh-CN"/>
        </w:rPr>
        <w:t>0</w:t>
      </w:r>
      <w:r>
        <w:rPr>
          <w:rFonts w:hint="eastAsia" w:ascii="Times New Roman" w:hAnsi="Times New Roman" w:eastAsia="仿宋_GB2312"/>
          <w:color w:val="FF0000"/>
          <w:sz w:val="32"/>
          <w:szCs w:val="32"/>
        </w:rPr>
        <w:t>人次</w:t>
      </w:r>
      <w:r>
        <w:rPr>
          <w:rFonts w:hint="eastAsia" w:asciiTheme="minorEastAsia" w:hAnsiTheme="minorEastAsia" w:eastAsiaTheme="minorEastAsia"/>
          <w:color w:val="FF0000"/>
          <w:sz w:val="32"/>
          <w:szCs w:val="32"/>
          <w:lang w:eastAsia="zh-CN"/>
        </w:rPr>
        <w:t>。</w:t>
      </w:r>
    </w:p>
    <w:p>
      <w:pPr>
        <w:widowControl/>
        <w:spacing w:line="600" w:lineRule="exact"/>
        <w:ind w:firstLine="640" w:firstLineChars="200"/>
        <w:rPr>
          <w:rFonts w:hint="default" w:cs="黑体" w:asciiTheme="minorEastAsia" w:hAnsiTheme="minorEastAsia" w:eastAsiaTheme="minorEastAsia"/>
          <w:color w:val="FF0000"/>
          <w:kern w:val="0"/>
          <w:sz w:val="32"/>
          <w:szCs w:val="32"/>
          <w:lang w:val="en-US" w:eastAsia="zh-CN" w:bidi="ar-SA"/>
        </w:rPr>
      </w:pPr>
      <w:r>
        <w:rPr>
          <w:rFonts w:hint="eastAsia" w:asciiTheme="minorEastAsia" w:hAnsiTheme="minorEastAsia"/>
          <w:sz w:val="32"/>
          <w:szCs w:val="32"/>
        </w:rPr>
        <w:t>3、</w:t>
      </w:r>
      <w:r>
        <w:rPr>
          <w:rFonts w:hint="eastAsia" w:cs="黑体" w:asciiTheme="minorEastAsia" w:hAnsiTheme="minorEastAsia" w:eastAsiaTheme="minorEastAsia"/>
          <w:color w:val="FF0000"/>
          <w:kern w:val="0"/>
          <w:sz w:val="32"/>
          <w:szCs w:val="32"/>
          <w:lang w:val="en-US" w:eastAsia="zh-CN" w:bidi="ar-SA"/>
        </w:rPr>
        <w:t>公务用车购置费及运行维护费支出决算为0万元，其中：公务用车购置费0万元，</w:t>
      </w:r>
      <w:r>
        <w:rPr>
          <w:rFonts w:hint="eastAsia" w:cs="黑体" w:asciiTheme="minorEastAsia" w:hAnsiTheme="minorEastAsia"/>
          <w:color w:val="FF0000"/>
          <w:kern w:val="0"/>
          <w:sz w:val="32"/>
          <w:szCs w:val="32"/>
          <w:lang w:val="en-US" w:eastAsia="zh-CN" w:bidi="ar-SA"/>
        </w:rPr>
        <w:t>购置公务用车0辆；</w:t>
      </w:r>
      <w:r>
        <w:rPr>
          <w:rFonts w:hint="eastAsia" w:cs="黑体" w:asciiTheme="minorEastAsia" w:hAnsiTheme="minorEastAsia" w:eastAsiaTheme="minorEastAsia"/>
          <w:color w:val="FF0000"/>
          <w:kern w:val="0"/>
          <w:sz w:val="32"/>
          <w:szCs w:val="32"/>
          <w:lang w:val="en-US" w:eastAsia="zh-CN" w:bidi="ar-SA"/>
        </w:rPr>
        <w:t>公务用车运行维护费0万元</w:t>
      </w:r>
      <w:r>
        <w:rPr>
          <w:rFonts w:hint="eastAsia" w:cs="黑体" w:asciiTheme="minorEastAsia" w:hAnsiTheme="minorEastAsia"/>
          <w:color w:val="FF0000"/>
          <w:kern w:val="0"/>
          <w:sz w:val="32"/>
          <w:szCs w:val="32"/>
          <w:lang w:val="en-US" w:eastAsia="zh-CN" w:bidi="ar-SA"/>
        </w:rPr>
        <w:t>，</w:t>
      </w:r>
      <w:r>
        <w:rPr>
          <w:rFonts w:hint="eastAsia" w:cs="黑体" w:asciiTheme="minorEastAsia" w:hAnsiTheme="minorEastAsia" w:eastAsiaTheme="minorEastAsia"/>
          <w:color w:val="FF0000"/>
          <w:kern w:val="0"/>
          <w:sz w:val="32"/>
          <w:szCs w:val="32"/>
          <w:lang w:val="en-US" w:eastAsia="zh-CN" w:bidi="ar-SA"/>
        </w:rPr>
        <w:t>更新公务用车0辆</w:t>
      </w:r>
      <w:r>
        <w:rPr>
          <w:rFonts w:hint="eastAsia" w:cs="黑体" w:asciiTheme="minorEastAsia" w:hAnsiTheme="minorEastAsia"/>
          <w:color w:val="FF0000"/>
          <w:kern w:val="0"/>
          <w:sz w:val="32"/>
          <w:szCs w:val="32"/>
          <w:lang w:val="en-US" w:eastAsia="zh-CN" w:bidi="ar-SA"/>
        </w:rPr>
        <w:t>。</w:t>
      </w:r>
      <w:r>
        <w:rPr>
          <w:rFonts w:hint="eastAsia" w:cs="黑体" w:asciiTheme="minorEastAsia" w:hAnsiTheme="minorEastAsia" w:eastAsiaTheme="minorEastAsia"/>
          <w:color w:val="FF0000"/>
          <w:kern w:val="0"/>
          <w:sz w:val="32"/>
          <w:szCs w:val="32"/>
          <w:lang w:val="en-US" w:eastAsia="zh-CN" w:bidi="ar-SA"/>
        </w:rPr>
        <w:t>截止2021年12月31日，我单位开支财政拨款的公务用车保有量为0辆。</w:t>
      </w:r>
    </w:p>
    <w:p>
      <w:pPr>
        <w:pStyle w:val="9"/>
        <w:rPr>
          <w:rFonts w:hAnsi="黑体"/>
          <w:b/>
          <w:sz w:val="32"/>
          <w:szCs w:val="32"/>
        </w:rPr>
      </w:pPr>
      <w:r>
        <w:rPr>
          <w:rFonts w:hint="eastAsia" w:hAnsi="黑体"/>
          <w:b/>
          <w:sz w:val="32"/>
          <w:szCs w:val="32"/>
        </w:rPr>
        <w:t>八、政府性基金预算收入支出决算情况</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2021年度本单位无政府性基金预算财政拨款收入支出</w:t>
      </w:r>
      <w:r>
        <w:rPr>
          <w:rFonts w:hint="eastAsia" w:asciiTheme="minorEastAsia" w:hAnsiTheme="minorEastAsia" w:eastAsiaTheme="minorEastAsia"/>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机关运行经费支出</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万元，比年初预算数（或者上年决算数）增加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w:t>
      </w:r>
      <w:r>
        <w:rPr>
          <w:rFonts w:hint="eastAsia" w:asciiTheme="minorEastAsia" w:hAnsiTheme="minorEastAsia" w:eastAsiaTheme="minorEastAsia"/>
          <w:sz w:val="32"/>
          <w:szCs w:val="32"/>
          <w:lang w:val="en-US" w:eastAsia="zh-CN"/>
        </w:rPr>
        <w:t>单位无财政拨款</w:t>
      </w:r>
      <w:r>
        <w:rPr>
          <w:rFonts w:hint="eastAsia" w:asciiTheme="minorEastAsia" w:hAnsiTheme="minorEastAsia"/>
          <w:sz w:val="32"/>
          <w:szCs w:val="32"/>
          <w:lang w:val="en-US" w:eastAsia="zh-CN"/>
        </w:rPr>
        <w:t>的</w:t>
      </w:r>
      <w:r>
        <w:rPr>
          <w:rFonts w:hint="eastAsia" w:cs="黑体" w:asciiTheme="minorEastAsia" w:hAnsiTheme="minorEastAsia"/>
          <w:color w:val="000000"/>
          <w:kern w:val="0"/>
          <w:sz w:val="32"/>
          <w:szCs w:val="32"/>
        </w:rPr>
        <w:t>会议费，培训费，举办节庆、晚会、论坛、赛事等活动开支。</w:t>
      </w:r>
      <w:r>
        <w:rPr>
          <w:rFonts w:hint="eastAsia" w:cs="黑体" w:asciiTheme="minorEastAsia" w:hAnsiTheme="minorEastAsia"/>
          <w:color w:val="000000"/>
          <w:kern w:val="0"/>
          <w:sz w:val="32"/>
          <w:szCs w:val="32"/>
          <w:lang w:val="en-US" w:eastAsia="zh-CN"/>
        </w:rPr>
        <w:t>其中：开支</w:t>
      </w:r>
      <w:r>
        <w:rPr>
          <w:rFonts w:hint="eastAsia" w:asciiTheme="minorEastAsia" w:hAnsiTheme="minorEastAsia" w:eastAsiaTheme="minorEastAsia"/>
          <w:sz w:val="32"/>
          <w:szCs w:val="32"/>
        </w:rPr>
        <w:t>会议费</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万元；举办节庆、晚会、论坛、赛事</w:t>
      </w:r>
      <w:r>
        <w:rPr>
          <w:rFonts w:hint="eastAsia" w:asciiTheme="minorEastAsia" w:hAnsiTheme="minorEastAsia"/>
          <w:sz w:val="32"/>
          <w:szCs w:val="32"/>
          <w:lang w:val="en-US" w:eastAsia="zh-CN"/>
        </w:rPr>
        <w:t>等</w:t>
      </w:r>
      <w:r>
        <w:rPr>
          <w:rFonts w:hint="eastAsia" w:asciiTheme="minorEastAsia" w:hAnsiTheme="minorEastAsia" w:eastAsiaTheme="minorEastAsia"/>
          <w:sz w:val="32"/>
          <w:szCs w:val="32"/>
        </w:rPr>
        <w:t>活动，开支</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sz w:val="32"/>
          <w:szCs w:val="32"/>
          <w:lang w:eastAsia="zh-CN"/>
        </w:rPr>
        <w:t>。</w:t>
      </w:r>
    </w:p>
    <w:p>
      <w:pPr>
        <w:pStyle w:val="9"/>
        <w:rPr>
          <w:rFonts w:hAnsi="黑体"/>
          <w:b/>
          <w:sz w:val="32"/>
          <w:szCs w:val="32"/>
        </w:rPr>
      </w:pPr>
      <w:r>
        <w:rPr>
          <w:rFonts w:hint="eastAsia" w:hAnsi="黑体"/>
          <w:b/>
          <w:sz w:val="32"/>
          <w:szCs w:val="32"/>
        </w:rPr>
        <w:t>十一、政府采购支出说明</w:t>
      </w:r>
    </w:p>
    <w:p>
      <w:p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本</w:t>
      </w:r>
      <w:r>
        <w:rPr>
          <w:rFonts w:hint="eastAsia" w:asciiTheme="minorEastAsia" w:hAnsiTheme="minorEastAsia" w:eastAsiaTheme="minorEastAsia"/>
          <w:sz w:val="32"/>
          <w:szCs w:val="32"/>
          <w:lang w:val="en-US" w:eastAsia="zh-CN"/>
        </w:rPr>
        <w:t>单位无政府采购支出。</w:t>
      </w:r>
    </w:p>
    <w:p>
      <w:pPr>
        <w:ind w:firstLine="640" w:firstLineChars="200"/>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pP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202</w:t>
      </w:r>
      <w:r>
        <w:rPr>
          <w:rFonts w:hint="eastAsia" w:asciiTheme="minorEastAsia" w:hAnsiTheme="minorEastAsia"/>
          <w:sz w:val="32"/>
          <w:szCs w:val="32"/>
          <w:lang w:val="en-US" w:eastAsia="zh-CN"/>
          <w14:textFill>
            <w14:gradFill>
              <w14:gsLst>
                <w14:gs w14:pos="0">
                  <w14:srgbClr w14:val="FE4444"/>
                </w14:gs>
                <w14:gs w14:pos="100000">
                  <w14:srgbClr w14:val="832B2B"/>
                </w14:gs>
              </w14:gsLst>
              <w14:lin w14:scaled="0"/>
            </w14:gradFill>
          </w14:textFill>
        </w:rPr>
        <w:t>1</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年度政府采购支出总额</w:t>
      </w:r>
      <w:r>
        <w:rPr>
          <w:rFonts w:hint="eastAsia" w:asciiTheme="minorEastAsia" w:hAnsiTheme="minorEastAsia" w:eastAsiaTheme="minorEastAsia"/>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万元，其中：政府采购货物支出</w:t>
      </w:r>
      <w:r>
        <w:rPr>
          <w:rFonts w:hint="eastAsia" w:asciiTheme="minorEastAsia" w:hAnsiTheme="minorEastAsia" w:eastAsiaTheme="minorEastAsia"/>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万元、政府采购工程支出</w:t>
      </w:r>
      <w:r>
        <w:rPr>
          <w:rFonts w:hint="eastAsia" w:asciiTheme="minorEastAsia" w:hAnsiTheme="minorEastAsia" w:eastAsiaTheme="minorEastAsia"/>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万元、政府采购服务支出</w:t>
      </w:r>
      <w:r>
        <w:rPr>
          <w:rFonts w:hint="eastAsia" w:asciiTheme="minorEastAsia" w:hAnsiTheme="minorEastAsia" w:eastAsiaTheme="minorEastAsia"/>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万元。授予中小企业合同金额</w:t>
      </w:r>
      <w:r>
        <w:rPr>
          <w:rFonts w:hint="eastAsia" w:asciiTheme="minorEastAsia" w:hAnsiTheme="minorEastAsia" w:eastAsiaTheme="minorEastAsia"/>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万元，占政府采购支出总额的</w:t>
      </w:r>
      <w:r>
        <w:rPr>
          <w:rFonts w:hint="eastAsia" w:asciiTheme="minorEastAsia" w:hAnsiTheme="minorEastAsia" w:eastAsiaTheme="minorEastAsia"/>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%，其中：授予小微企业合同金额</w:t>
      </w:r>
      <w:r>
        <w:rPr>
          <w:rFonts w:hint="eastAsia" w:asciiTheme="minorEastAsia" w:hAnsiTheme="minorEastAsia" w:eastAsiaTheme="minorEastAsia"/>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万元，占政府采购支出总额的</w:t>
      </w:r>
      <w:r>
        <w:rPr>
          <w:rFonts w:hint="eastAsia" w:asciiTheme="minorEastAsia" w:hAnsiTheme="minorEastAsia" w:eastAsiaTheme="minorEastAsia"/>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%。货物采购授予中小企业合同金额占货物支出金额的</w:t>
      </w:r>
      <w:r>
        <w:rPr>
          <w:rFonts w:hint="eastAsia" w:asciiTheme="minorEastAsia" w:hAnsiTheme="minorEastAsia" w:eastAsiaTheme="minorEastAsia"/>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%，工程采购授予中小企业合同金额占工程支出金额的</w:t>
      </w:r>
      <w:r>
        <w:rPr>
          <w:rFonts w:hint="eastAsia" w:asciiTheme="minorEastAsia" w:hAnsiTheme="minorEastAsia" w:eastAsiaTheme="minorEastAsia"/>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%，服务采购授予中小企业合同金额占服务支出金额的</w:t>
      </w:r>
      <w:r>
        <w:rPr>
          <w:rFonts w:hint="eastAsia" w:asciiTheme="minorEastAsia" w:hAnsiTheme="minorEastAsia" w:eastAsiaTheme="minorEastAsia"/>
          <w:sz w:val="32"/>
          <w:szCs w:val="32"/>
          <w:lang w:val="en-US" w:eastAsia="zh-CN"/>
          <w14:textFill>
            <w14:gradFill>
              <w14:gsLst>
                <w14:gs w14:pos="0">
                  <w14:srgbClr w14:val="FE4444"/>
                </w14:gs>
                <w14:gs w14:pos="100000">
                  <w14:srgbClr w14:val="832B2B"/>
                </w14:gs>
              </w14:gsLst>
              <w14:lin w14:scaled="0"/>
            </w14:gradFill>
          </w14:textFill>
        </w:rPr>
        <w:t>0</w:t>
      </w:r>
      <w:r>
        <w:rPr>
          <w:rFonts w:hint="eastAsia" w:asciiTheme="minorEastAsia" w:hAnsiTheme="minorEastAsia" w:eastAsiaTheme="minorEastAsia"/>
          <w:sz w:val="32"/>
          <w:szCs w:val="32"/>
          <w14:textFill>
            <w14:gradFill>
              <w14:gsLst>
                <w14:gs w14:pos="0">
                  <w14:srgbClr w14:val="FE4444"/>
                </w14:gs>
                <w14:gs w14:pos="100000">
                  <w14:srgbClr w14:val="832B2B"/>
                </w14:gs>
              </w14:gsLst>
              <w14:lin w14:scaled="0"/>
            </w14:gradFill>
          </w14:textFill>
        </w:rPr>
        <w:t>%。</w:t>
      </w:r>
    </w:p>
    <w:p>
      <w:pPr>
        <w:ind w:firstLine="640" w:firstLineChars="200"/>
        <w:rPr>
          <w:rFonts w:hAnsi="黑体"/>
          <w:b/>
          <w:sz w:val="32"/>
          <w:szCs w:val="32"/>
        </w:rPr>
      </w:pPr>
      <w:r>
        <w:rPr>
          <w:rFonts w:hint="eastAsia" w:hAnsi="黑体"/>
          <w:b/>
          <w:sz w:val="32"/>
          <w:szCs w:val="32"/>
        </w:rPr>
        <w:t>十二、国有资产占用情况说明</w:t>
      </w:r>
    </w:p>
    <w:p>
      <w:pPr>
        <w:widowControl/>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本单位</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辆，其中其他用车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w:t>
      </w:r>
      <w:r>
        <w:rPr>
          <w:rFonts w:hint="eastAsia" w:asciiTheme="minorEastAsia" w:hAnsiTheme="minorEastAsia"/>
          <w:sz w:val="32"/>
          <w:szCs w:val="32"/>
          <w:lang w:val="en-US" w:eastAsia="zh-CN"/>
        </w:rPr>
        <w:t>系经营收入购置，</w:t>
      </w:r>
      <w:r>
        <w:rPr>
          <w:rFonts w:cs="黑体" w:asciiTheme="minorEastAsia" w:hAnsiTheme="minorEastAsia"/>
          <w:color w:val="000000"/>
          <w:kern w:val="0"/>
          <w:sz w:val="32"/>
          <w:szCs w:val="32"/>
        </w:rPr>
        <w:t>主要是</w:t>
      </w:r>
      <w:r>
        <w:rPr>
          <w:rFonts w:hint="eastAsia" w:cs="黑体" w:asciiTheme="minorEastAsia" w:hAnsiTheme="minorEastAsia"/>
          <w:color w:val="000000"/>
          <w:kern w:val="0"/>
          <w:sz w:val="32"/>
          <w:szCs w:val="32"/>
        </w:rPr>
        <w:t>用于单位开展教育培训业务使用</w:t>
      </w:r>
      <w:r>
        <w:rPr>
          <w:rFonts w:hint="eastAsia" w:asciiTheme="minorEastAsia" w:hAnsiTheme="minorEastAsia" w:eastAsiaTheme="minorEastAsia"/>
          <w:sz w:val="32"/>
          <w:szCs w:val="32"/>
        </w:rPr>
        <w:t>；单位价值50万元以上通用设备</w:t>
      </w:r>
      <w:r>
        <w:rPr>
          <w:rFonts w:hint="eastAsia" w:asciiTheme="minorEastAsia" w:hAnsiTheme="minorEastAsia"/>
          <w:sz w:val="32"/>
          <w:szCs w:val="32"/>
          <w:lang w:val="en-US" w:eastAsia="zh-CN"/>
        </w:rPr>
        <w:t>5</w:t>
      </w:r>
      <w:r>
        <w:rPr>
          <w:rFonts w:hint="eastAsia" w:asciiTheme="minorEastAsia" w:hAnsiTheme="minorEastAsia" w:eastAsiaTheme="minorEastAsia"/>
          <w:sz w:val="32"/>
          <w:szCs w:val="32"/>
        </w:rPr>
        <w:t>台（套）；单位价值100万元以上专用设备</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w:t>
      </w:r>
      <w:r>
        <w:rPr>
          <w:rFonts w:hint="eastAsia" w:cs="黑体" w:asciiTheme="minorEastAsia" w:hAnsiTheme="minorEastAsia"/>
          <w:color w:val="000000"/>
          <w:kern w:val="0"/>
          <w:sz w:val="32"/>
          <w:szCs w:val="32"/>
          <w:lang w:val="en-US" w:eastAsia="zh-CN"/>
        </w:rPr>
        <w:t>绩效</w:t>
      </w:r>
      <w:r>
        <w:rPr>
          <w:rFonts w:hint="eastAsia" w:cs="黑体" w:asciiTheme="minorEastAsia" w:hAnsiTheme="minorEastAsia"/>
          <w:color w:val="000000"/>
          <w:kern w:val="0"/>
          <w:sz w:val="32"/>
          <w:szCs w:val="32"/>
        </w:rPr>
        <w:t>管理要求，我单位对</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年度一般公共预算财政拨款基本支出全面开展绩效自评，共涉及预算资金</w:t>
      </w:r>
      <w:r>
        <w:rPr>
          <w:rFonts w:cs="黑体" w:asciiTheme="minorEastAsia" w:hAnsiTheme="minorEastAsia"/>
          <w:color w:val="000000"/>
          <w:kern w:val="0"/>
          <w:sz w:val="32"/>
          <w:szCs w:val="32"/>
        </w:rPr>
        <w:t>5</w:t>
      </w:r>
      <w:r>
        <w:rPr>
          <w:rFonts w:hint="eastAsia" w:cs="黑体" w:asciiTheme="minorEastAsia" w:hAnsiTheme="minorEastAsia"/>
          <w:color w:val="000000"/>
          <w:kern w:val="0"/>
          <w:sz w:val="32"/>
          <w:szCs w:val="32"/>
        </w:rPr>
        <w:t>66</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46万元，自评覆盖率达</w:t>
      </w:r>
      <w:r>
        <w:rPr>
          <w:rFonts w:cs="黑体" w:asciiTheme="minorEastAsia" w:hAnsiTheme="minorEastAsia"/>
          <w:color w:val="000000"/>
          <w:kern w:val="0"/>
          <w:sz w:val="32"/>
          <w:szCs w:val="32"/>
        </w:rPr>
        <w:t>100%</w:t>
      </w:r>
      <w:r>
        <w:rPr>
          <w:rFonts w:hint="eastAsia" w:cs="黑体" w:asciiTheme="minorEastAsia" w:hAnsiTheme="minorEastAsia"/>
          <w:color w:val="000000"/>
          <w:kern w:val="0"/>
          <w:sz w:val="32"/>
          <w:szCs w:val="32"/>
        </w:rPr>
        <w:t>。</w:t>
      </w:r>
    </w:p>
    <w:p>
      <w:pPr>
        <w:widowControl/>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年一般公共预算基本支出</w:t>
      </w:r>
      <w:r>
        <w:rPr>
          <w:rFonts w:cs="黑体" w:asciiTheme="minorEastAsia" w:hAnsiTheme="minorEastAsia"/>
          <w:color w:val="000000"/>
          <w:kern w:val="0"/>
          <w:sz w:val="32"/>
          <w:szCs w:val="32"/>
        </w:rPr>
        <w:t>5</w:t>
      </w:r>
      <w:r>
        <w:rPr>
          <w:rFonts w:hint="eastAsia" w:cs="黑体" w:asciiTheme="minorEastAsia" w:hAnsiTheme="minorEastAsia"/>
          <w:color w:val="000000"/>
          <w:kern w:val="0"/>
          <w:sz w:val="32"/>
          <w:szCs w:val="32"/>
        </w:rPr>
        <w:t>66</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46万元，全部用于人员经费支出，其中：基本工资</w:t>
      </w:r>
      <w:r>
        <w:rPr>
          <w:rFonts w:hint="eastAsia" w:cs="黑体" w:asciiTheme="minorEastAsia" w:hAnsiTheme="minorEastAsia"/>
          <w:color w:val="000000"/>
          <w:kern w:val="0"/>
          <w:sz w:val="32"/>
          <w:szCs w:val="32"/>
          <w:lang w:val="en-US" w:eastAsia="zh-CN"/>
        </w:rPr>
        <w:t>531</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01</w:t>
      </w:r>
      <w:r>
        <w:rPr>
          <w:rFonts w:hint="eastAsia" w:cs="黑体" w:asciiTheme="minorEastAsia" w:hAnsiTheme="minorEastAsia"/>
          <w:color w:val="000000"/>
          <w:kern w:val="0"/>
          <w:sz w:val="32"/>
          <w:szCs w:val="32"/>
        </w:rPr>
        <w:t>万元、绩效工资</w:t>
      </w:r>
      <w:r>
        <w:rPr>
          <w:rFonts w:hint="eastAsia" w:cs="黑体" w:asciiTheme="minorEastAsia" w:hAnsiTheme="minorEastAsia"/>
          <w:color w:val="000000"/>
          <w:kern w:val="0"/>
          <w:sz w:val="32"/>
          <w:szCs w:val="32"/>
          <w:lang w:val="en-US" w:eastAsia="zh-CN"/>
        </w:rPr>
        <w:t>35</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45</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年无项目支出。</w:t>
      </w:r>
    </w:p>
    <w:p>
      <w:pP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本单位2021年无项目支出。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一、财政拨款收入：指省级财政当年拨付的资金。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二、事业收入：指事业单位开展专业业务活动及辅助活动所取得的收入。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三、经营收入：指事业单位在专业业务活动及其辅助活动之外开展非独立核算经营活动取得的收入。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四、其他收入：指单位取得的除上述收入以外的各项收入。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年初结转和结余：指以前年度尚未完成、结转到本年按有关规定继续使用的资金。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基本支出：指保障机构正常运转、完成日常工作任务而发生的人员支出和公用支出。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经营支出：指事业单位在专业业务活动及其辅助活动之外开展非独立核算经营活动发生的支出。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项目支出：指在基本支出之外为完成特定行政任务和事业发展目标所发生的支出。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三公</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经费：指用财政拨款安排的因公出国（境）费、公务用车购置及运行费和公务接待费。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机关运行经费：指为保障行政单位（含参照公务员法管理的事业单位）运行用于购买货物和服务的各项资金。</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center"/>
        <w:rPr>
          <w:rFonts w:hint="eastAsia" w:ascii="黑体" w:eastAsia="黑体" w:cs="黑体"/>
          <w:color w:val="000000"/>
          <w:kern w:val="0"/>
          <w:sz w:val="70"/>
          <w:szCs w:val="70"/>
          <w:lang w:val="en-US" w:eastAsia="zh-CN"/>
        </w:rPr>
      </w:pPr>
    </w:p>
    <w:p>
      <w:pPr>
        <w:widowControl/>
        <w:jc w:val="center"/>
        <w:rPr>
          <w:rFonts w:hint="eastAsia" w:ascii="黑体" w:eastAsia="黑体" w:cs="黑体"/>
          <w:color w:val="000000"/>
          <w:kern w:val="0"/>
          <w:sz w:val="70"/>
          <w:szCs w:val="70"/>
          <w:lang w:val="en-US" w:eastAsia="zh-CN"/>
        </w:rPr>
      </w:pPr>
      <w:r>
        <w:rPr>
          <w:rFonts w:hint="eastAsia" w:ascii="黑体" w:eastAsia="黑体" w:cs="黑体"/>
          <w:color w:val="000000"/>
          <w:kern w:val="0"/>
          <w:sz w:val="70"/>
          <w:szCs w:val="70"/>
          <w:lang w:val="en-US" w:eastAsia="zh-CN"/>
        </w:rPr>
        <w:t>无</w:t>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4103D2C"/>
    <w:rsid w:val="1F07149C"/>
    <w:rsid w:val="2CF05646"/>
    <w:rsid w:val="32533E99"/>
    <w:rsid w:val="3D335747"/>
    <w:rsid w:val="3DC67E9E"/>
    <w:rsid w:val="41A75685"/>
    <w:rsid w:val="498C62A2"/>
    <w:rsid w:val="4AF74F0A"/>
    <w:rsid w:val="4C5827AD"/>
    <w:rsid w:val="607F39ED"/>
    <w:rsid w:val="6B636627"/>
    <w:rsid w:val="6CD260B4"/>
    <w:rsid w:val="70702574"/>
    <w:rsid w:val="792F051E"/>
    <w:rsid w:val="7CFB7DD2"/>
    <w:rsid w:val="7D502992"/>
    <w:rsid w:val="7E93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0</TotalTime>
  <ScaleCrop>false</ScaleCrop>
  <LinksUpToDate>false</LinksUpToDate>
  <CharactersWithSpaces>9714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2023-09-28T09:38:43Z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8C685ECD58144C1BBBB4E8F9D415E7B5</vt:lpwstr>
  </property>
</Properties>
</file>