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2</w:t>
      </w:r>
      <w:r>
        <w:rPr>
          <w:rFonts w:hint="eastAsia" w:ascii="方正小标宋_GBK" w:hAnsi="方正小标宋_GBK" w:eastAsia="方正小标宋_GBK" w:cs="方正小标宋_GBK"/>
          <w:sz w:val="84"/>
          <w:szCs w:val="84"/>
        </w:rPr>
        <w:t>年度</w:t>
      </w:r>
    </w:p>
    <w:p>
      <w:pPr>
        <w:pStyle w:val="10"/>
        <w:jc w:val="center"/>
        <w:rPr>
          <w:rFonts w:hint="eastAsia" w:ascii="方正小标宋_GBK" w:hAnsi="方正小标宋_GBK" w:eastAsia="方正小标宋_GBK" w:cs="方正小标宋_GBK"/>
          <w:sz w:val="84"/>
          <w:szCs w:val="84"/>
        </w:rPr>
      </w:pPr>
      <w:r>
        <w:rPr>
          <w:rFonts w:hint="eastAsia"/>
          <w:sz w:val="84"/>
          <w:szCs w:val="84"/>
        </w:rPr>
        <w:t>中国烟草总公司湘潭中等专业学校</w:t>
      </w:r>
      <w:r>
        <w:rPr>
          <w:rFonts w:hint="eastAsia" w:ascii="方正小标宋_GBK" w:hAnsi="方正小标宋_GBK" w:eastAsia="方正小标宋_GBK" w:cs="方正小标宋_GBK"/>
          <w:sz w:val="84"/>
          <w:szCs w:val="84"/>
        </w:rPr>
        <w:t>部门决算</w:t>
      </w:r>
    </w:p>
    <w:p>
      <w:pPr>
        <w:pStyle w:val="10"/>
        <w:jc w:val="center"/>
        <w:rPr>
          <w:rFonts w:hint="eastAsia" w:ascii="方正小标宋_GBK" w:hAnsi="方正小标宋_GBK" w:eastAsia="方正小标宋_GBK" w:cs="方正小标宋_GBK"/>
          <w:sz w:val="56"/>
          <w:szCs w:val="56"/>
        </w:rPr>
      </w:pP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00" w:lineRule="exact"/>
        <w:jc w:val="center"/>
        <w:rPr>
          <w:rFonts w:hint="eastAsia"/>
          <w:b/>
          <w:sz w:val="36"/>
          <w:szCs w:val="28"/>
        </w:rPr>
      </w:pPr>
    </w:p>
    <w:p>
      <w:pPr>
        <w:pStyle w:val="10"/>
        <w:spacing w:line="500" w:lineRule="exact"/>
        <w:jc w:val="center"/>
        <w:rPr>
          <w:b/>
          <w:sz w:val="36"/>
          <w:szCs w:val="28"/>
        </w:rPr>
      </w:pPr>
      <w:r>
        <w:rPr>
          <w:rFonts w:hint="eastAsia"/>
          <w:b/>
          <w:sz w:val="36"/>
          <w:szCs w:val="28"/>
        </w:rPr>
        <w:t>目录</w:t>
      </w:r>
    </w:p>
    <w:p>
      <w:pPr>
        <w:pStyle w:val="10"/>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中国烟草总公司湘潭中等专业学校概况</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0"/>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0"/>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十三、关于预算绩效情况的说明</w:t>
      </w:r>
    </w:p>
    <w:p>
      <w:pPr>
        <w:pStyle w:val="10"/>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0"/>
        <w:jc w:val="center"/>
        <w:rPr>
          <w:rFonts w:hint="eastAsia" w:ascii="方正小标宋_GBK" w:hAnsi="方正小标宋_GBK" w:eastAsia="方正小标宋_GBK" w:cs="方正小标宋_GBK"/>
          <w:sz w:val="84"/>
          <w:szCs w:val="84"/>
        </w:rPr>
      </w:pPr>
    </w:p>
    <w:p>
      <w:pPr>
        <w:pStyle w:val="10"/>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中国烟草总公司湘潭中等专业学校概况</w:t>
      </w:r>
    </w:p>
    <w:p>
      <w:pPr>
        <w:jc w:val="center"/>
        <w:rPr>
          <w:rFonts w:hint="eastAsia" w:ascii="方正小标宋_GBK" w:hAnsi="方正小标宋_GBK" w:eastAsia="方正小标宋_GBK" w:cs="方正小标宋_GBK"/>
          <w:sz w:val="72"/>
          <w:szCs w:val="72"/>
        </w:rPr>
      </w:pPr>
    </w:p>
    <w:p>
      <w:pPr>
        <w:jc w:val="both"/>
        <w:rPr>
          <w:sz w:val="72"/>
          <w:szCs w:val="72"/>
        </w:rPr>
      </w:pPr>
    </w:p>
    <w:p>
      <w:pPr>
        <w:jc w:val="center"/>
        <w:rPr>
          <w:sz w:val="72"/>
          <w:szCs w:val="72"/>
        </w:rPr>
      </w:pPr>
    </w:p>
    <w:p>
      <w:pPr>
        <w:pStyle w:val="11"/>
        <w:numPr>
          <w:ilvl w:val="0"/>
          <w:numId w:val="0"/>
        </w:numPr>
        <w:ind w:leftChars="0"/>
        <w:jc w:val="left"/>
        <w:rPr>
          <w:rFonts w:hint="eastAsia" w:ascii="黑体" w:hAnsi="黑体" w:eastAsia="黑体" w:cs="黑体"/>
          <w:b w:val="0"/>
          <w:bCs w:val="0"/>
          <w:sz w:val="32"/>
          <w:szCs w:val="32"/>
        </w:rPr>
      </w:pPr>
    </w:p>
    <w:p>
      <w:pPr>
        <w:pStyle w:val="11"/>
        <w:numPr>
          <w:ilvl w:val="0"/>
          <w:numId w:val="0"/>
        </w:numPr>
        <w:ind w:leftChars="0"/>
        <w:jc w:val="left"/>
        <w:rPr>
          <w:rFonts w:hint="eastAsia" w:ascii="黑体" w:hAnsi="黑体" w:eastAsia="黑体" w:cs="黑体"/>
          <w:b w:val="0"/>
          <w:bCs w:val="0"/>
          <w:sz w:val="32"/>
          <w:szCs w:val="32"/>
        </w:rPr>
      </w:pPr>
    </w:p>
    <w:p>
      <w:pPr>
        <w:pStyle w:val="11"/>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中国烟草总公司湘潭烟草中等专业学校与湖南省烟草职工培训中心实行两块牌子、一套人马的管理体制。本单位承担着烟草行业专业培训、特有工种职业技能鉴定前培训、职业技能竞赛和职业技术继续教育等职能，是湖南烟草商业系统人才教育培训的重要基地。2019年9月挂牌成立中共湖南省烟草专卖局党校。2021年6月挂牌成立中共湖南中烟工业责任公司党校。</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（一）内设机构设置。中国烟草总公司湘潭中等专业学校设有7个内设机构，包括：党校培训部、业务培训部、</w:t>
      </w:r>
      <w:r>
        <w:rPr>
          <w:rFonts w:hint="eastAsia" w:ascii="Times New Roman" w:hAnsi="Times New Roman" w:eastAsia="仿宋_GB2312" w:cs="仿宋_GB2312"/>
          <w:bCs/>
          <w:kern w:val="0"/>
          <w:sz w:val="32"/>
          <w:szCs w:val="32"/>
          <w:lang w:val="en-US" w:eastAsia="zh-CN"/>
        </w:rPr>
        <w:t>安全管理</w:t>
      </w:r>
      <w:r>
        <w:rPr>
          <w:rFonts w:hint="eastAsia" w:ascii="Times New Roman" w:hAnsi="Times New Roman" w:eastAsia="仿宋_GB2312" w:cs="仿宋_GB2312"/>
          <w:bCs/>
          <w:kern w:val="0"/>
          <w:sz w:val="32"/>
          <w:szCs w:val="32"/>
        </w:rPr>
        <w:t>部、办公室、党群工作部、监察审计部、财务部。</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（二）决算单位构成。中国烟草总公司湘潭中等专业学校202</w:t>
      </w:r>
      <w:r>
        <w:rPr>
          <w:rFonts w:hint="eastAsia" w:ascii="Times New Roman" w:hAnsi="Times New Roman" w:eastAsia="仿宋_GB2312" w:cs="仿宋_GB2312"/>
          <w:bCs/>
          <w:kern w:val="0"/>
          <w:sz w:val="32"/>
          <w:szCs w:val="32"/>
          <w:lang w:val="en-US" w:eastAsia="zh-CN"/>
        </w:rPr>
        <w:t>2</w:t>
      </w:r>
      <w:r>
        <w:rPr>
          <w:rFonts w:hint="eastAsia" w:ascii="Times New Roman" w:hAnsi="Times New Roman" w:eastAsia="仿宋_GB2312" w:cs="仿宋_GB2312"/>
          <w:bCs/>
          <w:kern w:val="0"/>
          <w:sz w:val="32"/>
          <w:szCs w:val="32"/>
        </w:rPr>
        <w:t>年部门决算汇总公开单位构成只有中国烟草总公司湘潭中等专业学校本级。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jc w:val="center"/>
        <w:rPr>
          <w:rFonts w:hint="eastAsia" w:ascii="方正小标宋_GBK" w:hAnsi="方正小标宋_GBK" w:eastAsia="方正小标宋_GBK" w:cs="方正小标宋_GBK"/>
          <w:sz w:val="84"/>
          <w:szCs w:val="84"/>
        </w:rPr>
      </w:pPr>
    </w:p>
    <w:p>
      <w:pPr>
        <w:pStyle w:val="10"/>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0"/>
        <w:jc w:val="center"/>
        <w:rPr>
          <w:rFonts w:hint="eastAsia" w:ascii="方正小标宋_GBK" w:hAnsi="方正小标宋_GBK" w:eastAsia="方正小标宋_GBK" w:cs="方正小标宋_GBK"/>
          <w:sz w:val="84"/>
          <w:szCs w:val="84"/>
        </w:rPr>
      </w:pPr>
    </w:p>
    <w:p>
      <w:pPr>
        <w:pStyle w:val="10"/>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5"/>
        <w:tblW w:w="15428" w:type="dxa"/>
        <w:tblInd w:w="0" w:type="dxa"/>
        <w:tblLayout w:type="fixed"/>
        <w:tblCellMar>
          <w:top w:w="0" w:type="dxa"/>
          <w:left w:w="0" w:type="dxa"/>
          <w:bottom w:w="0" w:type="dxa"/>
          <w:right w:w="0" w:type="dxa"/>
        </w:tblCellMar>
      </w:tblPr>
      <w:tblGrid>
        <w:gridCol w:w="265"/>
        <w:gridCol w:w="797"/>
        <w:gridCol w:w="1350"/>
        <w:gridCol w:w="1920"/>
        <w:gridCol w:w="1815"/>
        <w:gridCol w:w="1740"/>
        <w:gridCol w:w="1740"/>
        <w:gridCol w:w="1875"/>
        <w:gridCol w:w="1995"/>
        <w:gridCol w:w="1931"/>
      </w:tblGrid>
      <w:tr>
        <w:tblPrEx>
          <w:tblCellMar>
            <w:top w:w="0" w:type="dxa"/>
            <w:left w:w="0" w:type="dxa"/>
            <w:bottom w:w="0" w:type="dxa"/>
            <w:right w:w="0" w:type="dxa"/>
          </w:tblCellMar>
        </w:tblPrEx>
        <w:trPr>
          <w:trHeight w:val="435" w:hRule="atLeast"/>
        </w:trPr>
        <w:tc>
          <w:tcPr>
            <w:tcW w:w="15428" w:type="dxa"/>
            <w:gridSpan w:val="10"/>
            <w:tcBorders>
              <w:top w:val="nil"/>
              <w:left w:val="nil"/>
              <w:bottom w:val="nil"/>
              <w:right w:val="nil"/>
            </w:tcBorders>
            <w:shd w:val="clear" w:color="auto" w:fill="auto"/>
            <w:noWrap/>
            <w:tcMar>
              <w:top w:w="15" w:type="dxa"/>
              <w:left w:w="15" w:type="dxa"/>
              <w:bottom w:w="0" w:type="dxa"/>
              <w:right w:w="15" w:type="dxa"/>
            </w:tcMar>
            <w:vAlign w:val="center"/>
          </w:tcPr>
          <w:tbl>
            <w:tblPr>
              <w:tblStyle w:val="5"/>
              <w:tblW w:w="15398" w:type="dxa"/>
              <w:tblInd w:w="-2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496"/>
              <w:gridCol w:w="593"/>
              <w:gridCol w:w="2580"/>
              <w:gridCol w:w="3705"/>
              <w:gridCol w:w="525"/>
              <w:gridCol w:w="1021"/>
              <w:gridCol w:w="1784"/>
              <w:gridCol w:w="6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 w:hRule="atLeast"/>
              </w:trPr>
              <w:tc>
                <w:tcPr>
                  <w:tcW w:w="4496" w:type="dxa"/>
                  <w:tcBorders>
                    <w:top w:val="nil"/>
                    <w:left w:val="nil"/>
                    <w:bottom w:val="nil"/>
                    <w:right w:val="nil"/>
                  </w:tcBorders>
                  <w:shd w:val="clear" w:color="auto" w:fill="auto"/>
                  <w:noWrap/>
                  <w:vAlign w:val="center"/>
                </w:tcPr>
                <w:p>
                  <w:pPr>
                    <w:jc w:val="left"/>
                    <w:rPr>
                      <w:rFonts w:hint="eastAsia" w:ascii="黑体" w:hAnsi="宋体" w:eastAsia="黑体" w:cs="黑体"/>
                      <w:i w:val="0"/>
                      <w:color w:val="000000"/>
                      <w:sz w:val="24"/>
                      <w:szCs w:val="24"/>
                      <w:u w:val="none"/>
                    </w:rPr>
                  </w:pPr>
                </w:p>
              </w:tc>
              <w:tc>
                <w:tcPr>
                  <w:tcW w:w="593"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2580"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3705"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1546" w:type="dxa"/>
                  <w:gridSpan w:val="2"/>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2478" w:type="dxa"/>
                  <w:gridSpan w:val="2"/>
                  <w:tcBorders>
                    <w:top w:val="nil"/>
                    <w:left w:val="nil"/>
                    <w:bottom w:val="nil"/>
                    <w:right w:val="nil"/>
                  </w:tcBorders>
                  <w:shd w:val="clear" w:color="auto" w:fill="auto"/>
                  <w:noWrap/>
                  <w:vAlign w:val="center"/>
                </w:tcPr>
                <w:p>
                  <w:pPr>
                    <w:jc w:val="right"/>
                    <w:rPr>
                      <w:rFonts w:hint="eastAsia" w:ascii="黑体" w:hAnsi="宋体" w:eastAsia="黑体" w:cs="黑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trPr>
              <w:tc>
                <w:tcPr>
                  <w:tcW w:w="15398"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 w:hRule="atLeast"/>
              </w:trPr>
              <w:tc>
                <w:tcPr>
                  <w:tcW w:w="4496"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593"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2580"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3705"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1546" w:type="dxa"/>
                  <w:gridSpan w:val="2"/>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2478"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4496" w:type="dxa"/>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rPr>
                    <w:t>部门：中国烟草总公司湘潭中等专业学校</w:t>
                  </w:r>
                </w:p>
              </w:tc>
              <w:tc>
                <w:tcPr>
                  <w:tcW w:w="593"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2580"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3705"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1546" w:type="dxa"/>
                  <w:gridSpan w:val="2"/>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2478"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94" w:type="dxa"/>
                <w:trHeight w:val="448" w:hRule="atLeast"/>
              </w:trPr>
              <w:tc>
                <w:tcPr>
                  <w:tcW w:w="7669"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收入</w:t>
                  </w:r>
                </w:p>
              </w:tc>
              <w:tc>
                <w:tcPr>
                  <w:tcW w:w="7035"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94" w:type="dxa"/>
                <w:trHeight w:val="628" w:hRule="atLeast"/>
              </w:trPr>
              <w:tc>
                <w:tcPr>
                  <w:tcW w:w="4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    目</w:t>
                  </w:r>
                </w:p>
              </w:tc>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行次</w:t>
                  </w:r>
                </w:p>
              </w:tc>
              <w:tc>
                <w:tcPr>
                  <w:tcW w:w="25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决算数</w:t>
                  </w:r>
                </w:p>
              </w:tc>
              <w:tc>
                <w:tcPr>
                  <w:tcW w:w="3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    目</w:t>
                  </w:r>
                </w:p>
              </w:tc>
              <w:tc>
                <w:tcPr>
                  <w:tcW w:w="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行次</w:t>
                  </w:r>
                </w:p>
              </w:tc>
              <w:tc>
                <w:tcPr>
                  <w:tcW w:w="280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94" w:type="dxa"/>
                <w:trHeight w:val="448" w:hRule="atLeast"/>
              </w:trPr>
              <w:tc>
                <w:tcPr>
                  <w:tcW w:w="4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    次</w:t>
                  </w:r>
                </w:p>
              </w:tc>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4"/>
                      <w:szCs w:val="24"/>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w:t>
                  </w:r>
                </w:p>
              </w:tc>
              <w:tc>
                <w:tcPr>
                  <w:tcW w:w="3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    次</w:t>
                  </w:r>
                </w:p>
              </w:tc>
              <w:tc>
                <w:tcPr>
                  <w:tcW w:w="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4"/>
                      <w:szCs w:val="24"/>
                      <w:u w:val="none"/>
                    </w:rPr>
                  </w:pPr>
                </w:p>
              </w:tc>
              <w:tc>
                <w:tcPr>
                  <w:tcW w:w="280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94" w:type="dxa"/>
                <w:trHeight w:val="448" w:hRule="atLeast"/>
              </w:trPr>
              <w:tc>
                <w:tcPr>
                  <w:tcW w:w="4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一、一般公共预算财政拨款收入</w:t>
                  </w:r>
                </w:p>
              </w:tc>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2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566.46</w:t>
                  </w:r>
                </w:p>
              </w:tc>
              <w:tc>
                <w:tcPr>
                  <w:tcW w:w="3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一、一般公共服务支出</w:t>
                  </w:r>
                </w:p>
              </w:tc>
              <w:tc>
                <w:tcPr>
                  <w:tcW w:w="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14</w:t>
                  </w:r>
                </w:p>
              </w:tc>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94" w:type="dxa"/>
                <w:trHeight w:val="448" w:hRule="atLeast"/>
              </w:trPr>
              <w:tc>
                <w:tcPr>
                  <w:tcW w:w="4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二、政府性基金预算财政拨款收入</w:t>
                  </w:r>
                </w:p>
              </w:tc>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c>
                <w:tcPr>
                  <w:tcW w:w="2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二、外交支出</w:t>
                  </w:r>
                </w:p>
              </w:tc>
              <w:tc>
                <w:tcPr>
                  <w:tcW w:w="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15</w:t>
                  </w:r>
                </w:p>
              </w:tc>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94" w:type="dxa"/>
                <w:trHeight w:val="448" w:hRule="atLeast"/>
              </w:trPr>
              <w:tc>
                <w:tcPr>
                  <w:tcW w:w="4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三、国有资本经营预算财政拨款收入</w:t>
                  </w:r>
                </w:p>
              </w:tc>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w:t>
                  </w:r>
                </w:p>
              </w:tc>
              <w:tc>
                <w:tcPr>
                  <w:tcW w:w="2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三、国防支出</w:t>
                  </w:r>
                </w:p>
              </w:tc>
              <w:tc>
                <w:tcPr>
                  <w:tcW w:w="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16</w:t>
                  </w:r>
                </w:p>
              </w:tc>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94" w:type="dxa"/>
                <w:trHeight w:val="448" w:hRule="atLeast"/>
              </w:trPr>
              <w:tc>
                <w:tcPr>
                  <w:tcW w:w="4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四、上级补助收入</w:t>
                  </w:r>
                </w:p>
              </w:tc>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w:t>
                  </w:r>
                </w:p>
              </w:tc>
              <w:tc>
                <w:tcPr>
                  <w:tcW w:w="2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四、公共安全支出</w:t>
                  </w:r>
                </w:p>
              </w:tc>
              <w:tc>
                <w:tcPr>
                  <w:tcW w:w="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17</w:t>
                  </w:r>
                </w:p>
              </w:tc>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94" w:type="dxa"/>
                <w:trHeight w:val="448" w:hRule="atLeast"/>
              </w:trPr>
              <w:tc>
                <w:tcPr>
                  <w:tcW w:w="4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五、事业收入</w:t>
                  </w:r>
                </w:p>
              </w:tc>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w:t>
                  </w:r>
                </w:p>
              </w:tc>
              <w:tc>
                <w:tcPr>
                  <w:tcW w:w="2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五、教育支出</w:t>
                  </w:r>
                </w:p>
              </w:tc>
              <w:tc>
                <w:tcPr>
                  <w:tcW w:w="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18</w:t>
                  </w:r>
                </w:p>
              </w:tc>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6,281.03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94" w:type="dxa"/>
                <w:trHeight w:val="448" w:hRule="atLeast"/>
              </w:trPr>
              <w:tc>
                <w:tcPr>
                  <w:tcW w:w="4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六、经营收入</w:t>
                  </w:r>
                </w:p>
              </w:tc>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w:t>
                  </w:r>
                </w:p>
              </w:tc>
              <w:tc>
                <w:tcPr>
                  <w:tcW w:w="2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5,719.86</w:t>
                  </w:r>
                </w:p>
              </w:tc>
              <w:tc>
                <w:tcPr>
                  <w:tcW w:w="3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六、科学技术支出</w:t>
                  </w:r>
                </w:p>
              </w:tc>
              <w:tc>
                <w:tcPr>
                  <w:tcW w:w="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19</w:t>
                  </w:r>
                </w:p>
              </w:tc>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94" w:type="dxa"/>
                <w:trHeight w:val="448" w:hRule="atLeast"/>
              </w:trPr>
              <w:tc>
                <w:tcPr>
                  <w:tcW w:w="4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七、附属单位上缴收入</w:t>
                  </w:r>
                </w:p>
              </w:tc>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w:t>
                  </w:r>
                </w:p>
              </w:tc>
              <w:tc>
                <w:tcPr>
                  <w:tcW w:w="2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w:t>
                  </w:r>
                </w:p>
              </w:tc>
              <w:tc>
                <w:tcPr>
                  <w:tcW w:w="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w:t>
                  </w:r>
                </w:p>
              </w:tc>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94" w:type="dxa"/>
                <w:trHeight w:val="448" w:hRule="atLeast"/>
              </w:trPr>
              <w:tc>
                <w:tcPr>
                  <w:tcW w:w="4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八、其他收入</w:t>
                  </w:r>
                </w:p>
              </w:tc>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w:t>
                  </w:r>
                </w:p>
              </w:tc>
              <w:tc>
                <w:tcPr>
                  <w:tcW w:w="2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2"/>
                      <w:szCs w:val="22"/>
                      <w:u w:val="none"/>
                    </w:rPr>
                  </w:pPr>
                </w:p>
              </w:tc>
              <w:tc>
                <w:tcPr>
                  <w:tcW w:w="3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21</w:t>
                  </w:r>
                </w:p>
              </w:tc>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94" w:type="dxa"/>
                <w:trHeight w:val="448" w:hRule="atLeast"/>
              </w:trPr>
              <w:tc>
                <w:tcPr>
                  <w:tcW w:w="4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9</w:t>
                  </w:r>
                </w:p>
              </w:tc>
              <w:tc>
                <w:tcPr>
                  <w:tcW w:w="2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22</w:t>
                  </w:r>
                </w:p>
              </w:tc>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94" w:type="dxa"/>
                <w:trHeight w:val="448" w:hRule="atLeast"/>
              </w:trPr>
              <w:tc>
                <w:tcPr>
                  <w:tcW w:w="4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本年收入合计</w:t>
                  </w:r>
                </w:p>
              </w:tc>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10</w:t>
                  </w:r>
                </w:p>
              </w:tc>
              <w:tc>
                <w:tcPr>
                  <w:tcW w:w="2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b/>
                      <w:bCs/>
                      <w:i w:val="0"/>
                      <w:color w:val="000000"/>
                      <w:sz w:val="22"/>
                      <w:szCs w:val="22"/>
                      <w:u w:val="none"/>
                      <w:lang w:val="en-US" w:eastAsia="zh-CN"/>
                    </w:rPr>
                    <w:t>6,286.32</w:t>
                  </w:r>
                </w:p>
              </w:tc>
              <w:tc>
                <w:tcPr>
                  <w:tcW w:w="3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本年支出合计</w:t>
                  </w:r>
                </w:p>
              </w:tc>
              <w:tc>
                <w:tcPr>
                  <w:tcW w:w="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23</w:t>
                  </w:r>
                </w:p>
              </w:tc>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b/>
                      <w:bCs/>
                      <w:i w:val="0"/>
                      <w:color w:val="000000"/>
                      <w:sz w:val="22"/>
                      <w:szCs w:val="22"/>
                      <w:u w:val="none"/>
                      <w:lang w:val="en-US" w:eastAsia="zh-CN"/>
                    </w:rPr>
                    <w:t>6,281.03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94" w:type="dxa"/>
                <w:trHeight w:val="448" w:hRule="atLeast"/>
              </w:trPr>
              <w:tc>
                <w:tcPr>
                  <w:tcW w:w="4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使用非财政拨款结余</w:t>
                  </w:r>
                </w:p>
              </w:tc>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11</w:t>
                  </w:r>
                </w:p>
              </w:tc>
              <w:tc>
                <w:tcPr>
                  <w:tcW w:w="2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结余分配</w:t>
                  </w:r>
                </w:p>
              </w:tc>
              <w:tc>
                <w:tcPr>
                  <w:tcW w:w="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24</w:t>
                  </w:r>
                </w:p>
              </w:tc>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94" w:type="dxa"/>
                <w:trHeight w:val="628" w:hRule="atLeast"/>
              </w:trPr>
              <w:tc>
                <w:tcPr>
                  <w:tcW w:w="4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年初结转和结余</w:t>
                  </w:r>
                </w:p>
              </w:tc>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12</w:t>
                  </w:r>
                </w:p>
              </w:tc>
              <w:tc>
                <w:tcPr>
                  <w:tcW w:w="2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-1,282.01</w:t>
                  </w:r>
                </w:p>
              </w:tc>
              <w:tc>
                <w:tcPr>
                  <w:tcW w:w="3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年末结转和结余</w:t>
                  </w:r>
                </w:p>
              </w:tc>
              <w:tc>
                <w:tcPr>
                  <w:tcW w:w="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w:t>
                  </w:r>
                </w:p>
              </w:tc>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-1,276.72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94" w:type="dxa"/>
                <w:trHeight w:val="448" w:hRule="atLeast"/>
              </w:trPr>
              <w:tc>
                <w:tcPr>
                  <w:tcW w:w="4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总计</w:t>
                  </w:r>
                </w:p>
              </w:tc>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13</w:t>
                  </w:r>
                </w:p>
              </w:tc>
              <w:tc>
                <w:tcPr>
                  <w:tcW w:w="2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b/>
                      <w:bCs/>
                      <w:i w:val="0"/>
                      <w:color w:val="000000"/>
                      <w:sz w:val="22"/>
                      <w:szCs w:val="22"/>
                      <w:u w:val="none"/>
                      <w:lang w:val="en-US" w:eastAsia="zh-CN"/>
                    </w:rPr>
                    <w:t>5,004.31</w:t>
                  </w:r>
                </w:p>
              </w:tc>
              <w:tc>
                <w:tcPr>
                  <w:tcW w:w="3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总计</w:t>
                  </w:r>
                </w:p>
              </w:tc>
              <w:tc>
                <w:tcPr>
                  <w:tcW w:w="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26</w:t>
                  </w:r>
                </w:p>
              </w:tc>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b/>
                      <w:bCs/>
                      <w:i w:val="0"/>
                      <w:color w:val="000000"/>
                      <w:sz w:val="22"/>
                      <w:szCs w:val="22"/>
                      <w:u w:val="none"/>
                      <w:lang w:val="en-US" w:eastAsia="zh-CN"/>
                    </w:rPr>
                    <w:t>5,004.31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5" w:hRule="atLeast"/>
              </w:trPr>
              <w:tc>
                <w:tcPr>
                  <w:tcW w:w="15398" w:type="dxa"/>
                  <w:gridSpan w:val="8"/>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注：1.本表反映部门本年度的总收支和年末结转结余情况。</w:t>
                  </w:r>
                  <w:r>
                    <w:rPr>
                      <w:rFonts w:hint="eastAsia" w:ascii="宋体" w:hAnsi="宋体" w:eastAsia="宋体" w:cs="宋体"/>
                      <w:i w:val="0"/>
                      <w:color w:val="000000"/>
                      <w:kern w:val="0"/>
                      <w:sz w:val="24"/>
                      <w:szCs w:val="24"/>
                      <w:u w:val="none"/>
                      <w:lang w:val="en-US" w:eastAsia="zh-CN"/>
                    </w:rPr>
                    <w:br w:type="textWrapping"/>
                  </w:r>
                  <w:r>
                    <w:rPr>
                      <w:rFonts w:hint="eastAsia" w:ascii="宋体" w:hAnsi="宋体" w:eastAsia="宋体" w:cs="宋体"/>
                      <w:i w:val="0"/>
                      <w:color w:val="000000"/>
                      <w:kern w:val="0"/>
                      <w:sz w:val="24"/>
                      <w:szCs w:val="24"/>
                      <w:u w:val="none"/>
                      <w:lang w:val="en-US" w:eastAsia="zh-CN"/>
                    </w:rPr>
                    <w:br w:type="textWrapping"/>
                  </w:r>
                  <w:r>
                    <w:rPr>
                      <w:rFonts w:hint="eastAsia" w:ascii="宋体" w:hAnsi="宋体" w:eastAsia="宋体" w:cs="宋体"/>
                      <w:i w:val="0"/>
                      <w:color w:val="000000"/>
                      <w:kern w:val="0"/>
                      <w:sz w:val="24"/>
                      <w:szCs w:val="24"/>
                      <w:u w:val="none"/>
                      <w:lang w:val="en-US" w:eastAsia="zh-CN"/>
                    </w:rPr>
                    <w:t xml:space="preserve">    2.本套报表金额单位转换时可能存在尾数误差。</w:t>
                  </w:r>
                </w:p>
              </w:tc>
            </w:tr>
          </w:tbl>
          <w:p>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tblPrEx>
          <w:tblCellMar>
            <w:top w:w="0" w:type="dxa"/>
            <w:left w:w="0" w:type="dxa"/>
            <w:bottom w:w="0" w:type="dxa"/>
            <w:right w:w="0" w:type="dxa"/>
          </w:tblCellMar>
        </w:tblPrEx>
        <w:trPr>
          <w:trHeight w:val="285" w:hRule="atLeast"/>
        </w:trPr>
        <w:tc>
          <w:tcPr>
            <w:tcW w:w="26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797"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5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2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1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4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4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7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9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3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公开02表</w:t>
            </w:r>
          </w:p>
        </w:tc>
      </w:tr>
      <w:tr>
        <w:tblPrEx>
          <w:tblCellMar>
            <w:top w:w="0" w:type="dxa"/>
            <w:left w:w="0" w:type="dxa"/>
            <w:bottom w:w="0" w:type="dxa"/>
            <w:right w:w="0" w:type="dxa"/>
          </w:tblCellMar>
        </w:tblPrEx>
        <w:trPr>
          <w:trHeight w:val="339" w:hRule="atLeast"/>
        </w:trPr>
        <w:tc>
          <w:tcPr>
            <w:tcW w:w="1062"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color w:val="000000"/>
                <w:sz w:val="20"/>
                <w:szCs w:val="20"/>
              </w:rPr>
            </w:pPr>
            <w:r>
              <w:rPr>
                <w:rFonts w:hint="eastAsia"/>
                <w:color w:val="000000"/>
                <w:sz w:val="20"/>
                <w:szCs w:val="20"/>
              </w:rPr>
              <w:t>部门：</w:t>
            </w:r>
          </w:p>
        </w:tc>
        <w:tc>
          <w:tcPr>
            <w:tcW w:w="5085"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jc w:val="both"/>
              <w:rPr>
                <w:rFonts w:hint="default" w:ascii="宋体" w:hAnsi="宋体" w:eastAsia="宋体" w:cs="宋体"/>
                <w:sz w:val="24"/>
                <w:szCs w:val="24"/>
                <w:lang w:val="en-US"/>
              </w:rPr>
            </w:pPr>
            <w:r>
              <w:rPr>
                <w:rFonts w:hint="eastAsia"/>
                <w:lang w:val="en-US" w:eastAsia="zh-CN"/>
              </w:rPr>
              <w:t>中国烟草总司湘潭中等专业学校</w:t>
            </w:r>
          </w:p>
        </w:tc>
        <w:tc>
          <w:tcPr>
            <w:tcW w:w="1740"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174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7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9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3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单位：万元</w:t>
            </w:r>
          </w:p>
        </w:tc>
      </w:tr>
      <w:tr>
        <w:tblPrEx>
          <w:tblCellMar>
            <w:top w:w="0" w:type="dxa"/>
            <w:left w:w="0" w:type="dxa"/>
            <w:bottom w:w="0" w:type="dxa"/>
            <w:right w:w="0" w:type="dxa"/>
          </w:tblCellMar>
        </w:tblPrEx>
        <w:trPr>
          <w:trHeight w:val="450" w:hRule="atLeast"/>
        </w:trPr>
        <w:tc>
          <w:tcPr>
            <w:tcW w:w="2412"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项    目</w:t>
            </w:r>
          </w:p>
        </w:tc>
        <w:tc>
          <w:tcPr>
            <w:tcW w:w="192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本年收入合计</w:t>
            </w:r>
          </w:p>
        </w:tc>
        <w:tc>
          <w:tcPr>
            <w:tcW w:w="181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财政拨款收入</w:t>
            </w:r>
          </w:p>
        </w:tc>
        <w:tc>
          <w:tcPr>
            <w:tcW w:w="17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上级补助收入</w:t>
            </w:r>
          </w:p>
        </w:tc>
        <w:tc>
          <w:tcPr>
            <w:tcW w:w="17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事业收入</w:t>
            </w:r>
          </w:p>
        </w:tc>
        <w:tc>
          <w:tcPr>
            <w:tcW w:w="187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经营收入</w:t>
            </w:r>
          </w:p>
        </w:tc>
        <w:tc>
          <w:tcPr>
            <w:tcW w:w="199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附属单位上缴收入</w:t>
            </w:r>
          </w:p>
        </w:tc>
        <w:tc>
          <w:tcPr>
            <w:tcW w:w="1931"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其他收入</w:t>
            </w:r>
          </w:p>
        </w:tc>
      </w:tr>
      <w:tr>
        <w:tblPrEx>
          <w:tblCellMar>
            <w:top w:w="0" w:type="dxa"/>
            <w:left w:w="0" w:type="dxa"/>
            <w:bottom w:w="0" w:type="dxa"/>
            <w:right w:w="0" w:type="dxa"/>
          </w:tblCellMar>
        </w:tblPrEx>
        <w:trPr>
          <w:trHeight w:val="450" w:hRule="atLeast"/>
        </w:trPr>
        <w:tc>
          <w:tcPr>
            <w:tcW w:w="1062"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功能分类科目编码</w:t>
            </w:r>
          </w:p>
        </w:tc>
        <w:tc>
          <w:tcPr>
            <w:tcW w:w="1350"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科目名称</w:t>
            </w:r>
          </w:p>
        </w:tc>
        <w:tc>
          <w:tcPr>
            <w:tcW w:w="192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1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74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74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7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99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93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450" w:hRule="atLeast"/>
        </w:trPr>
        <w:tc>
          <w:tcPr>
            <w:tcW w:w="1062"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5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92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1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74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74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7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99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93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450" w:hRule="atLeast"/>
        </w:trPr>
        <w:tc>
          <w:tcPr>
            <w:tcW w:w="241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栏次</w:t>
            </w:r>
          </w:p>
        </w:tc>
        <w:tc>
          <w:tcPr>
            <w:tcW w:w="192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1</w:t>
            </w:r>
          </w:p>
        </w:tc>
        <w:tc>
          <w:tcPr>
            <w:tcW w:w="181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2</w:t>
            </w:r>
          </w:p>
        </w:tc>
        <w:tc>
          <w:tcPr>
            <w:tcW w:w="17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3</w:t>
            </w:r>
          </w:p>
        </w:tc>
        <w:tc>
          <w:tcPr>
            <w:tcW w:w="17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4</w:t>
            </w:r>
          </w:p>
        </w:tc>
        <w:tc>
          <w:tcPr>
            <w:tcW w:w="187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5</w:t>
            </w:r>
          </w:p>
        </w:tc>
        <w:tc>
          <w:tcPr>
            <w:tcW w:w="199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6</w:t>
            </w:r>
          </w:p>
        </w:tc>
        <w:tc>
          <w:tcPr>
            <w:tcW w:w="193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7</w:t>
            </w:r>
          </w:p>
        </w:tc>
      </w:tr>
      <w:tr>
        <w:tblPrEx>
          <w:tblCellMar>
            <w:top w:w="0" w:type="dxa"/>
            <w:left w:w="0" w:type="dxa"/>
            <w:bottom w:w="0" w:type="dxa"/>
            <w:right w:w="0" w:type="dxa"/>
          </w:tblCellMar>
        </w:tblPrEx>
        <w:trPr>
          <w:trHeight w:val="450" w:hRule="atLeast"/>
        </w:trPr>
        <w:tc>
          <w:tcPr>
            <w:tcW w:w="241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合计</w:t>
            </w:r>
          </w:p>
        </w:tc>
        <w:tc>
          <w:tcPr>
            <w:tcW w:w="19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6,286.32</w:t>
            </w:r>
          </w:p>
        </w:tc>
        <w:tc>
          <w:tcPr>
            <w:tcW w:w="18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566.46</w:t>
            </w:r>
          </w:p>
        </w:tc>
        <w:tc>
          <w:tcPr>
            <w:tcW w:w="17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5,719.86</w:t>
            </w:r>
          </w:p>
        </w:tc>
        <w:tc>
          <w:tcPr>
            <w:tcW w:w="19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3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06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宋体" w:hAnsi="宋体" w:cs="宋体" w:eastAsiaTheme="minorEastAsia"/>
                <w:sz w:val="24"/>
                <w:szCs w:val="24"/>
                <w:lang w:val="en-US" w:eastAsia="zh-CN"/>
              </w:rPr>
            </w:pPr>
            <w:r>
              <w:rPr>
                <w:rFonts w:hint="eastAsia"/>
              </w:rPr>
              <w:t>　</w:t>
            </w:r>
            <w:r>
              <w:rPr>
                <w:rFonts w:hint="eastAsia"/>
                <w:lang w:val="en-US" w:eastAsia="zh-CN"/>
              </w:rPr>
              <w:t>205</w:t>
            </w:r>
          </w:p>
        </w:tc>
        <w:tc>
          <w:tcPr>
            <w:tcW w:w="13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教育支出</w:t>
            </w:r>
          </w:p>
        </w:tc>
        <w:tc>
          <w:tcPr>
            <w:tcW w:w="19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6,286.32</w:t>
            </w:r>
          </w:p>
        </w:tc>
        <w:tc>
          <w:tcPr>
            <w:tcW w:w="18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566.46</w:t>
            </w:r>
          </w:p>
        </w:tc>
        <w:tc>
          <w:tcPr>
            <w:tcW w:w="17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5,719.86</w:t>
            </w:r>
          </w:p>
        </w:tc>
        <w:tc>
          <w:tcPr>
            <w:tcW w:w="19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3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06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宋体" w:hAnsi="宋体" w:cs="宋体" w:eastAsiaTheme="minorEastAsia"/>
                <w:sz w:val="24"/>
                <w:szCs w:val="24"/>
                <w:lang w:val="en-US" w:eastAsia="zh-CN"/>
              </w:rPr>
            </w:pPr>
            <w:r>
              <w:rPr>
                <w:rFonts w:hint="eastAsia"/>
              </w:rPr>
              <w:t>　</w:t>
            </w:r>
            <w:r>
              <w:rPr>
                <w:rFonts w:hint="eastAsia"/>
                <w:lang w:val="en-US" w:eastAsia="zh-CN"/>
              </w:rPr>
              <w:t>20503</w:t>
            </w:r>
          </w:p>
        </w:tc>
        <w:tc>
          <w:tcPr>
            <w:tcW w:w="13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职业教育</w:t>
            </w:r>
          </w:p>
        </w:tc>
        <w:tc>
          <w:tcPr>
            <w:tcW w:w="19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6,286.32</w:t>
            </w:r>
          </w:p>
        </w:tc>
        <w:tc>
          <w:tcPr>
            <w:tcW w:w="18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566.46</w:t>
            </w:r>
          </w:p>
        </w:tc>
        <w:tc>
          <w:tcPr>
            <w:tcW w:w="17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5,719.86</w:t>
            </w:r>
          </w:p>
        </w:tc>
        <w:tc>
          <w:tcPr>
            <w:tcW w:w="19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3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06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ascii="宋体" w:hAnsi="宋体" w:cs="宋体" w:eastAsiaTheme="minorEastAsia"/>
                <w:sz w:val="24"/>
                <w:szCs w:val="24"/>
                <w:lang w:val="en-US" w:eastAsia="zh-CN"/>
              </w:rPr>
            </w:pPr>
            <w:r>
              <w:rPr>
                <w:rFonts w:hint="eastAsia"/>
              </w:rPr>
              <w:t>　</w:t>
            </w:r>
            <w:r>
              <w:rPr>
                <w:rFonts w:hint="eastAsia"/>
                <w:lang w:val="en-US" w:eastAsia="zh-CN"/>
              </w:rPr>
              <w:t>2050302</w:t>
            </w:r>
          </w:p>
        </w:tc>
        <w:tc>
          <w:tcPr>
            <w:tcW w:w="13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中等职业教育</w:t>
            </w:r>
          </w:p>
        </w:tc>
        <w:tc>
          <w:tcPr>
            <w:tcW w:w="19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6,286.32</w:t>
            </w:r>
          </w:p>
        </w:tc>
        <w:tc>
          <w:tcPr>
            <w:tcW w:w="18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566.46</w:t>
            </w:r>
          </w:p>
        </w:tc>
        <w:tc>
          <w:tcPr>
            <w:tcW w:w="17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5,719.86</w:t>
            </w:r>
          </w:p>
        </w:tc>
        <w:tc>
          <w:tcPr>
            <w:tcW w:w="19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3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06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13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19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3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06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13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19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3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06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13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19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3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615" w:hRule="atLeast"/>
        </w:trPr>
        <w:tc>
          <w:tcPr>
            <w:tcW w:w="15428" w:type="dxa"/>
            <w:gridSpan w:val="10"/>
            <w:tcBorders>
              <w:top w:val="nil"/>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sz w:val="24"/>
                <w:szCs w:val="24"/>
              </w:rPr>
            </w:pPr>
            <w:r>
              <w:rPr>
                <w:rFonts w:hint="eastAsia"/>
              </w:rPr>
              <w:t>注：本表反映部门本年度取得的各项收入情况。</w:t>
            </w:r>
          </w:p>
        </w:tc>
      </w:tr>
    </w:tbl>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br w:type="page"/>
      </w:r>
    </w:p>
    <w:p>
      <w:pPr>
        <w:widowControl/>
        <w:rPr>
          <w:rFonts w:ascii="Times New Roman" w:hAnsi="Times New Roman" w:eastAsia="方正小标宋_GBK" w:cs="Times New Roman"/>
          <w:color w:val="000000"/>
          <w:kern w:val="0"/>
          <w:sz w:val="36"/>
          <w:szCs w:val="36"/>
        </w:rPr>
      </w:pPr>
    </w:p>
    <w:tbl>
      <w:tblPr>
        <w:tblStyle w:val="5"/>
        <w:tblW w:w="15640" w:type="dxa"/>
        <w:tblInd w:w="93" w:type="dxa"/>
        <w:tblLayout w:type="fixed"/>
        <w:tblCellMar>
          <w:top w:w="0" w:type="dxa"/>
          <w:left w:w="108" w:type="dxa"/>
          <w:bottom w:w="0" w:type="dxa"/>
          <w:right w:w="108" w:type="dxa"/>
        </w:tblCellMar>
      </w:tblPr>
      <w:tblGrid>
        <w:gridCol w:w="1236"/>
        <w:gridCol w:w="240"/>
        <w:gridCol w:w="1641"/>
        <w:gridCol w:w="1815"/>
        <w:gridCol w:w="1991"/>
        <w:gridCol w:w="1991"/>
        <w:gridCol w:w="1991"/>
        <w:gridCol w:w="1991"/>
        <w:gridCol w:w="2744"/>
      </w:tblGrid>
      <w:tr>
        <w:tblPrEx>
          <w:tblCellMar>
            <w:top w:w="0" w:type="dxa"/>
            <w:left w:w="108" w:type="dxa"/>
            <w:bottom w:w="0" w:type="dxa"/>
            <w:right w:w="108" w:type="dxa"/>
          </w:tblCellMar>
        </w:tblPrEx>
        <w:trPr>
          <w:trHeight w:val="807" w:hRule="atLeast"/>
        </w:trPr>
        <w:tc>
          <w:tcPr>
            <w:tcW w:w="15640"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blPrEx>
          <w:tblCellMar>
            <w:top w:w="0" w:type="dxa"/>
            <w:left w:w="108" w:type="dxa"/>
            <w:bottom w:w="0" w:type="dxa"/>
            <w:right w:w="108" w:type="dxa"/>
          </w:tblCellMar>
        </w:tblPrEx>
        <w:trPr>
          <w:trHeight w:val="403" w:hRule="atLeast"/>
        </w:trPr>
        <w:tc>
          <w:tcPr>
            <w:tcW w:w="12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4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4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81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CellMar>
            <w:top w:w="0" w:type="dxa"/>
            <w:left w:w="108" w:type="dxa"/>
            <w:bottom w:w="0" w:type="dxa"/>
            <w:right w:w="108" w:type="dxa"/>
          </w:tblCellMar>
        </w:tblPrEx>
        <w:trPr>
          <w:trHeight w:val="403" w:hRule="atLeast"/>
        </w:trPr>
        <w:tc>
          <w:tcPr>
            <w:tcW w:w="1236"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3696" w:type="dxa"/>
            <w:gridSpan w:val="3"/>
            <w:tcBorders>
              <w:top w:val="nil"/>
              <w:left w:val="nil"/>
              <w:bottom w:val="nil"/>
              <w:right w:val="nil"/>
            </w:tcBorders>
            <w:shd w:val="clear" w:color="000000" w:fill="FFFFFF"/>
            <w:noWrap/>
            <w:vAlign w:val="center"/>
          </w:tcPr>
          <w:p>
            <w:pPr>
              <w:widowControl/>
              <w:jc w:val="left"/>
              <w:rPr>
                <w:rFonts w:ascii="宋体" w:hAnsi="宋体" w:eastAsia="宋体" w:cs="宋体"/>
                <w:kern w:val="0"/>
                <w:sz w:val="24"/>
                <w:szCs w:val="24"/>
              </w:rPr>
            </w:pPr>
            <w:r>
              <w:rPr>
                <w:rFonts w:hint="eastAsia"/>
                <w:lang w:val="en-US" w:eastAsia="zh-CN"/>
              </w:rPr>
              <w:t>中国烟草总司湘潭中等专业学校</w:t>
            </w: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595" w:hRule="atLeast"/>
        </w:trPr>
        <w:tc>
          <w:tcPr>
            <w:tcW w:w="3117"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81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199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199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99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199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274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r>
      <w:tr>
        <w:tblPrEx>
          <w:tblCellMar>
            <w:top w:w="0" w:type="dxa"/>
            <w:left w:w="108" w:type="dxa"/>
            <w:bottom w:w="0" w:type="dxa"/>
            <w:right w:w="108" w:type="dxa"/>
          </w:tblCellMar>
        </w:tblPrEx>
        <w:trPr>
          <w:trHeight w:val="595" w:hRule="atLeast"/>
        </w:trPr>
        <w:tc>
          <w:tcPr>
            <w:tcW w:w="1476"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1641"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7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95" w:hRule="atLeast"/>
        </w:trPr>
        <w:tc>
          <w:tcPr>
            <w:tcW w:w="147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4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7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95" w:hRule="atLeast"/>
        </w:trPr>
        <w:tc>
          <w:tcPr>
            <w:tcW w:w="3117"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181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99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99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99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99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274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r>
      <w:tr>
        <w:tblPrEx>
          <w:tblCellMar>
            <w:top w:w="0" w:type="dxa"/>
            <w:left w:w="108" w:type="dxa"/>
            <w:bottom w:w="0" w:type="dxa"/>
            <w:right w:w="108" w:type="dxa"/>
          </w:tblCellMar>
        </w:tblPrEx>
        <w:trPr>
          <w:trHeight w:val="595" w:hRule="atLeast"/>
        </w:trPr>
        <w:tc>
          <w:tcPr>
            <w:tcW w:w="3117"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8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6,281.03</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566.46</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5,714.57</w:t>
            </w:r>
          </w:p>
        </w:tc>
        <w:tc>
          <w:tcPr>
            <w:tcW w:w="27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595" w:hRule="atLeast"/>
        </w:trPr>
        <w:tc>
          <w:tcPr>
            <w:tcW w:w="1476"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kern w:val="0"/>
                <w:sz w:val="24"/>
                <w:szCs w:val="24"/>
              </w:rPr>
            </w:pPr>
            <w:r>
              <w:rPr>
                <w:rFonts w:hint="eastAsia"/>
              </w:rPr>
              <w:t>　</w:t>
            </w:r>
            <w:r>
              <w:rPr>
                <w:rFonts w:hint="eastAsia"/>
                <w:lang w:val="en-US" w:eastAsia="zh-CN"/>
              </w:rPr>
              <w:t>205</w:t>
            </w:r>
          </w:p>
        </w:tc>
        <w:tc>
          <w:tcPr>
            <w:tcW w:w="16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教育支出</w:t>
            </w:r>
          </w:p>
        </w:tc>
        <w:tc>
          <w:tcPr>
            <w:tcW w:w="18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6,281.03</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566.46</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5,714.57</w:t>
            </w:r>
          </w:p>
        </w:tc>
        <w:tc>
          <w:tcPr>
            <w:tcW w:w="27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595" w:hRule="atLeast"/>
        </w:trPr>
        <w:tc>
          <w:tcPr>
            <w:tcW w:w="1476"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kern w:val="0"/>
                <w:sz w:val="24"/>
                <w:szCs w:val="24"/>
              </w:rPr>
            </w:pPr>
            <w:r>
              <w:rPr>
                <w:rFonts w:hint="eastAsia"/>
              </w:rPr>
              <w:t>　</w:t>
            </w:r>
            <w:r>
              <w:rPr>
                <w:rFonts w:hint="eastAsia"/>
                <w:lang w:val="en-US" w:eastAsia="zh-CN"/>
              </w:rPr>
              <w:t>20503</w:t>
            </w:r>
          </w:p>
        </w:tc>
        <w:tc>
          <w:tcPr>
            <w:tcW w:w="16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职业教育</w:t>
            </w:r>
          </w:p>
        </w:tc>
        <w:tc>
          <w:tcPr>
            <w:tcW w:w="18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6,281.03</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566.46</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5,714.57</w:t>
            </w:r>
          </w:p>
        </w:tc>
        <w:tc>
          <w:tcPr>
            <w:tcW w:w="27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595" w:hRule="atLeast"/>
        </w:trPr>
        <w:tc>
          <w:tcPr>
            <w:tcW w:w="1476"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kern w:val="0"/>
                <w:sz w:val="24"/>
                <w:szCs w:val="24"/>
              </w:rPr>
            </w:pPr>
            <w:r>
              <w:rPr>
                <w:rFonts w:hint="eastAsia"/>
              </w:rPr>
              <w:t>　</w:t>
            </w:r>
            <w:r>
              <w:rPr>
                <w:rFonts w:hint="eastAsia"/>
                <w:lang w:val="en-US" w:eastAsia="zh-CN"/>
              </w:rPr>
              <w:t>2050302</w:t>
            </w:r>
          </w:p>
        </w:tc>
        <w:tc>
          <w:tcPr>
            <w:tcW w:w="16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中等职业教育</w:t>
            </w:r>
          </w:p>
        </w:tc>
        <w:tc>
          <w:tcPr>
            <w:tcW w:w="18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6,281.03</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566.46</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5,714.57</w:t>
            </w:r>
          </w:p>
        </w:tc>
        <w:tc>
          <w:tcPr>
            <w:tcW w:w="27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595" w:hRule="atLeast"/>
        </w:trPr>
        <w:tc>
          <w:tcPr>
            <w:tcW w:w="1476"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64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81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595" w:hRule="atLeast"/>
        </w:trPr>
        <w:tc>
          <w:tcPr>
            <w:tcW w:w="1476"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64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81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595" w:hRule="atLeast"/>
        </w:trPr>
        <w:tc>
          <w:tcPr>
            <w:tcW w:w="1476"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64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81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828" w:hRule="atLeast"/>
        </w:trPr>
        <w:tc>
          <w:tcPr>
            <w:tcW w:w="15640" w:type="dxa"/>
            <w:gridSpan w:val="9"/>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p>
      <w:pPr>
        <w:widowControl/>
        <w:jc w:val="both"/>
        <w:rPr>
          <w:rFonts w:ascii="Times New Roman" w:hAnsi="Times New Roman" w:eastAsia="方正小标宋_GBK" w:cs="Times New Roman"/>
          <w:color w:val="000000"/>
          <w:kern w:val="0"/>
          <w:sz w:val="36"/>
          <w:szCs w:val="21"/>
        </w:rPr>
      </w:pPr>
    </w:p>
    <w:tbl>
      <w:tblPr>
        <w:tblStyle w:val="5"/>
        <w:tblW w:w="15521" w:type="dxa"/>
        <w:tblInd w:w="93" w:type="dxa"/>
        <w:tblLayout w:type="autofit"/>
        <w:tblCellMar>
          <w:top w:w="0" w:type="dxa"/>
          <w:left w:w="108" w:type="dxa"/>
          <w:bottom w:w="0" w:type="dxa"/>
          <w:right w:w="108" w:type="dxa"/>
        </w:tblCellMar>
      </w:tblPr>
      <w:tblGrid>
        <w:gridCol w:w="3595"/>
        <w:gridCol w:w="436"/>
        <w:gridCol w:w="1078"/>
        <w:gridCol w:w="496"/>
        <w:gridCol w:w="2915"/>
        <w:gridCol w:w="632"/>
        <w:gridCol w:w="435"/>
        <w:gridCol w:w="1573"/>
        <w:gridCol w:w="1394"/>
        <w:gridCol w:w="1394"/>
        <w:gridCol w:w="1573"/>
      </w:tblGrid>
      <w:tr>
        <w:tblPrEx>
          <w:tblCellMar>
            <w:top w:w="0" w:type="dxa"/>
            <w:left w:w="108" w:type="dxa"/>
            <w:bottom w:w="0" w:type="dxa"/>
            <w:right w:w="108" w:type="dxa"/>
          </w:tblCellMar>
        </w:tblPrEx>
        <w:trPr>
          <w:trHeight w:val="285" w:hRule="atLeast"/>
        </w:trPr>
        <w:tc>
          <w:tcPr>
            <w:tcW w:w="3595" w:type="dxa"/>
            <w:tcBorders>
              <w:top w:val="nil"/>
              <w:left w:val="nil"/>
              <w:bottom w:val="nil"/>
              <w:right w:val="nil"/>
            </w:tcBorders>
            <w:shd w:val="clear" w:color="auto" w:fill="auto"/>
            <w:noWrap/>
            <w:vAlign w:val="center"/>
          </w:tcPr>
          <w:p>
            <w:pPr>
              <w:widowControl/>
              <w:jc w:val="left"/>
              <w:rPr>
                <w:rFonts w:ascii="黑体" w:hAnsi="黑体" w:eastAsia="黑体" w:cs="宋体"/>
                <w:kern w:val="0"/>
                <w:sz w:val="24"/>
                <w:szCs w:val="24"/>
              </w:rPr>
            </w:pPr>
            <w:bookmarkStart w:id="0" w:name="RANGE!A1:I22"/>
            <w:bookmarkEnd w:id="0"/>
            <w:bookmarkStart w:id="1" w:name="RANGE!A1:F16"/>
          </w:p>
        </w:tc>
        <w:tc>
          <w:tcPr>
            <w:tcW w:w="436"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4"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3547"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43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360" w:hRule="atLeast"/>
        </w:trPr>
        <w:tc>
          <w:tcPr>
            <w:tcW w:w="15521"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tblPrEx>
          <w:tblCellMar>
            <w:top w:w="0" w:type="dxa"/>
            <w:left w:w="108" w:type="dxa"/>
            <w:bottom w:w="0" w:type="dxa"/>
            <w:right w:w="108" w:type="dxa"/>
          </w:tblCellMar>
        </w:tblPrEx>
        <w:trPr>
          <w:trHeight w:val="199" w:hRule="atLeast"/>
        </w:trPr>
        <w:tc>
          <w:tcPr>
            <w:tcW w:w="359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CellMar>
            <w:top w:w="0" w:type="dxa"/>
            <w:left w:w="108" w:type="dxa"/>
            <w:bottom w:w="0" w:type="dxa"/>
            <w:right w:w="108" w:type="dxa"/>
          </w:tblCellMar>
        </w:tblPrEx>
        <w:trPr>
          <w:trHeight w:val="300" w:hRule="atLeast"/>
        </w:trPr>
        <w:tc>
          <w:tcPr>
            <w:tcW w:w="5109" w:type="dxa"/>
            <w:gridSpan w:val="3"/>
            <w:tcBorders>
              <w:top w:val="nil"/>
              <w:left w:val="nil"/>
              <w:bottom w:val="nil"/>
              <w:right w:val="nil"/>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color w:val="000000"/>
                <w:kern w:val="0"/>
                <w:sz w:val="20"/>
                <w:szCs w:val="20"/>
              </w:rPr>
              <w:t>部门：</w:t>
            </w:r>
            <w:r>
              <w:rPr>
                <w:rFonts w:hint="eastAsia"/>
                <w:lang w:val="en-US" w:eastAsia="zh-CN"/>
              </w:rPr>
              <w:t>中国烟草总司湘潭中等专业学校</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510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412" w:type="dxa"/>
            <w:gridSpan w:val="8"/>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63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5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07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566.46</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四、公共安全支出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五、教育支出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19</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566.46</w:t>
            </w:r>
          </w:p>
        </w:tc>
        <w:tc>
          <w:tcPr>
            <w:tcW w:w="13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566.46</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六、科学技术支出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9</w:t>
            </w:r>
          </w:p>
        </w:tc>
        <w:tc>
          <w:tcPr>
            <w:tcW w:w="107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566.46</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23</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566.46</w:t>
            </w:r>
          </w:p>
        </w:tc>
        <w:tc>
          <w:tcPr>
            <w:tcW w:w="13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566.46</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年初财政拨款结转和结余</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10</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年末财政拨款结转和结余</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14</w:t>
            </w:r>
          </w:p>
        </w:tc>
        <w:tc>
          <w:tcPr>
            <w:tcW w:w="107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566.46</w:t>
            </w:r>
          </w:p>
        </w:tc>
        <w:tc>
          <w:tcPr>
            <w:tcW w:w="3411"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1067"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28</w:t>
            </w:r>
          </w:p>
        </w:tc>
        <w:tc>
          <w:tcPr>
            <w:tcW w:w="157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ascii="宋体" w:hAnsi="宋体" w:eastAsia="宋体" w:cs="宋体"/>
                <w:b/>
                <w:bCs/>
                <w:kern w:val="0"/>
                <w:sz w:val="22"/>
              </w:rPr>
            </w:pPr>
            <w:r>
              <w:rPr>
                <w:rFonts w:hint="eastAsia" w:ascii="宋体" w:hAnsi="宋体" w:eastAsia="宋体" w:cs="宋体"/>
                <w:b/>
                <w:bCs/>
                <w:i w:val="0"/>
                <w:iCs w:val="0"/>
                <w:color w:val="000000"/>
                <w:kern w:val="0"/>
                <w:sz w:val="22"/>
                <w:szCs w:val="22"/>
                <w:u w:val="none"/>
                <w:lang w:val="en-US" w:eastAsia="zh-CN" w:bidi="ar"/>
              </w:rPr>
              <w:t>566.46</w:t>
            </w:r>
          </w:p>
        </w:tc>
        <w:tc>
          <w:tcPr>
            <w:tcW w:w="1394"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ascii="宋体" w:hAnsi="宋体" w:eastAsia="宋体" w:cs="宋体"/>
                <w:b/>
                <w:bCs/>
                <w:kern w:val="0"/>
                <w:sz w:val="22"/>
              </w:rPr>
            </w:pPr>
            <w:r>
              <w:rPr>
                <w:rFonts w:hint="eastAsia" w:ascii="宋体" w:hAnsi="宋体" w:eastAsia="宋体" w:cs="宋体"/>
                <w:b/>
                <w:bCs/>
                <w:i w:val="0"/>
                <w:iCs w:val="0"/>
                <w:color w:val="000000"/>
                <w:kern w:val="0"/>
                <w:sz w:val="22"/>
                <w:szCs w:val="22"/>
                <w:u w:val="none"/>
                <w:lang w:val="en-US" w:eastAsia="zh-CN" w:bidi="ar"/>
              </w:rPr>
              <w:t>566.46</w:t>
            </w:r>
          </w:p>
        </w:tc>
        <w:tc>
          <w:tcPr>
            <w:tcW w:w="139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r>
      <w:tr>
        <w:tblPrEx>
          <w:tblCellMar>
            <w:top w:w="0" w:type="dxa"/>
            <w:left w:w="108" w:type="dxa"/>
            <w:bottom w:w="0" w:type="dxa"/>
            <w:right w:w="108" w:type="dxa"/>
          </w:tblCellMar>
        </w:tblPrEx>
        <w:trPr>
          <w:trHeight w:val="585" w:hRule="atLeast"/>
        </w:trPr>
        <w:tc>
          <w:tcPr>
            <w:tcW w:w="15521" w:type="dxa"/>
            <w:gridSpan w:val="11"/>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val="en-US" w:eastAsia="zh-CN"/>
        </w:rPr>
        <w:t>中国烟草总公司湘潭中等专业学校</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单位：万元</w:t>
      </w:r>
    </w:p>
    <w:tbl>
      <w:tblPr>
        <w:tblStyle w:val="5"/>
        <w:tblW w:w="14219" w:type="dxa"/>
        <w:jc w:val="center"/>
        <w:tblLayout w:type="autofit"/>
        <w:tblCellMar>
          <w:top w:w="0" w:type="dxa"/>
          <w:left w:w="108" w:type="dxa"/>
          <w:bottom w:w="0" w:type="dxa"/>
          <w:right w:w="108" w:type="dxa"/>
        </w:tblCellMar>
      </w:tblPr>
      <w:tblGrid>
        <w:gridCol w:w="1200"/>
        <w:gridCol w:w="3527"/>
        <w:gridCol w:w="3000"/>
        <w:gridCol w:w="3492"/>
        <w:gridCol w:w="3000"/>
      </w:tblGrid>
      <w:tr>
        <w:tblPrEx>
          <w:tblCellMar>
            <w:top w:w="0" w:type="dxa"/>
            <w:left w:w="108" w:type="dxa"/>
            <w:bottom w:w="0" w:type="dxa"/>
            <w:right w:w="108" w:type="dxa"/>
          </w:tblCellMar>
        </w:tblPrEx>
        <w:trPr>
          <w:trHeight w:val="405" w:hRule="atLeas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宋体" w:hAnsi="宋体" w:eastAsia="宋体" w:cs="宋体"/>
                <w:b/>
                <w:bCs/>
                <w:i w:val="0"/>
                <w:iCs w:val="0"/>
                <w:color w:val="000000"/>
                <w:kern w:val="0"/>
                <w:sz w:val="22"/>
                <w:szCs w:val="22"/>
                <w:u w:val="none"/>
                <w:lang w:val="en-US" w:eastAsia="zh-CN" w:bidi="ar"/>
              </w:rPr>
              <w:t>566.46</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1"/>
                <w:szCs w:val="21"/>
                <w:lang w:val="en-US" w:eastAsia="zh-CN" w:bidi="ar-SA"/>
              </w:rPr>
            </w:pPr>
            <w:r>
              <w:rPr>
                <w:rFonts w:ascii="Times New Roman" w:hAnsi="Times New Roman" w:eastAsia="仿宋_GB2312" w:cs="Times New Roman"/>
                <w:kern w:val="0"/>
                <w:szCs w:val="21"/>
              </w:rPr>
              <w:t>　　</w:t>
            </w:r>
            <w:r>
              <w:rPr>
                <w:rFonts w:hint="eastAsia" w:ascii="宋体" w:hAnsi="宋体" w:eastAsia="宋体" w:cs="宋体"/>
                <w:b/>
                <w:bCs/>
                <w:i w:val="0"/>
                <w:iCs w:val="0"/>
                <w:color w:val="000000"/>
                <w:kern w:val="0"/>
                <w:sz w:val="22"/>
                <w:szCs w:val="22"/>
                <w:u w:val="none"/>
                <w:lang w:val="en-US" w:eastAsia="zh-CN" w:bidi="ar"/>
              </w:rPr>
              <w:t>566.46</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ascii="宋体" w:hAnsi="宋体" w:eastAsia="宋体" w:cs="宋体"/>
                <w:kern w:val="0"/>
                <w:sz w:val="24"/>
                <w:szCs w:val="24"/>
                <w:lang w:val="en-US" w:eastAsia="zh-CN" w:bidi="ar-SA"/>
              </w:rPr>
            </w:pPr>
            <w:r>
              <w:rPr>
                <w:rFonts w:hint="eastAsia"/>
              </w:rPr>
              <w:t>　</w:t>
            </w:r>
            <w:r>
              <w:rPr>
                <w:rFonts w:hint="eastAsia"/>
                <w:lang w:val="en-US" w:eastAsia="zh-CN"/>
              </w:rPr>
              <w:t>205</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教育支出</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1"/>
                <w:szCs w:val="21"/>
                <w:lang w:val="en-US" w:eastAsia="zh-CN" w:bidi="ar-SA"/>
              </w:rPr>
            </w:pPr>
            <w:r>
              <w:rPr>
                <w:rFonts w:ascii="Times New Roman" w:hAnsi="Times New Roman" w:eastAsia="仿宋_GB2312" w:cs="Times New Roman"/>
                <w:kern w:val="0"/>
                <w:szCs w:val="21"/>
              </w:rPr>
              <w:t>　</w:t>
            </w:r>
            <w:r>
              <w:rPr>
                <w:rFonts w:hint="eastAsia" w:ascii="宋体" w:hAnsi="宋体" w:eastAsia="宋体" w:cs="宋体"/>
                <w:i w:val="0"/>
                <w:iCs w:val="0"/>
                <w:color w:val="000000"/>
                <w:kern w:val="0"/>
                <w:sz w:val="22"/>
                <w:szCs w:val="22"/>
                <w:u w:val="none"/>
                <w:lang w:val="en-US" w:eastAsia="zh-CN" w:bidi="ar"/>
              </w:rPr>
              <w:t>566.46</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1"/>
                <w:szCs w:val="21"/>
                <w:lang w:val="en-US" w:eastAsia="zh-CN" w:bidi="ar-SA"/>
              </w:rPr>
            </w:pPr>
            <w:r>
              <w:rPr>
                <w:rFonts w:ascii="Times New Roman" w:hAnsi="Times New Roman" w:eastAsia="仿宋_GB2312" w:cs="Times New Roman"/>
                <w:kern w:val="0"/>
                <w:szCs w:val="21"/>
              </w:rPr>
              <w:t>　</w:t>
            </w:r>
            <w:r>
              <w:rPr>
                <w:rFonts w:hint="eastAsia" w:ascii="宋体" w:hAnsi="宋体" w:eastAsia="宋体" w:cs="宋体"/>
                <w:i w:val="0"/>
                <w:iCs w:val="0"/>
                <w:color w:val="000000"/>
                <w:kern w:val="0"/>
                <w:sz w:val="22"/>
                <w:szCs w:val="22"/>
                <w:u w:val="none"/>
                <w:lang w:val="en-US" w:eastAsia="zh-CN" w:bidi="ar"/>
              </w:rPr>
              <w:t>566.46</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ascii="宋体" w:hAnsi="宋体" w:eastAsia="宋体" w:cs="宋体"/>
                <w:kern w:val="0"/>
                <w:sz w:val="24"/>
                <w:szCs w:val="24"/>
                <w:lang w:val="en-US" w:eastAsia="zh-CN" w:bidi="ar-SA"/>
              </w:rPr>
            </w:pPr>
            <w:r>
              <w:rPr>
                <w:rFonts w:hint="eastAsia"/>
              </w:rPr>
              <w:t>　</w:t>
            </w:r>
            <w:r>
              <w:rPr>
                <w:rFonts w:hint="eastAsia"/>
                <w:lang w:val="en-US" w:eastAsia="zh-CN"/>
              </w:rPr>
              <w:t>20503</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职业教育</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1"/>
                <w:szCs w:val="21"/>
                <w:lang w:val="en-US" w:eastAsia="zh-CN" w:bidi="ar-SA"/>
              </w:rPr>
            </w:pPr>
            <w:r>
              <w:rPr>
                <w:rFonts w:ascii="Times New Roman" w:hAnsi="Times New Roman" w:eastAsia="仿宋_GB2312" w:cs="Times New Roman"/>
                <w:kern w:val="0"/>
                <w:szCs w:val="21"/>
              </w:rPr>
              <w:t>　　</w:t>
            </w:r>
            <w:r>
              <w:rPr>
                <w:rFonts w:hint="eastAsia" w:ascii="宋体" w:hAnsi="宋体" w:eastAsia="宋体" w:cs="宋体"/>
                <w:i w:val="0"/>
                <w:iCs w:val="0"/>
                <w:color w:val="000000"/>
                <w:kern w:val="0"/>
                <w:sz w:val="22"/>
                <w:szCs w:val="22"/>
                <w:u w:val="none"/>
                <w:lang w:val="en-US" w:eastAsia="zh-CN" w:bidi="ar"/>
              </w:rPr>
              <w:t>566.46</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1"/>
                <w:szCs w:val="21"/>
                <w:lang w:val="en-US" w:eastAsia="zh-CN" w:bidi="ar-SA"/>
              </w:rPr>
            </w:pPr>
            <w:r>
              <w:rPr>
                <w:rFonts w:ascii="Times New Roman" w:hAnsi="Times New Roman" w:eastAsia="仿宋_GB2312" w:cs="Times New Roman"/>
                <w:kern w:val="0"/>
                <w:szCs w:val="21"/>
              </w:rPr>
              <w:t>　　</w:t>
            </w:r>
            <w:r>
              <w:rPr>
                <w:rFonts w:hint="eastAsia" w:ascii="宋体" w:hAnsi="宋体" w:eastAsia="宋体" w:cs="宋体"/>
                <w:i w:val="0"/>
                <w:iCs w:val="0"/>
                <w:color w:val="000000"/>
                <w:kern w:val="0"/>
                <w:sz w:val="22"/>
                <w:szCs w:val="22"/>
                <w:u w:val="none"/>
                <w:lang w:val="en-US" w:eastAsia="zh-CN" w:bidi="ar"/>
              </w:rPr>
              <w:t>566.46</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宋体"/>
                <w:kern w:val="0"/>
                <w:sz w:val="24"/>
                <w:szCs w:val="24"/>
                <w:lang w:val="en-US" w:eastAsia="zh-CN" w:bidi="ar-SA"/>
              </w:rPr>
            </w:pPr>
            <w:r>
              <w:rPr>
                <w:rFonts w:hint="eastAsia"/>
              </w:rPr>
              <w:t>　</w:t>
            </w:r>
            <w:r>
              <w:rPr>
                <w:rFonts w:hint="eastAsia"/>
                <w:lang w:val="en-US" w:eastAsia="zh-CN"/>
              </w:rPr>
              <w:t>2050302</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中等职业教育</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1"/>
                <w:szCs w:val="21"/>
                <w:lang w:val="en-US" w:eastAsia="zh-CN" w:bidi="ar-SA"/>
              </w:rPr>
            </w:pPr>
            <w:r>
              <w:rPr>
                <w:rFonts w:ascii="Times New Roman" w:hAnsi="Times New Roman" w:eastAsia="仿宋_GB2312" w:cs="Times New Roman"/>
                <w:kern w:val="0"/>
                <w:szCs w:val="21"/>
              </w:rPr>
              <w:t>　　</w:t>
            </w:r>
            <w:r>
              <w:rPr>
                <w:rFonts w:hint="eastAsia" w:ascii="宋体" w:hAnsi="宋体" w:eastAsia="宋体" w:cs="宋体"/>
                <w:i w:val="0"/>
                <w:iCs w:val="0"/>
                <w:color w:val="000000"/>
                <w:kern w:val="0"/>
                <w:sz w:val="22"/>
                <w:szCs w:val="22"/>
                <w:u w:val="none"/>
                <w:lang w:val="en-US" w:eastAsia="zh-CN" w:bidi="ar"/>
              </w:rPr>
              <w:t>566.46</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 w:val="21"/>
                <w:szCs w:val="21"/>
                <w:lang w:val="en-US" w:eastAsia="zh-CN" w:bidi="ar-SA"/>
              </w:rPr>
            </w:pPr>
            <w:r>
              <w:rPr>
                <w:rFonts w:ascii="Times New Roman" w:hAnsi="Times New Roman" w:eastAsia="仿宋_GB2312" w:cs="Times New Roman"/>
                <w:kern w:val="0"/>
                <w:szCs w:val="21"/>
              </w:rPr>
              <w:t>　　</w:t>
            </w:r>
            <w:r>
              <w:rPr>
                <w:rFonts w:hint="eastAsia" w:ascii="宋体" w:hAnsi="宋体" w:eastAsia="宋体" w:cs="宋体"/>
                <w:i w:val="0"/>
                <w:iCs w:val="0"/>
                <w:color w:val="000000"/>
                <w:kern w:val="0"/>
                <w:sz w:val="22"/>
                <w:szCs w:val="22"/>
                <w:u w:val="none"/>
                <w:lang w:val="en-US" w:eastAsia="zh-CN" w:bidi="ar"/>
              </w:rPr>
              <w:t>566.46</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492"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8"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645" w:hRule="atLeast"/>
          <w:jc w:val="center"/>
        </w:trPr>
        <w:tc>
          <w:tcPr>
            <w:tcW w:w="14219" w:type="dxa"/>
            <w:gridSpan w:val="5"/>
            <w:tcBorders>
              <w:top w:val="nil"/>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br w:type="page"/>
      </w:r>
    </w:p>
    <w:tbl>
      <w:tblPr>
        <w:tblStyle w:val="5"/>
        <w:tblW w:w="15720" w:type="dxa"/>
        <w:tblInd w:w="0" w:type="dxa"/>
        <w:tblLayout w:type="fixed"/>
        <w:tblCellMar>
          <w:top w:w="0" w:type="dxa"/>
          <w:left w:w="108" w:type="dxa"/>
          <w:bottom w:w="0" w:type="dxa"/>
          <w:right w:w="108" w:type="dxa"/>
        </w:tblCellMar>
      </w:tblPr>
      <w:tblGrid>
        <w:gridCol w:w="1003"/>
        <w:gridCol w:w="62"/>
        <w:gridCol w:w="178"/>
        <w:gridCol w:w="1402"/>
        <w:gridCol w:w="1570"/>
        <w:gridCol w:w="549"/>
        <w:gridCol w:w="587"/>
        <w:gridCol w:w="1069"/>
        <w:gridCol w:w="463"/>
        <w:gridCol w:w="2006"/>
        <w:gridCol w:w="113"/>
        <w:gridCol w:w="793"/>
        <w:gridCol w:w="1110"/>
        <w:gridCol w:w="216"/>
        <w:gridCol w:w="2119"/>
        <w:gridCol w:w="1550"/>
        <w:gridCol w:w="570"/>
        <w:gridCol w:w="360"/>
      </w:tblGrid>
      <w:tr>
        <w:tblPrEx>
          <w:tblCellMar>
            <w:top w:w="0" w:type="dxa"/>
            <w:left w:w="108" w:type="dxa"/>
            <w:bottom w:w="0" w:type="dxa"/>
            <w:right w:w="108" w:type="dxa"/>
          </w:tblCellMar>
        </w:tblPrEx>
        <w:trPr>
          <w:trHeight w:val="113" w:hRule="atLeast"/>
        </w:trPr>
        <w:tc>
          <w:tcPr>
            <w:tcW w:w="15720" w:type="dxa"/>
            <w:gridSpan w:val="18"/>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val="en-US" w:eastAsia="zh-CN"/>
              </w:rPr>
              <w:t>中国烟草总公司湘潭中等专业学校</w:t>
            </w:r>
            <w:r>
              <w:rPr>
                <w:rFonts w:hint="eastAsia" w:ascii="Times New Roman" w:hAnsi="Times New Roman" w:eastAsia="仿宋_GB2312" w:cs="Times New Roman"/>
                <w:color w:val="000000"/>
                <w:kern w:val="0"/>
                <w:szCs w:val="21"/>
              </w:rPr>
              <w:t xml:space="preserve">                                                                                                     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CellMar>
            <w:top w:w="0" w:type="dxa"/>
            <w:left w:w="108" w:type="dxa"/>
            <w:bottom w:w="0" w:type="dxa"/>
            <w:right w:w="108" w:type="dxa"/>
          </w:tblCellMar>
        </w:tblPrEx>
        <w:trPr>
          <w:trHeight w:val="113" w:hRule="atLeast"/>
        </w:trPr>
        <w:tc>
          <w:tcPr>
            <w:tcW w:w="10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15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1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06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4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3885"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566.46</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566.46</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39906</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赠与</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39907</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国家赔偿费用支出</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39908</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对民间非营利组织和群众性自治组织补贴</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39999</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其他支出</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5"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6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46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9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88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4215"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113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rPr>
              <w:t>　</w:t>
            </w:r>
            <w:r>
              <w:rPr>
                <w:rFonts w:hint="eastAsia" w:ascii="宋体" w:hAnsi="宋体" w:eastAsia="宋体" w:cs="宋体"/>
                <w:b/>
                <w:bCs/>
                <w:color w:val="000000"/>
                <w:kern w:val="0"/>
                <w:szCs w:val="20"/>
                <w:lang w:val="en-US" w:eastAsia="zh-CN"/>
              </w:rPr>
              <w:t>566.46</w:t>
            </w:r>
          </w:p>
        </w:tc>
        <w:tc>
          <w:tcPr>
            <w:tcW w:w="9439" w:type="dxa"/>
            <w:gridSpan w:val="9"/>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93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r>
      <w:tr>
        <w:tblPrEx>
          <w:tblCellMar>
            <w:top w:w="0" w:type="dxa"/>
            <w:left w:w="108" w:type="dxa"/>
            <w:bottom w:w="0" w:type="dxa"/>
            <w:right w:w="108" w:type="dxa"/>
          </w:tblCellMar>
        </w:tblPrEx>
        <w:trPr>
          <w:trHeight w:val="284" w:hRule="exact"/>
        </w:trPr>
        <w:tc>
          <w:tcPr>
            <w:tcW w:w="15720" w:type="dxa"/>
            <w:gridSpan w:val="18"/>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60" w:type="dxa"/>
          <w:trHeight w:val="690" w:hRule="atLeast"/>
        </w:trPr>
        <w:tc>
          <w:tcPr>
            <w:tcW w:w="15360" w:type="dxa"/>
            <w:gridSpan w:val="17"/>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60" w:type="dxa"/>
          <w:trHeight w:val="345" w:hRule="atLeast"/>
        </w:trPr>
        <w:tc>
          <w:tcPr>
            <w:tcW w:w="1003"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40"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0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60" w:type="dxa"/>
          <w:trHeight w:val="690" w:hRule="atLeast"/>
        </w:trPr>
        <w:tc>
          <w:tcPr>
            <w:tcW w:w="1003" w:type="dxa"/>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w:t>
            </w:r>
          </w:p>
        </w:tc>
        <w:tc>
          <w:tcPr>
            <w:tcW w:w="3761" w:type="dxa"/>
            <w:gridSpan w:val="5"/>
            <w:tcBorders>
              <w:top w:val="nil"/>
              <w:left w:val="nil"/>
              <w:bottom w:val="nil"/>
              <w:right w:val="nil"/>
            </w:tcBorders>
            <w:shd w:val="clear" w:color="auto" w:fill="FFFFFF"/>
            <w:vAlign w:val="center"/>
          </w:tcPr>
          <w:p>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中国烟草总公司湘潭中等专业学校</w:t>
            </w:r>
          </w:p>
        </w:tc>
        <w:tc>
          <w:tcPr>
            <w:tcW w:w="2119"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60" w:type="dxa"/>
          <w:trHeight w:val="459" w:hRule="atLeast"/>
        </w:trPr>
        <w:tc>
          <w:tcPr>
            <w:tcW w:w="2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项 </w:t>
            </w:r>
            <w:r>
              <w:rPr>
                <w:rStyle w:val="13"/>
                <w:lang w:val="en-US" w:eastAsia="zh-CN"/>
              </w:rPr>
              <w:t xml:space="preserve">   </w:t>
            </w:r>
            <w:r>
              <w:rPr>
                <w:rStyle w:val="14"/>
                <w:lang w:val="en-US" w:eastAsia="zh-CN"/>
              </w:rPr>
              <w:t>目</w:t>
            </w: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年初结转和结余</w:t>
            </w:r>
          </w:p>
        </w:tc>
        <w:tc>
          <w:tcPr>
            <w:tcW w:w="211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本年收入</w:t>
            </w:r>
          </w:p>
        </w:tc>
        <w:tc>
          <w:tcPr>
            <w:tcW w:w="63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本年支出</w:t>
            </w:r>
          </w:p>
        </w:tc>
        <w:tc>
          <w:tcPr>
            <w:tcW w:w="21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60" w:type="dxa"/>
          <w:trHeight w:val="609" w:hRule="atLeast"/>
        </w:trPr>
        <w:tc>
          <w:tcPr>
            <w:tcW w:w="124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科目名称</w:t>
            </w: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小计</w:t>
            </w:r>
          </w:p>
        </w:tc>
        <w:tc>
          <w:tcPr>
            <w:tcW w:w="211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项目支出</w:t>
            </w: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60" w:type="dxa"/>
          <w:trHeight w:val="409" w:hRule="atLeast"/>
        </w:trPr>
        <w:tc>
          <w:tcPr>
            <w:tcW w:w="124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60" w:type="dxa"/>
          <w:trHeight w:val="509" w:hRule="atLeast"/>
        </w:trPr>
        <w:tc>
          <w:tcPr>
            <w:tcW w:w="124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60" w:type="dxa"/>
          <w:trHeight w:val="509" w:hRule="atLeast"/>
        </w:trPr>
        <w:tc>
          <w:tcPr>
            <w:tcW w:w="2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栏次</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60" w:type="dxa"/>
          <w:trHeight w:val="509" w:hRule="atLeast"/>
        </w:trPr>
        <w:tc>
          <w:tcPr>
            <w:tcW w:w="2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60"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60"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60"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60"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60"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60"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60" w:type="dxa"/>
          <w:trHeight w:val="725" w:hRule="atLeast"/>
        </w:trPr>
        <w:tc>
          <w:tcPr>
            <w:tcW w:w="15360" w:type="dxa"/>
            <w:gridSpan w:val="17"/>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说明：我单位没有政府性基金收入，也没有使用政府性基金安排的支出，故本表无数据。（当表格数据为空时，应有此说明）</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tbl>
      <w:tblPr>
        <w:tblStyle w:val="5"/>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rPr>
              <w:t>部门：中国烟草总公司湘潭中等专业学校</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项 </w:t>
            </w:r>
            <w:r>
              <w:rPr>
                <w:rFonts w:hint="eastAsia" w:ascii="宋体" w:hAnsi="宋体" w:eastAsia="宋体" w:cs="宋体"/>
                <w:i w:val="0"/>
                <w:color w:val="000000"/>
                <w:kern w:val="0"/>
                <w:sz w:val="22"/>
                <w:szCs w:val="22"/>
                <w:u w:val="none"/>
                <w:lang w:val="en-US" w:eastAsia="zh-CN"/>
              </w:rPr>
              <w:t xml:space="preserve">   </w:t>
            </w:r>
            <w:r>
              <w:rPr>
                <w:rStyle w:val="15"/>
                <w:lang w:val="en-US" w:eastAsia="zh-CN"/>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说明：我单位没有使用国有资本经营预算安排的支出，故本表无数据。（当表格数据为空时，应有此说明）</w:t>
            </w:r>
          </w:p>
        </w:tc>
      </w:tr>
    </w:tbl>
    <w:p>
      <w:pPr>
        <w:widowControl/>
        <w:jc w:val="center"/>
        <w:rPr>
          <w:rFonts w:hint="eastAsia" w:ascii="Times New Roman" w:hAnsi="Times New Roman" w:eastAsia="方正小标宋_GBK" w:cs="Times New Roman"/>
          <w:color w:val="000000"/>
          <w:kern w:val="0"/>
          <w:sz w:val="36"/>
          <w:szCs w:val="36"/>
        </w:rPr>
      </w:pPr>
    </w:p>
    <w:tbl>
      <w:tblPr>
        <w:tblStyle w:val="5"/>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5043" w:type="dxa"/>
            <w:gridSpan w:val="4"/>
            <w:tcBorders>
              <w:top w:val="nil"/>
              <w:left w:val="nil"/>
              <w:bottom w:val="nil"/>
              <w:right w:val="nil"/>
            </w:tcBorders>
            <w:shd w:val="clear" w:color="auto" w:fill="FFFFFF"/>
            <w:noWrap/>
            <w:vAlign w:val="center"/>
          </w:tcPr>
          <w:p>
            <w:pP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rPr>
              <w:t>部门：中国烟草总公司湘潭中等专业学校</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注：本表反映部门本年度财政拨款“三公”经费支出预决算情况。其中，预算数为“三公”经费全年预算数，反映按规定程序调整后的预算数；决算数是包括当年财政拨款和以前年度结转资金安排的实际支出。</w:t>
            </w:r>
          </w:p>
          <w:p>
            <w:pPr>
              <w:keepNext w:val="0"/>
              <w:keepLines w:val="0"/>
              <w:widowControl/>
              <w:suppressLineNumbers w:val="0"/>
              <w:jc w:val="left"/>
              <w:textAlignment w:val="center"/>
              <w:rPr>
                <w:rFonts w:hint="default" w:ascii="宋体" w:hAnsi="宋体" w:eastAsia="宋体" w:cs="宋体"/>
                <w:i w:val="0"/>
                <w:color w:val="000000"/>
                <w:kern w:val="0"/>
                <w:sz w:val="24"/>
                <w:szCs w:val="24"/>
                <w:u w:val="none"/>
                <w:lang w:val="en-US" w:eastAsia="zh-CN"/>
              </w:rPr>
            </w:pPr>
            <w:r>
              <w:rPr>
                <w:rFonts w:hint="eastAsia" w:ascii="宋体" w:hAnsi="宋体" w:eastAsia="宋体" w:cs="宋体"/>
                <w:b/>
                <w:bCs/>
                <w:i w:val="0"/>
                <w:color w:val="000000"/>
                <w:kern w:val="0"/>
                <w:sz w:val="24"/>
                <w:szCs w:val="24"/>
                <w:u w:val="none"/>
                <w:lang w:val="en-US" w:eastAsia="zh-CN"/>
              </w:rPr>
              <w:t>说明：我单位没有财政拨款“三公”经费支出预决算支出。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br w:type="page"/>
      </w: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jc w:val="center"/>
        <w:rPr>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0"/>
        <w:jc w:val="center"/>
        <w:rPr>
          <w:rFonts w:hint="eastAsia" w:ascii="方正小标宋_GBK" w:hAnsi="方正小标宋_GBK" w:eastAsia="方正小标宋_GBK" w:cs="方正小标宋_GBK"/>
          <w:sz w:val="70"/>
          <w:szCs w:val="70"/>
        </w:rPr>
      </w:pPr>
    </w:p>
    <w:p>
      <w:pPr>
        <w:pStyle w:val="10"/>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2</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br w:type="page"/>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5,004.31</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975.82</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24.22%</w:t>
      </w:r>
      <w:r>
        <w:rPr>
          <w:rFonts w:hint="eastAsia" w:ascii="Times New Roman" w:hAnsi="Times New Roman" w:eastAsia="仿宋_GB2312"/>
          <w:sz w:val="32"/>
          <w:szCs w:val="32"/>
        </w:rPr>
        <w:t>，主要是因为教育支出(类)职业教育（款）中等职业教育（项）经营收支较202</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年因疫情</w:t>
      </w:r>
      <w:r>
        <w:rPr>
          <w:rFonts w:hint="eastAsia" w:ascii="Times New Roman" w:hAnsi="Times New Roman" w:eastAsia="仿宋_GB2312"/>
          <w:sz w:val="32"/>
          <w:szCs w:val="32"/>
          <w:lang w:val="en-US" w:eastAsia="zh-CN"/>
        </w:rPr>
        <w:t>持续</w:t>
      </w:r>
      <w:r>
        <w:rPr>
          <w:rFonts w:hint="eastAsia" w:ascii="Times New Roman" w:hAnsi="Times New Roman" w:eastAsia="仿宋_GB2312"/>
          <w:sz w:val="32"/>
          <w:szCs w:val="32"/>
        </w:rPr>
        <w:t>好转</w:t>
      </w:r>
      <w:r>
        <w:rPr>
          <w:rFonts w:hint="eastAsia" w:ascii="Times New Roman" w:hAnsi="Times New Roman" w:eastAsia="仿宋_GB2312"/>
          <w:sz w:val="32"/>
          <w:szCs w:val="32"/>
          <w:lang w:val="en-US" w:eastAsia="zh-CN"/>
        </w:rPr>
        <w:t>培训业务</w:t>
      </w:r>
      <w:r>
        <w:rPr>
          <w:rFonts w:hint="eastAsia" w:ascii="Times New Roman" w:hAnsi="Times New Roman" w:eastAsia="仿宋_GB2312"/>
          <w:sz w:val="32"/>
          <w:szCs w:val="32"/>
        </w:rPr>
        <w:t>增加</w:t>
      </w:r>
      <w:r>
        <w:rPr>
          <w:rFonts w:hint="eastAsia" w:ascii="Times New Roman" w:hAnsi="Times New Roman" w:eastAsia="仿宋_GB2312"/>
          <w:sz w:val="32"/>
          <w:szCs w:val="32"/>
          <w:lang w:eastAsia="zh-CN"/>
        </w:rPr>
        <w:t>。</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6,286.32</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566.46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9.01</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5,719.86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90.99</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6,281.03</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566.46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9.02</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5,714.57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90.98</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566.46</w:t>
      </w:r>
      <w:r>
        <w:rPr>
          <w:rFonts w:hint="eastAsia" w:ascii="Times New Roman" w:hAnsi="Times New Roman" w:eastAsia="仿宋_GB2312"/>
          <w:sz w:val="32"/>
          <w:szCs w:val="32"/>
        </w:rPr>
        <w:t>万元，与上年相比</w:t>
      </w:r>
      <w:r>
        <w:rPr>
          <w:rFonts w:hint="eastAsia" w:ascii="Times New Roman" w:hAnsi="Times New Roman" w:eastAsia="仿宋_GB2312"/>
          <w:sz w:val="32"/>
          <w:szCs w:val="32"/>
          <w:lang w:val="en-US" w:eastAsia="zh-CN"/>
        </w:rPr>
        <w:t>持平</w:t>
      </w:r>
      <w:r>
        <w:rPr>
          <w:rFonts w:hint="eastAsia" w:ascii="Times New Roman" w:hAnsi="Times New Roman" w:eastAsia="仿宋_GB2312"/>
          <w:sz w:val="32"/>
          <w:szCs w:val="32"/>
        </w:rPr>
        <w:t>，增加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%，主要是因为财政拨款预算指标</w:t>
      </w:r>
      <w:r>
        <w:rPr>
          <w:rFonts w:hint="eastAsia" w:ascii="Times New Roman" w:hAnsi="Times New Roman" w:eastAsia="仿宋_GB2312"/>
          <w:sz w:val="32"/>
          <w:szCs w:val="32"/>
          <w:lang w:val="en-US" w:eastAsia="zh-CN"/>
        </w:rPr>
        <w:t>相对固定，</w:t>
      </w:r>
      <w:r>
        <w:rPr>
          <w:rFonts w:hint="eastAsia" w:ascii="Times New Roman" w:hAnsi="Times New Roman" w:eastAsia="仿宋_GB2312"/>
          <w:sz w:val="32"/>
          <w:szCs w:val="32"/>
        </w:rPr>
        <w:t>全部用于教育（类）职业教育（款）中</w:t>
      </w:r>
      <w:r>
        <w:rPr>
          <w:rFonts w:hint="eastAsia" w:ascii="Times New Roman" w:hAnsi="Times New Roman" w:eastAsia="仿宋_GB2312"/>
          <w:sz w:val="32"/>
          <w:szCs w:val="32"/>
          <w:lang w:val="en-US" w:eastAsia="zh-CN"/>
        </w:rPr>
        <w:t>等职业</w:t>
      </w:r>
      <w:r>
        <w:rPr>
          <w:rFonts w:hint="eastAsia" w:ascii="Times New Roman" w:hAnsi="Times New Roman" w:eastAsia="仿宋_GB2312"/>
          <w:sz w:val="32"/>
          <w:szCs w:val="32"/>
        </w:rPr>
        <w:t>教育（项）支出</w:t>
      </w:r>
      <w:r>
        <w:rPr>
          <w:rFonts w:hint="eastAsia" w:ascii="Times New Roman" w:hAnsi="Times New Roman" w:eastAsia="仿宋_GB2312"/>
          <w:sz w:val="32"/>
          <w:szCs w:val="32"/>
          <w:lang w:val="en-US" w:eastAsia="zh-CN"/>
        </w:rPr>
        <w:t>人员经费。</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（一）财政拨款支出决算总体情况</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566.46</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9.02</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持平</w:t>
      </w:r>
      <w:r>
        <w:rPr>
          <w:rFonts w:hint="eastAsia" w:ascii="Times New Roman" w:hAnsi="Times New Roman" w:eastAsia="仿宋_GB2312"/>
          <w:sz w:val="32"/>
          <w:szCs w:val="32"/>
        </w:rPr>
        <w:t>，财政拨款支出增加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%，主要是因为财政拨款预算指标</w:t>
      </w:r>
      <w:r>
        <w:rPr>
          <w:rFonts w:hint="eastAsia" w:ascii="Times New Roman" w:hAnsi="Times New Roman" w:eastAsia="仿宋_GB2312"/>
          <w:sz w:val="32"/>
          <w:szCs w:val="32"/>
          <w:lang w:val="en-US" w:eastAsia="zh-CN"/>
        </w:rPr>
        <w:t>相对固定，</w:t>
      </w:r>
      <w:r>
        <w:rPr>
          <w:rFonts w:hint="eastAsia" w:ascii="Times New Roman" w:hAnsi="Times New Roman" w:eastAsia="仿宋_GB2312"/>
          <w:sz w:val="32"/>
          <w:szCs w:val="32"/>
        </w:rPr>
        <w:t>全部用于教育（类）职业教育（款）中</w:t>
      </w:r>
      <w:r>
        <w:rPr>
          <w:rFonts w:hint="eastAsia" w:ascii="Times New Roman" w:hAnsi="Times New Roman" w:eastAsia="仿宋_GB2312"/>
          <w:sz w:val="32"/>
          <w:szCs w:val="32"/>
          <w:lang w:val="en-US" w:eastAsia="zh-CN"/>
        </w:rPr>
        <w:t>等职业</w:t>
      </w:r>
      <w:r>
        <w:rPr>
          <w:rFonts w:hint="eastAsia" w:ascii="Times New Roman" w:hAnsi="Times New Roman" w:eastAsia="仿宋_GB2312"/>
          <w:sz w:val="32"/>
          <w:szCs w:val="32"/>
        </w:rPr>
        <w:t>教育（项）支出</w:t>
      </w:r>
      <w:r>
        <w:rPr>
          <w:rFonts w:hint="eastAsia" w:ascii="Times New Roman" w:hAnsi="Times New Roman" w:eastAsia="仿宋_GB2312"/>
          <w:sz w:val="32"/>
          <w:szCs w:val="32"/>
          <w:lang w:val="en-US" w:eastAsia="zh-CN"/>
        </w:rPr>
        <w:t>人员经费。</w:t>
      </w:r>
    </w:p>
    <w:p>
      <w:pPr>
        <w:pStyle w:val="10"/>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（二）财政拨款支出决算结构情况</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566.46</w:t>
      </w:r>
      <w:r>
        <w:rPr>
          <w:rFonts w:hint="eastAsia" w:ascii="Times New Roman" w:hAnsi="Times New Roman" w:eastAsia="仿宋_GB2312"/>
          <w:sz w:val="32"/>
          <w:szCs w:val="32"/>
        </w:rPr>
        <w:t>万元，全部用于教育（类）支出566.46万元，占100%。</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（三）财政拨款支出决算具体情况</w:t>
      </w:r>
    </w:p>
    <w:p>
      <w:pPr>
        <w:pStyle w:val="10"/>
        <w:ind w:firstLine="800" w:firstLineChars="250"/>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566.46</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566.46</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%，全部用于教育（类）职业教育（款）中</w:t>
      </w:r>
      <w:r>
        <w:rPr>
          <w:rFonts w:hint="eastAsia" w:ascii="Times New Roman" w:hAnsi="Times New Roman" w:eastAsia="仿宋_GB2312"/>
          <w:sz w:val="32"/>
          <w:szCs w:val="32"/>
          <w:lang w:val="en-US" w:eastAsia="zh-CN"/>
        </w:rPr>
        <w:t>等职业</w:t>
      </w:r>
      <w:r>
        <w:rPr>
          <w:rFonts w:hint="eastAsia" w:ascii="Times New Roman" w:hAnsi="Times New Roman" w:eastAsia="仿宋_GB2312"/>
          <w:sz w:val="32"/>
          <w:szCs w:val="32"/>
        </w:rPr>
        <w:t>教育（项）支出</w:t>
      </w:r>
      <w:r>
        <w:rPr>
          <w:rFonts w:hint="eastAsia" w:ascii="Times New Roman" w:hAnsi="Times New Roman" w:eastAsia="仿宋_GB2312"/>
          <w:sz w:val="32"/>
          <w:szCs w:val="32"/>
          <w:lang w:eastAsia="zh-CN"/>
        </w:rPr>
        <w:t>。</w:t>
      </w:r>
    </w:p>
    <w:p>
      <w:pPr>
        <w:pStyle w:val="10"/>
        <w:ind w:firstLine="800" w:firstLineChars="250"/>
        <w:rPr>
          <w:rFonts w:hint="eastAsia" w:ascii="Times New Roman" w:hAnsi="Times New Roman" w:eastAsia="仿宋_GB2312"/>
          <w:sz w:val="32"/>
          <w:szCs w:val="32"/>
          <w:lang w:eastAsia="zh-CN"/>
        </w:rPr>
      </w:pPr>
      <w:r>
        <w:rPr>
          <w:rFonts w:hint="eastAsia" w:ascii="Times New Roman" w:hAnsi="Times New Roman" w:eastAsia="仿宋_GB2312"/>
          <w:sz w:val="32"/>
          <w:szCs w:val="32"/>
        </w:rPr>
        <w:t>其中：教育（类）职业教育（款）中</w:t>
      </w:r>
      <w:r>
        <w:rPr>
          <w:rFonts w:hint="eastAsia" w:ascii="Times New Roman" w:hAnsi="Times New Roman" w:eastAsia="仿宋_GB2312"/>
          <w:sz w:val="32"/>
          <w:szCs w:val="32"/>
          <w:lang w:val="en-US" w:eastAsia="zh-CN"/>
        </w:rPr>
        <w:t>等职业</w:t>
      </w:r>
      <w:r>
        <w:rPr>
          <w:rFonts w:hint="eastAsia" w:ascii="Times New Roman" w:hAnsi="Times New Roman" w:eastAsia="仿宋_GB2312"/>
          <w:sz w:val="32"/>
          <w:szCs w:val="32"/>
        </w:rPr>
        <w:t>教育（项）支出</w:t>
      </w: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566.46</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566.46</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年度财政拨款基本支出</w:t>
      </w:r>
      <w:r>
        <w:rPr>
          <w:rFonts w:hint="eastAsia" w:ascii="Times New Roman" w:hAnsi="Times New Roman" w:eastAsia="仿宋_GB2312"/>
          <w:sz w:val="32"/>
          <w:szCs w:val="32"/>
          <w:lang w:val="en-US" w:eastAsia="zh-CN"/>
        </w:rPr>
        <w:t>566.46</w:t>
      </w:r>
      <w:r>
        <w:rPr>
          <w:rFonts w:hint="eastAsia" w:ascii="Times New Roman" w:hAnsi="Times New Roman" w:eastAsia="仿宋_GB2312"/>
          <w:sz w:val="32"/>
          <w:szCs w:val="32"/>
        </w:rPr>
        <w:t>万元，其中：</w:t>
      </w: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566.46</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%,主要包括基本工资</w:t>
      </w:r>
      <w:r>
        <w:rPr>
          <w:rFonts w:hint="eastAsia" w:ascii="Times New Roman" w:hAnsi="Times New Roman" w:eastAsia="仿宋_GB2312"/>
          <w:sz w:val="32"/>
          <w:szCs w:val="32"/>
          <w:lang w:val="en-US" w:eastAsia="zh-CN"/>
        </w:rPr>
        <w:t>566.46万元。</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黑体" w:hAnsi="黑体" w:eastAsia="黑体" w:cs="黑体"/>
          <w:b w:val="0"/>
          <w:bCs/>
          <w:sz w:val="32"/>
          <w:szCs w:val="32"/>
        </w:rPr>
        <w:t>七、财政拨款三公经费支出决算情况说明</w:t>
      </w:r>
      <w:r>
        <w:rPr>
          <w:rFonts w:hint="eastAsia" w:ascii="楷体" w:hAnsi="楷体" w:eastAsia="楷体" w:cs="楷体"/>
          <w:b/>
          <w:bCs/>
          <w:i/>
          <w:color w:val="auto"/>
          <w:sz w:val="32"/>
          <w:szCs w:val="32"/>
          <w:lang w:eastAsia="zh-CN"/>
        </w:rPr>
        <w:t>（注意：三公经费情况说明，往年为一般公共预算财政拨款口径，今年为财政拨款口径）</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我单位没有财政拨款“三公”经费支出预决算支出</w:t>
      </w:r>
      <w:r>
        <w:rPr>
          <w:rFonts w:hint="eastAsia" w:ascii="Times New Roman" w:hAnsi="Times New Roman" w:eastAsia="仿宋_GB2312"/>
          <w:sz w:val="32"/>
          <w:szCs w:val="32"/>
        </w:rPr>
        <w:t>。</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年度“三公”经费财政拨款支出预算为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%，其中：</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楷体" w:hAnsi="楷体" w:eastAsia="楷体" w:cs="楷体"/>
          <w:b/>
          <w:bCs w:val="0"/>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楷体" w:hAnsi="楷体" w:eastAsia="楷体" w:cs="楷体"/>
          <w:b/>
          <w:bCs w:val="0"/>
          <w:sz w:val="32"/>
          <w:szCs w:val="32"/>
        </w:rPr>
        <w:t>（二）“三公”经费财政拨款支出决算具体情况说明</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我单位没有财政拨款“三公”经费支出预决算支出。</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%,公务用车购置费及运行维护费支出决算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%。其中：</w:t>
      </w:r>
    </w:p>
    <w:p>
      <w:pPr>
        <w:pStyle w:val="10"/>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楷体" w:hAnsi="楷体" w:eastAsia="仿宋_GB2312" w:cs="楷体"/>
          <w:b/>
          <w:bCs/>
          <w:i/>
          <w:color w:val="auto"/>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万元，公务用车运行维护费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截止202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辆。本单位共有车辆2辆，</w:t>
      </w:r>
      <w:r>
        <w:rPr>
          <w:rFonts w:hint="eastAsia" w:ascii="Times New Roman" w:hAnsi="Times New Roman" w:eastAsia="仿宋_GB2312"/>
          <w:sz w:val="32"/>
          <w:szCs w:val="32"/>
          <w:lang w:val="en-US" w:eastAsia="zh-CN"/>
        </w:rPr>
        <w:t>系经营收入购置，</w:t>
      </w:r>
      <w:r>
        <w:rPr>
          <w:rFonts w:hint="eastAsia" w:ascii="Times New Roman" w:hAnsi="Times New Roman" w:eastAsia="仿宋_GB2312"/>
          <w:sz w:val="32"/>
          <w:szCs w:val="32"/>
        </w:rPr>
        <w:t>主要是用于单位开展教育培训业务使用。</w:t>
      </w:r>
      <w:r>
        <w:rPr>
          <w:rFonts w:hint="eastAsia" w:ascii="楷体" w:hAnsi="楷体" w:eastAsia="楷体" w:cs="楷体"/>
          <w:b/>
          <w:bCs/>
          <w:i/>
          <w:color w:val="auto"/>
          <w:kern w:val="0"/>
          <w:sz w:val="32"/>
          <w:szCs w:val="32"/>
          <w:lang w:val="en-US" w:eastAsia="zh-CN" w:bidi="ar-SA"/>
        </w:rPr>
        <w:t>（三公经费支出口径应在专业名词解释中予以说明）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我单位没有政府性基金收入，也没有使用政府性基金安排的支出。</w:t>
      </w:r>
      <w:r>
        <w:rPr>
          <w:rFonts w:hint="eastAsia" w:ascii="Times New Roman" w:hAnsi="Times New Roman" w:eastAsia="仿宋_GB2312"/>
          <w:sz w:val="32"/>
          <w:szCs w:val="32"/>
        </w:rPr>
        <w:t xml:space="preserve"> </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年度政府性基金预算财政拨款收入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万元；年初结转和结余</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万元，项目支出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元；年末结转和结余</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Times New Roman" w:hAnsi="Times New Roman" w:eastAsia="仿宋_GB2312"/>
          <w:b/>
          <w:sz w:val="32"/>
          <w:szCs w:val="32"/>
        </w:rPr>
        <w:t>九、关于机关运行经费支出说明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我</w:t>
      </w:r>
      <w:r>
        <w:rPr>
          <w:rFonts w:hint="eastAsia" w:ascii="Times New Roman" w:hAnsi="Times New Roman" w:eastAsia="仿宋_GB2312"/>
          <w:sz w:val="32"/>
          <w:szCs w:val="32"/>
        </w:rPr>
        <w:t>单位无机关运行经费支出。</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年度机关运行经费支出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楷体" w:hAnsi="楷体" w:eastAsia="楷体" w:cs="楷体"/>
          <w:b/>
          <w:bCs/>
          <w:i/>
          <w:color w:val="auto"/>
          <w:kern w:val="0"/>
          <w:sz w:val="32"/>
          <w:szCs w:val="32"/>
          <w:lang w:val="en-US" w:eastAsia="zh-CN" w:bidi="ar-SA"/>
        </w:rPr>
        <w:t>（与部门决算中行政单位和参照公务员法管理事业单位一般公共预算财政拨款基本支出中公用经费之和一致）</w:t>
      </w:r>
      <w:r>
        <w:rPr>
          <w:rFonts w:hint="eastAsia" w:ascii="Times New Roman" w:hAnsi="Times New Roman" w:eastAsia="仿宋_GB2312"/>
          <w:sz w:val="32"/>
          <w:szCs w:val="32"/>
        </w:rPr>
        <w:t>，比年初预算数（或者上年决算数）增加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r>
        <w:rPr>
          <w:rFonts w:hint="eastAsia" w:ascii="楷体" w:hAnsi="楷体" w:eastAsia="楷体" w:cs="楷体"/>
          <w:b/>
          <w:bCs/>
          <w:i/>
          <w:color w:val="auto"/>
          <w:kern w:val="0"/>
          <w:sz w:val="32"/>
          <w:szCs w:val="32"/>
          <w:lang w:val="en-US" w:eastAsia="zh-CN" w:bidi="ar-SA"/>
        </w:rPr>
        <w:t>（具体增减原因由部门根据实际情况填列，机关运行经费支出口径应在专业名词解释中予以说明）</w:t>
      </w:r>
      <w:r>
        <w:rPr>
          <w:rFonts w:hint="eastAsia" w:ascii="Times New Roman" w:hAnsi="Times New Roman" w:eastAsia="仿宋_GB2312"/>
          <w:sz w:val="32"/>
          <w:szCs w:val="32"/>
        </w:rPr>
        <w:t>。</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我单位无财政拨款的</w:t>
      </w:r>
      <w:r>
        <w:rPr>
          <w:rFonts w:hint="eastAsia" w:ascii="Times New Roman" w:hAnsi="Times New Roman" w:eastAsia="仿宋_GB2312"/>
          <w:sz w:val="32"/>
          <w:szCs w:val="32"/>
        </w:rPr>
        <w:t>会议费，培训费，举办节庆、晚会、论坛、赛事等活动开支。</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w:t>
      </w:r>
      <w:r>
        <w:rPr>
          <w:rFonts w:hint="eastAsia" w:ascii="Times New Roman" w:hAnsi="Times New Roman" w:eastAsia="仿宋_GB2312"/>
          <w:sz w:val="32"/>
          <w:szCs w:val="32"/>
          <w:lang w:val="en-US" w:eastAsia="zh-CN"/>
        </w:rPr>
        <w:t>我单位</w:t>
      </w:r>
      <w:r>
        <w:rPr>
          <w:rFonts w:hint="eastAsia" w:ascii="Times New Roman" w:hAnsi="Times New Roman" w:eastAsia="仿宋_GB2312"/>
          <w:sz w:val="32"/>
          <w:szCs w:val="32"/>
        </w:rPr>
        <w:t>开支会议费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万元，；开支培训费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万元；举办节庆、晚会、论坛、赛事活动，开支</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楷体" w:hAnsi="楷体" w:eastAsia="楷体" w:cs="楷体"/>
          <w:b/>
          <w:bCs/>
          <w:i/>
          <w:color w:val="auto"/>
          <w:kern w:val="0"/>
          <w:sz w:val="32"/>
          <w:szCs w:val="32"/>
          <w:lang w:val="en-US" w:eastAsia="zh-CN" w:bidi="ar-SA"/>
        </w:rPr>
        <w:t>（注：三类会议、培训活动，节庆、晚会、论坛、赛事等活动，请分项列明活动计划及经费预算情况）</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我单位无政府采购支出。</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%。货物采购授予中小企业合同金额占货物支出金额的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%，工程采购授予中小企业合同金额占工程支出金额的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%，服务采购授予中小企业合同金额占服务支出金额的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r>
        <w:rPr>
          <w:rFonts w:hint="eastAsia" w:ascii="楷体" w:hAnsi="楷体" w:eastAsia="楷体" w:cs="楷体"/>
          <w:b/>
          <w:bCs/>
          <w:i/>
          <w:color w:val="auto"/>
          <w:kern w:val="0"/>
          <w:sz w:val="32"/>
          <w:szCs w:val="32"/>
          <w:lang w:val="en-US" w:eastAsia="zh-CN" w:bidi="ar-SA"/>
        </w:rPr>
        <w:t>（政府采购金额的计算口径为：本部门纳入2022年度部门预算范围的各项政府采购支出金额之和，不包括涉密采购项目的支出金额）</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十二、关于国有资产占用情况说明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截至202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年12月31日，本单位共有车辆</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辆，其中，主要领导干部用车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辆，机要通信用车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辆、其他用车</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辆</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其他用车系经营收入购置，主要是用于单位开展教育培训</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单位价值50万元以上通用设备</w:t>
      </w: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台（套）；单位价值100万元以上专用设备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台（套）。</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十三、关于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黑体" w:hAnsi="黑体" w:eastAsia="黑体" w:cs="黑体"/>
          <w:b w:val="0"/>
          <w:bCs/>
          <w:sz w:val="32"/>
          <w:szCs w:val="32"/>
        </w:rPr>
        <w:t>年度预算绩效情况的说明</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（一）</w:t>
      </w:r>
      <w:r>
        <w:rPr>
          <w:rFonts w:hint="eastAsia" w:ascii="楷体" w:hAnsi="楷体" w:eastAsia="楷体" w:cs="楷体"/>
          <w:b/>
          <w:bCs/>
          <w:sz w:val="32"/>
          <w:szCs w:val="32"/>
        </w:rPr>
        <w:t>部门整体支出绩效情况</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根据预算绩效管理要求，我单位对202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年度一般公共预算财政拨款基本支出全面开展绩效自评，共涉及预算资金566.46万元，自评覆盖率达100%。202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年一般公共预算</w:t>
      </w:r>
      <w:r>
        <w:rPr>
          <w:rFonts w:hint="eastAsia" w:ascii="Times New Roman" w:hAnsi="Times New Roman" w:eastAsia="仿宋_GB2312"/>
          <w:sz w:val="32"/>
          <w:szCs w:val="32"/>
          <w:lang w:val="en-US" w:eastAsia="zh-CN"/>
        </w:rPr>
        <w:t>财政拨款</w:t>
      </w:r>
      <w:r>
        <w:rPr>
          <w:rFonts w:hint="eastAsia" w:ascii="Times New Roman" w:hAnsi="Times New Roman" w:eastAsia="仿宋_GB2312"/>
          <w:sz w:val="32"/>
          <w:szCs w:val="32"/>
        </w:rPr>
        <w:t>基本支出566.46万元，全部用于人员经费支出，其中：基本工资566.46万元。</w:t>
      </w:r>
      <w:r>
        <w:rPr>
          <w:rFonts w:hint="eastAsia" w:ascii="Times New Roman" w:hAnsi="Times New Roman" w:eastAsia="仿宋_GB2312"/>
          <w:sz w:val="32"/>
          <w:szCs w:val="32"/>
          <w:lang w:val="en-US" w:eastAsia="zh-CN"/>
        </w:rPr>
        <w:t>我单位2022年度无项目支出。</w:t>
      </w:r>
    </w:p>
    <w:p>
      <w:pPr>
        <w:pStyle w:val="10"/>
        <w:keepNext w:val="0"/>
        <w:keepLines w:val="0"/>
        <w:pageBreakBefore w:val="0"/>
        <w:widowControl w:val="0"/>
        <w:numPr>
          <w:ilvl w:val="0"/>
          <w:numId w:val="2"/>
        </w:numPr>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rPr>
        <w:t>存在的问题及原因分析</w:t>
      </w:r>
    </w:p>
    <w:p>
      <w:pPr>
        <w:pStyle w:val="10"/>
        <w:keepNext w:val="0"/>
        <w:keepLines w:val="0"/>
        <w:pageBreakBefore w:val="0"/>
        <w:widowControl w:val="0"/>
        <w:numPr>
          <w:numId w:val="0"/>
        </w:numPr>
        <w:kinsoku/>
        <w:wordWrap/>
        <w:overflowPunct/>
        <w:topLinePunct w:val="0"/>
        <w:autoSpaceDE w:val="0"/>
        <w:autoSpaceDN w:val="0"/>
        <w:bidi w:val="0"/>
        <w:adjustRightInd w:val="0"/>
        <w:snapToGrid/>
        <w:spacing w:line="600" w:lineRule="exact"/>
        <w:ind w:firstLine="640" w:firstLineChars="200"/>
        <w:jc w:val="left"/>
        <w:textAlignment w:val="auto"/>
        <w:rPr>
          <w:rFonts w:hint="eastAsia" w:eastAsia="黑体"/>
          <w:sz w:val="72"/>
          <w:szCs w:val="72"/>
          <w:lang w:eastAsia="zh-CN"/>
        </w:rPr>
      </w:pPr>
      <w:r>
        <w:rPr>
          <w:rFonts w:hint="eastAsia" w:ascii="Times New Roman" w:hAnsi="Times New Roman" w:eastAsia="仿宋_GB2312"/>
          <w:sz w:val="32"/>
          <w:szCs w:val="32"/>
          <w:lang w:val="en-US" w:eastAsia="zh-CN"/>
        </w:rPr>
        <w:t>无</w:t>
      </w: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both"/>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br w:type="page"/>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一、财政拨款收入：指省级财政当年拨付的资金。</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二、事业收入：指事业单位开展专业业务活动及辅助活动所取得的收入。</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三、经营收入：指事业单位在专业业务活动及其辅助活动之外开展非独立核算经营活动取得的收入。</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四、其他收入：指单位取得的除上述收入以外的各项收入。</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五、年初结转和结余：指以前年度尚未完成、结转到本年按有关规定继续使用的资金。</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六、基本支出：指保障机构正常运转、完成日常工作任务而发生的人员支出和公用支出。</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七、经营支出：指事业单位在专业业务活动及其辅助活动之外开展非独立核算经营活动发生的支出。</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八、项目支出：指在基本支出之外为完成特定行政任务和事业发展目标所发生的支出。</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九、“三公”经费：指用财政拨款安排的因公出国（境）费、公务用车购置及运行费和公务接待费。</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十、机关运行经费：指为保障行政单位（含参照公务员法管理的事业单位）运行用于购买货物和服务的各项资金。</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sz w:val="72"/>
          <w:szCs w:val="72"/>
        </w:rPr>
      </w:pPr>
      <w:r>
        <w:rPr>
          <w:rFonts w:hint="eastAsia" w:ascii="Times New Roman" w:hAnsi="Times New Roman" w:eastAsia="仿宋_GB2312"/>
          <w:sz w:val="32"/>
          <w:szCs w:val="32"/>
          <w:lang w:val="en-US" w:eastAsia="zh-CN"/>
        </w:rPr>
        <w:t>（</w:t>
      </w:r>
      <w:r>
        <w:rPr>
          <w:rFonts w:hint="eastAsia" w:ascii="楷体" w:hAnsi="楷体" w:eastAsia="楷体" w:cs="楷体"/>
          <w:b/>
          <w:bCs/>
          <w:i/>
          <w:color w:val="auto"/>
          <w:kern w:val="0"/>
          <w:sz w:val="32"/>
          <w:szCs w:val="32"/>
          <w:lang w:val="en-US" w:eastAsia="zh-CN" w:bidi="ar-SA"/>
        </w:rPr>
        <w:t>名词解释应包含本部门专有名词，如省财政厅应有对“财政事务”科目的解释，可参考中央相关部门的名词解释）</w:t>
      </w:r>
      <w:bookmarkStart w:id="3" w:name="_GoBack"/>
      <w:bookmarkEnd w:id="3"/>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2711B9"/>
    <w:multiLevelType w:val="singleLevel"/>
    <w:tmpl w:val="CD2711B9"/>
    <w:lvl w:ilvl="0" w:tentative="0">
      <w:start w:val="2"/>
      <w:numFmt w:val="chineseCounting"/>
      <w:suff w:val="nothing"/>
      <w:lvlText w:val="（%1）"/>
      <w:lvlJc w:val="left"/>
      <w:rPr>
        <w:rFonts w:hint="eastAsia"/>
      </w:rPr>
    </w:lvl>
  </w:abstractNum>
  <w:abstractNum w:abstractNumId="1">
    <w:nsid w:val="0053208E"/>
    <w:multiLevelType w:val="multilevel"/>
    <w:tmpl w:val="005320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37B92"/>
    <w:rsid w:val="021F06D0"/>
    <w:rsid w:val="0DC94BFE"/>
    <w:rsid w:val="0DE02DFC"/>
    <w:rsid w:val="0FE95329"/>
    <w:rsid w:val="116F1F4D"/>
    <w:rsid w:val="15171457"/>
    <w:rsid w:val="176E5C33"/>
    <w:rsid w:val="17DF0B24"/>
    <w:rsid w:val="1D1D0E20"/>
    <w:rsid w:val="2E727871"/>
    <w:rsid w:val="409B395D"/>
    <w:rsid w:val="40F774C2"/>
    <w:rsid w:val="41A513B8"/>
    <w:rsid w:val="48FE27E2"/>
    <w:rsid w:val="5CE8140B"/>
    <w:rsid w:val="5FBF1076"/>
    <w:rsid w:val="60B364C2"/>
    <w:rsid w:val="6F3834C9"/>
    <w:rsid w:val="71E24100"/>
    <w:rsid w:val="79713E42"/>
    <w:rsid w:val="7A2278CA"/>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2"/>
    <w:semiHidden/>
    <w:qFormat/>
    <w:uiPriority w:val="99"/>
    <w:rPr>
      <w:sz w:val="18"/>
      <w:szCs w:val="18"/>
    </w:rPr>
  </w:style>
  <w:style w:type="character" w:customStyle="1" w:styleId="13">
    <w:name w:val="font01"/>
    <w:basedOn w:val="7"/>
    <w:qFormat/>
    <w:uiPriority w:val="0"/>
    <w:rPr>
      <w:rFonts w:hint="eastAsia" w:ascii="宋体" w:hAnsi="宋体" w:eastAsia="宋体" w:cs="宋体"/>
      <w:color w:val="000000"/>
      <w:sz w:val="22"/>
      <w:szCs w:val="22"/>
      <w:u w:val="none"/>
    </w:rPr>
  </w:style>
  <w:style w:type="character" w:customStyle="1" w:styleId="14">
    <w:name w:val="font21"/>
    <w:basedOn w:val="7"/>
    <w:qFormat/>
    <w:uiPriority w:val="0"/>
    <w:rPr>
      <w:rFonts w:hint="eastAsia" w:ascii="宋体" w:hAnsi="宋体" w:eastAsia="宋体" w:cs="宋体"/>
      <w:color w:val="000000"/>
      <w:sz w:val="24"/>
      <w:szCs w:val="24"/>
      <w:u w:val="none"/>
    </w:rPr>
  </w:style>
  <w:style w:type="character" w:customStyle="1" w:styleId="15">
    <w:name w:val="font11"/>
    <w:basedOn w:val="7"/>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0.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greatwall</cp:lastModifiedBy>
  <cp:revision>67</cp:revision>
  <cp:lastPrinted>2023-08-15T09:28:45Z</cp:lastPrinted>
  <dcterms:created xsi:type="dcterms:W3CDTF">2020-07-04T18:32:00Z</dcterms:created>
  <dcterms:modified xsi:type="dcterms:W3CDTF">2023-08-15T09:28:46Z</dcterms:modified>
</cp:coreProperties>
</file>

<file path=customXml/item2.xml><?xml version="1.0" encoding="utf-8"?>
<Properties xmlns:vt="http://schemas.openxmlformats.org/officeDocument/2006/docPropsVTypes" xmlns="http://schemas.openxmlformats.org/officeDocument/2006/extended-properties">
  <Template>Normal</Template>
  <TotalTime>37</TotalTime>
  <Pages>24</Pages>
  <Words>1347</Words>
  <Characters>7679</Characters>
  <Application>WPS Office_11.8.2.10125_F1E327BC-269C-435d-A152-05C5408002CA</Application>
  <DocSecurity>0</DocSecurity>
  <Lines>63</Lines>
  <Paragraphs>18</Paragraphs>
  <Company>Microsoft</Company>
  <CharactersWithSpaces>9008</CharactersWithSpaces>
  <AppVersion>14.0000</AppVersion>
</Properties>
</file>

<file path=customXml/item3.xml><?xml version="1.0" encoding="utf-8"?>
<Properties xmlns:vt="http://schemas.openxmlformats.org/officeDocument/2006/docPropsVTypes" xmlns="http://schemas.openxmlformats.org/officeDocument/2006/custom-properties">
  <property fmtid="{D5CDD505-2E9C-101B-9397-08002B2CF9AE}" pid="2" name="KSOProductBuildVer">
    <vt:lpstr>2052-11.8.2.10125</vt:lpstr>
  </proper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5.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8.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9.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669778c0-0c15-414c-a533-06bfc8d45dfb}">
  <ds:schemaRefs/>
</ds:datastoreItem>
</file>

<file path=customXml/itemProps2.xml><?xml version="1.0" encoding="utf-8"?>
<ds:datastoreItem xmlns:ds="http://schemas.openxmlformats.org/officeDocument/2006/customXml" ds:itemID="{4b36b7c3-ae62-462d-8876-62bebd06b6b7}">
  <ds:schemaRefs/>
</ds:datastoreItem>
</file>

<file path=customXml/itemProps3.xml><?xml version="1.0" encoding="utf-8"?>
<ds:datastoreItem xmlns:ds="http://schemas.openxmlformats.org/officeDocument/2006/customXml" ds:itemID="{306fbcb5-d306-436c-b949-8a45bd48af20}">
  <ds:schemaRefs/>
</ds:datastoreItem>
</file>

<file path=customXml/itemProps4.xml><?xml version="1.0" encoding="utf-8"?>
<ds:datastoreItem xmlns:ds="http://schemas.openxmlformats.org/officeDocument/2006/customXml" ds:itemID="{8023de2e-c0db-4805-9793-f7e0d4a01b9e}">
  <ds:schemaRefs/>
</ds:datastoreItem>
</file>

<file path=customXml/itemProps5.xml><?xml version="1.0" encoding="utf-8"?>
<ds:datastoreItem xmlns:ds="http://schemas.openxmlformats.org/officeDocument/2006/customXml" ds:itemID="{a27b8c51-8a74-40d0-81cd-472f14f66a93}">
  <ds:schemaRefs/>
</ds:datastoreItem>
</file>

<file path=customXml/itemProps6.xml><?xml version="1.0" encoding="utf-8"?>
<ds:datastoreItem xmlns:ds="http://schemas.openxmlformats.org/officeDocument/2006/customXml" ds:itemID="{9d3985ea-dea6-4601-810c-892a8705c712}">
  <ds:schemaRefs/>
</ds:datastoreItem>
</file>

<file path=customXml/itemProps7.xml><?xml version="1.0" encoding="utf-8"?>
<ds:datastoreItem xmlns:ds="http://schemas.openxmlformats.org/officeDocument/2006/customXml" ds:itemID="{39f7db22-749b-43e1-80c2-5fd33c1d9bd8}">
  <ds:schemaRefs/>
</ds:datastoreItem>
</file>

<file path=customXml/itemProps8.xml><?xml version="1.0" encoding="utf-8"?>
<ds:datastoreItem xmlns:ds="http://schemas.openxmlformats.org/officeDocument/2006/customXml" ds:itemID="{83fb46bf-236a-4c8b-bd5e-e5e4d6180b6e}">
  <ds:schemaRefs/>
</ds:datastoreItem>
</file>

<file path=customXml/itemProps9.xml><?xml version="1.0" encoding="utf-8"?>
<ds:datastoreItem xmlns:ds="http://schemas.openxmlformats.org/officeDocument/2006/customXml" ds:itemID="{8aed3021-f497-43f3-afbd-2d51d1e1109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48</TotalTime>
  <ScaleCrop>false</ScaleCrop>
  <LinksUpToDate>false</LinksUpToDate>
  <CharactersWithSpaces>9008</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Administrator</cp:lastModifiedBy>
  <cp:lastPrinted>2023-08-15T09:28:00Z</cp:lastPrinted>
  <dcterms:modified xsi:type="dcterms:W3CDTF">2023-08-22T03:28:38Z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B81DFE968C934A15B19CA87DA7377B37</vt:lpwstr>
  </property>
</Properties>
</file>