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jc w:val="both"/>
        <w:rPr>
          <w:rFonts w:hint="default" w:ascii="Times New Roman" w:hAnsi="Times New Roman" w:cs="Times New Roman"/>
          <w:sz w:val="36"/>
          <w:szCs w:val="36"/>
        </w:rPr>
      </w:pPr>
    </w:p>
    <w:p>
      <w:pPr>
        <w:pStyle w:val="16"/>
        <w:jc w:val="center"/>
        <w:rPr>
          <w:rFonts w:hint="default" w:ascii="Times New Roman" w:hAnsi="Times New Roman" w:cs="Times New Roman"/>
          <w:sz w:val="56"/>
          <w:szCs w:val="56"/>
        </w:rPr>
      </w:pPr>
    </w:p>
    <w:p>
      <w:pPr>
        <w:pStyle w:val="16"/>
        <w:jc w:val="both"/>
        <w:rPr>
          <w:rFonts w:hint="default" w:ascii="Times New Roman" w:hAnsi="Times New Roman" w:cs="Times New Roman"/>
          <w:sz w:val="84"/>
          <w:szCs w:val="84"/>
        </w:rPr>
      </w:pPr>
    </w:p>
    <w:p>
      <w:pPr>
        <w:pStyle w:val="16"/>
        <w:jc w:val="center"/>
        <w:rPr>
          <w:rFonts w:hint="default" w:ascii="Times New Roman" w:hAnsi="Times New Roman" w:eastAsia="方正小标宋简体" w:cs="Times New Roman"/>
          <w:sz w:val="72"/>
          <w:szCs w:val="72"/>
        </w:rPr>
      </w:pPr>
      <w:r>
        <w:rPr>
          <w:rFonts w:hint="default" w:ascii="Times New Roman" w:hAnsi="Times New Roman" w:eastAsia="方正小标宋简体" w:cs="Times New Roman"/>
          <w:sz w:val="72"/>
          <w:szCs w:val="72"/>
        </w:rPr>
        <w:t>2024年度</w:t>
      </w:r>
    </w:p>
    <w:p>
      <w:pPr>
        <w:pStyle w:val="16"/>
        <w:jc w:val="center"/>
        <w:rPr>
          <w:rFonts w:hint="default" w:ascii="Times New Roman" w:hAnsi="Times New Roman" w:eastAsia="方正小标宋简体" w:cs="Times New Roman"/>
          <w:sz w:val="72"/>
          <w:szCs w:val="72"/>
          <w:lang w:val="en-US" w:eastAsia="zh-CN"/>
        </w:rPr>
      </w:pPr>
      <w:r>
        <w:rPr>
          <w:rFonts w:hint="default" w:ascii="Times New Roman" w:hAnsi="Times New Roman" w:eastAsia="方正小标宋简体" w:cs="Times New Roman"/>
          <w:sz w:val="72"/>
          <w:szCs w:val="72"/>
          <w:lang w:val="en-US" w:eastAsia="zh-CN"/>
        </w:rPr>
        <w:t>湖南省福利彩票发行中心</w:t>
      </w:r>
    </w:p>
    <w:p>
      <w:pPr>
        <w:pStyle w:val="16"/>
        <w:jc w:val="center"/>
        <w:rPr>
          <w:rFonts w:hint="default" w:ascii="Times New Roman" w:hAnsi="Times New Roman" w:eastAsia="方正小标宋简体" w:cs="Times New Roman"/>
          <w:sz w:val="72"/>
          <w:szCs w:val="72"/>
        </w:rPr>
      </w:pPr>
      <w:r>
        <w:rPr>
          <w:rFonts w:hint="default" w:ascii="Times New Roman" w:hAnsi="Times New Roman" w:eastAsia="方正小标宋简体" w:cs="Times New Roman"/>
          <w:sz w:val="72"/>
          <w:szCs w:val="72"/>
        </w:rPr>
        <w:t>部门决算</w:t>
      </w:r>
    </w:p>
    <w:p>
      <w:pPr>
        <w:pStyle w:val="16"/>
        <w:jc w:val="center"/>
        <w:rPr>
          <w:rFonts w:hint="default" w:ascii="Times New Roman" w:hAnsi="Times New Roman" w:eastAsia="方正小标宋_GBK" w:cs="Times New Roman"/>
          <w:sz w:val="56"/>
          <w:szCs w:val="56"/>
        </w:rPr>
      </w:pPr>
    </w:p>
    <w:p>
      <w:pPr>
        <w:pStyle w:val="16"/>
        <w:jc w:val="center"/>
        <w:rPr>
          <w:rFonts w:hint="default" w:ascii="Times New Roman" w:hAnsi="Times New Roman" w:cs="Times New Roman"/>
          <w:sz w:val="56"/>
          <w:szCs w:val="56"/>
        </w:rPr>
      </w:pPr>
    </w:p>
    <w:p>
      <w:pPr>
        <w:pStyle w:val="16"/>
        <w:rPr>
          <w:rFonts w:hint="default" w:ascii="Times New Roman" w:hAnsi="Times New Roman" w:cs="Times New Roman"/>
          <w:sz w:val="56"/>
          <w:szCs w:val="56"/>
        </w:rPr>
      </w:pPr>
    </w:p>
    <w:p>
      <w:pPr>
        <w:pStyle w:val="16"/>
        <w:jc w:val="center"/>
        <w:rPr>
          <w:rFonts w:hint="default" w:ascii="Times New Roman" w:hAnsi="Times New Roman" w:cs="Times New Roman"/>
          <w:sz w:val="32"/>
          <w:szCs w:val="32"/>
        </w:rPr>
      </w:pPr>
    </w:p>
    <w:p>
      <w:pPr>
        <w:pStyle w:val="16"/>
        <w:spacing w:line="600" w:lineRule="exact"/>
        <w:jc w:val="both"/>
        <w:rPr>
          <w:rFonts w:hint="default" w:ascii="Times New Roman" w:hAnsi="Times New Roman" w:cs="Times New Roman"/>
          <w:b/>
          <w:sz w:val="36"/>
          <w:szCs w:val="28"/>
        </w:rPr>
        <w:sectPr>
          <w:pgSz w:w="11906" w:h="16838"/>
          <w:pgMar w:top="1417" w:right="1588" w:bottom="1417" w:left="1588" w:header="851" w:footer="992" w:gutter="0"/>
          <w:pgNumType w:fmt="decimal" w:start="1"/>
          <w:cols w:space="425" w:num="1"/>
          <w:docGrid w:type="lines" w:linePitch="312" w:charSpace="0"/>
        </w:sectPr>
      </w:pPr>
    </w:p>
    <w:p>
      <w:pPr>
        <w:pStyle w:val="16"/>
        <w:spacing w:line="600" w:lineRule="exact"/>
        <w:jc w:val="cente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目  录</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sz w:val="32"/>
          <w:szCs w:val="32"/>
        </w:rPr>
      </w:pP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第一部分 湖南省福利彩票发行中心概况</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一、部门职责</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二、机构设置及决算单位构成</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黑体" w:cs="Times New Roman"/>
          <w:b w:val="0"/>
          <w:bCs/>
          <w:sz w:val="32"/>
          <w:szCs w:val="32"/>
        </w:rPr>
        <w:t>第二部分 部门决算表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一、收入支出决算总表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二、收入决算表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三、支出决算表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四、财政拨款收入支出决算总表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五、一般公共预算财政拨款支出决算表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六、一般公共预算财政拨款基本支出决算明细表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七、政府性基金预算财政拨款收入支出决算表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八、国有资本经营预算财政拨款支出决算表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九、财政拨款“三公”经费支出决算表</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第三部分 部门决算情况说明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一、收入支出决算总体情况说明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二、收入决算情况说明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三、支出决算情况说明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四、财政拨款收入支出决算总体情况说明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五、一般公共预算财政拨款支出决算情况说明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六、一般公共预算财政拨款基本支出决算情况说明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七、财政拨款“三公”经费支出决算情况说明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八、政府性基金预算收入支出决算情况</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九、关于机关运行经费支出说明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十、一般性支出情况说明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十一、关于政府采购支出说明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十二、关于国有资产占用情况说明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十三、关于2024年度预算绩效管理情况的说明</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第四部分 名词解释</w:t>
      </w:r>
    </w:p>
    <w:p>
      <w:pPr>
        <w:pStyle w:val="16"/>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default" w:ascii="Times New Roman" w:hAnsi="Times New Roman" w:cs="Times New Roman"/>
          <w:sz w:val="72"/>
          <w:szCs w:val="72"/>
        </w:rPr>
      </w:pPr>
      <w:r>
        <w:rPr>
          <w:rFonts w:hint="default" w:ascii="Times New Roman" w:hAnsi="Times New Roman" w:eastAsia="黑体" w:cs="Times New Roman"/>
          <w:b w:val="0"/>
          <w:bCs/>
          <w:sz w:val="32"/>
          <w:szCs w:val="32"/>
        </w:rPr>
        <w:t>第五部分 附件</w:t>
      </w:r>
    </w:p>
    <w:p>
      <w:pPr>
        <w:pStyle w:val="10"/>
        <w:rPr>
          <w:rFonts w:hint="default" w:ascii="Times New Roman" w:hAnsi="Times New Roman" w:cs="Times New Roman"/>
        </w:rPr>
        <w:sectPr>
          <w:footerReference r:id="rId3" w:type="default"/>
          <w:pgSz w:w="11906" w:h="16838"/>
          <w:pgMar w:top="1417" w:right="1588" w:bottom="1417" w:left="1588" w:header="851" w:footer="992" w:gutter="0"/>
          <w:pgNumType w:fmt="decimal" w:start="1"/>
          <w:cols w:space="425" w:num="1"/>
          <w:docGrid w:type="lines" w:linePitch="312" w:charSpace="0"/>
        </w:sectPr>
      </w:pPr>
    </w:p>
    <w:p>
      <w:pPr>
        <w:pStyle w:val="16"/>
        <w:spacing w:line="360" w:lineRule="auto"/>
        <w:jc w:val="center"/>
        <w:rPr>
          <w:rFonts w:hint="default" w:ascii="Times New Roman" w:hAnsi="Times New Roman" w:eastAsia="方正小标宋_GBK" w:cs="Times New Roman"/>
          <w:sz w:val="52"/>
          <w:szCs w:val="52"/>
        </w:rPr>
      </w:pPr>
    </w:p>
    <w:p>
      <w:pPr>
        <w:pStyle w:val="16"/>
        <w:spacing w:line="360" w:lineRule="auto"/>
        <w:jc w:val="center"/>
        <w:rPr>
          <w:rFonts w:hint="default" w:ascii="Times New Roman" w:hAnsi="Times New Roman" w:eastAsia="方正小标宋_GBK" w:cs="Times New Roman"/>
          <w:sz w:val="52"/>
          <w:szCs w:val="52"/>
        </w:rPr>
      </w:pPr>
    </w:p>
    <w:p>
      <w:pPr>
        <w:pStyle w:val="16"/>
        <w:spacing w:line="360" w:lineRule="auto"/>
        <w:jc w:val="center"/>
        <w:rPr>
          <w:rFonts w:hint="default" w:ascii="Times New Roman" w:hAnsi="Times New Roman" w:eastAsia="方正小标宋_GBK" w:cs="Times New Roman"/>
          <w:sz w:val="52"/>
          <w:szCs w:val="52"/>
        </w:rPr>
      </w:pPr>
    </w:p>
    <w:p>
      <w:pPr>
        <w:pStyle w:val="16"/>
        <w:spacing w:line="360" w:lineRule="auto"/>
        <w:jc w:val="center"/>
        <w:rPr>
          <w:rFonts w:hint="default" w:ascii="Times New Roman" w:hAnsi="Times New Roman" w:eastAsia="方正小标宋_GBK" w:cs="Times New Roman"/>
          <w:sz w:val="52"/>
          <w:szCs w:val="52"/>
        </w:rPr>
      </w:pPr>
    </w:p>
    <w:p>
      <w:pPr>
        <w:pStyle w:val="16"/>
        <w:spacing w:line="360" w:lineRule="auto"/>
        <w:jc w:val="center"/>
        <w:rPr>
          <w:rFonts w:hint="default" w:ascii="Times New Roman" w:hAnsi="Times New Roman" w:eastAsia="方正小标宋_GBK" w:cs="Times New Roman"/>
          <w:sz w:val="52"/>
          <w:szCs w:val="52"/>
        </w:rPr>
      </w:pPr>
    </w:p>
    <w:p>
      <w:pPr>
        <w:pStyle w:val="16"/>
        <w:spacing w:line="360" w:lineRule="auto"/>
        <w:jc w:val="both"/>
        <w:rPr>
          <w:rFonts w:hint="default" w:ascii="Times New Roman" w:hAnsi="Times New Roman" w:eastAsia="方正小标宋_GBK" w:cs="Times New Roman"/>
          <w:sz w:val="52"/>
          <w:szCs w:val="52"/>
        </w:rPr>
      </w:pPr>
    </w:p>
    <w:p>
      <w:pPr>
        <w:pStyle w:val="16"/>
        <w:spacing w:line="360" w:lineRule="auto"/>
        <w:jc w:val="both"/>
        <w:rPr>
          <w:rFonts w:hint="default" w:ascii="Times New Roman" w:hAnsi="Times New Roman" w:eastAsia="方正小标宋_GBK" w:cs="Times New Roman"/>
          <w:sz w:val="52"/>
          <w:szCs w:val="52"/>
        </w:rPr>
      </w:pPr>
    </w:p>
    <w:p>
      <w:pPr>
        <w:pStyle w:val="16"/>
        <w:spacing w:line="360" w:lineRule="auto"/>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第一部分</w:t>
      </w:r>
    </w:p>
    <w:p>
      <w:pPr>
        <w:pStyle w:val="16"/>
        <w:spacing w:line="360" w:lineRule="auto"/>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湖南省福利彩票发行中心概况</w:t>
      </w:r>
    </w:p>
    <w:p>
      <w:pPr>
        <w:pStyle w:val="6"/>
        <w:ind w:left="0" w:leftChars="0" w:firstLine="0" w:firstLineChars="0"/>
        <w:rPr>
          <w:rFonts w:hint="default" w:ascii="Times New Roman" w:hAnsi="Times New Roman" w:cs="Times New Roman"/>
        </w:rPr>
      </w:pPr>
    </w:p>
    <w:p>
      <w:pPr>
        <w:pStyle w:val="17"/>
        <w:spacing w:line="600" w:lineRule="exact"/>
        <w:ind w:firstLine="0" w:firstLineChars="0"/>
        <w:jc w:val="left"/>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pPr>
        <w:pStyle w:val="17"/>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一、部门职责</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湖南省福利彩票发行中心（以下简称省福彩中心）是湖南省民政厅所属公益二类事业单位，主要职责是：</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（一）制定本行政区域福利彩票销售管理办法和工作规范；</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（二）向中国福利彩票发行机构提出停止彩票品种或者变更彩票品种审批事项的建议；</w:t>
      </w:r>
    </w:p>
    <w:p>
      <w:pPr>
        <w:keepNext w:val="0"/>
        <w:keepLines w:val="0"/>
        <w:pageBreakBefore w:val="0"/>
        <w:widowControl/>
        <w:kinsoku/>
        <w:wordWrap/>
        <w:overflowPunct/>
        <w:topLinePunct w:val="0"/>
        <w:autoSpaceDE/>
        <w:autoSpaceDN/>
        <w:bidi w:val="0"/>
        <w:adjustRightInd/>
        <w:snapToGrid/>
        <w:spacing w:line="540" w:lineRule="exact"/>
        <w:ind w:firstLine="616" w:firstLineChars="200"/>
        <w:textAlignment w:val="auto"/>
        <w:rPr>
          <w:rFonts w:hint="default" w:ascii="Times New Roman" w:hAnsi="Times New Roman" w:eastAsia="仿宋" w:cs="Times New Roman"/>
          <w:color w:val="auto"/>
          <w:spacing w:val="-6"/>
          <w:kern w:val="0"/>
          <w:sz w:val="32"/>
          <w:szCs w:val="32"/>
          <w:highlight w:val="none"/>
          <w:lang w:val="en-US" w:eastAsia="zh-CN" w:bidi="ar"/>
        </w:rPr>
      </w:pPr>
      <w:r>
        <w:rPr>
          <w:rFonts w:hint="default" w:ascii="Times New Roman" w:hAnsi="Times New Roman" w:eastAsia="仿宋" w:cs="Times New Roman"/>
          <w:color w:val="auto"/>
          <w:spacing w:val="-6"/>
          <w:kern w:val="0"/>
          <w:sz w:val="32"/>
          <w:szCs w:val="32"/>
          <w:highlight w:val="none"/>
          <w:lang w:val="en-US" w:eastAsia="zh-CN" w:bidi="ar"/>
        </w:rPr>
        <w:t>（三）制定本行政区域福利彩票销售实施方案，并组织实施；</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（四）负责本行政区域福利彩票销售系统的建设、运营和维护；</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（五）负责实施本行政区域福利彩票的销售系统数据管理、资金归集结算、销售渠道和场所规划、物流管理、开奖兑奖；</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（六）负责组织实施本行政区域福利彩票的形象建设、彩票代销、营销宣传、业务培训、人才队伍建设等工作。</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（一）内设机构设置。省福彩中心202</w:t>
      </w:r>
      <w:r>
        <w:rPr>
          <w:rFonts w:hint="eastAsia" w:ascii="Times New Roman" w:hAnsi="Times New Roman" w:eastAsia="仿宋" w:cs="Times New Roman"/>
          <w:color w:val="auto"/>
          <w:kern w:val="0"/>
          <w:sz w:val="32"/>
          <w:szCs w:val="32"/>
          <w:highlight w:val="none"/>
          <w:lang w:val="en-US" w:eastAsia="zh-CN" w:bidi="ar"/>
        </w:rPr>
        <w:t>4</w:t>
      </w:r>
      <w:r>
        <w:rPr>
          <w:rFonts w:hint="default" w:ascii="Times New Roman" w:hAnsi="Times New Roman" w:eastAsia="仿宋" w:cs="Times New Roman"/>
          <w:color w:val="auto"/>
          <w:kern w:val="0"/>
          <w:sz w:val="32"/>
          <w:szCs w:val="32"/>
          <w:highlight w:val="none"/>
          <w:lang w:val="en-US" w:eastAsia="zh-CN" w:bidi="ar"/>
        </w:rPr>
        <w:t>年内设机构包括：综合部、市场部、信息部、财务部、公益部、风控部共6个部门，设立了党、团总支、中心工会和第一、第二、三党支部。</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（二）决算单位构成。省福彩中心2024年部门决算汇总公开单位构成包括：省福彩中心本级。</w:t>
      </w:r>
    </w:p>
    <w:p>
      <w:pPr>
        <w:jc w:val="left"/>
        <w:rPr>
          <w:rFonts w:hint="default" w:ascii="Times New Roman" w:hAnsi="Times New Roman" w:eastAsia="仿宋_GB2312" w:cs="Times New Roman"/>
          <w:sz w:val="28"/>
          <w:szCs w:val="32"/>
        </w:rPr>
      </w:pPr>
    </w:p>
    <w:p>
      <w:pPr>
        <w:jc w:val="center"/>
        <w:rPr>
          <w:rFonts w:hint="default" w:ascii="Times New Roman" w:hAnsi="Times New Roman" w:eastAsia="黑体" w:cs="Times New Roman"/>
          <w:sz w:val="28"/>
          <w:szCs w:val="28"/>
        </w:rPr>
      </w:pPr>
    </w:p>
    <w:p>
      <w:pPr>
        <w:jc w:val="center"/>
        <w:rPr>
          <w:rFonts w:hint="default" w:ascii="Times New Roman" w:hAnsi="Times New Roman" w:eastAsia="黑体" w:cs="Times New Roman"/>
          <w:sz w:val="28"/>
          <w:szCs w:val="28"/>
        </w:rPr>
      </w:pPr>
    </w:p>
    <w:p>
      <w:pPr>
        <w:jc w:val="center"/>
        <w:rPr>
          <w:rFonts w:hint="default" w:ascii="Times New Roman" w:hAnsi="Times New Roman" w:eastAsia="黑体" w:cs="Times New Roman"/>
          <w:sz w:val="28"/>
          <w:szCs w:val="28"/>
        </w:rPr>
      </w:pPr>
    </w:p>
    <w:p>
      <w:pPr>
        <w:pStyle w:val="16"/>
        <w:jc w:val="center"/>
        <w:rPr>
          <w:rFonts w:hint="default" w:ascii="Times New Roman" w:hAnsi="Times New Roman" w:eastAsia="方正小标宋_GBK" w:cs="Times New Roman"/>
          <w:sz w:val="52"/>
          <w:szCs w:val="52"/>
        </w:rPr>
      </w:pPr>
    </w:p>
    <w:p>
      <w:pPr>
        <w:pStyle w:val="16"/>
        <w:jc w:val="center"/>
        <w:rPr>
          <w:rFonts w:hint="default" w:ascii="Times New Roman" w:hAnsi="Times New Roman" w:eastAsia="方正小标宋_GBK" w:cs="Times New Roman"/>
          <w:sz w:val="52"/>
          <w:szCs w:val="52"/>
        </w:rPr>
      </w:pPr>
    </w:p>
    <w:p>
      <w:pPr>
        <w:pStyle w:val="16"/>
        <w:jc w:val="center"/>
        <w:rPr>
          <w:rFonts w:hint="default" w:ascii="Times New Roman" w:hAnsi="Times New Roman" w:eastAsia="方正小标宋_GBK" w:cs="Times New Roman"/>
          <w:sz w:val="52"/>
          <w:szCs w:val="52"/>
        </w:rPr>
      </w:pPr>
    </w:p>
    <w:p>
      <w:pPr>
        <w:pStyle w:val="16"/>
        <w:jc w:val="center"/>
        <w:rPr>
          <w:rFonts w:hint="default" w:ascii="Times New Roman" w:hAnsi="Times New Roman" w:eastAsia="方正小标宋_GBK" w:cs="Times New Roman"/>
          <w:sz w:val="52"/>
          <w:szCs w:val="52"/>
        </w:rPr>
      </w:pPr>
    </w:p>
    <w:p>
      <w:pPr>
        <w:pStyle w:val="16"/>
        <w:jc w:val="center"/>
        <w:rPr>
          <w:rFonts w:hint="default" w:ascii="Times New Roman" w:hAnsi="Times New Roman" w:eastAsia="方正小标宋_GBK" w:cs="Times New Roman"/>
          <w:sz w:val="52"/>
          <w:szCs w:val="52"/>
        </w:rPr>
      </w:pPr>
    </w:p>
    <w:p>
      <w:pPr>
        <w:pStyle w:val="16"/>
        <w:jc w:val="center"/>
        <w:rPr>
          <w:rFonts w:hint="eastAsia" w:ascii="方正小标宋简体" w:hAnsi="方正小标宋简体" w:eastAsia="方正小标宋简体" w:cs="方正小标宋简体"/>
          <w:sz w:val="52"/>
          <w:szCs w:val="52"/>
        </w:rPr>
      </w:pPr>
    </w:p>
    <w:p>
      <w:pPr>
        <w:pStyle w:val="16"/>
        <w:jc w:val="center"/>
        <w:rPr>
          <w:rFonts w:hint="eastAsia" w:ascii="方正小标宋简体" w:hAnsi="方正小标宋简体" w:eastAsia="方正小标宋简体" w:cs="方正小标宋简体"/>
          <w:sz w:val="52"/>
          <w:szCs w:val="52"/>
        </w:rPr>
      </w:pPr>
    </w:p>
    <w:p>
      <w:pPr>
        <w:pStyle w:val="16"/>
        <w:jc w:val="center"/>
        <w:rPr>
          <w:rFonts w:hint="eastAsia" w:ascii="方正小标宋简体" w:hAnsi="方正小标宋简体" w:eastAsia="方正小标宋简体" w:cs="方正小标宋简体"/>
          <w:sz w:val="52"/>
          <w:szCs w:val="52"/>
        </w:rPr>
      </w:pPr>
    </w:p>
    <w:p>
      <w:pPr>
        <w:pStyle w:val="16"/>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第二部分</w:t>
      </w:r>
    </w:p>
    <w:p>
      <w:pPr>
        <w:pStyle w:val="16"/>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部门决算表</w:t>
      </w:r>
    </w:p>
    <w:p>
      <w:pPr>
        <w:jc w:val="center"/>
        <w:rPr>
          <w:rFonts w:hint="eastAsia" w:ascii="方正小标宋简体" w:hAnsi="方正小标宋简体" w:eastAsia="方正小标宋简体" w:cs="方正小标宋简体"/>
          <w:sz w:val="28"/>
          <w:szCs w:val="28"/>
        </w:rPr>
      </w:pPr>
    </w:p>
    <w:p>
      <w:pPr>
        <w:pStyle w:val="10"/>
        <w:rPr>
          <w:rFonts w:hint="eastAsia" w:ascii="方正小标宋简体" w:hAnsi="方正小标宋简体" w:eastAsia="方正小标宋简体" w:cs="方正小标宋简体"/>
        </w:rPr>
        <w:sectPr>
          <w:footerReference r:id="rId4" w:type="default"/>
          <w:pgSz w:w="11906" w:h="16838"/>
          <w:pgMar w:top="1417" w:right="1588" w:bottom="1417" w:left="1588" w:header="851" w:footer="992" w:gutter="0"/>
          <w:pgNumType w:fmt="decimal" w:start="1"/>
          <w:cols w:space="425" w:num="1"/>
          <w:docGrid w:type="lines" w:linePitch="312" w:charSpace="0"/>
        </w:sectPr>
      </w:pPr>
    </w:p>
    <w:p>
      <w:pPr>
        <w:pStyle w:val="16"/>
        <w:jc w:val="both"/>
        <w:rPr>
          <w:rFonts w:hint="default" w:ascii="Times New Roman" w:hAnsi="Times New Roman" w:eastAsia="方正小标宋_GBK" w:cs="Times New Roman"/>
          <w:sz w:val="52"/>
          <w:szCs w:val="52"/>
        </w:rPr>
      </w:pPr>
    </w:p>
    <w:p>
      <w:pPr>
        <w:widowControl/>
        <w:spacing w:after="156" w:afterLines="50"/>
        <w:jc w:val="center"/>
        <w:textAlignment w:val="center"/>
        <w:rPr>
          <w:rFonts w:hint="default" w:ascii="Times New Roman" w:hAnsi="Times New Roman" w:eastAsia="黑体" w:cs="Times New Roman"/>
          <w:color w:val="000000"/>
          <w:sz w:val="36"/>
          <w:szCs w:val="36"/>
        </w:rPr>
      </w:pPr>
      <w:r>
        <w:rPr>
          <w:rFonts w:hint="default" w:ascii="Times New Roman" w:hAnsi="Times New Roman" w:eastAsia="黑体" w:cs="Times New Roman"/>
          <w:color w:val="000000"/>
          <w:kern w:val="0"/>
          <w:sz w:val="36"/>
          <w:szCs w:val="36"/>
          <w:lang w:bidi="ar"/>
        </w:rPr>
        <w:t>收入支出决算总表</w:t>
      </w:r>
    </w:p>
    <w:p>
      <w:pPr>
        <w:widowControl/>
        <w:tabs>
          <w:tab w:val="left" w:pos="4442"/>
          <w:tab w:val="left" w:pos="5045"/>
          <w:tab w:val="left" w:pos="6444"/>
          <w:tab w:val="left" w:pos="11477"/>
          <w:tab w:val="left" w:pos="13102"/>
        </w:tabs>
        <w:jc w:val="right"/>
        <w:textAlignment w:val="center"/>
        <w:rPr>
          <w:rFonts w:hint="default" w:ascii="Times New Roman" w:hAnsi="Times New Roman" w:eastAsia="仿宋" w:cs="Times New Roman"/>
          <w:color w:val="000000"/>
          <w:sz w:val="20"/>
          <w:szCs w:val="20"/>
        </w:rPr>
      </w:pPr>
      <w:r>
        <w:rPr>
          <w:rFonts w:hint="default" w:ascii="Times New Roman" w:hAnsi="Times New Roman" w:eastAsia="仿宋_GB2312" w:cs="Times New Roman"/>
          <w:color w:val="000000"/>
          <w:sz w:val="24"/>
          <w:szCs w:val="24"/>
        </w:rPr>
        <w:tab/>
      </w:r>
      <w:r>
        <w:rPr>
          <w:rFonts w:hint="default" w:ascii="Times New Roman" w:hAnsi="Times New Roman" w:eastAsia="仿宋_GB2312" w:cs="Times New Roman"/>
          <w:color w:val="000000"/>
          <w:sz w:val="24"/>
          <w:szCs w:val="24"/>
        </w:rPr>
        <w:tab/>
      </w:r>
      <w:r>
        <w:rPr>
          <w:rFonts w:hint="default" w:ascii="Times New Roman" w:hAnsi="Times New Roman" w:eastAsia="仿宋_GB2312" w:cs="Times New Roman"/>
          <w:color w:val="000000"/>
          <w:sz w:val="24"/>
          <w:szCs w:val="24"/>
        </w:rPr>
        <w:tab/>
      </w:r>
      <w:r>
        <w:rPr>
          <w:rFonts w:hint="default" w:ascii="Times New Roman" w:hAnsi="Times New Roman" w:eastAsia="仿宋_GB2312" w:cs="Times New Roman"/>
          <w:color w:val="000000"/>
          <w:sz w:val="24"/>
          <w:szCs w:val="24"/>
        </w:rPr>
        <w:tab/>
      </w:r>
      <w:r>
        <w:rPr>
          <w:rFonts w:hint="default" w:ascii="Times New Roman" w:hAnsi="Times New Roman" w:eastAsia="仿宋_GB2312" w:cs="Times New Roman"/>
          <w:color w:val="000000"/>
          <w:sz w:val="24"/>
          <w:szCs w:val="24"/>
        </w:rPr>
        <w:tab/>
      </w:r>
      <w:r>
        <w:rPr>
          <w:rFonts w:hint="default" w:ascii="Times New Roman" w:hAnsi="Times New Roman" w:eastAsia="仿宋" w:cs="Times New Roman"/>
          <w:color w:val="000000"/>
          <w:kern w:val="0"/>
          <w:sz w:val="20"/>
          <w:szCs w:val="20"/>
          <w:lang w:bidi="ar"/>
        </w:rPr>
        <w:t>公开01表</w:t>
      </w:r>
    </w:p>
    <w:p>
      <w:pPr>
        <w:widowControl/>
        <w:tabs>
          <w:tab w:val="left" w:pos="4442"/>
          <w:tab w:val="left" w:pos="5045"/>
          <w:tab w:val="left" w:pos="6444"/>
          <w:tab w:val="left" w:pos="11477"/>
          <w:tab w:val="left" w:pos="13102"/>
        </w:tabs>
        <w:jc w:val="right"/>
        <w:textAlignment w:val="center"/>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0"/>
          <w:szCs w:val="20"/>
          <w:lang w:bidi="ar"/>
        </w:rPr>
        <w:t>部门：</w:t>
      </w:r>
      <w:r>
        <w:rPr>
          <w:rFonts w:hint="default" w:ascii="Times New Roman" w:hAnsi="Times New Roman" w:eastAsia="仿宋" w:cs="Times New Roman"/>
          <w:color w:val="000000"/>
          <w:kern w:val="0"/>
          <w:sz w:val="20"/>
          <w:szCs w:val="20"/>
          <w:lang w:val="en-US" w:eastAsia="zh-CN" w:bidi="ar"/>
        </w:rPr>
        <w:t>湖南省福利彩票发行中心</w:t>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4"/>
          <w:szCs w:val="24"/>
        </w:rPr>
        <w:tab/>
      </w:r>
      <w:r>
        <w:rPr>
          <w:rFonts w:hint="default" w:ascii="Times New Roman" w:hAnsi="Times New Roman" w:eastAsia="仿宋" w:cs="Times New Roman"/>
          <w:color w:val="000000"/>
          <w:sz w:val="24"/>
          <w:szCs w:val="24"/>
        </w:rPr>
        <w:tab/>
      </w:r>
      <w:r>
        <w:rPr>
          <w:rFonts w:hint="default" w:ascii="Times New Roman" w:hAnsi="Times New Roman" w:eastAsia="仿宋" w:cs="Times New Roman"/>
          <w:color w:val="000000"/>
          <w:sz w:val="24"/>
          <w:szCs w:val="24"/>
        </w:rPr>
        <w:tab/>
      </w:r>
      <w:r>
        <w:rPr>
          <w:rFonts w:hint="default" w:ascii="Times New Roman" w:hAnsi="Times New Roman" w:eastAsia="仿宋" w:cs="Times New Roman"/>
          <w:color w:val="000000"/>
          <w:sz w:val="24"/>
          <w:szCs w:val="24"/>
        </w:rPr>
        <w:tab/>
      </w:r>
      <w:r>
        <w:rPr>
          <w:rFonts w:hint="default" w:ascii="Times New Roman" w:hAnsi="Times New Roman" w:eastAsia="仿宋" w:cs="Times New Roman"/>
          <w:color w:val="000000"/>
          <w:kern w:val="0"/>
          <w:sz w:val="20"/>
          <w:szCs w:val="20"/>
          <w:lang w:bidi="ar"/>
        </w:rPr>
        <w:t>单位：万元</w:t>
      </w:r>
    </w:p>
    <w:tbl>
      <w:tblPr>
        <w:tblStyle w:val="12"/>
        <w:tblW w:w="14896" w:type="dxa"/>
        <w:jc w:val="center"/>
        <w:tblLayout w:type="fixed"/>
        <w:tblCellMar>
          <w:top w:w="0" w:type="dxa"/>
          <w:left w:w="108" w:type="dxa"/>
          <w:bottom w:w="0" w:type="dxa"/>
          <w:right w:w="108" w:type="dxa"/>
        </w:tblCellMar>
      </w:tblPr>
      <w:tblGrid>
        <w:gridCol w:w="4356"/>
        <w:gridCol w:w="705"/>
        <w:gridCol w:w="2170"/>
        <w:gridCol w:w="4777"/>
        <w:gridCol w:w="748"/>
        <w:gridCol w:w="2140"/>
      </w:tblGrid>
      <w:tr>
        <w:tblPrEx>
          <w:tblCellMar>
            <w:top w:w="0" w:type="dxa"/>
            <w:left w:w="108" w:type="dxa"/>
            <w:bottom w:w="0" w:type="dxa"/>
            <w:right w:w="108" w:type="dxa"/>
          </w:tblCellMar>
        </w:tblPrEx>
        <w:trPr>
          <w:trHeight w:val="335" w:hRule="exact"/>
          <w:jc w:val="center"/>
        </w:trPr>
        <w:tc>
          <w:tcPr>
            <w:tcW w:w="7231"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收入</w:t>
            </w:r>
          </w:p>
        </w:tc>
        <w:tc>
          <w:tcPr>
            <w:tcW w:w="7665"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支出</w:t>
            </w: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项    目</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0"/>
                <w:szCs w:val="20"/>
                <w:lang w:bidi="ar"/>
              </w:rPr>
              <w:t>行次</w:t>
            </w:r>
          </w:p>
        </w:tc>
        <w:tc>
          <w:tcPr>
            <w:tcW w:w="21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决算数</w:t>
            </w:r>
          </w:p>
        </w:tc>
        <w:tc>
          <w:tcPr>
            <w:tcW w:w="4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项    目</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0"/>
                <w:szCs w:val="20"/>
                <w:lang w:bidi="ar"/>
              </w:rPr>
              <w:t>行次</w:t>
            </w:r>
          </w:p>
        </w:tc>
        <w:tc>
          <w:tcPr>
            <w:tcW w:w="2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决算数</w:t>
            </w: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栏    次</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Times New Roman" w:hAnsi="Times New Roman" w:eastAsia="仿宋" w:cs="Times New Roman"/>
                <w:color w:val="000000"/>
                <w:sz w:val="24"/>
                <w:szCs w:val="24"/>
              </w:rPr>
            </w:pPr>
          </w:p>
        </w:tc>
        <w:tc>
          <w:tcPr>
            <w:tcW w:w="217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1</w:t>
            </w:r>
          </w:p>
        </w:tc>
        <w:tc>
          <w:tcPr>
            <w:tcW w:w="4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栏    次</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Times New Roman" w:hAnsi="Times New Roman" w:eastAsia="仿宋" w:cs="Times New Roman"/>
                <w:color w:val="000000"/>
                <w:sz w:val="24"/>
                <w:szCs w:val="24"/>
              </w:rPr>
            </w:pPr>
          </w:p>
        </w:tc>
        <w:tc>
          <w:tcPr>
            <w:tcW w:w="21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2</w:t>
            </w: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一、一般公共预算财政拨款收入</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c>
          <w:tcPr>
            <w:tcW w:w="4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一、一般公共服务支出</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14</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二、政府性基金预算财政拨款收入</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2</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sz w:val="22"/>
              </w:rPr>
              <w:t>14169</w:t>
            </w:r>
          </w:p>
        </w:tc>
        <w:tc>
          <w:tcPr>
            <w:tcW w:w="4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二、外交支出</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15</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三、国有资本经营预算财政拨款收入</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3</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c>
          <w:tcPr>
            <w:tcW w:w="4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三、国防支出</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16</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四、上级补助收入</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4</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c>
          <w:tcPr>
            <w:tcW w:w="4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四、公共安全支出</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17</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五、事业收入</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5</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c>
          <w:tcPr>
            <w:tcW w:w="4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五、教育支出</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18</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六、经营收入</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6</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c>
          <w:tcPr>
            <w:tcW w:w="4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六、科学技术支出</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19</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七、附属单位上缴收入</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7</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c>
          <w:tcPr>
            <w:tcW w:w="4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20</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八、其他收入</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8</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c>
          <w:tcPr>
            <w:tcW w:w="4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kern w:val="0"/>
                <w:sz w:val="22"/>
                <w:lang w:val="en-US" w:eastAsia="zh-CN" w:bidi="ar"/>
              </w:rPr>
              <w:t>二十三、其他支出</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21</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sz w:val="22"/>
              </w:rPr>
              <w:t>12453.61</w:t>
            </w: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Times New Roman" w:hAnsi="Times New Roman" w:eastAsia="仿宋" w:cs="Times New Roman"/>
                <w:color w:val="000000"/>
                <w:sz w:val="20"/>
                <w:szCs w:val="20"/>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9</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c>
          <w:tcPr>
            <w:tcW w:w="4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4"/>
                <w:szCs w:val="24"/>
                <w:lang w:bidi="ar"/>
              </w:rPr>
              <w:t>……</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22</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b/>
                <w:color w:val="000000"/>
                <w:sz w:val="22"/>
              </w:rPr>
            </w:pP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 w:cs="Times New Roman"/>
                <w:b/>
                <w:color w:val="000000"/>
                <w:sz w:val="22"/>
              </w:rPr>
            </w:pPr>
            <w:r>
              <w:rPr>
                <w:rFonts w:hint="default" w:ascii="Times New Roman" w:hAnsi="Times New Roman" w:eastAsia="仿宋" w:cs="Times New Roman"/>
                <w:b/>
                <w:color w:val="000000"/>
                <w:kern w:val="0"/>
                <w:sz w:val="22"/>
                <w:lang w:bidi="ar"/>
              </w:rPr>
              <w:t>本年收入合计</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10</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14169</w:t>
            </w:r>
          </w:p>
        </w:tc>
        <w:tc>
          <w:tcPr>
            <w:tcW w:w="4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 w:cs="Times New Roman"/>
                <w:b/>
                <w:color w:val="000000"/>
                <w:sz w:val="22"/>
              </w:rPr>
            </w:pPr>
            <w:r>
              <w:rPr>
                <w:rFonts w:hint="default" w:ascii="Times New Roman" w:hAnsi="Times New Roman" w:eastAsia="仿宋" w:cs="Times New Roman"/>
                <w:b/>
                <w:color w:val="000000"/>
                <w:kern w:val="0"/>
                <w:sz w:val="22"/>
                <w:lang w:bidi="ar"/>
              </w:rPr>
              <w:t>本年支出合计</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23</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sz w:val="22"/>
              </w:rPr>
              <w:t>12453.61</w:t>
            </w: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 xml:space="preserve">    使用非财政拨款结余（含专用结余）</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11</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c>
          <w:tcPr>
            <w:tcW w:w="4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 xml:space="preserve">                结余分配</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24</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 xml:space="preserve">         年初结转和结余</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12</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2752.45</w:t>
            </w:r>
          </w:p>
        </w:tc>
        <w:tc>
          <w:tcPr>
            <w:tcW w:w="4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 xml:space="preserve">                年末结转和结余</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25</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sz w:val="22"/>
              </w:rPr>
              <w:t>4467.84</w:t>
            </w:r>
          </w:p>
        </w:tc>
      </w:tr>
      <w:tr>
        <w:tblPrEx>
          <w:tblCellMar>
            <w:top w:w="0" w:type="dxa"/>
            <w:left w:w="108" w:type="dxa"/>
            <w:bottom w:w="0" w:type="dxa"/>
            <w:right w:w="108" w:type="dxa"/>
          </w:tblCellMar>
        </w:tblPrEx>
        <w:trPr>
          <w:trHeight w:val="340" w:hRule="exact"/>
          <w:jc w:val="center"/>
        </w:trPr>
        <w:tc>
          <w:tcPr>
            <w:tcW w:w="43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b/>
                <w:bCs w:val="0"/>
                <w:color w:val="000000"/>
                <w:sz w:val="22"/>
              </w:rPr>
            </w:pPr>
            <w:r>
              <w:rPr>
                <w:rFonts w:hint="default" w:ascii="Times New Roman" w:hAnsi="Times New Roman" w:eastAsia="仿宋" w:cs="Times New Roman"/>
                <w:b/>
                <w:bCs w:val="0"/>
                <w:color w:val="000000"/>
                <w:kern w:val="0"/>
                <w:sz w:val="22"/>
                <w:lang w:bidi="ar"/>
              </w:rPr>
              <w:t>总计</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b/>
                <w:bCs w:val="0"/>
                <w:color w:val="000000"/>
                <w:sz w:val="22"/>
              </w:rPr>
            </w:pPr>
            <w:r>
              <w:rPr>
                <w:rFonts w:hint="default" w:ascii="Times New Roman" w:hAnsi="Times New Roman" w:eastAsia="仿宋" w:cs="Times New Roman"/>
                <w:b/>
                <w:bCs w:val="0"/>
                <w:color w:val="000000"/>
                <w:kern w:val="0"/>
                <w:sz w:val="22"/>
                <w:lang w:bidi="ar"/>
              </w:rPr>
              <w:t>13</w:t>
            </w:r>
          </w:p>
        </w:tc>
        <w:tc>
          <w:tcPr>
            <w:tcW w:w="2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b/>
                <w:bCs w:val="0"/>
                <w:color w:val="000000"/>
                <w:sz w:val="22"/>
                <w:lang w:val="en-US" w:eastAsia="zh-CN"/>
              </w:rPr>
            </w:pPr>
            <w:r>
              <w:rPr>
                <w:rFonts w:hint="default" w:ascii="Times New Roman" w:hAnsi="Times New Roman" w:eastAsia="仿宋" w:cs="Times New Roman"/>
                <w:b/>
                <w:bCs w:val="0"/>
                <w:color w:val="000000"/>
                <w:sz w:val="22"/>
                <w:lang w:val="en-US" w:eastAsia="zh-CN"/>
              </w:rPr>
              <w:t>16921.45</w:t>
            </w:r>
          </w:p>
        </w:tc>
        <w:tc>
          <w:tcPr>
            <w:tcW w:w="4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b/>
                <w:bCs w:val="0"/>
                <w:color w:val="000000"/>
                <w:sz w:val="22"/>
              </w:rPr>
            </w:pPr>
            <w:r>
              <w:rPr>
                <w:rFonts w:hint="default" w:ascii="Times New Roman" w:hAnsi="Times New Roman" w:eastAsia="仿宋" w:cs="Times New Roman"/>
                <w:b/>
                <w:bCs w:val="0"/>
                <w:color w:val="000000"/>
                <w:kern w:val="0"/>
                <w:sz w:val="22"/>
                <w:lang w:bidi="ar"/>
              </w:rPr>
              <w:t>总计</w:t>
            </w:r>
          </w:p>
        </w:tc>
        <w:tc>
          <w:tcPr>
            <w:tcW w:w="7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hint="default" w:ascii="Times New Roman" w:hAnsi="Times New Roman" w:eastAsia="仿宋" w:cs="Times New Roman"/>
                <w:b/>
                <w:bCs w:val="0"/>
                <w:color w:val="000000"/>
                <w:sz w:val="22"/>
              </w:rPr>
            </w:pPr>
            <w:r>
              <w:rPr>
                <w:rFonts w:hint="default" w:ascii="Times New Roman" w:hAnsi="Times New Roman" w:eastAsia="仿宋" w:cs="Times New Roman"/>
                <w:b/>
                <w:bCs w:val="0"/>
                <w:color w:val="000000"/>
                <w:kern w:val="0"/>
                <w:sz w:val="22"/>
                <w:lang w:bidi="ar"/>
              </w:rPr>
              <w:t>26</w:t>
            </w:r>
          </w:p>
        </w:tc>
        <w:tc>
          <w:tcPr>
            <w:tcW w:w="2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 w:cs="Times New Roman"/>
                <w:b/>
                <w:color w:val="000000"/>
                <w:sz w:val="22"/>
              </w:rPr>
            </w:pPr>
            <w:r>
              <w:rPr>
                <w:rFonts w:hint="default" w:ascii="Times New Roman" w:hAnsi="Times New Roman" w:eastAsia="仿宋" w:cs="Times New Roman"/>
                <w:b/>
                <w:color w:val="000000"/>
                <w:sz w:val="22"/>
              </w:rPr>
              <w:t>16921.45</w:t>
            </w:r>
          </w:p>
        </w:tc>
      </w:tr>
    </w:tbl>
    <w:p>
      <w:pPr>
        <w:widowControl/>
        <w:jc w:val="left"/>
        <w:textAlignment w:val="center"/>
        <w:rPr>
          <w:rFonts w:hint="default" w:ascii="Times New Roman" w:hAnsi="Times New Roman" w:eastAsia="仿宋" w:cs="Times New Roman"/>
          <w:color w:val="000000"/>
          <w:kern w:val="0"/>
          <w:sz w:val="24"/>
          <w:szCs w:val="24"/>
          <w:lang w:bidi="ar"/>
        </w:rPr>
      </w:pPr>
    </w:p>
    <w:p>
      <w:pPr>
        <w:widowControl/>
        <w:jc w:val="left"/>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注：1.本表反映部门本年度的总收支和年末结转结余情况。</w:t>
      </w:r>
      <w:r>
        <w:rPr>
          <w:rFonts w:hint="default" w:ascii="Times New Roman" w:hAnsi="Times New Roman" w:eastAsia="仿宋" w:cs="Times New Roman"/>
          <w:color w:val="000000"/>
          <w:kern w:val="0"/>
          <w:sz w:val="24"/>
          <w:szCs w:val="24"/>
          <w:lang w:bidi="ar"/>
        </w:rPr>
        <w:br w:type="textWrapping"/>
      </w:r>
      <w:r>
        <w:rPr>
          <w:rFonts w:hint="default" w:ascii="Times New Roman" w:hAnsi="Times New Roman" w:eastAsia="仿宋" w:cs="Times New Roman"/>
          <w:color w:val="000000"/>
          <w:kern w:val="0"/>
          <w:sz w:val="24"/>
          <w:szCs w:val="24"/>
          <w:lang w:bidi="ar"/>
        </w:rPr>
        <w:t xml:space="preserve">    2.本套报表金额单位转换时可能存在尾数误差。</w:t>
      </w:r>
    </w:p>
    <w:p>
      <w:pPr>
        <w:rPr>
          <w:rFonts w:hint="default" w:ascii="Times New Roman" w:hAnsi="Times New Roman" w:eastAsia="华文中宋" w:cs="Times New Roman"/>
          <w:color w:val="000000"/>
          <w:sz w:val="32"/>
          <w:szCs w:val="32"/>
        </w:rPr>
      </w:pPr>
      <w:r>
        <w:rPr>
          <w:rFonts w:hint="default" w:ascii="Times New Roman" w:hAnsi="Times New Roman" w:eastAsia="华文中宋" w:cs="Times New Roman"/>
          <w:color w:val="000000"/>
          <w:sz w:val="32"/>
          <w:szCs w:val="32"/>
        </w:rPr>
        <w:br w:type="page"/>
      </w:r>
    </w:p>
    <w:p>
      <w:pPr>
        <w:widowControl/>
        <w:spacing w:line="400" w:lineRule="exact"/>
        <w:jc w:val="center"/>
        <w:textAlignment w:val="center"/>
        <w:rPr>
          <w:rFonts w:hint="default" w:ascii="Times New Roman" w:hAnsi="Times New Roman" w:eastAsia="黑体" w:cs="Times New Roman"/>
          <w:color w:val="000000"/>
          <w:kern w:val="0"/>
          <w:sz w:val="32"/>
          <w:szCs w:val="32"/>
          <w:lang w:bidi="ar"/>
        </w:rPr>
      </w:pPr>
    </w:p>
    <w:p>
      <w:pPr>
        <w:widowControl/>
        <w:spacing w:after="156" w:afterLines="50"/>
        <w:jc w:val="center"/>
        <w:textAlignment w:val="center"/>
        <w:rPr>
          <w:rFonts w:hint="default" w:ascii="Times New Roman" w:hAnsi="Times New Roman" w:eastAsia="仿宋" w:cs="Times New Roman"/>
          <w:color w:val="000000"/>
          <w:kern w:val="0"/>
          <w:sz w:val="36"/>
          <w:szCs w:val="36"/>
          <w:lang w:bidi="ar"/>
        </w:rPr>
      </w:pPr>
      <w:r>
        <w:rPr>
          <w:rFonts w:hint="default" w:ascii="Times New Roman" w:hAnsi="Times New Roman" w:eastAsia="黑体" w:cs="Times New Roman"/>
          <w:color w:val="000000"/>
          <w:kern w:val="0"/>
          <w:sz w:val="36"/>
          <w:szCs w:val="36"/>
          <w:lang w:bidi="ar"/>
        </w:rPr>
        <w:t>收入决算表</w:t>
      </w:r>
    </w:p>
    <w:p>
      <w:pPr>
        <w:tabs>
          <w:tab w:val="left" w:pos="315"/>
          <w:tab w:val="left" w:pos="630"/>
          <w:tab w:val="left" w:pos="2100"/>
          <w:tab w:val="left" w:pos="3895"/>
          <w:tab w:val="left" w:pos="5690"/>
          <w:tab w:val="left" w:pos="7485"/>
          <w:tab w:val="left" w:pos="9280"/>
          <w:tab w:val="left" w:pos="11075"/>
          <w:tab w:val="left" w:pos="12870"/>
        </w:tabs>
        <w:jc w:val="right"/>
        <w:rPr>
          <w:rFonts w:hint="default" w:ascii="Times New Roman" w:hAnsi="Times New Roman" w:eastAsia="仿宋" w:cs="Times New Roman"/>
          <w:color w:val="000000"/>
          <w:sz w:val="20"/>
          <w:szCs w:val="20"/>
        </w:rPr>
      </w:pP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color w:val="000000"/>
          <w:sz w:val="20"/>
          <w:szCs w:val="20"/>
        </w:rPr>
        <w:t>公开02表</w:t>
      </w:r>
    </w:p>
    <w:p>
      <w:pPr>
        <w:tabs>
          <w:tab w:val="left" w:pos="630"/>
          <w:tab w:val="left" w:pos="2100"/>
          <w:tab w:val="left" w:pos="3895"/>
          <w:tab w:val="left" w:pos="5690"/>
          <w:tab w:val="left" w:pos="7485"/>
          <w:tab w:val="left" w:pos="9280"/>
          <w:tab w:val="left" w:pos="11075"/>
          <w:tab w:val="left" w:pos="12870"/>
        </w:tabs>
        <w:jc w:val="right"/>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sz w:val="20"/>
          <w:szCs w:val="20"/>
        </w:rPr>
        <w:t>部门：湖南省福利彩票发行中心</w:t>
      </w:r>
      <w:r>
        <w:rPr>
          <w:rFonts w:hint="default" w:ascii="Times New Roman" w:hAnsi="Times New Roman" w:eastAsia="仿宋" w:cs="Times New Roman"/>
          <w:color w:val="000000"/>
          <w:sz w:val="20"/>
          <w:szCs w:val="20"/>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color w:val="000000"/>
          <w:sz w:val="20"/>
          <w:szCs w:val="20"/>
        </w:rPr>
        <w:t>　</w:t>
      </w:r>
      <w:r>
        <w:rPr>
          <w:rFonts w:hint="default" w:ascii="Times New Roman" w:hAnsi="Times New Roman" w:eastAsia="仿宋" w:cs="Times New Roman"/>
          <w:color w:val="000000"/>
          <w:sz w:val="20"/>
          <w:szCs w:val="20"/>
        </w:rPr>
        <w:tab/>
      </w:r>
      <w:r>
        <w:rPr>
          <w:rFonts w:hint="default" w:ascii="Times New Roman" w:hAnsi="Times New Roman" w:eastAsia="仿宋" w:cs="Times New Roman"/>
        </w:rPr>
        <w:t>　</w:t>
      </w:r>
      <w:r>
        <w:rPr>
          <w:rFonts w:hint="default" w:ascii="Times New Roman" w:hAnsi="Times New Roman" w:eastAsia="仿宋" w:cs="Times New Roman"/>
          <w:sz w:val="24"/>
          <w:szCs w:val="24"/>
        </w:rPr>
        <w:tab/>
      </w:r>
      <w:r>
        <w:rPr>
          <w:rFonts w:hint="default" w:ascii="Times New Roman" w:hAnsi="Times New Roman" w:eastAsia="仿宋" w:cs="Times New Roman"/>
        </w:rPr>
        <w:t>　</w:t>
      </w:r>
      <w:r>
        <w:rPr>
          <w:rFonts w:hint="default" w:ascii="Times New Roman" w:hAnsi="Times New Roman" w:eastAsia="仿宋" w:cs="Times New Roman"/>
          <w:color w:val="000000"/>
          <w:sz w:val="20"/>
          <w:szCs w:val="20"/>
        </w:rPr>
        <w:t>单位：万元</w:t>
      </w:r>
    </w:p>
    <w:tbl>
      <w:tblPr>
        <w:tblStyle w:val="12"/>
        <w:tblW w:w="14666" w:type="dxa"/>
        <w:jc w:val="center"/>
        <w:tblLayout w:type="fixed"/>
        <w:tblCellMar>
          <w:top w:w="0" w:type="dxa"/>
          <w:left w:w="0" w:type="dxa"/>
          <w:bottom w:w="0" w:type="dxa"/>
          <w:right w:w="0" w:type="dxa"/>
        </w:tblCellMar>
      </w:tblPr>
      <w:tblGrid>
        <w:gridCol w:w="1093"/>
        <w:gridCol w:w="2093"/>
        <w:gridCol w:w="1640"/>
        <w:gridCol w:w="1640"/>
        <w:gridCol w:w="1640"/>
        <w:gridCol w:w="1640"/>
        <w:gridCol w:w="1640"/>
        <w:gridCol w:w="1897"/>
        <w:gridCol w:w="1383"/>
      </w:tblGrid>
      <w:tr>
        <w:tblPrEx>
          <w:tblCellMar>
            <w:top w:w="0" w:type="dxa"/>
            <w:left w:w="0" w:type="dxa"/>
            <w:bottom w:w="0" w:type="dxa"/>
            <w:right w:w="0" w:type="dxa"/>
          </w:tblCellMar>
        </w:tblPrEx>
        <w:trPr>
          <w:trHeight w:val="450" w:hRule="atLeast"/>
          <w:jc w:val="center"/>
        </w:trPr>
        <w:tc>
          <w:tcPr>
            <w:tcW w:w="3186"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项    目</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本年收入合计</w:t>
            </w:r>
          </w:p>
        </w:tc>
        <w:tc>
          <w:tcPr>
            <w:tcW w:w="164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财政拨款收入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上级补助收入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事业收入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经营收入</w:t>
            </w:r>
          </w:p>
        </w:tc>
        <w:tc>
          <w:tcPr>
            <w:tcW w:w="189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附属单位上缴收入</w:t>
            </w:r>
          </w:p>
        </w:tc>
        <w:tc>
          <w:tcPr>
            <w:tcW w:w="138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其他收入</w:t>
            </w:r>
          </w:p>
        </w:tc>
      </w:tr>
      <w:tr>
        <w:tblPrEx>
          <w:tblCellMar>
            <w:top w:w="0" w:type="dxa"/>
            <w:left w:w="0" w:type="dxa"/>
            <w:bottom w:w="0" w:type="dxa"/>
            <w:right w:w="0" w:type="dxa"/>
          </w:tblCellMar>
        </w:tblPrEx>
        <w:trPr>
          <w:trHeight w:val="334" w:hRule="exact"/>
          <w:jc w:val="center"/>
        </w:trPr>
        <w:tc>
          <w:tcPr>
            <w:tcW w:w="109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功能分类科目编码</w:t>
            </w:r>
          </w:p>
        </w:tc>
        <w:tc>
          <w:tcPr>
            <w:tcW w:w="2093"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rPr>
              <w:t>科目名称</w:t>
            </w: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897"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38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r>
      <w:tr>
        <w:tblPrEx>
          <w:tblCellMar>
            <w:top w:w="0" w:type="dxa"/>
            <w:left w:w="0" w:type="dxa"/>
            <w:bottom w:w="0" w:type="dxa"/>
            <w:right w:w="0" w:type="dxa"/>
          </w:tblCellMar>
        </w:tblPrEx>
        <w:trPr>
          <w:trHeight w:val="312" w:hRule="atLeast"/>
          <w:jc w:val="center"/>
        </w:trPr>
        <w:tc>
          <w:tcPr>
            <w:tcW w:w="109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2093" w:type="dxa"/>
            <w:vMerge w:val="continue"/>
            <w:tcBorders>
              <w:top w:val="nil"/>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640"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897"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c>
          <w:tcPr>
            <w:tcW w:w="1383" w:type="dxa"/>
            <w:vMerge w:val="continue"/>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 w:cs="Times New Roman"/>
                <w:sz w:val="24"/>
                <w:szCs w:val="24"/>
              </w:rPr>
            </w:pPr>
          </w:p>
        </w:tc>
      </w:tr>
      <w:tr>
        <w:tblPrEx>
          <w:tblCellMar>
            <w:top w:w="0" w:type="dxa"/>
            <w:left w:w="0" w:type="dxa"/>
            <w:bottom w:w="0" w:type="dxa"/>
            <w:right w:w="0" w:type="dxa"/>
          </w:tblCellMar>
        </w:tblPrEx>
        <w:trPr>
          <w:trHeight w:val="450" w:hRule="atLeast"/>
          <w:jc w:val="center"/>
        </w:trPr>
        <w:tc>
          <w:tcPr>
            <w:tcW w:w="318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rPr>
              <w:t>栏次</w:t>
            </w:r>
          </w:p>
        </w:tc>
        <w:tc>
          <w:tcPr>
            <w:tcW w:w="164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rPr>
              <w:t>1</w:t>
            </w:r>
          </w:p>
        </w:tc>
        <w:tc>
          <w:tcPr>
            <w:tcW w:w="164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rPr>
              <w:t>2</w:t>
            </w:r>
          </w:p>
        </w:tc>
        <w:tc>
          <w:tcPr>
            <w:tcW w:w="164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rPr>
              <w:t>3</w:t>
            </w:r>
          </w:p>
        </w:tc>
        <w:tc>
          <w:tcPr>
            <w:tcW w:w="164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rPr>
              <w:t>4</w:t>
            </w:r>
          </w:p>
        </w:tc>
        <w:tc>
          <w:tcPr>
            <w:tcW w:w="164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rPr>
              <w:t>5</w:t>
            </w:r>
          </w:p>
        </w:tc>
        <w:tc>
          <w:tcPr>
            <w:tcW w:w="189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rPr>
              <w:t>6</w:t>
            </w:r>
          </w:p>
        </w:tc>
        <w:tc>
          <w:tcPr>
            <w:tcW w:w="138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rPr>
              <w:t>7</w:t>
            </w:r>
          </w:p>
        </w:tc>
      </w:tr>
      <w:tr>
        <w:tblPrEx>
          <w:tblCellMar>
            <w:top w:w="0" w:type="dxa"/>
            <w:left w:w="0" w:type="dxa"/>
            <w:bottom w:w="0" w:type="dxa"/>
            <w:right w:w="0" w:type="dxa"/>
          </w:tblCellMar>
        </w:tblPrEx>
        <w:trPr>
          <w:trHeight w:val="450" w:hRule="atLeast"/>
          <w:jc w:val="center"/>
        </w:trPr>
        <w:tc>
          <w:tcPr>
            <w:tcW w:w="3186"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rPr>
              <w:t>合计</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14169</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14169</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38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r>
      <w:tr>
        <w:tblPrEx>
          <w:tblCellMar>
            <w:top w:w="0" w:type="dxa"/>
            <w:left w:w="0" w:type="dxa"/>
            <w:bottom w:w="0" w:type="dxa"/>
            <w:right w:w="0" w:type="dxa"/>
          </w:tblCellMar>
        </w:tblPrEx>
        <w:trPr>
          <w:trHeight w:val="450" w:hRule="atLeast"/>
          <w:jc w:val="center"/>
        </w:trPr>
        <w:tc>
          <w:tcPr>
            <w:tcW w:w="1093"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229</w:t>
            </w:r>
          </w:p>
        </w:tc>
        <w:tc>
          <w:tcPr>
            <w:tcW w:w="209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其他支出</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14169</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14169</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38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r>
      <w:tr>
        <w:tblPrEx>
          <w:tblCellMar>
            <w:top w:w="0" w:type="dxa"/>
            <w:left w:w="0" w:type="dxa"/>
            <w:bottom w:w="0" w:type="dxa"/>
            <w:right w:w="0" w:type="dxa"/>
          </w:tblCellMar>
        </w:tblPrEx>
        <w:trPr>
          <w:trHeight w:val="450" w:hRule="atLeast"/>
          <w:jc w:val="center"/>
        </w:trPr>
        <w:tc>
          <w:tcPr>
            <w:tcW w:w="1093"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22908</w:t>
            </w:r>
          </w:p>
        </w:tc>
        <w:tc>
          <w:tcPr>
            <w:tcW w:w="209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彩票发行销售机构业务费安排的支出</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14169</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14169</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38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r>
      <w:tr>
        <w:tblPrEx>
          <w:tblCellMar>
            <w:top w:w="0" w:type="dxa"/>
            <w:left w:w="0" w:type="dxa"/>
            <w:bottom w:w="0" w:type="dxa"/>
            <w:right w:w="0" w:type="dxa"/>
          </w:tblCellMar>
        </w:tblPrEx>
        <w:trPr>
          <w:trHeight w:val="450" w:hRule="atLeast"/>
          <w:jc w:val="center"/>
        </w:trPr>
        <w:tc>
          <w:tcPr>
            <w:tcW w:w="1093"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lang w:val="en-US" w:eastAsia="zh-CN"/>
              </w:rPr>
              <w:t>2290804</w:t>
            </w:r>
          </w:p>
        </w:tc>
        <w:tc>
          <w:tcPr>
            <w:tcW w:w="209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lang w:val="en-US" w:eastAsia="zh-CN"/>
              </w:rPr>
              <w:t>福利彩票销售机构的业务费支出</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lang w:val="en-US" w:eastAsia="zh-CN"/>
              </w:rPr>
              <w:t>11519</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lang w:val="en-US" w:eastAsia="zh-CN"/>
              </w:rPr>
              <w:t>11519</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38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r>
      <w:tr>
        <w:tblPrEx>
          <w:tblCellMar>
            <w:top w:w="0" w:type="dxa"/>
            <w:left w:w="0" w:type="dxa"/>
            <w:bottom w:w="0" w:type="dxa"/>
            <w:right w:w="0" w:type="dxa"/>
          </w:tblCellMar>
        </w:tblPrEx>
        <w:trPr>
          <w:trHeight w:val="450" w:hRule="atLeast"/>
          <w:jc w:val="center"/>
        </w:trPr>
        <w:tc>
          <w:tcPr>
            <w:tcW w:w="1093"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lang w:val="en-US" w:eastAsia="zh-CN"/>
              </w:rPr>
              <w:t>2290808</w:t>
            </w:r>
          </w:p>
        </w:tc>
        <w:tc>
          <w:tcPr>
            <w:tcW w:w="209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lang w:val="en-US" w:eastAsia="zh-CN"/>
              </w:rPr>
              <w:t>彩票市场调控资金支出</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lang w:val="en-US" w:eastAsia="zh-CN"/>
              </w:rPr>
              <w:t>2650</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 w:cs="Times New Roman"/>
                <w:sz w:val="24"/>
                <w:szCs w:val="24"/>
              </w:rPr>
            </w:pPr>
            <w:r>
              <w:rPr>
                <w:rFonts w:hint="default" w:ascii="Times New Roman" w:hAnsi="Times New Roman" w:eastAsia="仿宋" w:cs="Times New Roman"/>
                <w:lang w:val="en-US" w:eastAsia="zh-CN"/>
              </w:rPr>
              <w:t>2650</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38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r>
      <w:tr>
        <w:tblPrEx>
          <w:tblCellMar>
            <w:top w:w="0" w:type="dxa"/>
            <w:left w:w="0" w:type="dxa"/>
            <w:bottom w:w="0" w:type="dxa"/>
            <w:right w:w="0" w:type="dxa"/>
          </w:tblCellMar>
        </w:tblPrEx>
        <w:trPr>
          <w:trHeight w:val="450" w:hRule="atLeast"/>
          <w:jc w:val="center"/>
        </w:trPr>
        <w:tc>
          <w:tcPr>
            <w:tcW w:w="1093"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209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38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r>
      <w:tr>
        <w:tblPrEx>
          <w:tblCellMar>
            <w:top w:w="0" w:type="dxa"/>
            <w:left w:w="0" w:type="dxa"/>
            <w:bottom w:w="0" w:type="dxa"/>
            <w:right w:w="0" w:type="dxa"/>
          </w:tblCellMar>
        </w:tblPrEx>
        <w:trPr>
          <w:trHeight w:val="450" w:hRule="atLeast"/>
          <w:jc w:val="center"/>
        </w:trPr>
        <w:tc>
          <w:tcPr>
            <w:tcW w:w="1093"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209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6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c>
          <w:tcPr>
            <w:tcW w:w="138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 w:cs="Times New Roman"/>
                <w:sz w:val="24"/>
                <w:szCs w:val="24"/>
              </w:rPr>
            </w:pPr>
            <w:r>
              <w:rPr>
                <w:rFonts w:hint="default" w:ascii="Times New Roman" w:hAnsi="Times New Roman" w:eastAsia="仿宋" w:cs="Times New Roman"/>
              </w:rPr>
              <w:t>　</w:t>
            </w:r>
          </w:p>
        </w:tc>
      </w:tr>
    </w:tbl>
    <w:p>
      <w:pPr>
        <w:spacing w:before="120"/>
        <w:rPr>
          <w:rFonts w:hint="default" w:ascii="Times New Roman" w:hAnsi="Times New Roman" w:eastAsia="仿宋" w:cs="Times New Roman"/>
          <w:sz w:val="24"/>
          <w:szCs w:val="24"/>
        </w:rPr>
      </w:pPr>
      <w:r>
        <w:rPr>
          <w:rFonts w:hint="default" w:ascii="Times New Roman" w:hAnsi="Times New Roman" w:eastAsia="仿宋" w:cs="Times New Roman"/>
        </w:rPr>
        <w:t>注：本表反映部门本年度取得的各项收入情况。</w:t>
      </w:r>
    </w:p>
    <w:p>
      <w:pPr>
        <w:widowControl/>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 xml:space="preserve"> </w:t>
      </w:r>
      <w:r>
        <w:rPr>
          <w:rFonts w:hint="default" w:ascii="Times New Roman" w:hAnsi="Times New Roman" w:eastAsia="黑体" w:cs="Times New Roman"/>
          <w:bCs/>
          <w:kern w:val="0"/>
          <w:sz w:val="32"/>
          <w:szCs w:val="32"/>
        </w:rPr>
        <w:br w:type="page"/>
      </w:r>
    </w:p>
    <w:p>
      <w:pPr>
        <w:widowControl/>
        <w:jc w:val="center"/>
        <w:textAlignment w:val="center"/>
        <w:rPr>
          <w:rFonts w:hint="default" w:ascii="Times New Roman" w:hAnsi="Times New Roman" w:eastAsia="黑体" w:cs="Times New Roman"/>
          <w:color w:val="000000"/>
          <w:kern w:val="0"/>
          <w:sz w:val="32"/>
          <w:szCs w:val="32"/>
          <w:lang w:bidi="ar"/>
        </w:rPr>
      </w:pPr>
    </w:p>
    <w:p>
      <w:pPr>
        <w:widowControl/>
        <w:spacing w:after="156" w:afterLines="50"/>
        <w:jc w:val="center"/>
        <w:textAlignment w:val="center"/>
        <w:rPr>
          <w:rFonts w:hint="default" w:ascii="Times New Roman" w:hAnsi="Times New Roman" w:eastAsia="仿宋" w:cs="Times New Roman"/>
          <w:color w:val="000000"/>
          <w:kern w:val="0"/>
          <w:sz w:val="36"/>
          <w:szCs w:val="36"/>
          <w:lang w:bidi="ar"/>
        </w:rPr>
      </w:pPr>
      <w:r>
        <w:rPr>
          <w:rFonts w:hint="default" w:ascii="Times New Roman" w:hAnsi="Times New Roman" w:eastAsia="黑体" w:cs="Times New Roman"/>
          <w:color w:val="000000"/>
          <w:kern w:val="0"/>
          <w:sz w:val="36"/>
          <w:szCs w:val="36"/>
          <w:lang w:bidi="ar"/>
        </w:rPr>
        <w:t>支出决算表</w:t>
      </w:r>
    </w:p>
    <w:p>
      <w:pPr>
        <w:widowControl/>
        <w:tabs>
          <w:tab w:val="left" w:pos="1236"/>
          <w:tab w:val="left" w:pos="1499"/>
          <w:tab w:val="left" w:pos="2980"/>
          <w:tab w:val="left" w:pos="4932"/>
          <w:tab w:val="left" w:pos="6923"/>
          <w:tab w:val="left" w:pos="8914"/>
          <w:tab w:val="left" w:pos="10905"/>
          <w:tab w:val="left" w:pos="12896"/>
        </w:tabs>
        <w:jc w:val="right"/>
        <w:rPr>
          <w:rFonts w:hint="default" w:ascii="Times New Roman" w:hAnsi="Times New Roman" w:eastAsia="仿宋" w:cs="Times New Roman"/>
          <w:color w:val="000000"/>
          <w:kern w:val="0"/>
          <w:sz w:val="20"/>
          <w:szCs w:val="20"/>
        </w:rPr>
      </w:pP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color w:val="000000"/>
          <w:kern w:val="0"/>
          <w:sz w:val="20"/>
          <w:szCs w:val="20"/>
        </w:rPr>
        <w:t>公开03表</w:t>
      </w:r>
    </w:p>
    <w:p>
      <w:pPr>
        <w:widowControl/>
        <w:tabs>
          <w:tab w:val="left" w:pos="1236"/>
          <w:tab w:val="left" w:pos="1499"/>
          <w:tab w:val="left" w:pos="2980"/>
          <w:tab w:val="left" w:pos="4932"/>
          <w:tab w:val="left" w:pos="6923"/>
          <w:tab w:val="left" w:pos="8914"/>
          <w:tab w:val="left" w:pos="10905"/>
          <w:tab w:val="left" w:pos="12896"/>
        </w:tabs>
        <w:jc w:val="right"/>
        <w:rPr>
          <w:rFonts w:hint="default" w:ascii="Times New Roman" w:hAnsi="Times New Roman" w:eastAsia="仿宋" w:cs="Times New Roman"/>
          <w:color w:val="000000"/>
          <w:kern w:val="0"/>
          <w:sz w:val="20"/>
          <w:szCs w:val="20"/>
        </w:rPr>
      </w:pPr>
      <w:r>
        <w:rPr>
          <w:rFonts w:hint="default" w:ascii="Times New Roman" w:hAnsi="Times New Roman" w:eastAsia="仿宋" w:cs="Times New Roman"/>
          <w:color w:val="000000"/>
          <w:kern w:val="0"/>
          <w:sz w:val="20"/>
          <w:szCs w:val="20"/>
        </w:rPr>
        <w:t>部门：湖南省福利彩票发行中心</w:t>
      </w:r>
      <w:r>
        <w:rPr>
          <w:rFonts w:hint="default" w:ascii="Times New Roman" w:hAnsi="Times New Roman" w:eastAsia="仿宋" w:cs="Times New Roman"/>
          <w:color w:val="000000"/>
          <w:kern w:val="0"/>
          <w:sz w:val="20"/>
          <w:szCs w:val="20"/>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color w:val="000000"/>
          <w:kern w:val="0"/>
          <w:sz w:val="20"/>
          <w:szCs w:val="20"/>
        </w:rPr>
        <w:t>　</w:t>
      </w:r>
      <w:r>
        <w:rPr>
          <w:rFonts w:hint="default" w:ascii="Times New Roman" w:hAnsi="Times New Roman" w:eastAsia="仿宋" w:cs="Times New Roman"/>
          <w:color w:val="000000"/>
          <w:kern w:val="0"/>
          <w:sz w:val="20"/>
          <w:szCs w:val="20"/>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color w:val="000000"/>
          <w:kern w:val="0"/>
          <w:sz w:val="20"/>
          <w:szCs w:val="20"/>
        </w:rPr>
        <w:t>单位：万元</w:t>
      </w:r>
    </w:p>
    <w:tbl>
      <w:tblPr>
        <w:tblStyle w:val="12"/>
        <w:tblW w:w="4996" w:type="pct"/>
        <w:jc w:val="center"/>
        <w:tblLayout w:type="fixed"/>
        <w:tblCellMar>
          <w:top w:w="0" w:type="dxa"/>
          <w:left w:w="108" w:type="dxa"/>
          <w:bottom w:w="0" w:type="dxa"/>
          <w:right w:w="108" w:type="dxa"/>
        </w:tblCellMar>
      </w:tblPr>
      <w:tblGrid>
        <w:gridCol w:w="1286"/>
        <w:gridCol w:w="2638"/>
        <w:gridCol w:w="1830"/>
        <w:gridCol w:w="1590"/>
        <w:gridCol w:w="1695"/>
        <w:gridCol w:w="1800"/>
        <w:gridCol w:w="1680"/>
        <w:gridCol w:w="1692"/>
      </w:tblGrid>
      <w:tr>
        <w:tblPrEx>
          <w:tblCellMar>
            <w:top w:w="0" w:type="dxa"/>
            <w:left w:w="108" w:type="dxa"/>
            <w:bottom w:w="0" w:type="dxa"/>
            <w:right w:w="108" w:type="dxa"/>
          </w:tblCellMar>
        </w:tblPrEx>
        <w:trPr>
          <w:trHeight w:val="595" w:hRule="atLeast"/>
          <w:jc w:val="center"/>
        </w:trPr>
        <w:tc>
          <w:tcPr>
            <w:tcW w:w="1380"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rPr>
              <w:t>项    目</w:t>
            </w:r>
          </w:p>
        </w:tc>
        <w:tc>
          <w:tcPr>
            <w:tcW w:w="643"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rPr>
              <w:t>本年支出合计</w:t>
            </w:r>
          </w:p>
        </w:tc>
        <w:tc>
          <w:tcPr>
            <w:tcW w:w="559"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rPr>
              <w:t>基本支出</w:t>
            </w:r>
          </w:p>
        </w:tc>
        <w:tc>
          <w:tcPr>
            <w:tcW w:w="596"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rPr>
              <w:t>项目支出</w:t>
            </w:r>
          </w:p>
        </w:tc>
        <w:tc>
          <w:tcPr>
            <w:tcW w:w="633"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rPr>
              <w:t>上缴上级支出</w:t>
            </w:r>
          </w:p>
        </w:tc>
        <w:tc>
          <w:tcPr>
            <w:tcW w:w="591"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rPr>
              <w:t>经营支出</w:t>
            </w:r>
          </w:p>
        </w:tc>
        <w:tc>
          <w:tcPr>
            <w:tcW w:w="595"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rPr>
              <w:t>对附属单位补助支出</w:t>
            </w:r>
          </w:p>
        </w:tc>
      </w:tr>
      <w:tr>
        <w:tblPrEx>
          <w:tblCellMar>
            <w:top w:w="0" w:type="dxa"/>
            <w:left w:w="108" w:type="dxa"/>
            <w:bottom w:w="0" w:type="dxa"/>
            <w:right w:w="108" w:type="dxa"/>
          </w:tblCellMar>
        </w:tblPrEx>
        <w:trPr>
          <w:trHeight w:val="312" w:hRule="exact"/>
          <w:jc w:val="center"/>
        </w:trPr>
        <w:tc>
          <w:tcPr>
            <w:tcW w:w="452"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rPr>
              <w:t>功能分类科目编码</w:t>
            </w:r>
          </w:p>
        </w:tc>
        <w:tc>
          <w:tcPr>
            <w:tcW w:w="928" w:type="pct"/>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rPr>
              <w:t>科目名称</w:t>
            </w:r>
          </w:p>
        </w:tc>
        <w:tc>
          <w:tcPr>
            <w:tcW w:w="64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bCs/>
                <w:kern w:val="0"/>
                <w:sz w:val="24"/>
                <w:szCs w:val="24"/>
              </w:rPr>
            </w:pPr>
          </w:p>
        </w:tc>
        <w:tc>
          <w:tcPr>
            <w:tcW w:w="55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bCs/>
                <w:kern w:val="0"/>
                <w:sz w:val="24"/>
                <w:szCs w:val="24"/>
              </w:rPr>
            </w:pPr>
          </w:p>
        </w:tc>
        <w:tc>
          <w:tcPr>
            <w:tcW w:w="5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bCs/>
                <w:kern w:val="0"/>
                <w:sz w:val="24"/>
                <w:szCs w:val="24"/>
              </w:rPr>
            </w:pPr>
          </w:p>
        </w:tc>
        <w:tc>
          <w:tcPr>
            <w:tcW w:w="6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bCs/>
                <w:kern w:val="0"/>
                <w:sz w:val="24"/>
                <w:szCs w:val="24"/>
              </w:rPr>
            </w:pPr>
          </w:p>
        </w:tc>
        <w:tc>
          <w:tcPr>
            <w:tcW w:w="5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bCs/>
                <w:kern w:val="0"/>
                <w:sz w:val="24"/>
                <w:szCs w:val="24"/>
              </w:rPr>
            </w:pPr>
          </w:p>
        </w:tc>
        <w:tc>
          <w:tcPr>
            <w:tcW w:w="5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bCs/>
                <w:kern w:val="0"/>
                <w:sz w:val="24"/>
                <w:szCs w:val="24"/>
              </w:rPr>
            </w:pPr>
          </w:p>
        </w:tc>
      </w:tr>
      <w:tr>
        <w:tblPrEx>
          <w:tblCellMar>
            <w:top w:w="0" w:type="dxa"/>
            <w:left w:w="108" w:type="dxa"/>
            <w:bottom w:w="0" w:type="dxa"/>
            <w:right w:w="108" w:type="dxa"/>
          </w:tblCellMar>
        </w:tblPrEx>
        <w:trPr>
          <w:trHeight w:val="595" w:hRule="atLeast"/>
          <w:jc w:val="center"/>
        </w:trPr>
        <w:tc>
          <w:tcPr>
            <w:tcW w:w="45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 w:val="24"/>
                <w:szCs w:val="24"/>
              </w:rPr>
            </w:pPr>
          </w:p>
        </w:tc>
        <w:tc>
          <w:tcPr>
            <w:tcW w:w="928" w:type="pct"/>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 w:val="24"/>
                <w:szCs w:val="24"/>
              </w:rPr>
            </w:pPr>
          </w:p>
        </w:tc>
        <w:tc>
          <w:tcPr>
            <w:tcW w:w="64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 w:val="24"/>
                <w:szCs w:val="24"/>
              </w:rPr>
            </w:pPr>
          </w:p>
        </w:tc>
        <w:tc>
          <w:tcPr>
            <w:tcW w:w="55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 w:val="24"/>
                <w:szCs w:val="24"/>
              </w:rPr>
            </w:pPr>
          </w:p>
        </w:tc>
        <w:tc>
          <w:tcPr>
            <w:tcW w:w="59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 w:val="24"/>
                <w:szCs w:val="24"/>
              </w:rPr>
            </w:pPr>
          </w:p>
        </w:tc>
        <w:tc>
          <w:tcPr>
            <w:tcW w:w="63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 w:val="24"/>
                <w:szCs w:val="24"/>
              </w:rPr>
            </w:pPr>
          </w:p>
        </w:tc>
        <w:tc>
          <w:tcPr>
            <w:tcW w:w="5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 w:val="24"/>
                <w:szCs w:val="24"/>
              </w:rPr>
            </w:pPr>
          </w:p>
        </w:tc>
        <w:tc>
          <w:tcPr>
            <w:tcW w:w="5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 w:val="24"/>
                <w:szCs w:val="24"/>
              </w:rPr>
            </w:pPr>
          </w:p>
        </w:tc>
      </w:tr>
      <w:tr>
        <w:tblPrEx>
          <w:tblCellMar>
            <w:top w:w="0" w:type="dxa"/>
            <w:left w:w="108" w:type="dxa"/>
            <w:bottom w:w="0" w:type="dxa"/>
            <w:right w:w="108" w:type="dxa"/>
          </w:tblCellMar>
        </w:tblPrEx>
        <w:trPr>
          <w:trHeight w:val="595" w:hRule="atLeast"/>
          <w:jc w:val="center"/>
        </w:trPr>
        <w:tc>
          <w:tcPr>
            <w:tcW w:w="1380" w:type="pct"/>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栏次</w:t>
            </w:r>
          </w:p>
        </w:tc>
        <w:tc>
          <w:tcPr>
            <w:tcW w:w="643"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w:t>
            </w:r>
          </w:p>
        </w:tc>
        <w:tc>
          <w:tcPr>
            <w:tcW w:w="559"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2</w:t>
            </w:r>
          </w:p>
        </w:tc>
        <w:tc>
          <w:tcPr>
            <w:tcW w:w="596"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3</w:t>
            </w:r>
          </w:p>
        </w:tc>
        <w:tc>
          <w:tcPr>
            <w:tcW w:w="633"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4</w:t>
            </w:r>
          </w:p>
        </w:tc>
        <w:tc>
          <w:tcPr>
            <w:tcW w:w="59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5</w:t>
            </w:r>
          </w:p>
        </w:tc>
        <w:tc>
          <w:tcPr>
            <w:tcW w:w="59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6</w:t>
            </w:r>
          </w:p>
        </w:tc>
      </w:tr>
      <w:tr>
        <w:tblPrEx>
          <w:tblCellMar>
            <w:top w:w="0" w:type="dxa"/>
            <w:left w:w="108" w:type="dxa"/>
            <w:bottom w:w="0" w:type="dxa"/>
            <w:right w:w="108" w:type="dxa"/>
          </w:tblCellMar>
        </w:tblPrEx>
        <w:trPr>
          <w:trHeight w:val="595" w:hRule="atLeast"/>
          <w:jc w:val="center"/>
        </w:trPr>
        <w:tc>
          <w:tcPr>
            <w:tcW w:w="1380" w:type="pct"/>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合计</w:t>
            </w:r>
          </w:p>
        </w:tc>
        <w:tc>
          <w:tcPr>
            <w:tcW w:w="643"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12453.61</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lang w:val="en-US" w:eastAsia="zh-CN"/>
              </w:rPr>
              <w:t>1669.33</w:t>
            </w:r>
          </w:p>
        </w:tc>
        <w:tc>
          <w:tcPr>
            <w:tcW w:w="596"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rPr>
            </w:pPr>
            <w:r>
              <w:rPr>
                <w:rFonts w:hint="default" w:ascii="Times New Roman" w:hAnsi="Times New Roman" w:eastAsia="仿宋" w:cs="Times New Roman"/>
                <w:kern w:val="0"/>
                <w:sz w:val="24"/>
                <w:szCs w:val="24"/>
                <w:lang w:val="en-US" w:eastAsia="zh-CN"/>
              </w:rPr>
              <w:t>10784.28</w:t>
            </w:r>
          </w:p>
        </w:tc>
        <w:tc>
          <w:tcPr>
            <w:tcW w:w="633"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1"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5"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r>
      <w:tr>
        <w:tblPrEx>
          <w:tblCellMar>
            <w:top w:w="0" w:type="dxa"/>
            <w:left w:w="108" w:type="dxa"/>
            <w:bottom w:w="0" w:type="dxa"/>
            <w:right w:w="108" w:type="dxa"/>
          </w:tblCellMar>
        </w:tblPrEx>
        <w:trPr>
          <w:trHeight w:val="595" w:hRule="atLeast"/>
          <w:jc w:val="center"/>
        </w:trPr>
        <w:tc>
          <w:tcPr>
            <w:tcW w:w="452" w:type="pct"/>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lang w:val="en-US" w:eastAsia="zh-CN"/>
              </w:rPr>
              <w:t>229</w:t>
            </w:r>
          </w:p>
        </w:tc>
        <w:tc>
          <w:tcPr>
            <w:tcW w:w="92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lang w:val="en-US" w:eastAsia="zh-CN"/>
              </w:rPr>
              <w:t>其他支出</w:t>
            </w:r>
          </w:p>
        </w:tc>
        <w:tc>
          <w:tcPr>
            <w:tcW w:w="643"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rPr>
            </w:pPr>
            <w:r>
              <w:rPr>
                <w:rFonts w:hint="default" w:ascii="Times New Roman" w:hAnsi="Times New Roman" w:eastAsia="仿宋" w:cs="Times New Roman"/>
                <w:kern w:val="0"/>
                <w:sz w:val="24"/>
                <w:szCs w:val="24"/>
                <w:lang w:val="en-US" w:eastAsia="zh-CN"/>
              </w:rPr>
              <w:t>12453.61</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1669.33</w:t>
            </w:r>
          </w:p>
        </w:tc>
        <w:tc>
          <w:tcPr>
            <w:tcW w:w="596"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rPr>
            </w:pPr>
            <w:r>
              <w:rPr>
                <w:rFonts w:hint="default" w:ascii="Times New Roman" w:hAnsi="Times New Roman" w:eastAsia="仿宋" w:cs="Times New Roman"/>
                <w:kern w:val="0"/>
                <w:sz w:val="24"/>
                <w:szCs w:val="24"/>
                <w:lang w:val="en-US" w:eastAsia="zh-CN"/>
              </w:rPr>
              <w:t>10784.28</w:t>
            </w:r>
          </w:p>
        </w:tc>
        <w:tc>
          <w:tcPr>
            <w:tcW w:w="633"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1"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5"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r>
      <w:tr>
        <w:tblPrEx>
          <w:tblCellMar>
            <w:top w:w="0" w:type="dxa"/>
            <w:left w:w="108" w:type="dxa"/>
            <w:bottom w:w="0" w:type="dxa"/>
            <w:right w:w="108" w:type="dxa"/>
          </w:tblCellMar>
        </w:tblPrEx>
        <w:trPr>
          <w:trHeight w:val="595" w:hRule="atLeast"/>
          <w:jc w:val="center"/>
        </w:trPr>
        <w:tc>
          <w:tcPr>
            <w:tcW w:w="452" w:type="pct"/>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lang w:val="en-US" w:eastAsia="zh-CN"/>
              </w:rPr>
              <w:t>22908</w:t>
            </w:r>
          </w:p>
        </w:tc>
        <w:tc>
          <w:tcPr>
            <w:tcW w:w="92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lang w:val="en-US" w:eastAsia="zh-CN"/>
              </w:rPr>
              <w:t>彩票发行销售机构业务费安排的支出</w:t>
            </w:r>
          </w:p>
        </w:tc>
        <w:tc>
          <w:tcPr>
            <w:tcW w:w="643"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lang w:val="en-US" w:eastAsia="zh-CN"/>
              </w:rPr>
              <w:t>12453.61</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lang w:val="en-US" w:eastAsia="zh-CN"/>
              </w:rPr>
              <w:t>1669.33</w:t>
            </w:r>
          </w:p>
        </w:tc>
        <w:tc>
          <w:tcPr>
            <w:tcW w:w="596"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lang w:val="en-US" w:eastAsia="zh-CN"/>
              </w:rPr>
              <w:t>10784.28</w:t>
            </w:r>
          </w:p>
        </w:tc>
        <w:tc>
          <w:tcPr>
            <w:tcW w:w="633"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1"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5"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r>
      <w:tr>
        <w:tblPrEx>
          <w:tblCellMar>
            <w:top w:w="0" w:type="dxa"/>
            <w:left w:w="108" w:type="dxa"/>
            <w:bottom w:w="0" w:type="dxa"/>
            <w:right w:w="108" w:type="dxa"/>
          </w:tblCellMar>
        </w:tblPrEx>
        <w:trPr>
          <w:trHeight w:val="595" w:hRule="atLeast"/>
          <w:jc w:val="center"/>
        </w:trPr>
        <w:tc>
          <w:tcPr>
            <w:tcW w:w="452" w:type="pct"/>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lang w:val="en-US" w:eastAsia="zh-CN"/>
              </w:rPr>
              <w:t>2290804</w:t>
            </w:r>
          </w:p>
        </w:tc>
        <w:tc>
          <w:tcPr>
            <w:tcW w:w="92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lang w:val="en-US" w:eastAsia="zh-CN"/>
              </w:rPr>
              <w:t>福利彩票销售机构的业务费支出</w:t>
            </w:r>
          </w:p>
        </w:tc>
        <w:tc>
          <w:tcPr>
            <w:tcW w:w="643"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lang w:val="en-US" w:eastAsia="zh-CN"/>
              </w:rPr>
              <w:t>8848.46</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lang w:val="en-US" w:eastAsia="zh-CN"/>
              </w:rPr>
              <w:t>1669.33</w:t>
            </w:r>
          </w:p>
        </w:tc>
        <w:tc>
          <w:tcPr>
            <w:tcW w:w="596"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lang w:val="en-US" w:eastAsia="zh-CN"/>
              </w:rPr>
              <w:t>7179.1</w:t>
            </w:r>
            <w:r>
              <w:rPr>
                <w:rFonts w:hint="eastAsia" w:ascii="Times New Roman" w:hAnsi="Times New Roman" w:eastAsia="仿宋" w:cs="Times New Roman"/>
                <w:kern w:val="0"/>
                <w:sz w:val="24"/>
                <w:szCs w:val="24"/>
                <w:lang w:val="en-US" w:eastAsia="zh-CN"/>
              </w:rPr>
              <w:t>2</w:t>
            </w:r>
          </w:p>
        </w:tc>
        <w:tc>
          <w:tcPr>
            <w:tcW w:w="633"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1"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5"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r>
      <w:tr>
        <w:tblPrEx>
          <w:tblCellMar>
            <w:top w:w="0" w:type="dxa"/>
            <w:left w:w="108" w:type="dxa"/>
            <w:bottom w:w="0" w:type="dxa"/>
            <w:right w:w="108" w:type="dxa"/>
          </w:tblCellMar>
        </w:tblPrEx>
        <w:trPr>
          <w:trHeight w:val="595" w:hRule="atLeast"/>
          <w:jc w:val="center"/>
        </w:trPr>
        <w:tc>
          <w:tcPr>
            <w:tcW w:w="452" w:type="pct"/>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lang w:val="en-US" w:eastAsia="zh-CN"/>
              </w:rPr>
              <w:t>2290808</w:t>
            </w:r>
          </w:p>
        </w:tc>
        <w:tc>
          <w:tcPr>
            <w:tcW w:w="92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lang w:val="en-US" w:eastAsia="zh-CN"/>
              </w:rPr>
              <w:t>彩票市场调控资金支出</w:t>
            </w:r>
          </w:p>
        </w:tc>
        <w:tc>
          <w:tcPr>
            <w:tcW w:w="643"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lang w:val="en-US" w:eastAsia="zh-CN"/>
              </w:rPr>
              <w:t>3605.15</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eastAsia="zh-CN" w:bidi="ar-SA"/>
              </w:rPr>
            </w:pPr>
          </w:p>
        </w:tc>
        <w:tc>
          <w:tcPr>
            <w:tcW w:w="596" w:type="pct"/>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lang w:val="en-US" w:eastAsia="zh-CN"/>
              </w:rPr>
              <w:t>3605.15</w:t>
            </w:r>
          </w:p>
        </w:tc>
        <w:tc>
          <w:tcPr>
            <w:tcW w:w="633"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1"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5"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r>
      <w:tr>
        <w:tblPrEx>
          <w:tblCellMar>
            <w:top w:w="0" w:type="dxa"/>
            <w:left w:w="108" w:type="dxa"/>
            <w:bottom w:w="0" w:type="dxa"/>
            <w:right w:w="108" w:type="dxa"/>
          </w:tblCellMar>
        </w:tblPrEx>
        <w:trPr>
          <w:trHeight w:val="595" w:hRule="atLeast"/>
          <w:jc w:val="center"/>
        </w:trPr>
        <w:tc>
          <w:tcPr>
            <w:tcW w:w="452" w:type="pct"/>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928" w:type="pct"/>
            <w:tcBorders>
              <w:top w:val="nil"/>
              <w:left w:val="nil"/>
              <w:bottom w:val="single" w:color="auto" w:sz="4" w:space="0"/>
              <w:right w:val="single" w:color="auto" w:sz="4" w:space="0"/>
            </w:tcBorders>
            <w:shd w:val="clear" w:color="000000" w:fill="FFFFFF"/>
            <w:noWrap/>
            <w:vAlign w:val="center"/>
          </w:tcPr>
          <w:p>
            <w:pPr>
              <w:widowControl/>
              <w:jc w:val="lef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643"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59"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6"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633"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1"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5"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r>
      <w:tr>
        <w:tblPrEx>
          <w:tblCellMar>
            <w:top w:w="0" w:type="dxa"/>
            <w:left w:w="108" w:type="dxa"/>
            <w:bottom w:w="0" w:type="dxa"/>
            <w:right w:w="108" w:type="dxa"/>
          </w:tblCellMar>
        </w:tblPrEx>
        <w:trPr>
          <w:trHeight w:val="595" w:hRule="atLeast"/>
          <w:jc w:val="center"/>
        </w:trPr>
        <w:tc>
          <w:tcPr>
            <w:tcW w:w="452" w:type="pct"/>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928" w:type="pct"/>
            <w:tcBorders>
              <w:top w:val="nil"/>
              <w:left w:val="nil"/>
              <w:bottom w:val="single" w:color="auto" w:sz="4" w:space="0"/>
              <w:right w:val="single" w:color="auto" w:sz="4" w:space="0"/>
            </w:tcBorders>
            <w:shd w:val="clear" w:color="000000" w:fill="FFFFFF"/>
            <w:noWrap/>
            <w:vAlign w:val="center"/>
          </w:tcPr>
          <w:p>
            <w:pPr>
              <w:widowControl/>
              <w:jc w:val="lef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643"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59"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6"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633"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1"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595" w:type="pct"/>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r>
    </w:tbl>
    <w:p>
      <w:pPr>
        <w:widowControl/>
        <w:spacing w:before="120"/>
        <w:jc w:val="left"/>
        <w:rPr>
          <w:rFonts w:hint="default" w:ascii="Times New Roman" w:hAnsi="Times New Roman" w:eastAsia="仿宋" w:cs="Times New Roman"/>
          <w:color w:val="000000"/>
          <w:kern w:val="0"/>
          <w:sz w:val="36"/>
          <w:szCs w:val="21"/>
        </w:rPr>
      </w:pPr>
      <w:r>
        <w:rPr>
          <w:rFonts w:hint="default" w:ascii="Times New Roman" w:hAnsi="Times New Roman" w:eastAsia="仿宋" w:cs="Times New Roman"/>
          <w:kern w:val="0"/>
          <w:sz w:val="24"/>
          <w:szCs w:val="24"/>
        </w:rPr>
        <w:t>注：本表反映部门本年度各项支出情况。</w:t>
      </w:r>
    </w:p>
    <w:p>
      <w:pPr>
        <w:widowControl/>
        <w:tabs>
          <w:tab w:val="left" w:pos="3595"/>
          <w:tab w:val="left" w:pos="4031"/>
          <w:tab w:val="left" w:pos="5605"/>
          <w:tab w:val="left" w:pos="9152"/>
          <w:tab w:val="left" w:pos="9587"/>
          <w:tab w:val="left" w:pos="11160"/>
          <w:tab w:val="left" w:pos="12554"/>
          <w:tab w:val="left" w:pos="13948"/>
        </w:tabs>
        <w:jc w:val="right"/>
        <w:rPr>
          <w:rFonts w:hint="default" w:ascii="Times New Roman" w:hAnsi="Times New Roman" w:eastAsia="宋体" w:cs="Times New Roman"/>
          <w:kern w:val="0"/>
          <w:sz w:val="24"/>
          <w:szCs w:val="24"/>
        </w:rPr>
      </w:pPr>
      <w:bookmarkStart w:id="0" w:name="RANGE!A1:I22"/>
      <w:bookmarkEnd w:id="0"/>
      <w:bookmarkStart w:id="1" w:name="RANGE!A1:F16"/>
      <w:r>
        <w:rPr>
          <w:rFonts w:hint="default" w:ascii="Times New Roman" w:hAnsi="Times New Roman" w:eastAsia="黑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p>
    <w:p>
      <w:pPr>
        <w:widowControl/>
        <w:spacing w:after="156" w:afterLines="50"/>
        <w:jc w:val="center"/>
        <w:textAlignment w:val="center"/>
        <w:rPr>
          <w:rFonts w:hint="default" w:ascii="Times New Roman" w:hAnsi="Times New Roman" w:eastAsia="黑体" w:cs="Times New Roman"/>
          <w:color w:val="000000"/>
          <w:kern w:val="0"/>
          <w:sz w:val="36"/>
          <w:szCs w:val="36"/>
          <w:lang w:bidi="ar"/>
        </w:rPr>
      </w:pPr>
      <w:r>
        <w:rPr>
          <w:rFonts w:hint="default" w:ascii="Times New Roman" w:hAnsi="Times New Roman" w:eastAsia="黑体" w:cs="Times New Roman"/>
          <w:color w:val="000000"/>
          <w:kern w:val="0"/>
          <w:sz w:val="36"/>
          <w:szCs w:val="36"/>
          <w:lang w:bidi="ar"/>
        </w:rPr>
        <w:t>财政拨款收入支出决算总表</w:t>
      </w:r>
    </w:p>
    <w:p>
      <w:pPr>
        <w:widowControl/>
        <w:tabs>
          <w:tab w:val="left" w:pos="3595"/>
          <w:tab w:val="left" w:pos="4031"/>
          <w:tab w:val="left" w:pos="5109"/>
          <w:tab w:val="left" w:pos="9152"/>
          <w:tab w:val="left" w:pos="9587"/>
          <w:tab w:val="left" w:pos="11160"/>
          <w:tab w:val="left" w:pos="12554"/>
          <w:tab w:val="left" w:pos="13948"/>
        </w:tabs>
        <w:jc w:val="center"/>
        <w:rPr>
          <w:rFonts w:hint="default" w:ascii="Times New Roman" w:hAnsi="Times New Roman" w:eastAsia="仿宋" w:cs="Times New Roman"/>
          <w:color w:val="000000"/>
          <w:kern w:val="0"/>
          <w:sz w:val="20"/>
          <w:szCs w:val="20"/>
        </w:rPr>
      </w:pPr>
      <w:r>
        <w:rPr>
          <w:rFonts w:hint="default" w:ascii="Times New Roman" w:hAnsi="Times New Roman" w:eastAsia="仿宋_GB2312" w:cs="Times New Roman"/>
          <w:color w:val="000000"/>
          <w:kern w:val="0"/>
          <w:sz w:val="20"/>
          <w:szCs w:val="20"/>
        </w:rPr>
        <w:t xml:space="preserve">                                                                                                                  </w:t>
      </w:r>
      <w:r>
        <w:rPr>
          <w:rFonts w:hint="default" w:ascii="Times New Roman" w:hAnsi="Times New Roman" w:eastAsia="仿宋_GB2312" w:cs="Times New Roman"/>
          <w:color w:val="000000"/>
          <w:kern w:val="0"/>
          <w:sz w:val="20"/>
          <w:szCs w:val="20"/>
          <w:lang w:val="en-US" w:eastAsia="zh-CN"/>
        </w:rPr>
        <w:t xml:space="preserve">       </w:t>
      </w:r>
      <w:r>
        <w:rPr>
          <w:rFonts w:hint="default" w:ascii="Times New Roman" w:hAnsi="Times New Roman" w:eastAsia="仿宋" w:cs="Times New Roman"/>
          <w:color w:val="000000"/>
          <w:kern w:val="0"/>
          <w:sz w:val="20"/>
          <w:szCs w:val="20"/>
          <w:lang w:val="en-US" w:eastAsia="zh-CN"/>
        </w:rPr>
        <w:t xml:space="preserve">       </w:t>
      </w:r>
      <w:r>
        <w:rPr>
          <w:rFonts w:hint="default" w:ascii="Times New Roman" w:hAnsi="Times New Roman" w:eastAsia="仿宋" w:cs="Times New Roman"/>
          <w:color w:val="000000"/>
          <w:kern w:val="0"/>
          <w:sz w:val="20"/>
          <w:szCs w:val="20"/>
        </w:rPr>
        <w:t>公开04表</w:t>
      </w:r>
    </w:p>
    <w:p>
      <w:pPr>
        <w:widowControl/>
        <w:tabs>
          <w:tab w:val="left" w:pos="3595"/>
          <w:tab w:val="left" w:pos="4031"/>
          <w:tab w:val="left" w:pos="5109"/>
          <w:tab w:val="left" w:pos="9152"/>
          <w:tab w:val="left" w:pos="9587"/>
          <w:tab w:val="left" w:pos="11160"/>
          <w:tab w:val="left" w:pos="12554"/>
          <w:tab w:val="left" w:pos="13948"/>
        </w:tabs>
        <w:jc w:val="both"/>
        <w:rPr>
          <w:rFonts w:hint="default" w:ascii="Times New Roman" w:hAnsi="Times New Roman" w:eastAsia="仿宋" w:cs="Times New Roman"/>
          <w:color w:val="000000"/>
          <w:kern w:val="0"/>
          <w:sz w:val="20"/>
          <w:szCs w:val="20"/>
        </w:rPr>
      </w:pPr>
      <w:r>
        <w:rPr>
          <w:rFonts w:hint="default" w:ascii="Times New Roman" w:hAnsi="Times New Roman" w:eastAsia="仿宋" w:cs="Times New Roman"/>
          <w:color w:val="000000"/>
          <w:kern w:val="0"/>
          <w:sz w:val="20"/>
          <w:szCs w:val="20"/>
        </w:rPr>
        <w:t>部门：湖南省福利彩票发行中心</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rPr>
        <w:tab/>
      </w:r>
      <w:r>
        <w:rPr>
          <w:rFonts w:hint="default" w:ascii="Times New Roman" w:hAnsi="Times New Roman" w:eastAsia="仿宋" w:cs="Times New Roman"/>
          <w:kern w:val="0"/>
          <w:sz w:val="24"/>
          <w:szCs w:val="24"/>
        </w:rPr>
        <w:t>　</w:t>
      </w:r>
      <w:r>
        <w:rPr>
          <w:rFonts w:hint="default" w:ascii="Times New Roman" w:hAnsi="Times New Roman" w:eastAsia="仿宋" w:cs="Times New Roman"/>
          <w:kern w:val="0"/>
          <w:sz w:val="24"/>
          <w:szCs w:val="24"/>
          <w:lang w:val="en-US" w:eastAsia="zh-CN"/>
        </w:rPr>
        <w:t xml:space="preserve">                             </w:t>
      </w:r>
      <w:r>
        <w:rPr>
          <w:rFonts w:hint="default" w:ascii="Times New Roman" w:hAnsi="Times New Roman" w:eastAsia="仿宋" w:cs="Times New Roman"/>
          <w:color w:val="000000"/>
          <w:kern w:val="0"/>
          <w:sz w:val="20"/>
          <w:szCs w:val="20"/>
        </w:rPr>
        <w:t>单位：万元</w:t>
      </w:r>
    </w:p>
    <w:tbl>
      <w:tblPr>
        <w:tblStyle w:val="12"/>
        <w:tblW w:w="0" w:type="auto"/>
        <w:jc w:val="center"/>
        <w:tblLayout w:type="fixed"/>
        <w:tblCellMar>
          <w:top w:w="0" w:type="dxa"/>
          <w:left w:w="108" w:type="dxa"/>
          <w:bottom w:w="0" w:type="dxa"/>
          <w:right w:w="108" w:type="dxa"/>
        </w:tblCellMar>
      </w:tblPr>
      <w:tblGrid>
        <w:gridCol w:w="3238"/>
        <w:gridCol w:w="705"/>
        <w:gridCol w:w="1320"/>
        <w:gridCol w:w="2715"/>
        <w:gridCol w:w="795"/>
        <w:gridCol w:w="1365"/>
        <w:gridCol w:w="1365"/>
        <w:gridCol w:w="1380"/>
        <w:gridCol w:w="1337"/>
      </w:tblGrid>
      <w:tr>
        <w:tblPrEx>
          <w:tblCellMar>
            <w:top w:w="0" w:type="dxa"/>
            <w:left w:w="108" w:type="dxa"/>
            <w:bottom w:w="0" w:type="dxa"/>
            <w:right w:w="108" w:type="dxa"/>
          </w:tblCellMar>
        </w:tblPrEx>
        <w:trPr>
          <w:trHeight w:val="402" w:hRule="atLeast"/>
          <w:jc w:val="center"/>
        </w:trPr>
        <w:tc>
          <w:tcPr>
            <w:tcW w:w="526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收入</w:t>
            </w:r>
          </w:p>
        </w:tc>
        <w:tc>
          <w:tcPr>
            <w:tcW w:w="8957" w:type="dxa"/>
            <w:gridSpan w:val="6"/>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支出</w:t>
            </w:r>
          </w:p>
        </w:tc>
      </w:tr>
      <w:tr>
        <w:tblPrEx>
          <w:tblCellMar>
            <w:top w:w="0" w:type="dxa"/>
            <w:left w:w="108" w:type="dxa"/>
            <w:bottom w:w="0" w:type="dxa"/>
            <w:right w:w="108" w:type="dxa"/>
          </w:tblCellMar>
        </w:tblPrEx>
        <w:trPr>
          <w:trHeight w:val="630"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项    目</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0"/>
                <w:szCs w:val="20"/>
              </w:rPr>
            </w:pPr>
            <w:r>
              <w:rPr>
                <w:rFonts w:hint="default" w:ascii="Times New Roman" w:hAnsi="Times New Roman" w:eastAsia="仿宋" w:cs="Times New Roman"/>
                <w:kern w:val="0"/>
                <w:sz w:val="20"/>
                <w:szCs w:val="20"/>
              </w:rPr>
              <w:t>行次</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金额</w:t>
            </w:r>
          </w:p>
        </w:tc>
        <w:tc>
          <w:tcPr>
            <w:tcW w:w="271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项    目</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0"/>
                <w:szCs w:val="20"/>
              </w:rPr>
            </w:pPr>
            <w:r>
              <w:rPr>
                <w:rFonts w:hint="default" w:ascii="Times New Roman" w:hAnsi="Times New Roman" w:eastAsia="仿宋" w:cs="Times New Roman"/>
                <w:kern w:val="0"/>
                <w:sz w:val="20"/>
                <w:szCs w:val="20"/>
              </w:rPr>
              <w:t>行次</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合计</w:t>
            </w:r>
          </w:p>
        </w:tc>
        <w:tc>
          <w:tcPr>
            <w:tcW w:w="136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一般公共预算财政拨款</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政府性基金预算财政拨款</w:t>
            </w:r>
          </w:p>
        </w:tc>
        <w:tc>
          <w:tcPr>
            <w:tcW w:w="133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国有资本经营预算财政拨款</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栏    次</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w:t>
            </w:r>
          </w:p>
        </w:tc>
        <w:tc>
          <w:tcPr>
            <w:tcW w:w="271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栏    次</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2</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3</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4</w:t>
            </w:r>
          </w:p>
        </w:tc>
        <w:tc>
          <w:tcPr>
            <w:tcW w:w="1337"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5</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一、一般公共预算财政拨款</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一、一般公共服务支出</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15</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二、政府性基金预算财政拨款</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2</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lang w:val="en-US" w:eastAsia="zh-CN"/>
              </w:rPr>
              <w:t>14169</w:t>
            </w: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二、外交支出</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16</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三、国有资本经营预算财政拨款</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3</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三、国防支出</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17</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4</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四、公共安全支出</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18</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5</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五、教育支出</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19</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6</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六、科学技术支出</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20</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7</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21</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8</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二十三、其他支出</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22</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lang w:val="en-US" w:eastAsia="zh-CN"/>
              </w:rPr>
              <w:t>12453.61</w:t>
            </w: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lang w:val="en-US" w:eastAsia="zh-CN"/>
              </w:rPr>
              <w:t>12453.61</w:t>
            </w: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本年收入合计</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9</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b/>
                <w:bCs/>
                <w:kern w:val="0"/>
                <w:sz w:val="22"/>
                <w:lang w:val="en-US" w:eastAsia="zh-CN"/>
              </w:rPr>
            </w:pPr>
            <w:r>
              <w:rPr>
                <w:rFonts w:hint="default" w:ascii="Times New Roman" w:hAnsi="Times New Roman" w:eastAsia="仿宋" w:cs="Times New Roman"/>
                <w:b/>
                <w:bCs/>
                <w:kern w:val="0"/>
                <w:sz w:val="22"/>
                <w:lang w:val="en-US" w:eastAsia="zh-CN"/>
              </w:rPr>
              <w:t>14169</w:t>
            </w:r>
          </w:p>
        </w:tc>
        <w:tc>
          <w:tcPr>
            <w:tcW w:w="271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本年支出合计</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23</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lang w:val="en-US" w:eastAsia="zh-CN"/>
              </w:rPr>
              <w:t>12453.61</w:t>
            </w:r>
            <w:r>
              <w:rPr>
                <w:rFonts w:hint="default" w:ascii="Times New Roman" w:hAnsi="Times New Roman" w:eastAsia="仿宋" w:cs="Times New Roman"/>
                <w:b/>
                <w:bCs/>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b/>
                <w:bCs/>
                <w:kern w:val="0"/>
                <w:sz w:val="22"/>
                <w:szCs w:val="22"/>
                <w:lang w:val="en-US" w:eastAsia="zh-CN" w:bidi="ar-SA"/>
              </w:rPr>
            </w:pPr>
            <w:r>
              <w:rPr>
                <w:rFonts w:hint="default" w:ascii="Times New Roman" w:hAnsi="Times New Roman" w:eastAsia="仿宋" w:cs="Times New Roman"/>
                <w:b/>
                <w:bCs/>
                <w:kern w:val="0"/>
                <w:sz w:val="22"/>
                <w:lang w:val="en-US" w:eastAsia="zh-CN"/>
              </w:rPr>
              <w:t>12453.61</w:t>
            </w:r>
            <w:r>
              <w:rPr>
                <w:rFonts w:hint="default" w:ascii="Times New Roman" w:hAnsi="Times New Roman" w:eastAsia="仿宋" w:cs="Times New Roman"/>
                <w:b/>
                <w:bCs/>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年初财政拨款结转和结余</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10</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lang w:val="en-US" w:eastAsia="zh-CN"/>
              </w:rPr>
            </w:pPr>
            <w:r>
              <w:rPr>
                <w:rFonts w:hint="default" w:ascii="Times New Roman" w:hAnsi="Times New Roman" w:eastAsia="仿宋" w:cs="Times New Roman"/>
                <w:kern w:val="0"/>
                <w:sz w:val="22"/>
                <w:lang w:val="en-US" w:eastAsia="zh-CN"/>
              </w:rPr>
              <w:t>2752.45</w:t>
            </w:r>
          </w:p>
        </w:tc>
        <w:tc>
          <w:tcPr>
            <w:tcW w:w="271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年末财政拨款结转和结余</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24</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lang w:val="en-US" w:eastAsia="zh-CN"/>
              </w:rPr>
              <w:t>4467.84</w:t>
            </w: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szCs w:val="22"/>
                <w:lang w:val="en-US" w:eastAsia="zh-CN" w:bidi="ar-SA"/>
              </w:rPr>
            </w:pPr>
            <w:r>
              <w:rPr>
                <w:rFonts w:hint="default" w:ascii="Times New Roman" w:hAnsi="Times New Roman" w:eastAsia="仿宋" w:cs="Times New Roman"/>
                <w:kern w:val="0"/>
                <w:sz w:val="22"/>
                <w:lang w:val="en-US" w:eastAsia="zh-CN"/>
              </w:rPr>
              <w:t>4467.84</w:t>
            </w: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一般公共预算财政拨款</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11</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25</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政府性基金预算财政拨款</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12</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lang w:val="en-US" w:eastAsia="zh-CN"/>
              </w:rPr>
            </w:pPr>
            <w:r>
              <w:rPr>
                <w:rFonts w:hint="default" w:ascii="Times New Roman" w:hAnsi="Times New Roman" w:eastAsia="仿宋" w:cs="Times New Roman"/>
                <w:kern w:val="0"/>
                <w:sz w:val="22"/>
                <w:lang w:val="en-US" w:eastAsia="zh-CN"/>
              </w:rPr>
              <w:t>2752.45</w:t>
            </w: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26</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国有资本经营预算财政拨款</w:t>
            </w:r>
          </w:p>
        </w:tc>
        <w:tc>
          <w:tcPr>
            <w:tcW w:w="70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13</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p>
        </w:tc>
        <w:tc>
          <w:tcPr>
            <w:tcW w:w="271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27</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6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c>
          <w:tcPr>
            <w:tcW w:w="133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kern w:val="0"/>
                <w:sz w:val="22"/>
              </w:rPr>
            </w:pPr>
            <w:r>
              <w:rPr>
                <w:rFonts w:hint="default" w:ascii="Times New Roman" w:hAnsi="Times New Roman" w:eastAsia="仿宋" w:cs="Times New Roman"/>
                <w:kern w:val="0"/>
                <w:sz w:val="22"/>
              </w:rPr>
              <w:t>　</w:t>
            </w:r>
          </w:p>
        </w:tc>
      </w:tr>
      <w:tr>
        <w:tblPrEx>
          <w:tblCellMar>
            <w:top w:w="0" w:type="dxa"/>
            <w:left w:w="108" w:type="dxa"/>
            <w:bottom w:w="0" w:type="dxa"/>
            <w:right w:w="108" w:type="dxa"/>
          </w:tblCellMar>
        </w:tblPrEx>
        <w:trPr>
          <w:trHeight w:val="402" w:hRule="atLeast"/>
          <w:jc w:val="center"/>
        </w:trPr>
        <w:tc>
          <w:tcPr>
            <w:tcW w:w="3238"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总计</w:t>
            </w:r>
          </w:p>
        </w:tc>
        <w:tc>
          <w:tcPr>
            <w:tcW w:w="705"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14</w:t>
            </w:r>
          </w:p>
        </w:tc>
        <w:tc>
          <w:tcPr>
            <w:tcW w:w="13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lang w:val="en-US" w:eastAsia="zh-CN"/>
              </w:rPr>
              <w:t>16921.45</w:t>
            </w:r>
          </w:p>
        </w:tc>
        <w:tc>
          <w:tcPr>
            <w:tcW w:w="2715"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总计</w:t>
            </w:r>
          </w:p>
        </w:tc>
        <w:tc>
          <w:tcPr>
            <w:tcW w:w="795"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28</w:t>
            </w:r>
          </w:p>
        </w:tc>
        <w:tc>
          <w:tcPr>
            <w:tcW w:w="1365"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b/>
                <w:bCs/>
                <w:kern w:val="0"/>
                <w:sz w:val="22"/>
              </w:rPr>
            </w:pPr>
            <w:bookmarkStart w:id="2" w:name="OLE_LINK1"/>
            <w:r>
              <w:rPr>
                <w:rFonts w:hint="default" w:ascii="Times New Roman" w:hAnsi="Times New Roman" w:eastAsia="仿宋" w:cs="Times New Roman"/>
                <w:b/>
                <w:bCs/>
                <w:kern w:val="0"/>
                <w:sz w:val="22"/>
                <w:lang w:val="en-US" w:eastAsia="zh-CN"/>
              </w:rPr>
              <w:t>16921.45</w:t>
            </w:r>
            <w:bookmarkEnd w:id="2"/>
            <w:r>
              <w:rPr>
                <w:rFonts w:hint="default" w:ascii="Times New Roman" w:hAnsi="Times New Roman" w:eastAsia="仿宋" w:cs="Times New Roman"/>
                <w:b/>
                <w:bCs/>
                <w:kern w:val="0"/>
                <w:sz w:val="22"/>
              </w:rPr>
              <w:t>　</w:t>
            </w:r>
          </w:p>
        </w:tc>
        <w:tc>
          <w:tcPr>
            <w:tcW w:w="1365"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　</w:t>
            </w:r>
            <w:r>
              <w:rPr>
                <w:rFonts w:hint="default" w:ascii="Times New Roman" w:hAnsi="Times New Roman" w:eastAsia="仿宋" w:cs="Times New Roman"/>
                <w:b/>
                <w:bCs/>
                <w:kern w:val="0"/>
                <w:sz w:val="22"/>
                <w:lang w:val="en-US" w:eastAsia="zh-CN"/>
              </w:rPr>
              <w:t>16921.45</w:t>
            </w:r>
          </w:p>
        </w:tc>
        <w:tc>
          <w:tcPr>
            <w:tcW w:w="133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b/>
                <w:bCs/>
                <w:kern w:val="0"/>
                <w:sz w:val="22"/>
              </w:rPr>
            </w:pPr>
            <w:r>
              <w:rPr>
                <w:rFonts w:hint="default" w:ascii="Times New Roman" w:hAnsi="Times New Roman" w:eastAsia="仿宋" w:cs="Times New Roman"/>
                <w:b/>
                <w:bCs/>
                <w:kern w:val="0"/>
                <w:sz w:val="22"/>
              </w:rPr>
              <w:t>　</w:t>
            </w:r>
          </w:p>
        </w:tc>
      </w:tr>
    </w:tbl>
    <w:p>
      <w:pPr>
        <w:widowControl/>
        <w:jc w:val="lef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注：</w:t>
      </w:r>
      <w:r>
        <w:rPr>
          <w:rFonts w:hint="default" w:ascii="Times New Roman" w:hAnsi="Times New Roman" w:eastAsia="仿宋" w:cs="Times New Roman"/>
          <w:spacing w:val="-6"/>
          <w:kern w:val="0"/>
          <w:sz w:val="24"/>
          <w:szCs w:val="24"/>
        </w:rPr>
        <w:t>本表反映部门本年度一般公共预算财政拨款、政府性基金预算财政拨款和国有资本经营预算财政拨款的总收支和年末结转结余情况。</w:t>
      </w:r>
    </w:p>
    <w:p>
      <w:pPr>
        <w:widowControl/>
        <w:jc w:val="center"/>
        <w:rPr>
          <w:rFonts w:hint="default" w:ascii="Times New Roman" w:hAnsi="Times New Roman" w:eastAsia="方正小标宋_GBK" w:cs="Times New Roman"/>
          <w:kern w:val="0"/>
          <w:sz w:val="36"/>
          <w:szCs w:val="36"/>
        </w:rPr>
      </w:pPr>
    </w:p>
    <w:p>
      <w:pPr>
        <w:widowControl/>
        <w:spacing w:after="156" w:afterLines="50"/>
        <w:jc w:val="center"/>
        <w:textAlignment w:val="center"/>
        <w:rPr>
          <w:rFonts w:hint="default" w:ascii="Times New Roman" w:hAnsi="Times New Roman" w:eastAsia="黑体" w:cs="Times New Roman"/>
          <w:color w:val="000000"/>
          <w:kern w:val="0"/>
          <w:sz w:val="36"/>
          <w:szCs w:val="36"/>
          <w:lang w:bidi="ar"/>
        </w:rPr>
      </w:pPr>
      <w:r>
        <w:rPr>
          <w:rFonts w:hint="default" w:ascii="Times New Roman" w:hAnsi="Times New Roman" w:eastAsia="黑体" w:cs="Times New Roman"/>
          <w:color w:val="000000"/>
          <w:kern w:val="0"/>
          <w:sz w:val="36"/>
          <w:szCs w:val="36"/>
          <w:lang w:bidi="ar"/>
        </w:rPr>
        <w:t>一般公共预算财政拨款支出决算表</w:t>
      </w:r>
      <w:bookmarkEnd w:id="1"/>
    </w:p>
    <w:p>
      <w:pPr>
        <w:widowControl/>
        <w:spacing w:before="156" w:beforeLines="50"/>
        <w:jc w:val="left"/>
        <w:rPr>
          <w:rFonts w:hint="default" w:ascii="Times New Roman" w:hAnsi="Times New Roman" w:eastAsia="仿宋" w:cs="Times New Roman"/>
          <w:color w:val="000000"/>
          <w:kern w:val="0"/>
          <w:szCs w:val="21"/>
        </w:rPr>
      </w:pPr>
      <w:r>
        <w:rPr>
          <w:rFonts w:hint="default" w:ascii="Times New Roman" w:hAnsi="Times New Roman" w:eastAsia="仿宋_GB2312" w:cs="Times New Roman"/>
          <w:color w:val="000000"/>
          <w:kern w:val="0"/>
          <w:szCs w:val="21"/>
        </w:rPr>
        <w:t xml:space="preserve">     </w:t>
      </w:r>
      <w:r>
        <w:rPr>
          <w:rFonts w:hint="default" w:ascii="Times New Roman" w:hAnsi="Times New Roman" w:eastAsia="仿宋_GB2312" w:cs="Times New Roman"/>
          <w:color w:val="000000"/>
          <w:kern w:val="0"/>
          <w:szCs w:val="21"/>
          <w:lang w:val="en-US" w:eastAsia="zh-CN"/>
        </w:rPr>
        <w:t xml:space="preserve">      </w:t>
      </w:r>
      <w:r>
        <w:rPr>
          <w:rFonts w:hint="default" w:ascii="Times New Roman" w:hAnsi="Times New Roman" w:eastAsia="仿宋_GB2312" w:cs="Times New Roman"/>
          <w:color w:val="000000"/>
          <w:kern w:val="0"/>
          <w:szCs w:val="21"/>
        </w:rPr>
        <w:t xml:space="preserve">                                                                                                     </w:t>
      </w:r>
      <w:r>
        <w:rPr>
          <w:rFonts w:hint="default" w:ascii="Times New Roman" w:hAnsi="Times New Roman" w:eastAsia="仿宋_GB2312" w:cs="Times New Roman"/>
          <w:color w:val="000000"/>
          <w:kern w:val="0"/>
          <w:szCs w:val="21"/>
          <w:lang w:val="en-US" w:eastAsia="zh-CN"/>
        </w:rPr>
        <w:t xml:space="preserve">       </w:t>
      </w:r>
      <w:r>
        <w:rPr>
          <w:rFonts w:hint="default" w:ascii="Times New Roman" w:hAnsi="Times New Roman" w:eastAsia="仿宋" w:cs="Times New Roman"/>
          <w:color w:val="000000"/>
          <w:kern w:val="0"/>
          <w:szCs w:val="21"/>
          <w:lang w:val="en-US" w:eastAsia="zh-CN"/>
        </w:rPr>
        <w:t xml:space="preserve">   </w:t>
      </w:r>
      <w:r>
        <w:rPr>
          <w:rFonts w:hint="default" w:ascii="Times New Roman" w:hAnsi="Times New Roman" w:eastAsia="仿宋" w:cs="Times New Roman"/>
          <w:color w:val="000000"/>
          <w:kern w:val="0"/>
          <w:szCs w:val="21"/>
        </w:rPr>
        <w:t>公开05表</w:t>
      </w:r>
    </w:p>
    <w:p>
      <w:pPr>
        <w:widowControl/>
        <w:jc w:val="left"/>
        <w:rPr>
          <w:rFonts w:hint="default" w:ascii="Times New Roman" w:hAnsi="Times New Roman" w:eastAsia="仿宋" w:cs="Times New Roman"/>
          <w:color w:val="000000"/>
          <w:kern w:val="0"/>
          <w:sz w:val="20"/>
          <w:szCs w:val="20"/>
        </w:rPr>
      </w:pPr>
      <w:r>
        <w:rPr>
          <w:rFonts w:hint="default" w:ascii="Times New Roman" w:hAnsi="Times New Roman" w:eastAsia="仿宋" w:cs="Times New Roman"/>
          <w:color w:val="000000"/>
          <w:kern w:val="0"/>
          <w:szCs w:val="21"/>
        </w:rPr>
        <w:t xml:space="preserve">     </w:t>
      </w:r>
      <w:r>
        <w:rPr>
          <w:rFonts w:hint="default" w:ascii="Times New Roman" w:hAnsi="Times New Roman" w:eastAsia="仿宋" w:cs="Times New Roman"/>
          <w:color w:val="000000"/>
          <w:kern w:val="0"/>
          <w:szCs w:val="21"/>
          <w:lang w:val="en-US" w:eastAsia="zh-CN"/>
        </w:rPr>
        <w:t>部门：湖南省福利彩票发行中心</w:t>
      </w:r>
      <w:r>
        <w:rPr>
          <w:rFonts w:hint="default" w:ascii="Times New Roman" w:hAnsi="Times New Roman" w:eastAsia="仿宋" w:cs="Times New Roman"/>
          <w:color w:val="000000"/>
          <w:kern w:val="0"/>
          <w:szCs w:val="21"/>
        </w:rPr>
        <w:t xml:space="preserve">                                                                 </w:t>
      </w:r>
      <w:r>
        <w:rPr>
          <w:rFonts w:hint="default" w:ascii="Times New Roman" w:hAnsi="Times New Roman" w:eastAsia="仿宋" w:cs="Times New Roman"/>
          <w:color w:val="000000"/>
          <w:kern w:val="0"/>
          <w:szCs w:val="21"/>
          <w:lang w:val="en-US" w:eastAsia="zh-CN"/>
        </w:rPr>
        <w:t xml:space="preserve">    </w:t>
      </w:r>
      <w:r>
        <w:rPr>
          <w:rFonts w:hint="default" w:ascii="Times New Roman" w:hAnsi="Times New Roman" w:eastAsia="仿宋" w:cs="Times New Roman"/>
          <w:color w:val="000000"/>
          <w:kern w:val="0"/>
          <w:szCs w:val="21"/>
        </w:rPr>
        <w:t xml:space="preserve">          </w:t>
      </w:r>
      <w:r>
        <w:rPr>
          <w:rFonts w:hint="default" w:ascii="Times New Roman" w:hAnsi="Times New Roman" w:eastAsia="仿宋" w:cs="Times New Roman"/>
          <w:color w:val="000000"/>
          <w:kern w:val="0"/>
          <w:szCs w:val="21"/>
          <w:lang w:val="en-US" w:eastAsia="zh-CN"/>
        </w:rPr>
        <w:t xml:space="preserve">         </w:t>
      </w:r>
      <w:r>
        <w:rPr>
          <w:rFonts w:hint="default" w:ascii="Times New Roman" w:hAnsi="Times New Roman" w:eastAsia="仿宋" w:cs="Times New Roman"/>
          <w:color w:val="000000"/>
          <w:kern w:val="0"/>
          <w:szCs w:val="21"/>
        </w:rPr>
        <w:t>单位：万元</w:t>
      </w:r>
    </w:p>
    <w:tbl>
      <w:tblPr>
        <w:tblStyle w:val="12"/>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54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kern w:val="0"/>
                <w:szCs w:val="21"/>
              </w:rPr>
            </w:pPr>
            <w:r>
              <w:rPr>
                <w:rFonts w:hint="default" w:ascii="Times New Roman" w:hAnsi="Times New Roman" w:eastAsia="仿宋" w:cs="Times New Roman"/>
                <w:b/>
                <w:kern w:val="0"/>
                <w:szCs w:val="21"/>
              </w:rPr>
              <w:t xml:space="preserve">项 </w:t>
            </w:r>
            <w:r>
              <w:rPr>
                <w:rFonts w:hint="default" w:ascii="Times New Roman" w:hAnsi="Times New Roman" w:eastAsia="仿宋" w:cs="Times New Roman"/>
                <w:b/>
                <w:color w:val="000000"/>
                <w:kern w:val="0"/>
                <w:szCs w:val="21"/>
              </w:rPr>
              <w:t xml:space="preserve">   </w:t>
            </w:r>
            <w:r>
              <w:rPr>
                <w:rFonts w:hint="default" w:ascii="Times New Roman" w:hAnsi="Times New Roman" w:eastAsia="仿宋"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hint="default" w:ascii="Times New Roman" w:hAnsi="Times New Roman" w:eastAsia="仿宋" w:cs="Times New Roman"/>
                <w:b/>
                <w:kern w:val="0"/>
                <w:szCs w:val="21"/>
              </w:rPr>
            </w:pPr>
            <w:r>
              <w:rPr>
                <w:rFonts w:hint="default" w:ascii="Times New Roman" w:hAnsi="Times New Roman" w:eastAsia="仿宋" w:cs="Times New Roman"/>
                <w:b/>
                <w:kern w:val="0"/>
                <w:szCs w:val="21"/>
              </w:rPr>
              <w:t>本年支出</w:t>
            </w:r>
          </w:p>
        </w:tc>
      </w:tr>
      <w:tr>
        <w:tblPrEx>
          <w:tblCellMar>
            <w:top w:w="0" w:type="dxa"/>
            <w:left w:w="108" w:type="dxa"/>
            <w:bottom w:w="0" w:type="dxa"/>
            <w:right w:w="108" w:type="dxa"/>
          </w:tblCellMar>
        </w:tblPrEx>
        <w:trPr>
          <w:trHeight w:val="312" w:hRule="exac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kern w:val="0"/>
                <w:szCs w:val="21"/>
              </w:rPr>
            </w:pPr>
            <w:r>
              <w:rPr>
                <w:rFonts w:hint="default" w:ascii="Times New Roman" w:hAnsi="Times New Roman" w:eastAsia="仿宋"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kern w:val="0"/>
                <w:szCs w:val="21"/>
              </w:rPr>
            </w:pPr>
            <w:r>
              <w:rPr>
                <w:rFonts w:hint="default" w:ascii="Times New Roman" w:hAnsi="Times New Roman" w:eastAsia="仿宋"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default" w:ascii="Times New Roman" w:hAnsi="Times New Roman" w:eastAsia="仿宋" w:cs="Times New Roman"/>
                <w:b/>
                <w:kern w:val="0"/>
                <w:szCs w:val="21"/>
              </w:rPr>
            </w:pPr>
            <w:r>
              <w:rPr>
                <w:rFonts w:hint="default" w:ascii="Times New Roman" w:hAnsi="Times New Roman" w:eastAsia="仿宋"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default" w:ascii="Times New Roman" w:hAnsi="Times New Roman" w:eastAsia="仿宋" w:cs="Times New Roman"/>
                <w:b/>
                <w:kern w:val="0"/>
                <w:szCs w:val="21"/>
              </w:rPr>
            </w:pPr>
            <w:r>
              <w:rPr>
                <w:rFonts w:hint="default" w:ascii="Times New Roman" w:hAnsi="Times New Roman" w:eastAsia="仿宋"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hint="default" w:ascii="Times New Roman" w:hAnsi="Times New Roman" w:eastAsia="仿宋" w:cs="Times New Roman"/>
                <w:b/>
                <w:kern w:val="0"/>
                <w:szCs w:val="21"/>
              </w:rPr>
            </w:pPr>
            <w:r>
              <w:rPr>
                <w:rFonts w:hint="default" w:ascii="Times New Roman" w:hAnsi="Times New Roman" w:eastAsia="仿宋"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eastAsia="仿宋"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eastAsia="仿宋"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hint="default" w:ascii="Times New Roman" w:hAnsi="Times New Roman" w:eastAsia="仿宋" w:cs="Times New Roman"/>
                <w:kern w:val="0"/>
                <w:szCs w:val="21"/>
              </w:rPr>
            </w:pPr>
          </w:p>
        </w:tc>
      </w:tr>
      <w:tr>
        <w:tblPrEx>
          <w:tblCellMar>
            <w:top w:w="0" w:type="dxa"/>
            <w:left w:w="108" w:type="dxa"/>
            <w:bottom w:w="0" w:type="dxa"/>
            <w:right w:w="108" w:type="dxa"/>
          </w:tblCellMar>
        </w:tblPrEx>
        <w:trPr>
          <w:trHeight w:val="312"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eastAsia="仿宋"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eastAsia="仿宋"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hint="default" w:ascii="Times New Roman" w:hAnsi="Times New Roman" w:eastAsia="仿宋"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r>
    </w:tbl>
    <w:p>
      <w:pPr>
        <w:widowControl/>
        <w:spacing w:before="120"/>
        <w:jc w:val="left"/>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注：</w:t>
      </w:r>
      <w:r>
        <w:rPr>
          <w:rFonts w:hint="default" w:ascii="Times New Roman" w:hAnsi="Times New Roman" w:eastAsia="仿宋" w:cs="Times New Roman"/>
          <w:kern w:val="0"/>
          <w:szCs w:val="21"/>
          <w:lang w:val="en-US" w:eastAsia="zh-CN"/>
        </w:rPr>
        <w:t>1.</w:t>
      </w:r>
      <w:r>
        <w:rPr>
          <w:rFonts w:hint="default" w:ascii="Times New Roman" w:hAnsi="Times New Roman" w:eastAsia="仿宋" w:cs="Times New Roman"/>
          <w:kern w:val="0"/>
          <w:szCs w:val="21"/>
        </w:rPr>
        <w:t>本表反映部门本年度一般公共预算财政拨款支出情况。</w:t>
      </w:r>
    </w:p>
    <w:p>
      <w:pPr>
        <w:pStyle w:val="10"/>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lang w:val="en-US" w:eastAsia="zh-CN"/>
        </w:rPr>
        <w:t xml:space="preserve">   </w:t>
      </w:r>
      <w:r>
        <w:rPr>
          <w:rFonts w:hint="default" w:ascii="Times New Roman" w:hAnsi="Times New Roman" w:eastAsia="仿宋" w:cs="Times New Roman"/>
          <w:kern w:val="0"/>
          <w:sz w:val="21"/>
          <w:szCs w:val="21"/>
          <w:lang w:val="en-US" w:eastAsia="zh-CN" w:bidi="ar-SA"/>
        </w:rPr>
        <w:t xml:space="preserve"> 2.本单位没有一般公共预算收入，也没有使用一般公共预算安排的支出，故本表无数据。</w:t>
      </w:r>
    </w:p>
    <w:p>
      <w:pPr>
        <w:widowControl/>
        <w:jc w:val="left"/>
        <w:rPr>
          <w:rFonts w:hint="default" w:ascii="Times New Roman" w:hAnsi="Times New Roman" w:eastAsia="仿宋_GB2312" w:cs="Times New Roman"/>
          <w:bCs/>
          <w:kern w:val="0"/>
          <w:szCs w:val="21"/>
        </w:rPr>
      </w:pPr>
    </w:p>
    <w:p>
      <w:pPr>
        <w:widowControl/>
        <w:jc w:val="left"/>
        <w:rPr>
          <w:rFonts w:hint="default" w:ascii="Times New Roman" w:hAnsi="Times New Roman" w:eastAsia="仿宋_GB2312" w:cs="Times New Roman"/>
          <w:bCs/>
          <w:kern w:val="0"/>
          <w:szCs w:val="21"/>
        </w:rPr>
      </w:pPr>
      <w:r>
        <w:rPr>
          <w:rFonts w:hint="default" w:ascii="Times New Roman" w:hAnsi="Times New Roman" w:eastAsia="仿宋_GB2312" w:cs="Times New Roman"/>
          <w:bCs/>
          <w:kern w:val="0"/>
          <w:szCs w:val="21"/>
        </w:rPr>
        <w:br w:type="page"/>
      </w:r>
    </w:p>
    <w:p>
      <w:pPr>
        <w:keepNext w:val="0"/>
        <w:keepLines w:val="0"/>
        <w:pageBreakBefore w:val="0"/>
        <w:widowControl/>
        <w:kinsoku/>
        <w:wordWrap/>
        <w:overflowPunct/>
        <w:topLinePunct w:val="0"/>
        <w:autoSpaceDE/>
        <w:autoSpaceDN/>
        <w:bidi w:val="0"/>
        <w:adjustRightInd/>
        <w:snapToGrid/>
        <w:spacing w:after="120" w:line="400" w:lineRule="exact"/>
        <w:jc w:val="center"/>
        <w:textAlignment w:val="center"/>
        <w:rPr>
          <w:rFonts w:hint="default" w:ascii="Times New Roman" w:hAnsi="Times New Roman" w:eastAsia="黑体" w:cs="Times New Roman"/>
          <w:color w:val="000000"/>
          <w:kern w:val="0"/>
          <w:sz w:val="36"/>
          <w:szCs w:val="36"/>
          <w:lang w:bidi="ar"/>
        </w:rPr>
      </w:pPr>
      <w:bookmarkStart w:id="3" w:name="RANGE!A1:I34"/>
      <w:r>
        <w:rPr>
          <w:rFonts w:hint="default" w:ascii="Times New Roman" w:hAnsi="Times New Roman" w:eastAsia="黑体" w:cs="Times New Roman"/>
          <w:color w:val="000000"/>
          <w:kern w:val="0"/>
          <w:sz w:val="36"/>
          <w:szCs w:val="36"/>
          <w:lang w:bidi="ar"/>
        </w:rPr>
        <w:t>一般公共预算财政拨款基本支出决算明细表</w:t>
      </w:r>
      <w:bookmarkEnd w:id="3"/>
    </w:p>
    <w:p>
      <w:pPr>
        <w:widowControl/>
        <w:wordWrap w:val="0"/>
        <w:spacing w:line="240" w:lineRule="exact"/>
        <w:jc w:val="right"/>
        <w:rPr>
          <w:rFonts w:hint="default" w:ascii="Times New Roman" w:hAnsi="Times New Roman" w:eastAsia="仿宋" w:cs="Times New Roman"/>
          <w:color w:val="000000"/>
          <w:kern w:val="0"/>
          <w:szCs w:val="21"/>
        </w:rPr>
      </w:pPr>
      <w:r>
        <w:rPr>
          <w:rFonts w:hint="default" w:ascii="Times New Roman" w:hAnsi="Times New Roman" w:eastAsia="仿宋_GB2312" w:cs="Times New Roman"/>
          <w:color w:val="000000"/>
          <w:kern w:val="0"/>
          <w:szCs w:val="21"/>
        </w:rPr>
        <w:t xml:space="preserve">                                                                                                              </w:t>
      </w:r>
      <w:r>
        <w:rPr>
          <w:rFonts w:hint="default" w:ascii="Times New Roman" w:hAnsi="Times New Roman" w:eastAsia="仿宋" w:cs="Times New Roman"/>
          <w:color w:val="000000"/>
          <w:kern w:val="0"/>
          <w:szCs w:val="21"/>
        </w:rPr>
        <w:t xml:space="preserve"> 公开06表</w:t>
      </w:r>
    </w:p>
    <w:p>
      <w:pPr>
        <w:widowControl/>
        <w:wordWrap w:val="0"/>
        <w:spacing w:line="240" w:lineRule="exact"/>
        <w:jc w:val="both"/>
        <w:rPr>
          <w:rFonts w:hint="default" w:ascii="Times New Roman" w:hAnsi="Times New Roman" w:eastAsia="仿宋" w:cs="Times New Roman"/>
          <w:color w:val="000000"/>
          <w:kern w:val="0"/>
          <w:szCs w:val="32"/>
        </w:rPr>
      </w:pPr>
      <w:r>
        <w:rPr>
          <w:rFonts w:hint="default" w:ascii="Times New Roman" w:hAnsi="Times New Roman" w:eastAsia="仿宋" w:cs="Times New Roman"/>
          <w:color w:val="000000"/>
          <w:kern w:val="0"/>
          <w:szCs w:val="21"/>
          <w:lang w:val="en-US" w:eastAsia="zh-CN"/>
        </w:rPr>
        <w:t xml:space="preserve">部门：湖南省福利彩票发行中心                                                                                                </w:t>
      </w:r>
      <w:r>
        <w:rPr>
          <w:rFonts w:hint="default" w:ascii="Times New Roman" w:hAnsi="Times New Roman" w:eastAsia="仿宋" w:cs="Times New Roman"/>
          <w:color w:val="000000"/>
          <w:kern w:val="0"/>
          <w:szCs w:val="21"/>
        </w:rPr>
        <w:t>单位：万元</w:t>
      </w:r>
    </w:p>
    <w:tbl>
      <w:tblPr>
        <w:tblStyle w:val="12"/>
        <w:tblW w:w="14627" w:type="dxa"/>
        <w:jc w:val="center"/>
        <w:tblLayout w:type="fixed"/>
        <w:tblCellMar>
          <w:top w:w="0" w:type="dxa"/>
          <w:left w:w="108" w:type="dxa"/>
          <w:bottom w:w="0" w:type="dxa"/>
          <w:right w:w="108" w:type="dxa"/>
        </w:tblCellMar>
      </w:tblPr>
      <w:tblGrid>
        <w:gridCol w:w="1081"/>
        <w:gridCol w:w="2850"/>
        <w:gridCol w:w="966"/>
        <w:gridCol w:w="1116"/>
        <w:gridCol w:w="2018"/>
        <w:gridCol w:w="933"/>
        <w:gridCol w:w="1217"/>
        <w:gridCol w:w="3517"/>
        <w:gridCol w:w="929"/>
      </w:tblGrid>
      <w:tr>
        <w:tblPrEx>
          <w:tblCellMar>
            <w:top w:w="0" w:type="dxa"/>
            <w:left w:w="108" w:type="dxa"/>
            <w:bottom w:w="0" w:type="dxa"/>
            <w:right w:w="108" w:type="dxa"/>
          </w:tblCellMar>
        </w:tblPrEx>
        <w:trPr>
          <w:trHeight w:val="515" w:hRule="atLeast"/>
          <w:jc w:val="center"/>
        </w:trPr>
        <w:tc>
          <w:tcPr>
            <w:tcW w:w="10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bCs/>
                <w:color w:val="000000"/>
                <w:kern w:val="0"/>
                <w:szCs w:val="20"/>
              </w:rPr>
            </w:pPr>
            <w:r>
              <w:rPr>
                <w:rFonts w:hint="default" w:ascii="Times New Roman" w:hAnsi="Times New Roman" w:eastAsia="仿宋" w:cs="Times New Roman"/>
                <w:b/>
                <w:bCs/>
                <w:color w:val="000000"/>
                <w:kern w:val="0"/>
                <w:sz w:val="20"/>
                <w:szCs w:val="20"/>
              </w:rPr>
              <w:t>经济分类科目编码</w:t>
            </w:r>
          </w:p>
        </w:tc>
        <w:tc>
          <w:tcPr>
            <w:tcW w:w="2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bCs/>
                <w:color w:val="000000"/>
                <w:kern w:val="0"/>
                <w:szCs w:val="20"/>
              </w:rPr>
            </w:pPr>
            <w:r>
              <w:rPr>
                <w:rFonts w:hint="default" w:ascii="Times New Roman" w:hAnsi="Times New Roman" w:eastAsia="仿宋" w:cs="Times New Roman"/>
                <w:b/>
                <w:bCs/>
                <w:color w:val="000000"/>
                <w:kern w:val="0"/>
                <w:szCs w:val="20"/>
              </w:rPr>
              <w:t>科目名称</w:t>
            </w:r>
          </w:p>
        </w:tc>
        <w:tc>
          <w:tcPr>
            <w:tcW w:w="9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bCs/>
                <w:color w:val="000000"/>
                <w:kern w:val="0"/>
                <w:szCs w:val="20"/>
              </w:rPr>
            </w:pPr>
            <w:r>
              <w:rPr>
                <w:rFonts w:hint="default" w:ascii="Times New Roman" w:hAnsi="Times New Roman" w:eastAsia="仿宋" w:cs="Times New Roman"/>
                <w:b/>
                <w:bCs/>
                <w:color w:val="000000"/>
                <w:kern w:val="0"/>
                <w:szCs w:val="20"/>
              </w:rPr>
              <w:t>决算数</w:t>
            </w:r>
          </w:p>
        </w:tc>
        <w:tc>
          <w:tcPr>
            <w:tcW w:w="111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bCs/>
                <w:color w:val="000000"/>
                <w:kern w:val="0"/>
                <w:szCs w:val="20"/>
              </w:rPr>
            </w:pPr>
            <w:r>
              <w:rPr>
                <w:rFonts w:hint="default" w:ascii="Times New Roman" w:hAnsi="Times New Roman" w:eastAsia="仿宋" w:cs="Times New Roman"/>
                <w:b/>
                <w:bCs/>
                <w:color w:val="000000"/>
                <w:kern w:val="0"/>
                <w:szCs w:val="20"/>
              </w:rPr>
              <w:t>经济分类科目编码</w:t>
            </w:r>
          </w:p>
        </w:tc>
        <w:tc>
          <w:tcPr>
            <w:tcW w:w="20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bCs/>
                <w:color w:val="000000"/>
                <w:kern w:val="0"/>
                <w:szCs w:val="20"/>
              </w:rPr>
            </w:pPr>
            <w:r>
              <w:rPr>
                <w:rFonts w:hint="default" w:ascii="Times New Roman" w:hAnsi="Times New Roman" w:eastAsia="仿宋" w:cs="Times New Roman"/>
                <w:b/>
                <w:bCs/>
                <w:color w:val="000000"/>
                <w:kern w:val="0"/>
                <w:szCs w:val="20"/>
              </w:rPr>
              <w:t>科目名称</w:t>
            </w:r>
          </w:p>
        </w:tc>
        <w:tc>
          <w:tcPr>
            <w:tcW w:w="93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bCs/>
                <w:color w:val="000000"/>
                <w:kern w:val="0"/>
                <w:szCs w:val="20"/>
              </w:rPr>
            </w:pPr>
            <w:r>
              <w:rPr>
                <w:rFonts w:hint="default" w:ascii="Times New Roman" w:hAnsi="Times New Roman" w:eastAsia="仿宋" w:cs="Times New Roman"/>
                <w:b/>
                <w:bCs/>
                <w:color w:val="000000"/>
                <w:kern w:val="0"/>
                <w:szCs w:val="20"/>
              </w:rPr>
              <w:t>决算数</w:t>
            </w:r>
          </w:p>
        </w:tc>
        <w:tc>
          <w:tcPr>
            <w:tcW w:w="121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bCs/>
                <w:color w:val="000000"/>
                <w:kern w:val="0"/>
                <w:szCs w:val="20"/>
              </w:rPr>
            </w:pPr>
            <w:r>
              <w:rPr>
                <w:rFonts w:hint="default" w:ascii="Times New Roman" w:hAnsi="Times New Roman" w:eastAsia="仿宋" w:cs="Times New Roman"/>
                <w:b/>
                <w:bCs/>
                <w:color w:val="000000"/>
                <w:kern w:val="0"/>
                <w:szCs w:val="20"/>
              </w:rPr>
              <w:t>经济分类科目编码</w:t>
            </w:r>
          </w:p>
        </w:tc>
        <w:tc>
          <w:tcPr>
            <w:tcW w:w="351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bCs/>
                <w:color w:val="000000"/>
                <w:kern w:val="0"/>
                <w:szCs w:val="20"/>
              </w:rPr>
            </w:pPr>
            <w:r>
              <w:rPr>
                <w:rFonts w:hint="default" w:ascii="Times New Roman" w:hAnsi="Times New Roman" w:eastAsia="仿宋" w:cs="Times New Roman"/>
                <w:b/>
                <w:bCs/>
                <w:color w:val="000000"/>
                <w:kern w:val="0"/>
                <w:szCs w:val="20"/>
              </w:rPr>
              <w:t>科目名称</w:t>
            </w:r>
          </w:p>
        </w:tc>
        <w:tc>
          <w:tcPr>
            <w:tcW w:w="92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b/>
                <w:bCs/>
                <w:color w:val="000000"/>
                <w:kern w:val="0"/>
                <w:szCs w:val="20"/>
              </w:rPr>
            </w:pPr>
            <w:r>
              <w:rPr>
                <w:rFonts w:hint="default" w:ascii="Times New Roman" w:hAnsi="Times New Roman" w:eastAsia="仿宋" w:cs="Times New Roman"/>
                <w:b/>
                <w:bCs/>
                <w:color w:val="000000"/>
                <w:kern w:val="0"/>
                <w:szCs w:val="20"/>
              </w:rPr>
              <w:t>决算数</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工资福利支出</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商品和服务支出</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307</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债务利息及费用支出</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30101</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基本工资</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30201</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办公费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30701</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国内债务付息</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30102</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津贴补贴</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30202</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印刷费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30702</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国外债务付息</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30103</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奖金</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30203</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咨询费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资本性支出</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30106</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伙食补助费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30204</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手续费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31001</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房屋建筑物购建</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30107</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绩效工资</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30205</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水费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31002</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办公设备购置</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30108</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机关事业单位基本养老保险缴费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30206</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电费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31003</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专用设备购置</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30109</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职业年金缴费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30207</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邮电费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31005</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基础设施建设</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30110</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职工基本医疗保险缴费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30208</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取暖费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31006</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大型修缮</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30111</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公务员医疗补助缴费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30209</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物业管理费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31007</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信息网络及软件购置更新</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30112</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其他社会保障缴费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30211</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差旅费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31008</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物资储备</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30113</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住房公积金</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30212</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因公出国（境）费用</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31009</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土地补偿</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30114</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医疗费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30213</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维修（护）费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31010</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安置补助</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30199</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其他工资福利支出</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30214</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租赁费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31011</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地上附着物和青苗补偿</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对个人和家庭的补助</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30215</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会议费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31012</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拆迁补偿</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30301</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离休费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30216</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培训费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31013</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公务用车购置</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30302</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退休费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30217</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公务接待费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31019</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其他交通工具购置</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30303</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退职（役）费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30218</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专用材料费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31021</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文物和陈列品购置</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30304</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抚恤金</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30224</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被装购置费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31022</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无形资产购置</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30305</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生活补助</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30225</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专用燃料费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31099</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其他资本性支出</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30306</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救济费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30226</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劳务费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399</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其他支出</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30307</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医疗费补助</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30227</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委托业务费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39907</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国家赔偿费用支出</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30308</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助学金</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30228</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工会经费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39908</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对民间非营利组织和群众性自治组织补贴</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30309</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奖励金</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30229</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福利费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39909</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经常性赠与</w:t>
            </w:r>
          </w:p>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资本性赠与</w:t>
            </w:r>
          </w:p>
          <w:p>
            <w:pPr>
              <w:widowControl/>
              <w:jc w:val="left"/>
              <w:rPr>
                <w:rFonts w:hint="default" w:ascii="Times New Roman" w:hAnsi="Times New Roman" w:eastAsia="仿宋" w:cs="Times New Roman"/>
                <w:color w:val="000000"/>
                <w:kern w:val="0"/>
                <w:szCs w:val="20"/>
              </w:rPr>
            </w:pPr>
          </w:p>
          <w:tbl>
            <w:tblPr>
              <w:tblStyle w:val="12"/>
              <w:tblW w:w="3946" w:type="dxa"/>
              <w:tblInd w:w="0" w:type="dxa"/>
              <w:tblLayout w:type="fixed"/>
              <w:tblCellMar>
                <w:top w:w="0" w:type="dxa"/>
                <w:left w:w="108" w:type="dxa"/>
                <w:bottom w:w="0" w:type="dxa"/>
                <w:right w:w="108" w:type="dxa"/>
              </w:tblCellMar>
            </w:tblPr>
            <w:tblGrid>
              <w:gridCol w:w="3946"/>
            </w:tblGrid>
            <w:tr>
              <w:trPr>
                <w:trHeight w:val="252" w:hRule="atLeast"/>
              </w:trPr>
              <w:tc>
                <w:tcPr>
                  <w:tcW w:w="3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0"/>
                      <w:szCs w:val="20"/>
                      <w:lang w:bidi="ar"/>
                    </w:rPr>
                    <w:t xml:space="preserve">  经常性赠与</w:t>
                  </w:r>
                </w:p>
              </w:tc>
            </w:tr>
            <w:tr>
              <w:tblPrEx>
                <w:tblCellMar>
                  <w:top w:w="0" w:type="dxa"/>
                  <w:left w:w="108" w:type="dxa"/>
                  <w:bottom w:w="0" w:type="dxa"/>
                  <w:right w:w="108" w:type="dxa"/>
                </w:tblCellMar>
              </w:tblPrEx>
              <w:trPr>
                <w:trHeight w:val="252" w:hRule="atLeast"/>
              </w:trPr>
              <w:tc>
                <w:tcPr>
                  <w:tcW w:w="39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0"/>
                      <w:szCs w:val="20"/>
                      <w:lang w:bidi="ar"/>
                    </w:rPr>
                    <w:t xml:space="preserve">  资本性赠与</w:t>
                  </w:r>
                </w:p>
              </w:tc>
            </w:tr>
          </w:tbl>
          <w:p>
            <w:pPr>
              <w:widowControl/>
              <w:jc w:val="left"/>
              <w:rPr>
                <w:rFonts w:hint="default" w:ascii="Times New Roman" w:hAnsi="Times New Roman" w:eastAsia="仿宋" w:cs="Times New Roman"/>
                <w:color w:val="000000"/>
                <w:kern w:val="0"/>
                <w:szCs w:val="20"/>
              </w:rPr>
            </w:pPr>
          </w:p>
          <w:tbl>
            <w:tblPr>
              <w:tblStyle w:val="12"/>
              <w:tblW w:w="3946" w:type="dxa"/>
              <w:tblInd w:w="0" w:type="dxa"/>
              <w:tblLayout w:type="fixed"/>
              <w:tblCellMar>
                <w:top w:w="0" w:type="dxa"/>
                <w:left w:w="108" w:type="dxa"/>
                <w:bottom w:w="0" w:type="dxa"/>
                <w:right w:w="108" w:type="dxa"/>
              </w:tblCellMar>
            </w:tblPr>
            <w:tblGrid>
              <w:gridCol w:w="3946"/>
            </w:tblGrid>
            <w:tr>
              <w:trPr>
                <w:trHeight w:val="252" w:hRule="atLeast"/>
              </w:trPr>
              <w:tc>
                <w:tcPr>
                  <w:tcW w:w="3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0"/>
                      <w:szCs w:val="20"/>
                      <w:lang w:bidi="ar"/>
                    </w:rPr>
                    <w:t xml:space="preserve">  经常性赠与</w:t>
                  </w:r>
                </w:p>
              </w:tc>
            </w:tr>
            <w:tr>
              <w:tblPrEx>
                <w:tblCellMar>
                  <w:top w:w="0" w:type="dxa"/>
                  <w:left w:w="108" w:type="dxa"/>
                  <w:bottom w:w="0" w:type="dxa"/>
                  <w:right w:w="108" w:type="dxa"/>
                </w:tblCellMar>
              </w:tblPrEx>
              <w:trPr>
                <w:trHeight w:val="252" w:hRule="atLeast"/>
              </w:trPr>
              <w:tc>
                <w:tcPr>
                  <w:tcW w:w="39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0"/>
                      <w:szCs w:val="20"/>
                      <w:lang w:bidi="ar"/>
                    </w:rPr>
                    <w:t xml:space="preserve">  资本性赠与</w:t>
                  </w:r>
                </w:p>
              </w:tc>
            </w:tr>
          </w:tbl>
          <w:p>
            <w:pPr>
              <w:widowControl/>
              <w:jc w:val="left"/>
              <w:rPr>
                <w:rFonts w:hint="default" w:ascii="Times New Roman" w:hAnsi="Times New Roman" w:eastAsia="仿宋" w:cs="Times New Roman"/>
                <w:color w:val="000000"/>
                <w:kern w:val="0"/>
                <w:szCs w:val="20"/>
              </w:rPr>
            </w:pP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30310</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个人农业生产补贴</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30231</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公务用车运行维护费</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39910</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资本性赠与</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30311</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代缴社会保险费</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30239</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其他交通费用</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39999</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其他支出</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30399</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其他对个人和家庭的补助</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30240</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税金及附加费用</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18"/>
              </w:rPr>
            </w:pPr>
            <w:r>
              <w:rPr>
                <w:rFonts w:hint="default" w:ascii="Times New Roman" w:hAnsi="Times New Roman" w:eastAsia="仿宋" w:cs="Times New Roman"/>
                <w:color w:val="000000"/>
                <w:kern w:val="0"/>
                <w:szCs w:val="18"/>
              </w:rPr>
              <w:t>　</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18"/>
              </w:rPr>
            </w:pPr>
            <w:r>
              <w:rPr>
                <w:rFonts w:hint="default" w:ascii="Times New Roman" w:hAnsi="Times New Roman" w:eastAsia="仿宋" w:cs="Times New Roman"/>
                <w:color w:val="000000"/>
                <w:kern w:val="0"/>
                <w:szCs w:val="18"/>
              </w:rPr>
              <w:t>　</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108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11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30299</w:t>
            </w:r>
          </w:p>
        </w:tc>
        <w:tc>
          <w:tcPr>
            <w:tcW w:w="201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xml:space="preserve">  其他商品和服务支出</w:t>
            </w:r>
          </w:p>
        </w:tc>
        <w:tc>
          <w:tcPr>
            <w:tcW w:w="93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12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18"/>
              </w:rPr>
            </w:pPr>
            <w:r>
              <w:rPr>
                <w:rFonts w:hint="default" w:ascii="Times New Roman" w:hAnsi="Times New Roman" w:eastAsia="仿宋" w:cs="Times New Roman"/>
                <w:color w:val="000000"/>
                <w:kern w:val="0"/>
                <w:szCs w:val="18"/>
              </w:rPr>
              <w:t>　</w:t>
            </w:r>
          </w:p>
        </w:tc>
        <w:tc>
          <w:tcPr>
            <w:tcW w:w="3517"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18"/>
              </w:rPr>
            </w:pPr>
            <w:r>
              <w:rPr>
                <w:rFonts w:hint="default" w:ascii="Times New Roman" w:hAnsi="Times New Roman" w:eastAsia="仿宋" w:cs="Times New Roman"/>
                <w:color w:val="000000"/>
                <w:kern w:val="0"/>
                <w:szCs w:val="18"/>
              </w:rPr>
              <w:t>　</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r>
      <w:tr>
        <w:tblPrEx>
          <w:tblCellMar>
            <w:top w:w="0" w:type="dxa"/>
            <w:left w:w="108" w:type="dxa"/>
            <w:bottom w:w="0" w:type="dxa"/>
            <w:right w:w="108" w:type="dxa"/>
          </w:tblCellMar>
        </w:tblPrEx>
        <w:trPr>
          <w:trHeight w:val="255" w:hRule="exact"/>
          <w:jc w:val="center"/>
        </w:trPr>
        <w:tc>
          <w:tcPr>
            <w:tcW w:w="393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人员经费合计</w:t>
            </w:r>
          </w:p>
        </w:tc>
        <w:tc>
          <w:tcPr>
            <w:tcW w:w="96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　</w:t>
            </w:r>
          </w:p>
        </w:tc>
        <w:tc>
          <w:tcPr>
            <w:tcW w:w="8801"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 w:cs="Times New Roman"/>
                <w:color w:val="000000"/>
                <w:kern w:val="0"/>
                <w:szCs w:val="20"/>
              </w:rPr>
            </w:pPr>
            <w:r>
              <w:rPr>
                <w:rFonts w:hint="default" w:ascii="Times New Roman" w:hAnsi="Times New Roman" w:eastAsia="仿宋" w:cs="Times New Roman"/>
                <w:color w:val="000000"/>
                <w:kern w:val="0"/>
                <w:szCs w:val="20"/>
              </w:rPr>
              <w:t>公用经费合计</w:t>
            </w:r>
          </w:p>
        </w:tc>
        <w:tc>
          <w:tcPr>
            <w:tcW w:w="9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仿宋" w:cs="Times New Roman"/>
                <w:color w:val="000000"/>
                <w:kern w:val="0"/>
                <w:szCs w:val="18"/>
              </w:rPr>
            </w:pPr>
            <w:r>
              <w:rPr>
                <w:rFonts w:hint="default" w:ascii="Times New Roman" w:hAnsi="Times New Roman" w:eastAsia="仿宋" w:cs="Times New Roman"/>
                <w:color w:val="000000"/>
                <w:kern w:val="0"/>
                <w:szCs w:val="18"/>
              </w:rPr>
              <w:t>　</w:t>
            </w:r>
          </w:p>
        </w:tc>
      </w:tr>
    </w:tbl>
    <w:p>
      <w:pPr>
        <w:widowControl/>
        <w:jc w:val="left"/>
        <w:rPr>
          <w:rFonts w:hint="default" w:ascii="Times New Roman" w:hAnsi="Times New Roman" w:eastAsia="仿宋" w:cs="Times New Roman"/>
          <w:color w:val="000000"/>
          <w:kern w:val="0"/>
          <w:szCs w:val="24"/>
        </w:rPr>
      </w:pPr>
      <w:r>
        <w:rPr>
          <w:rFonts w:hint="default" w:ascii="Times New Roman" w:hAnsi="Times New Roman" w:eastAsia="仿宋" w:cs="Times New Roman"/>
          <w:color w:val="000000"/>
          <w:kern w:val="0"/>
          <w:szCs w:val="24"/>
        </w:rPr>
        <w:t>注：</w:t>
      </w:r>
      <w:r>
        <w:rPr>
          <w:rFonts w:hint="default" w:ascii="Times New Roman" w:hAnsi="Times New Roman" w:eastAsia="仿宋" w:cs="Times New Roman"/>
          <w:color w:val="000000"/>
          <w:kern w:val="0"/>
          <w:szCs w:val="24"/>
          <w:lang w:val="en-US" w:eastAsia="zh-CN"/>
        </w:rPr>
        <w:t>1.</w:t>
      </w:r>
      <w:r>
        <w:rPr>
          <w:rFonts w:hint="default" w:ascii="Times New Roman" w:hAnsi="Times New Roman" w:eastAsia="仿宋" w:cs="Times New Roman"/>
          <w:color w:val="000000"/>
          <w:kern w:val="0"/>
          <w:szCs w:val="24"/>
        </w:rPr>
        <w:t>本表反映部门本年度一般公共预算财政拨款基本支出明细情况。</w:t>
      </w:r>
    </w:p>
    <w:p>
      <w:pPr>
        <w:widowControl/>
        <w:ind w:firstLine="420" w:firstLineChars="200"/>
        <w:jc w:val="left"/>
        <w:rPr>
          <w:rFonts w:hint="default" w:ascii="Times New Roman" w:hAnsi="Times New Roman" w:eastAsia="仿宋" w:cs="Times New Roman"/>
          <w:color w:val="000000"/>
          <w:kern w:val="0"/>
          <w:szCs w:val="24"/>
          <w:lang w:val="en-US" w:eastAsia="zh-CN"/>
        </w:rPr>
      </w:pPr>
      <w:r>
        <w:rPr>
          <w:rFonts w:hint="default" w:ascii="Times New Roman" w:hAnsi="Times New Roman" w:eastAsia="仿宋" w:cs="Times New Roman"/>
          <w:color w:val="000000"/>
          <w:kern w:val="0"/>
          <w:szCs w:val="24"/>
          <w:lang w:val="en-US" w:eastAsia="zh-CN"/>
        </w:rPr>
        <w:t>2.本单位没有一般公共预算收入，也没有使用一般公共预算安排的支出，故本表无数据。</w:t>
      </w:r>
    </w:p>
    <w:p>
      <w:pPr>
        <w:widowControl/>
        <w:spacing w:line="400" w:lineRule="exact"/>
        <w:jc w:val="center"/>
        <w:textAlignment w:val="center"/>
        <w:rPr>
          <w:rFonts w:hint="default" w:ascii="Times New Roman" w:hAnsi="Times New Roman" w:eastAsia="仿宋_GB2312" w:cs="Times New Roman"/>
          <w:color w:val="000000"/>
          <w:kern w:val="0"/>
          <w:sz w:val="32"/>
          <w:szCs w:val="32"/>
          <w:lang w:bidi="ar"/>
        </w:rPr>
      </w:pPr>
    </w:p>
    <w:p>
      <w:pPr>
        <w:widowControl/>
        <w:spacing w:after="156" w:afterLines="50"/>
        <w:jc w:val="center"/>
        <w:textAlignment w:val="center"/>
        <w:rPr>
          <w:rFonts w:hint="default" w:ascii="Times New Roman" w:hAnsi="Times New Roman" w:eastAsia="黑体" w:cs="Times New Roman"/>
          <w:color w:val="000000"/>
          <w:kern w:val="0"/>
          <w:sz w:val="36"/>
          <w:szCs w:val="36"/>
          <w:lang w:bidi="ar"/>
        </w:rPr>
      </w:pPr>
      <w:r>
        <w:rPr>
          <w:rFonts w:hint="default" w:ascii="Times New Roman" w:hAnsi="Times New Roman" w:eastAsia="黑体" w:cs="Times New Roman"/>
          <w:color w:val="000000"/>
          <w:kern w:val="0"/>
          <w:sz w:val="36"/>
          <w:szCs w:val="36"/>
          <w:lang w:bidi="ar"/>
        </w:rPr>
        <w:t>政府性基金预算财政拨款收入支出决算表</w:t>
      </w:r>
    </w:p>
    <w:p>
      <w:pPr>
        <w:widowControl/>
        <w:tabs>
          <w:tab w:val="left" w:pos="920"/>
          <w:tab w:val="left" w:pos="1157"/>
          <w:tab w:val="left" w:pos="2434"/>
          <w:tab w:val="left" w:pos="4352"/>
          <w:tab w:val="left" w:pos="6295"/>
          <w:tab w:val="left" w:pos="8214"/>
          <w:tab w:val="left" w:pos="10149"/>
          <w:tab w:val="left" w:pos="12067"/>
        </w:tabs>
        <w:jc w:val="right"/>
        <w:textAlignment w:val="center"/>
        <w:rPr>
          <w:rFonts w:hint="default" w:ascii="Times New Roman" w:hAnsi="Times New Roman" w:eastAsia="仿宋" w:cs="Times New Roman"/>
          <w:color w:val="000000"/>
          <w:sz w:val="20"/>
          <w:szCs w:val="20"/>
        </w:rPr>
      </w:pPr>
      <w:r>
        <w:rPr>
          <w:rFonts w:hint="default" w:ascii="Times New Roman" w:hAnsi="Times New Roman" w:eastAsia="仿宋_GB2312" w:cs="Times New Roman"/>
          <w:color w:val="000000"/>
          <w:sz w:val="20"/>
          <w:szCs w:val="20"/>
        </w:rPr>
        <w:tab/>
      </w:r>
      <w:r>
        <w:rPr>
          <w:rFonts w:hint="default" w:ascii="Times New Roman" w:hAnsi="Times New Roman" w:eastAsia="仿宋_GB2312" w:cs="Times New Roman"/>
          <w:color w:val="000000"/>
          <w:sz w:val="20"/>
          <w:szCs w:val="20"/>
        </w:rPr>
        <w:tab/>
      </w:r>
      <w:r>
        <w:rPr>
          <w:rFonts w:hint="default" w:ascii="Times New Roman" w:hAnsi="Times New Roman" w:eastAsia="仿宋_GB2312" w:cs="Times New Roman"/>
          <w:color w:val="000000"/>
          <w:sz w:val="20"/>
          <w:szCs w:val="20"/>
        </w:rPr>
        <w:tab/>
      </w:r>
      <w:r>
        <w:rPr>
          <w:rFonts w:hint="default" w:ascii="Times New Roman" w:hAnsi="Times New Roman" w:eastAsia="仿宋_GB2312" w:cs="Times New Roman"/>
          <w:color w:val="000000"/>
          <w:sz w:val="20"/>
          <w:szCs w:val="20"/>
        </w:rPr>
        <w:tab/>
      </w:r>
      <w:r>
        <w:rPr>
          <w:rFonts w:hint="default" w:ascii="Times New Roman" w:hAnsi="Times New Roman" w:eastAsia="仿宋_GB2312" w:cs="Times New Roman"/>
          <w:color w:val="000000"/>
          <w:sz w:val="20"/>
          <w:szCs w:val="20"/>
        </w:rPr>
        <w:tab/>
      </w:r>
      <w:r>
        <w:rPr>
          <w:rFonts w:hint="default" w:ascii="Times New Roman" w:hAnsi="Times New Roman" w:eastAsia="仿宋_GB2312" w:cs="Times New Roman"/>
          <w:color w:val="000000"/>
          <w:sz w:val="20"/>
          <w:szCs w:val="20"/>
        </w:rPr>
        <w:tab/>
      </w:r>
      <w:r>
        <w:rPr>
          <w:rFonts w:hint="default" w:ascii="Times New Roman" w:hAnsi="Times New Roman" w:eastAsia="仿宋_GB2312" w:cs="Times New Roman"/>
          <w:color w:val="000000"/>
          <w:sz w:val="20"/>
          <w:szCs w:val="20"/>
        </w:rPr>
        <w:tab/>
      </w:r>
      <w:r>
        <w:rPr>
          <w:rFonts w:hint="default" w:ascii="Times New Roman" w:hAnsi="Times New Roman" w:eastAsia="仿宋_GB2312" w:cs="Times New Roman"/>
          <w:color w:val="000000"/>
          <w:sz w:val="20"/>
          <w:szCs w:val="20"/>
        </w:rPr>
        <w:tab/>
      </w:r>
      <w:r>
        <w:rPr>
          <w:rFonts w:hint="default" w:ascii="Times New Roman" w:hAnsi="Times New Roman" w:eastAsia="仿宋" w:cs="Times New Roman"/>
          <w:color w:val="000000"/>
          <w:kern w:val="0"/>
          <w:sz w:val="20"/>
          <w:szCs w:val="20"/>
          <w:lang w:bidi="ar"/>
        </w:rPr>
        <w:t>公开07表</w:t>
      </w:r>
    </w:p>
    <w:p>
      <w:pPr>
        <w:widowControl/>
        <w:tabs>
          <w:tab w:val="left" w:pos="920"/>
          <w:tab w:val="left" w:pos="1157"/>
          <w:tab w:val="left" w:pos="2434"/>
          <w:tab w:val="left" w:pos="4352"/>
          <w:tab w:val="left" w:pos="6295"/>
          <w:tab w:val="left" w:pos="8214"/>
          <w:tab w:val="left" w:pos="10149"/>
          <w:tab w:val="left" w:pos="12067"/>
        </w:tabs>
        <w:jc w:val="both"/>
        <w:textAlignment w:val="center"/>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0"/>
          <w:szCs w:val="20"/>
          <w:lang w:bidi="ar"/>
        </w:rPr>
        <w:t>部门：湖南省福利彩票发行中心</w:t>
      </w:r>
      <w:r>
        <w:rPr>
          <w:rFonts w:hint="default" w:ascii="Times New Roman" w:hAnsi="Times New Roman" w:eastAsia="仿宋" w:cs="Times New Roman"/>
          <w:color w:val="000000"/>
          <w:kern w:val="0"/>
          <w:sz w:val="20"/>
          <w:szCs w:val="20"/>
          <w:lang w:val="en-US" w:eastAsia="zh-CN" w:bidi="ar"/>
        </w:rPr>
        <w:t xml:space="preserve">     </w:t>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lang w:val="en-US" w:eastAsia="zh-CN"/>
        </w:rPr>
        <w:t xml:space="preserve">    </w:t>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lang w:val="en-US" w:eastAsia="zh-CN"/>
        </w:rPr>
        <w:t xml:space="preserve">     </w:t>
      </w:r>
      <w:r>
        <w:rPr>
          <w:rFonts w:hint="default" w:ascii="Times New Roman" w:hAnsi="Times New Roman" w:eastAsia="仿宋" w:cs="Times New Roman"/>
          <w:color w:val="000000"/>
          <w:kern w:val="0"/>
          <w:sz w:val="20"/>
          <w:szCs w:val="20"/>
          <w:lang w:bidi="ar"/>
        </w:rPr>
        <w:t>单位：万元</w:t>
      </w:r>
    </w:p>
    <w:tbl>
      <w:tblPr>
        <w:tblStyle w:val="12"/>
        <w:tblW w:w="14602" w:type="dxa"/>
        <w:jc w:val="center"/>
        <w:tblLayout w:type="fixed"/>
        <w:tblCellMar>
          <w:top w:w="0" w:type="dxa"/>
          <w:left w:w="108" w:type="dxa"/>
          <w:bottom w:w="0" w:type="dxa"/>
          <w:right w:w="108" w:type="dxa"/>
        </w:tblCellMar>
      </w:tblPr>
      <w:tblGrid>
        <w:gridCol w:w="1226"/>
        <w:gridCol w:w="1824"/>
        <w:gridCol w:w="1918"/>
        <w:gridCol w:w="1943"/>
        <w:gridCol w:w="1919"/>
        <w:gridCol w:w="1935"/>
        <w:gridCol w:w="1918"/>
        <w:gridCol w:w="1919"/>
      </w:tblGrid>
      <w:tr>
        <w:tblPrEx>
          <w:tblCellMar>
            <w:top w:w="0" w:type="dxa"/>
            <w:left w:w="108" w:type="dxa"/>
            <w:bottom w:w="0" w:type="dxa"/>
            <w:right w:w="108" w:type="dxa"/>
          </w:tblCellMar>
        </w:tblPrEx>
        <w:trPr>
          <w:trHeight w:val="459" w:hRule="atLeast"/>
          <w:jc w:val="center"/>
        </w:trPr>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 xml:space="preserve">项 </w:t>
            </w:r>
            <w:r>
              <w:rPr>
                <w:rStyle w:val="19"/>
                <w:rFonts w:hint="default" w:ascii="Times New Roman" w:hAnsi="Times New Roman" w:eastAsia="仿宋" w:cs="Times New Roman"/>
                <w:b/>
                <w:bCs/>
                <w:lang w:bidi="ar"/>
              </w:rPr>
              <w:t xml:space="preserve">   </w:t>
            </w:r>
            <w:r>
              <w:rPr>
                <w:rStyle w:val="20"/>
                <w:rFonts w:hint="default" w:ascii="Times New Roman" w:hAnsi="Times New Roman" w:eastAsia="仿宋" w:cs="Times New Roman"/>
                <w:b/>
                <w:bCs/>
                <w:lang w:bidi="ar"/>
              </w:rPr>
              <w:t>目</w:t>
            </w:r>
          </w:p>
        </w:tc>
        <w:tc>
          <w:tcPr>
            <w:tcW w:w="1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年初结转和结余</w:t>
            </w:r>
          </w:p>
        </w:tc>
        <w:tc>
          <w:tcPr>
            <w:tcW w:w="19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本年收入</w:t>
            </w:r>
          </w:p>
        </w:tc>
        <w:tc>
          <w:tcPr>
            <w:tcW w:w="57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本年支出</w:t>
            </w:r>
          </w:p>
        </w:tc>
        <w:tc>
          <w:tcPr>
            <w:tcW w:w="1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年末结转和结余</w:t>
            </w:r>
          </w:p>
        </w:tc>
      </w:tr>
      <w:tr>
        <w:tblPrEx>
          <w:tblCellMar>
            <w:top w:w="0" w:type="dxa"/>
            <w:left w:w="108" w:type="dxa"/>
            <w:bottom w:w="0" w:type="dxa"/>
            <w:right w:w="108" w:type="dxa"/>
          </w:tblCellMar>
        </w:tblPrEx>
        <w:trPr>
          <w:trHeight w:val="312" w:hRule="exact"/>
          <w:jc w:val="center"/>
        </w:trPr>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科目代码</w:t>
            </w:r>
          </w:p>
        </w:tc>
        <w:tc>
          <w:tcPr>
            <w:tcW w:w="1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科目名称</w:t>
            </w:r>
          </w:p>
        </w:tc>
        <w:tc>
          <w:tcPr>
            <w:tcW w:w="1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Times New Roman" w:hAnsi="Times New Roman" w:eastAsia="仿宋" w:cs="Times New Roman"/>
                <w:b/>
                <w:bCs/>
                <w:color w:val="000000"/>
                <w:sz w:val="24"/>
                <w:szCs w:val="24"/>
              </w:rPr>
            </w:pPr>
          </w:p>
        </w:tc>
        <w:tc>
          <w:tcPr>
            <w:tcW w:w="1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Times New Roman" w:hAnsi="Times New Roman" w:eastAsia="仿宋" w:cs="Times New Roman"/>
                <w:b/>
                <w:bCs/>
                <w:color w:val="000000"/>
                <w:sz w:val="24"/>
                <w:szCs w:val="24"/>
              </w:rPr>
            </w:pPr>
          </w:p>
        </w:tc>
        <w:tc>
          <w:tcPr>
            <w:tcW w:w="1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小计</w:t>
            </w:r>
          </w:p>
        </w:tc>
        <w:tc>
          <w:tcPr>
            <w:tcW w:w="1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 xml:space="preserve">基本支出  </w:t>
            </w:r>
          </w:p>
        </w:tc>
        <w:tc>
          <w:tcPr>
            <w:tcW w:w="1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项目支出</w:t>
            </w:r>
          </w:p>
        </w:tc>
        <w:tc>
          <w:tcPr>
            <w:tcW w:w="1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409" w:hRule="atLeast"/>
          <w:jc w:val="center"/>
        </w:trPr>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312" w:hRule="atLeast"/>
          <w:jc w:val="center"/>
        </w:trPr>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509" w:hRule="atLeast"/>
          <w:jc w:val="center"/>
        </w:trPr>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栏次</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1</w:t>
            </w: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2</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3</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4</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5</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6</w:t>
            </w:r>
          </w:p>
        </w:tc>
      </w:tr>
      <w:tr>
        <w:tblPrEx>
          <w:tblCellMar>
            <w:top w:w="0" w:type="dxa"/>
            <w:left w:w="108" w:type="dxa"/>
            <w:bottom w:w="0" w:type="dxa"/>
            <w:right w:w="108" w:type="dxa"/>
          </w:tblCellMar>
        </w:tblPrEx>
        <w:trPr>
          <w:trHeight w:val="509" w:hRule="atLeast"/>
          <w:jc w:val="center"/>
        </w:trPr>
        <w:tc>
          <w:tcPr>
            <w:tcW w:w="3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合计</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lang w:val="en-US" w:eastAsia="zh-CN"/>
              </w:rPr>
            </w:pPr>
            <w:r>
              <w:rPr>
                <w:rFonts w:hint="default" w:ascii="Times New Roman" w:hAnsi="Times New Roman" w:eastAsia="仿宋" w:cs="Times New Roman"/>
                <w:color w:val="000000"/>
                <w:sz w:val="24"/>
                <w:szCs w:val="24"/>
                <w:lang w:val="en-US" w:eastAsia="zh-CN"/>
              </w:rPr>
              <w:t>2752.45</w:t>
            </w: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lang w:val="en-US" w:eastAsia="zh-CN"/>
              </w:rPr>
            </w:pPr>
            <w:r>
              <w:rPr>
                <w:rFonts w:hint="default" w:ascii="Times New Roman" w:hAnsi="Times New Roman" w:eastAsia="仿宋" w:cs="Times New Roman"/>
                <w:color w:val="000000"/>
                <w:sz w:val="24"/>
                <w:szCs w:val="24"/>
                <w:lang w:val="en-US" w:eastAsia="zh-CN"/>
              </w:rPr>
              <w:t>14169</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lang w:val="en-US" w:eastAsia="zh-CN"/>
              </w:rPr>
            </w:pPr>
            <w:r>
              <w:rPr>
                <w:rFonts w:hint="default" w:ascii="Times New Roman" w:hAnsi="Times New Roman" w:eastAsia="仿宋" w:cs="Times New Roman"/>
                <w:color w:val="000000"/>
                <w:sz w:val="24"/>
                <w:szCs w:val="24"/>
                <w:lang w:val="en-US" w:eastAsia="zh-CN"/>
              </w:rPr>
              <w:t>12453.61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lang w:val="en-US" w:eastAsia="zh-CN"/>
              </w:rPr>
            </w:pPr>
            <w:r>
              <w:rPr>
                <w:rFonts w:hint="default" w:ascii="Times New Roman" w:hAnsi="Times New Roman" w:eastAsia="仿宋" w:cs="Times New Roman"/>
                <w:color w:val="000000"/>
                <w:sz w:val="24"/>
                <w:szCs w:val="24"/>
                <w:lang w:val="en-US" w:eastAsia="zh-CN"/>
              </w:rPr>
              <w:t>1669.33</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lang w:val="en-US" w:eastAsia="zh-CN"/>
              </w:rPr>
            </w:pPr>
            <w:r>
              <w:rPr>
                <w:rFonts w:hint="default" w:ascii="Times New Roman" w:hAnsi="Times New Roman" w:eastAsia="仿宋" w:cs="Times New Roman"/>
                <w:color w:val="000000"/>
                <w:sz w:val="24"/>
                <w:szCs w:val="24"/>
                <w:lang w:val="en-US" w:eastAsia="zh-CN"/>
              </w:rPr>
              <w:t>10784.28</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lang w:val="en-US" w:eastAsia="zh-CN"/>
              </w:rPr>
            </w:pPr>
            <w:r>
              <w:rPr>
                <w:rFonts w:hint="default" w:ascii="Times New Roman" w:hAnsi="Times New Roman" w:eastAsia="仿宋" w:cs="Times New Roman"/>
                <w:color w:val="000000"/>
                <w:sz w:val="24"/>
                <w:szCs w:val="24"/>
                <w:lang w:val="en-US" w:eastAsia="zh-CN"/>
              </w:rPr>
              <w:t>4467.84</w:t>
            </w:r>
          </w:p>
        </w:tc>
      </w:tr>
      <w:tr>
        <w:tblPrEx>
          <w:tblCellMar>
            <w:top w:w="0" w:type="dxa"/>
            <w:left w:w="108" w:type="dxa"/>
            <w:bottom w:w="0" w:type="dxa"/>
            <w:right w:w="108" w:type="dxa"/>
          </w:tblCellMar>
        </w:tblPrEx>
        <w:trPr>
          <w:trHeight w:val="509" w:hRule="atLeast"/>
          <w:jc w:val="center"/>
        </w:trPr>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229</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其他支出</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2752.45</w:t>
            </w: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14169</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12453.61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1669.33</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10784.28</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4467.84</w:t>
            </w:r>
          </w:p>
        </w:tc>
      </w:tr>
      <w:tr>
        <w:tblPrEx>
          <w:tblCellMar>
            <w:top w:w="0" w:type="dxa"/>
            <w:left w:w="108" w:type="dxa"/>
            <w:bottom w:w="0" w:type="dxa"/>
            <w:right w:w="108" w:type="dxa"/>
          </w:tblCellMar>
        </w:tblPrEx>
        <w:trPr>
          <w:trHeight w:val="509" w:hRule="atLeast"/>
          <w:jc w:val="center"/>
        </w:trPr>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22908</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val="en-US" w:eastAsia="zh-CN" w:bidi="ar"/>
              </w:rPr>
              <w:t>彩票发行销售机构业务费安排的支出</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2752.45</w:t>
            </w: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14169</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12453.61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1669.33</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10784.28</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sz w:val="24"/>
                <w:szCs w:val="24"/>
                <w:lang w:val="en-US" w:eastAsia="zh-CN"/>
              </w:rPr>
              <w:t>4467.84</w:t>
            </w:r>
          </w:p>
        </w:tc>
      </w:tr>
      <w:tr>
        <w:tblPrEx>
          <w:tblCellMar>
            <w:top w:w="0" w:type="dxa"/>
            <w:left w:w="108" w:type="dxa"/>
            <w:bottom w:w="0" w:type="dxa"/>
            <w:right w:w="108" w:type="dxa"/>
          </w:tblCellMar>
        </w:tblPrEx>
        <w:trPr>
          <w:trHeight w:val="509" w:hRule="atLeast"/>
          <w:jc w:val="center"/>
        </w:trPr>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2290804</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福利彩票销售机构的业务费支出</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1477.35</w:t>
            </w: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11519</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8848.46</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1669.33</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7179.1</w:t>
            </w:r>
            <w:r>
              <w:rPr>
                <w:rFonts w:hint="eastAsia" w:ascii="Times New Roman" w:hAnsi="Times New Roman" w:eastAsia="仿宋" w:cs="Times New Roman"/>
                <w:color w:val="000000"/>
                <w:kern w:val="0"/>
                <w:sz w:val="24"/>
                <w:szCs w:val="24"/>
                <w:lang w:val="en-US" w:eastAsia="zh-CN" w:bidi="ar"/>
              </w:rPr>
              <w:t>2</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4147.89</w:t>
            </w:r>
          </w:p>
        </w:tc>
      </w:tr>
      <w:tr>
        <w:tblPrEx>
          <w:tblCellMar>
            <w:top w:w="0" w:type="dxa"/>
            <w:left w:w="108" w:type="dxa"/>
            <w:bottom w:w="0" w:type="dxa"/>
            <w:right w:w="108" w:type="dxa"/>
          </w:tblCellMar>
        </w:tblPrEx>
        <w:trPr>
          <w:trHeight w:val="509" w:hRule="atLeast"/>
          <w:jc w:val="center"/>
        </w:trPr>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2290808</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彩票市场调控资金支出</w:t>
            </w: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1275.1</w:t>
            </w: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2650</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3605.15</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3605.15</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319.95</w:t>
            </w:r>
          </w:p>
        </w:tc>
      </w:tr>
      <w:tr>
        <w:tblPrEx>
          <w:tblCellMar>
            <w:top w:w="0" w:type="dxa"/>
            <w:left w:w="108" w:type="dxa"/>
            <w:bottom w:w="0" w:type="dxa"/>
            <w:right w:w="108" w:type="dxa"/>
          </w:tblCellMar>
        </w:tblPrEx>
        <w:trPr>
          <w:trHeight w:val="509" w:hRule="atLeast"/>
          <w:jc w:val="center"/>
        </w:trPr>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509" w:hRule="atLeast"/>
          <w:jc w:val="center"/>
        </w:trPr>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r>
    </w:tbl>
    <w:p>
      <w:pPr>
        <w:widowControl/>
        <w:spacing w:before="120"/>
        <w:jc w:val="left"/>
        <w:textAlignment w:val="center"/>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注：本表反映部门本年度政府性基金预算财政拨款收入、支出及结转和结余情况。</w:t>
      </w:r>
    </w:p>
    <w:p>
      <w:pPr>
        <w:pStyle w:val="10"/>
        <w:rPr>
          <w:rFonts w:hint="default" w:ascii="Times New Roman" w:hAnsi="Times New Roman" w:cs="Times New Roman"/>
        </w:rPr>
      </w:pPr>
    </w:p>
    <w:p>
      <w:pPr>
        <w:widowControl/>
        <w:spacing w:line="400" w:lineRule="exact"/>
        <w:textAlignment w:val="center"/>
        <w:rPr>
          <w:rFonts w:hint="default" w:ascii="Times New Roman" w:hAnsi="Times New Roman" w:eastAsia="黑体" w:cs="Times New Roman"/>
          <w:color w:val="000000"/>
          <w:kern w:val="0"/>
          <w:sz w:val="36"/>
          <w:szCs w:val="36"/>
          <w:lang w:bidi="ar"/>
        </w:rPr>
      </w:pPr>
    </w:p>
    <w:p>
      <w:pPr>
        <w:widowControl/>
        <w:spacing w:after="156" w:afterLines="50"/>
        <w:jc w:val="center"/>
        <w:textAlignment w:val="center"/>
        <w:rPr>
          <w:rFonts w:hint="default" w:ascii="Times New Roman" w:hAnsi="Times New Roman" w:eastAsia="黑体" w:cs="Times New Roman"/>
          <w:color w:val="000000"/>
          <w:kern w:val="0"/>
          <w:sz w:val="36"/>
          <w:szCs w:val="36"/>
          <w:lang w:bidi="ar"/>
        </w:rPr>
      </w:pPr>
      <w:r>
        <w:rPr>
          <w:rFonts w:hint="default" w:ascii="Times New Roman" w:hAnsi="Times New Roman" w:eastAsia="黑体" w:cs="Times New Roman"/>
          <w:color w:val="000000"/>
          <w:kern w:val="0"/>
          <w:sz w:val="36"/>
          <w:szCs w:val="36"/>
          <w:lang w:bidi="ar"/>
        </w:rPr>
        <w:t>国有资本经营预算财政拨款支出决算表</w:t>
      </w:r>
    </w:p>
    <w:p>
      <w:pPr>
        <w:widowControl/>
        <w:tabs>
          <w:tab w:val="left" w:pos="1326"/>
          <w:tab w:val="left" w:pos="2027"/>
          <w:tab w:val="left" w:pos="4319"/>
          <w:tab w:val="left" w:pos="7634"/>
          <w:tab w:val="left" w:pos="10949"/>
        </w:tabs>
        <w:jc w:val="center"/>
        <w:textAlignment w:val="center"/>
        <w:rPr>
          <w:rFonts w:hint="default" w:ascii="Times New Roman" w:hAnsi="Times New Roman" w:eastAsia="仿宋" w:cs="Times New Roman"/>
          <w:color w:val="000000"/>
          <w:sz w:val="20"/>
          <w:szCs w:val="20"/>
        </w:rPr>
      </w:pPr>
      <w:r>
        <w:rPr>
          <w:rFonts w:hint="default" w:ascii="Times New Roman" w:hAnsi="Times New Roman" w:eastAsia="仿宋_GB2312" w:cs="Times New Roman"/>
          <w:color w:val="000000"/>
          <w:kern w:val="0"/>
          <w:sz w:val="20"/>
          <w:szCs w:val="20"/>
          <w:lang w:bidi="ar"/>
        </w:rPr>
        <w:t xml:space="preserve">                                                                                                          </w:t>
      </w:r>
      <w:r>
        <w:rPr>
          <w:rFonts w:hint="default" w:ascii="Times New Roman" w:hAnsi="Times New Roman" w:eastAsia="仿宋_GB2312" w:cs="Times New Roman"/>
          <w:color w:val="000000"/>
          <w:kern w:val="0"/>
          <w:sz w:val="20"/>
          <w:szCs w:val="20"/>
          <w:lang w:val="en-US" w:eastAsia="zh-CN" w:bidi="ar"/>
        </w:rPr>
        <w:t xml:space="preserve">        </w:t>
      </w:r>
      <w:r>
        <w:rPr>
          <w:rFonts w:hint="default" w:ascii="Times New Roman" w:hAnsi="Times New Roman" w:eastAsia="仿宋_GB2312" w:cs="Times New Roman"/>
          <w:color w:val="000000"/>
          <w:kern w:val="0"/>
          <w:sz w:val="20"/>
          <w:szCs w:val="20"/>
          <w:lang w:bidi="ar"/>
        </w:rPr>
        <w:t xml:space="preserve">  </w:t>
      </w:r>
      <w:r>
        <w:rPr>
          <w:rFonts w:hint="default" w:ascii="Times New Roman" w:hAnsi="Times New Roman" w:eastAsia="仿宋_GB2312" w:cs="Times New Roman"/>
          <w:color w:val="000000"/>
          <w:kern w:val="0"/>
          <w:sz w:val="20"/>
          <w:szCs w:val="20"/>
          <w:lang w:val="en-US" w:eastAsia="zh-CN" w:bidi="ar"/>
        </w:rPr>
        <w:t xml:space="preserve">        </w:t>
      </w:r>
      <w:r>
        <w:rPr>
          <w:rFonts w:hint="default" w:ascii="Times New Roman" w:hAnsi="Times New Roman" w:eastAsia="仿宋" w:cs="Times New Roman"/>
          <w:color w:val="000000"/>
          <w:kern w:val="0"/>
          <w:sz w:val="20"/>
          <w:szCs w:val="20"/>
          <w:lang w:val="en-US" w:eastAsia="zh-CN" w:bidi="ar"/>
        </w:rPr>
        <w:t xml:space="preserve"> </w:t>
      </w:r>
      <w:r>
        <w:rPr>
          <w:rFonts w:hint="default" w:ascii="Times New Roman" w:hAnsi="Times New Roman" w:eastAsia="仿宋" w:cs="Times New Roman"/>
          <w:color w:val="000000"/>
          <w:kern w:val="0"/>
          <w:sz w:val="20"/>
          <w:szCs w:val="20"/>
          <w:lang w:bidi="ar"/>
        </w:rPr>
        <w:t>公开08表</w:t>
      </w:r>
    </w:p>
    <w:p>
      <w:pPr>
        <w:widowControl/>
        <w:tabs>
          <w:tab w:val="left" w:pos="1326"/>
          <w:tab w:val="left" w:pos="2027"/>
          <w:tab w:val="left" w:pos="4319"/>
          <w:tab w:val="left" w:pos="7634"/>
          <w:tab w:val="left" w:pos="10949"/>
        </w:tabs>
        <w:jc w:val="center"/>
        <w:textAlignment w:val="center"/>
        <w:rPr>
          <w:rFonts w:hint="default" w:ascii="Times New Roman" w:hAnsi="Times New Roman" w:eastAsia="仿宋" w:cs="Times New Roman"/>
          <w:color w:val="000000"/>
          <w:sz w:val="20"/>
          <w:szCs w:val="20"/>
        </w:rPr>
      </w:pPr>
      <w:r>
        <w:rPr>
          <w:rFonts w:hint="default" w:ascii="Times New Roman" w:hAnsi="Times New Roman" w:eastAsia="仿宋" w:cs="Times New Roman"/>
          <w:color w:val="000000"/>
          <w:kern w:val="0"/>
          <w:sz w:val="20"/>
          <w:szCs w:val="20"/>
          <w:lang w:bidi="ar"/>
        </w:rPr>
        <w:t>部门：湖南省福利彩票发行中心</w:t>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rPr>
        <w:tab/>
      </w:r>
      <w:r>
        <w:rPr>
          <w:rFonts w:hint="default" w:ascii="Times New Roman" w:hAnsi="Times New Roman" w:eastAsia="仿宋" w:cs="Times New Roman"/>
          <w:color w:val="000000"/>
          <w:sz w:val="20"/>
          <w:szCs w:val="20"/>
          <w:lang w:val="en-US" w:eastAsia="zh-CN"/>
        </w:rPr>
        <w:t xml:space="preserve">        </w:t>
      </w:r>
      <w:r>
        <w:rPr>
          <w:rFonts w:hint="default" w:ascii="Times New Roman" w:hAnsi="Times New Roman" w:eastAsia="仿宋" w:cs="Times New Roman"/>
          <w:color w:val="000000"/>
          <w:kern w:val="0"/>
          <w:sz w:val="20"/>
          <w:szCs w:val="20"/>
          <w:lang w:bidi="ar"/>
        </w:rPr>
        <w:t>单位：万元</w:t>
      </w:r>
    </w:p>
    <w:tbl>
      <w:tblPr>
        <w:tblStyle w:val="12"/>
        <w:tblW w:w="4999" w:type="pct"/>
        <w:tblInd w:w="0" w:type="dxa"/>
        <w:tblLayout w:type="autofit"/>
        <w:tblCellMar>
          <w:top w:w="0" w:type="dxa"/>
          <w:left w:w="108" w:type="dxa"/>
          <w:bottom w:w="0" w:type="dxa"/>
          <w:right w:w="108" w:type="dxa"/>
        </w:tblCellMar>
      </w:tblPr>
      <w:tblGrid>
        <w:gridCol w:w="3094"/>
        <w:gridCol w:w="3097"/>
        <w:gridCol w:w="1832"/>
        <w:gridCol w:w="3097"/>
        <w:gridCol w:w="3097"/>
      </w:tblGrid>
      <w:tr>
        <w:tblPrEx>
          <w:tblCellMar>
            <w:top w:w="0" w:type="dxa"/>
            <w:left w:w="108" w:type="dxa"/>
            <w:bottom w:w="0" w:type="dxa"/>
            <w:right w:w="108" w:type="dxa"/>
          </w:tblCellMar>
        </w:tblPrEx>
        <w:trPr>
          <w:trHeight w:val="548" w:hRule="atLeast"/>
        </w:trPr>
        <w:tc>
          <w:tcPr>
            <w:tcW w:w="21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 xml:space="preserve">项 </w:t>
            </w:r>
            <w:r>
              <w:rPr>
                <w:rFonts w:hint="default" w:ascii="Times New Roman" w:hAnsi="Times New Roman" w:eastAsia="仿宋" w:cs="Times New Roman"/>
                <w:b/>
                <w:bCs/>
                <w:color w:val="000000"/>
                <w:kern w:val="0"/>
                <w:sz w:val="22"/>
                <w:lang w:bidi="ar"/>
              </w:rPr>
              <w:t xml:space="preserve">   </w:t>
            </w:r>
            <w:r>
              <w:rPr>
                <w:rStyle w:val="21"/>
                <w:rFonts w:hint="default" w:ascii="Times New Roman" w:hAnsi="Times New Roman" w:eastAsia="仿宋" w:cs="Times New Roman"/>
                <w:b/>
                <w:bCs/>
                <w:lang w:bidi="ar"/>
              </w:rPr>
              <w:t>目</w:t>
            </w:r>
          </w:p>
        </w:tc>
        <w:tc>
          <w:tcPr>
            <w:tcW w:w="282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本年支出</w:t>
            </w:r>
          </w:p>
        </w:tc>
      </w:tr>
      <w:tr>
        <w:tblPrEx>
          <w:tblCellMar>
            <w:top w:w="0" w:type="dxa"/>
            <w:left w:w="108" w:type="dxa"/>
            <w:bottom w:w="0" w:type="dxa"/>
            <w:right w:w="108" w:type="dxa"/>
          </w:tblCellMar>
        </w:tblPrEx>
        <w:trPr>
          <w:trHeight w:val="312" w:hRule="exact"/>
        </w:trPr>
        <w:tc>
          <w:tcPr>
            <w:tcW w:w="10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科目代码</w:t>
            </w:r>
          </w:p>
        </w:tc>
        <w:tc>
          <w:tcPr>
            <w:tcW w:w="10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科目名称</w:t>
            </w:r>
          </w:p>
        </w:tc>
        <w:tc>
          <w:tcPr>
            <w:tcW w:w="6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合计</w:t>
            </w:r>
          </w:p>
        </w:tc>
        <w:tc>
          <w:tcPr>
            <w:tcW w:w="10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 xml:space="preserve">基本支出  </w:t>
            </w:r>
          </w:p>
        </w:tc>
        <w:tc>
          <w:tcPr>
            <w:tcW w:w="10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kern w:val="0"/>
                <w:sz w:val="24"/>
                <w:szCs w:val="24"/>
                <w:lang w:bidi="ar"/>
              </w:rPr>
              <w:t>项目支出</w:t>
            </w:r>
          </w:p>
        </w:tc>
      </w:tr>
      <w:tr>
        <w:tblPrEx>
          <w:tblCellMar>
            <w:top w:w="0" w:type="dxa"/>
            <w:left w:w="108" w:type="dxa"/>
            <w:bottom w:w="0" w:type="dxa"/>
            <w:right w:w="108" w:type="dxa"/>
          </w:tblCellMar>
        </w:tblPrEx>
        <w:trPr>
          <w:trHeight w:val="312" w:hRule="exact"/>
        </w:trPr>
        <w:tc>
          <w:tcPr>
            <w:tcW w:w="10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312" w:hRule="atLeast"/>
        </w:trPr>
        <w:tc>
          <w:tcPr>
            <w:tcW w:w="10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548" w:hRule="atLeast"/>
        </w:trPr>
        <w:tc>
          <w:tcPr>
            <w:tcW w:w="21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栏次</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1</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2</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3</w:t>
            </w:r>
          </w:p>
        </w:tc>
      </w:tr>
      <w:tr>
        <w:tblPrEx>
          <w:tblCellMar>
            <w:top w:w="0" w:type="dxa"/>
            <w:left w:w="108" w:type="dxa"/>
            <w:bottom w:w="0" w:type="dxa"/>
            <w:right w:w="108" w:type="dxa"/>
          </w:tblCellMar>
        </w:tblPrEx>
        <w:trPr>
          <w:trHeight w:val="548" w:hRule="atLeast"/>
        </w:trPr>
        <w:tc>
          <w:tcPr>
            <w:tcW w:w="21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合计</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548" w:hRule="atLeast"/>
        </w:trPr>
        <w:tc>
          <w:tcPr>
            <w:tcW w:w="10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0"/>
                <w:szCs w:val="20"/>
              </w:rPr>
            </w:pP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548" w:hRule="atLeast"/>
        </w:trPr>
        <w:tc>
          <w:tcPr>
            <w:tcW w:w="10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548" w:hRule="atLeast"/>
        </w:trPr>
        <w:tc>
          <w:tcPr>
            <w:tcW w:w="10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0"/>
                <w:szCs w:val="20"/>
              </w:rPr>
            </w:pP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548" w:hRule="atLeast"/>
        </w:trPr>
        <w:tc>
          <w:tcPr>
            <w:tcW w:w="10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548" w:hRule="atLeast"/>
        </w:trPr>
        <w:tc>
          <w:tcPr>
            <w:tcW w:w="10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r>
      <w:tr>
        <w:tblPrEx>
          <w:tblCellMar>
            <w:top w:w="0" w:type="dxa"/>
            <w:left w:w="108" w:type="dxa"/>
            <w:bottom w:w="0" w:type="dxa"/>
            <w:right w:w="108" w:type="dxa"/>
          </w:tblCellMar>
        </w:tblPrEx>
        <w:trPr>
          <w:trHeight w:val="548" w:hRule="atLeast"/>
        </w:trPr>
        <w:tc>
          <w:tcPr>
            <w:tcW w:w="10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 w:cs="Times New Roman"/>
                <w:color w:val="000000"/>
                <w:sz w:val="24"/>
                <w:szCs w:val="24"/>
              </w:rPr>
            </w:pPr>
          </w:p>
        </w:tc>
      </w:tr>
    </w:tbl>
    <w:p>
      <w:pPr>
        <w:widowControl/>
        <w:spacing w:before="120"/>
        <w:jc w:val="left"/>
        <w:textAlignment w:val="center"/>
        <w:rPr>
          <w:rFonts w:hint="default" w:ascii="Times New Roman" w:hAnsi="Times New Roman" w:eastAsia="仿宋" w:cs="Times New Roman"/>
          <w:color w:val="000000"/>
          <w:kern w:val="0"/>
          <w:sz w:val="24"/>
          <w:szCs w:val="24"/>
          <w:lang w:bidi="ar"/>
        </w:rPr>
      </w:pPr>
      <w:r>
        <w:rPr>
          <w:rFonts w:hint="default" w:ascii="Times New Roman" w:hAnsi="Times New Roman" w:eastAsia="仿宋" w:cs="Times New Roman"/>
          <w:color w:val="000000"/>
          <w:kern w:val="0"/>
          <w:sz w:val="24"/>
          <w:szCs w:val="24"/>
          <w:lang w:bidi="ar"/>
        </w:rPr>
        <w:t>注：</w:t>
      </w:r>
      <w:r>
        <w:rPr>
          <w:rFonts w:hint="default" w:ascii="Times New Roman" w:hAnsi="Times New Roman" w:eastAsia="仿宋" w:cs="Times New Roman"/>
          <w:color w:val="000000"/>
          <w:kern w:val="0"/>
          <w:sz w:val="24"/>
          <w:szCs w:val="24"/>
          <w:lang w:val="en-US" w:eastAsia="zh-CN" w:bidi="ar"/>
        </w:rPr>
        <w:t>1.</w:t>
      </w:r>
      <w:r>
        <w:rPr>
          <w:rFonts w:hint="default" w:ascii="Times New Roman" w:hAnsi="Times New Roman" w:eastAsia="仿宋" w:cs="Times New Roman"/>
          <w:color w:val="000000"/>
          <w:kern w:val="0"/>
          <w:sz w:val="24"/>
          <w:szCs w:val="24"/>
          <w:lang w:bidi="ar"/>
        </w:rPr>
        <w:t>本表反映部门本年度国有资本经营预算财政拨款支出情况。</w:t>
      </w:r>
    </w:p>
    <w:p>
      <w:pPr>
        <w:widowControl/>
        <w:spacing w:before="120"/>
        <w:ind w:firstLine="480" w:firstLineChars="200"/>
        <w:jc w:val="left"/>
        <w:textAlignment w:val="center"/>
        <w:rPr>
          <w:rFonts w:hint="default" w:ascii="Times New Roman" w:hAnsi="Times New Roman" w:eastAsia="仿宋" w:cs="Times New Roman"/>
          <w:color w:val="000000"/>
          <w:kern w:val="0"/>
          <w:sz w:val="24"/>
          <w:szCs w:val="24"/>
          <w:lang w:val="en-US" w:eastAsia="zh-CN" w:bidi="ar"/>
        </w:rPr>
      </w:pPr>
      <w:r>
        <w:rPr>
          <w:rFonts w:hint="default" w:ascii="Times New Roman" w:hAnsi="Times New Roman" w:eastAsia="仿宋" w:cs="Times New Roman"/>
          <w:color w:val="000000"/>
          <w:kern w:val="0"/>
          <w:sz w:val="24"/>
          <w:szCs w:val="24"/>
          <w:lang w:val="en-US" w:eastAsia="zh-CN" w:bidi="ar"/>
        </w:rPr>
        <w:t>2.本单位没有使用国有资本经营预算安排的支出，故本表无数据。</w:t>
      </w:r>
    </w:p>
    <w:p>
      <w:pPr>
        <w:widowControl/>
        <w:jc w:val="center"/>
        <w:rPr>
          <w:rFonts w:hint="default" w:ascii="Times New Roman" w:hAnsi="Times New Roman" w:eastAsia="方正小标宋_GBK" w:cs="Times New Roman"/>
          <w:color w:val="000000"/>
          <w:kern w:val="0"/>
          <w:sz w:val="36"/>
          <w:szCs w:val="36"/>
        </w:rPr>
      </w:pPr>
    </w:p>
    <w:p>
      <w:pPr>
        <w:pStyle w:val="10"/>
        <w:spacing w:line="400" w:lineRule="exact"/>
        <w:rPr>
          <w:rFonts w:hint="default" w:ascii="Times New Roman" w:hAnsi="Times New Roman" w:eastAsia="华文中宋" w:cs="Times New Roman"/>
          <w:color w:val="000000"/>
          <w:kern w:val="0"/>
          <w:sz w:val="32"/>
          <w:szCs w:val="32"/>
          <w:lang w:bidi="ar"/>
        </w:rPr>
      </w:pPr>
    </w:p>
    <w:p>
      <w:pPr>
        <w:widowControl/>
        <w:spacing w:after="156" w:afterLines="50"/>
        <w:jc w:val="center"/>
        <w:textAlignment w:val="center"/>
        <w:rPr>
          <w:rFonts w:hint="default" w:ascii="Times New Roman" w:hAnsi="Times New Roman" w:eastAsia="黑体" w:cs="Times New Roman"/>
          <w:color w:val="000000"/>
          <w:kern w:val="0"/>
          <w:sz w:val="36"/>
          <w:szCs w:val="36"/>
          <w:lang w:bidi="ar"/>
        </w:rPr>
      </w:pPr>
      <w:r>
        <w:rPr>
          <w:rFonts w:hint="default" w:ascii="Times New Roman" w:hAnsi="Times New Roman" w:eastAsia="黑体" w:cs="Times New Roman"/>
          <w:color w:val="000000"/>
          <w:kern w:val="0"/>
          <w:sz w:val="36"/>
          <w:szCs w:val="36"/>
          <w:lang w:bidi="ar"/>
        </w:rPr>
        <w:t>财政拨款“三公”经费支出决算表</w:t>
      </w:r>
    </w:p>
    <w:p>
      <w:pPr>
        <w:widowControl/>
        <w:tabs>
          <w:tab w:val="left" w:pos="1326"/>
          <w:tab w:val="left" w:pos="2027"/>
          <w:tab w:val="left" w:pos="4319"/>
          <w:tab w:val="left" w:pos="7634"/>
          <w:tab w:val="left" w:pos="10949"/>
        </w:tabs>
        <w:jc w:val="center"/>
        <w:textAlignment w:val="center"/>
        <w:rPr>
          <w:rFonts w:hint="default" w:ascii="Times New Roman" w:hAnsi="Times New Roman" w:eastAsia="仿宋" w:cs="Times New Roman"/>
          <w:color w:val="000000"/>
          <w:kern w:val="0"/>
          <w:sz w:val="20"/>
          <w:szCs w:val="20"/>
          <w:lang w:bidi="ar"/>
        </w:rPr>
      </w:pPr>
      <w:r>
        <w:rPr>
          <w:rFonts w:hint="default" w:ascii="Times New Roman" w:hAnsi="Times New Roman" w:eastAsia="仿宋_GB2312" w:cs="Times New Roman"/>
          <w:color w:val="000000"/>
          <w:kern w:val="0"/>
          <w:sz w:val="20"/>
          <w:szCs w:val="20"/>
          <w:lang w:bidi="ar"/>
        </w:rPr>
        <w:tab/>
      </w:r>
      <w:r>
        <w:rPr>
          <w:rFonts w:hint="default" w:ascii="Times New Roman" w:hAnsi="Times New Roman" w:eastAsia="仿宋_GB2312" w:cs="Times New Roman"/>
          <w:color w:val="000000"/>
          <w:kern w:val="0"/>
          <w:sz w:val="20"/>
          <w:szCs w:val="20"/>
          <w:lang w:bidi="ar"/>
        </w:rPr>
        <w:tab/>
      </w:r>
      <w:r>
        <w:rPr>
          <w:rFonts w:hint="default" w:ascii="Times New Roman" w:hAnsi="Times New Roman" w:eastAsia="仿宋_GB2312" w:cs="Times New Roman"/>
          <w:color w:val="000000"/>
          <w:kern w:val="0"/>
          <w:sz w:val="20"/>
          <w:szCs w:val="20"/>
          <w:lang w:bidi="ar"/>
        </w:rPr>
        <w:tab/>
      </w:r>
      <w:r>
        <w:rPr>
          <w:rFonts w:hint="default" w:ascii="Times New Roman" w:hAnsi="Times New Roman" w:eastAsia="仿宋_GB2312" w:cs="Times New Roman"/>
          <w:color w:val="000000"/>
          <w:kern w:val="0"/>
          <w:sz w:val="20"/>
          <w:szCs w:val="20"/>
          <w:lang w:bidi="ar"/>
        </w:rPr>
        <w:tab/>
      </w:r>
      <w:r>
        <w:rPr>
          <w:rFonts w:hint="default" w:ascii="Times New Roman" w:hAnsi="Times New Roman" w:eastAsia="仿宋_GB2312" w:cs="Times New Roman"/>
          <w:color w:val="000000"/>
          <w:kern w:val="0"/>
          <w:sz w:val="20"/>
          <w:szCs w:val="20"/>
          <w:lang w:bidi="ar"/>
        </w:rPr>
        <w:tab/>
      </w:r>
      <w:r>
        <w:rPr>
          <w:rFonts w:hint="default" w:ascii="Times New Roman" w:hAnsi="Times New Roman" w:eastAsia="仿宋_GB2312" w:cs="Times New Roman"/>
          <w:color w:val="000000"/>
          <w:kern w:val="0"/>
          <w:sz w:val="20"/>
          <w:szCs w:val="20"/>
          <w:lang w:bidi="ar"/>
        </w:rPr>
        <w:tab/>
      </w:r>
      <w:r>
        <w:rPr>
          <w:rFonts w:hint="default" w:ascii="Times New Roman" w:hAnsi="Times New Roman" w:eastAsia="仿宋_GB2312" w:cs="Times New Roman"/>
          <w:color w:val="000000"/>
          <w:kern w:val="0"/>
          <w:sz w:val="20"/>
          <w:szCs w:val="20"/>
          <w:lang w:bidi="ar"/>
        </w:rPr>
        <w:tab/>
      </w:r>
      <w:r>
        <w:rPr>
          <w:rFonts w:hint="default" w:ascii="Times New Roman" w:hAnsi="Times New Roman" w:eastAsia="仿宋_GB2312" w:cs="Times New Roman"/>
          <w:color w:val="000000"/>
          <w:kern w:val="0"/>
          <w:sz w:val="20"/>
          <w:szCs w:val="20"/>
          <w:lang w:bidi="ar"/>
        </w:rPr>
        <w:tab/>
      </w:r>
      <w:r>
        <w:rPr>
          <w:rFonts w:hint="default" w:ascii="Times New Roman" w:hAnsi="Times New Roman" w:eastAsia="仿宋_GB2312"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公开09表</w:t>
      </w:r>
    </w:p>
    <w:p>
      <w:pPr>
        <w:widowControl/>
        <w:tabs>
          <w:tab w:val="left" w:pos="1326"/>
          <w:tab w:val="left" w:pos="2027"/>
          <w:tab w:val="left" w:pos="4319"/>
          <w:tab w:val="left" w:pos="7634"/>
          <w:tab w:val="left" w:pos="10949"/>
        </w:tabs>
        <w:jc w:val="center"/>
        <w:textAlignment w:val="center"/>
        <w:rPr>
          <w:rFonts w:hint="default" w:ascii="Times New Roman" w:hAnsi="Times New Roman" w:eastAsia="仿宋" w:cs="Times New Roman"/>
          <w:color w:val="000000"/>
          <w:kern w:val="0"/>
          <w:sz w:val="20"/>
          <w:szCs w:val="20"/>
          <w:lang w:bidi="ar"/>
        </w:rPr>
      </w:pPr>
      <w:r>
        <w:rPr>
          <w:rFonts w:hint="default" w:ascii="Times New Roman" w:hAnsi="Times New Roman" w:eastAsia="仿宋" w:cs="Times New Roman"/>
          <w:color w:val="000000"/>
          <w:kern w:val="0"/>
          <w:sz w:val="20"/>
          <w:szCs w:val="20"/>
          <w:lang w:bidi="ar"/>
        </w:rPr>
        <w:t>部门：湖南省福利彩票发行中心</w:t>
      </w:r>
      <w:r>
        <w:rPr>
          <w:rFonts w:hint="default" w:ascii="Times New Roman" w:hAnsi="Times New Roman" w:eastAsia="仿宋"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ab/>
      </w:r>
      <w:r>
        <w:rPr>
          <w:rFonts w:hint="default" w:ascii="Times New Roman" w:hAnsi="Times New Roman" w:eastAsia="仿宋" w:cs="Times New Roman"/>
          <w:color w:val="000000"/>
          <w:kern w:val="0"/>
          <w:sz w:val="20"/>
          <w:szCs w:val="20"/>
          <w:lang w:bidi="ar"/>
        </w:rPr>
        <w:t>单位：万元</w:t>
      </w:r>
    </w:p>
    <w:tbl>
      <w:tblPr>
        <w:tblStyle w:val="12"/>
        <w:tblW w:w="5114" w:type="pct"/>
        <w:jc w:val="center"/>
        <w:tblLayout w:type="autofit"/>
        <w:tblCellMar>
          <w:top w:w="0" w:type="dxa"/>
          <w:left w:w="108" w:type="dxa"/>
          <w:bottom w:w="0" w:type="dxa"/>
          <w:right w:w="108" w:type="dxa"/>
        </w:tblCellMar>
      </w:tblPr>
      <w:tblGrid>
        <w:gridCol w:w="934"/>
        <w:gridCol w:w="1228"/>
        <w:gridCol w:w="1085"/>
        <w:gridCol w:w="1187"/>
        <w:gridCol w:w="1425"/>
        <w:gridCol w:w="1379"/>
        <w:gridCol w:w="1050"/>
        <w:gridCol w:w="1166"/>
        <w:gridCol w:w="1166"/>
        <w:gridCol w:w="1166"/>
        <w:gridCol w:w="1358"/>
        <w:gridCol w:w="1400"/>
      </w:tblGrid>
      <w:tr>
        <w:tblPrEx>
          <w:tblCellMar>
            <w:top w:w="0" w:type="dxa"/>
            <w:left w:w="108" w:type="dxa"/>
            <w:bottom w:w="0" w:type="dxa"/>
            <w:right w:w="108" w:type="dxa"/>
          </w:tblCellMar>
        </w:tblPrEx>
        <w:trPr>
          <w:trHeight w:val="606" w:hRule="atLeast"/>
          <w:jc w:val="center"/>
        </w:trPr>
        <w:tc>
          <w:tcPr>
            <w:tcW w:w="248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预算数</w:t>
            </w:r>
          </w:p>
        </w:tc>
        <w:tc>
          <w:tcPr>
            <w:tcW w:w="251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决算数</w:t>
            </w:r>
          </w:p>
        </w:tc>
      </w:tr>
      <w:tr>
        <w:tblPrEx>
          <w:tblCellMar>
            <w:top w:w="0" w:type="dxa"/>
            <w:left w:w="108" w:type="dxa"/>
            <w:bottom w:w="0" w:type="dxa"/>
            <w:right w:w="108" w:type="dxa"/>
          </w:tblCellMar>
        </w:tblPrEx>
        <w:trPr>
          <w:trHeight w:val="495" w:hRule="atLeast"/>
          <w:jc w:val="center"/>
        </w:trPr>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合计</w:t>
            </w:r>
          </w:p>
        </w:tc>
        <w:tc>
          <w:tcPr>
            <w:tcW w:w="4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因公出国（境）费</w:t>
            </w:r>
          </w:p>
        </w:tc>
        <w:tc>
          <w:tcPr>
            <w:tcW w:w="127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公务用车购置及运行维护费</w:t>
            </w:r>
          </w:p>
        </w:tc>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公务接待费</w:t>
            </w:r>
          </w:p>
        </w:tc>
        <w:tc>
          <w:tcPr>
            <w:tcW w:w="3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合计</w:t>
            </w:r>
          </w:p>
        </w:tc>
        <w:tc>
          <w:tcPr>
            <w:tcW w:w="4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因公出国（境）费</w:t>
            </w:r>
          </w:p>
        </w:tc>
        <w:tc>
          <w:tcPr>
            <w:tcW w:w="126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公务用车购置及运行维护费</w:t>
            </w: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公务接待费</w:t>
            </w:r>
          </w:p>
        </w:tc>
      </w:tr>
      <w:tr>
        <w:tblPrEx>
          <w:tblCellMar>
            <w:top w:w="0" w:type="dxa"/>
            <w:left w:w="108" w:type="dxa"/>
            <w:bottom w:w="0" w:type="dxa"/>
            <w:right w:w="108" w:type="dxa"/>
          </w:tblCellMar>
        </w:tblPrEx>
        <w:trPr>
          <w:trHeight w:val="864" w:hRule="atLeast"/>
          <w:jc w:val="center"/>
        </w:trPr>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rPr>
            </w:pPr>
          </w:p>
        </w:tc>
        <w:tc>
          <w:tcPr>
            <w:tcW w:w="4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小计</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公务用车</w:t>
            </w:r>
            <w:r>
              <w:rPr>
                <w:rFonts w:hint="default" w:ascii="Times New Roman" w:hAnsi="Times New Roman" w:eastAsia="仿宋" w:cs="Times New Roman"/>
                <w:b/>
                <w:bCs/>
                <w:color w:val="000000"/>
                <w:kern w:val="0"/>
                <w:sz w:val="22"/>
                <w:lang w:bidi="ar"/>
              </w:rPr>
              <w:br w:type="textWrapping"/>
            </w:r>
            <w:r>
              <w:rPr>
                <w:rFonts w:hint="default" w:ascii="Times New Roman" w:hAnsi="Times New Roman" w:eastAsia="仿宋" w:cs="Times New Roman"/>
                <w:b/>
                <w:bCs/>
                <w:color w:val="000000"/>
                <w:kern w:val="0"/>
                <w:sz w:val="22"/>
                <w:lang w:bidi="ar"/>
              </w:rPr>
              <w:t>购置费</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公务用车</w:t>
            </w:r>
            <w:r>
              <w:rPr>
                <w:rFonts w:hint="default" w:ascii="Times New Roman" w:hAnsi="Times New Roman" w:eastAsia="仿宋" w:cs="Times New Roman"/>
                <w:b/>
                <w:bCs/>
                <w:color w:val="000000"/>
                <w:kern w:val="0"/>
                <w:sz w:val="22"/>
                <w:lang w:bidi="ar"/>
              </w:rPr>
              <w:br w:type="textWrapping"/>
            </w:r>
            <w:r>
              <w:rPr>
                <w:rFonts w:hint="default" w:ascii="Times New Roman" w:hAnsi="Times New Roman" w:eastAsia="仿宋" w:cs="Times New Roman"/>
                <w:b/>
                <w:bCs/>
                <w:color w:val="000000"/>
                <w:kern w:val="0"/>
                <w:sz w:val="22"/>
                <w:lang w:bidi="ar"/>
              </w:rPr>
              <w:t>运行维护费</w:t>
            </w: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rPr>
            </w:pPr>
          </w:p>
        </w:tc>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rPr>
            </w:pPr>
          </w:p>
        </w:tc>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小计</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公务用车</w:t>
            </w:r>
            <w:r>
              <w:rPr>
                <w:rFonts w:hint="default" w:ascii="Times New Roman" w:hAnsi="Times New Roman" w:eastAsia="仿宋" w:cs="Times New Roman"/>
                <w:b/>
                <w:bCs/>
                <w:color w:val="000000"/>
                <w:kern w:val="0"/>
                <w:sz w:val="22"/>
                <w:lang w:bidi="ar"/>
              </w:rPr>
              <w:br w:type="textWrapping"/>
            </w:r>
            <w:r>
              <w:rPr>
                <w:rFonts w:hint="default" w:ascii="Times New Roman" w:hAnsi="Times New Roman" w:eastAsia="仿宋" w:cs="Times New Roman"/>
                <w:b/>
                <w:bCs/>
                <w:color w:val="000000"/>
                <w:kern w:val="0"/>
                <w:sz w:val="22"/>
                <w:lang w:bidi="ar"/>
              </w:rPr>
              <w:t>购置费</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b/>
                <w:bCs/>
                <w:color w:val="000000"/>
                <w:sz w:val="22"/>
              </w:rPr>
            </w:pPr>
            <w:r>
              <w:rPr>
                <w:rFonts w:hint="default" w:ascii="Times New Roman" w:hAnsi="Times New Roman" w:eastAsia="仿宋" w:cs="Times New Roman"/>
                <w:b/>
                <w:bCs/>
                <w:color w:val="000000"/>
                <w:kern w:val="0"/>
                <w:sz w:val="22"/>
                <w:lang w:bidi="ar"/>
              </w:rPr>
              <w:t>公务用车</w:t>
            </w:r>
            <w:r>
              <w:rPr>
                <w:rFonts w:hint="default" w:ascii="Times New Roman" w:hAnsi="Times New Roman" w:eastAsia="仿宋" w:cs="Times New Roman"/>
                <w:b/>
                <w:bCs/>
                <w:color w:val="000000"/>
                <w:kern w:val="0"/>
                <w:sz w:val="22"/>
                <w:lang w:bidi="ar"/>
              </w:rPr>
              <w:br w:type="textWrapping"/>
            </w:r>
            <w:r>
              <w:rPr>
                <w:rFonts w:hint="default" w:ascii="Times New Roman" w:hAnsi="Times New Roman" w:eastAsia="仿宋" w:cs="Times New Roman"/>
                <w:b/>
                <w:bCs/>
                <w:color w:val="000000"/>
                <w:kern w:val="0"/>
                <w:sz w:val="22"/>
                <w:lang w:bidi="ar"/>
              </w:rPr>
              <w:t>运行维护费</w:t>
            </w: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rPr>
            </w:pPr>
          </w:p>
        </w:tc>
      </w:tr>
      <w:tr>
        <w:trPr>
          <w:trHeight w:val="614" w:hRule="atLeast"/>
          <w:jc w:val="center"/>
        </w:trPr>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2</w:t>
            </w: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3</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4</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5</w:t>
            </w:r>
          </w:p>
        </w:tc>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6</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7</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8</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9</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10</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11</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 w:cs="Times New Roman"/>
                <w:color w:val="000000"/>
                <w:sz w:val="22"/>
              </w:rPr>
            </w:pPr>
            <w:r>
              <w:rPr>
                <w:rFonts w:hint="default" w:ascii="Times New Roman" w:hAnsi="Times New Roman" w:eastAsia="仿宋" w:cs="Times New Roman"/>
                <w:color w:val="000000"/>
                <w:kern w:val="0"/>
                <w:sz w:val="22"/>
                <w:lang w:bidi="ar"/>
              </w:rPr>
              <w:t>12</w:t>
            </w:r>
          </w:p>
        </w:tc>
      </w:tr>
      <w:tr>
        <w:tblPrEx>
          <w:tblCellMar>
            <w:top w:w="0" w:type="dxa"/>
            <w:left w:w="108" w:type="dxa"/>
            <w:bottom w:w="0" w:type="dxa"/>
            <w:right w:w="108" w:type="dxa"/>
          </w:tblCellMar>
        </w:tblPrEx>
        <w:trPr>
          <w:trHeight w:val="579" w:hRule="atLeast"/>
          <w:jc w:val="center"/>
        </w:trPr>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17.9</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5</w:t>
            </w: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8.6</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0</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8.6</w:t>
            </w:r>
          </w:p>
        </w:tc>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4.3</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7.2</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0</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6.55</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0</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6.55</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 w:cs="Times New Roman"/>
                <w:color w:val="000000"/>
                <w:sz w:val="22"/>
                <w:lang w:val="en-US" w:eastAsia="zh-CN"/>
              </w:rPr>
            </w:pPr>
            <w:r>
              <w:rPr>
                <w:rFonts w:hint="default" w:ascii="Times New Roman" w:hAnsi="Times New Roman" w:eastAsia="仿宋" w:cs="Times New Roman"/>
                <w:color w:val="000000"/>
                <w:sz w:val="22"/>
                <w:lang w:val="en-US" w:eastAsia="zh-CN"/>
              </w:rPr>
              <w:t>0.65</w:t>
            </w:r>
          </w:p>
        </w:tc>
      </w:tr>
    </w:tbl>
    <w:p>
      <w:pPr>
        <w:widowControl/>
        <w:spacing w:before="120"/>
        <w:jc w:val="left"/>
        <w:textAlignment w:val="center"/>
        <w:rPr>
          <w:rFonts w:hint="default" w:ascii="Times New Roman" w:hAnsi="Times New Roman" w:eastAsia="仿宋" w:cs="Times New Roman"/>
          <w:color w:val="000000"/>
          <w:sz w:val="24"/>
          <w:szCs w:val="24"/>
        </w:rPr>
      </w:pPr>
      <w:r>
        <w:rPr>
          <w:rFonts w:hint="default" w:ascii="Times New Roman" w:hAnsi="Times New Roman" w:eastAsia="仿宋" w:cs="Times New Roman"/>
          <w:color w:val="000000"/>
          <w:kern w:val="0"/>
          <w:sz w:val="24"/>
          <w:szCs w:val="24"/>
          <w:lang w:bidi="ar"/>
        </w:rPr>
        <w:t>注：本表反映部门本年度财政拨款“三公”经费支出预决算情况。其中，预算数为“三公”经费全年预算数，反映按规定程序调整后的预算数；决算数是包括当年财政拨款和以前年度结转资金安排的实际支出。</w:t>
      </w:r>
    </w:p>
    <w:p>
      <w:pPr>
        <w:autoSpaceDE w:val="0"/>
        <w:autoSpaceDN w:val="0"/>
        <w:adjustRightInd w:val="0"/>
        <w:ind w:left="315" w:leftChars="150"/>
        <w:jc w:val="left"/>
        <w:rPr>
          <w:rFonts w:hint="default" w:ascii="Times New Roman" w:hAnsi="Times New Roman" w:eastAsia="宋体" w:cs="Times New Roman"/>
          <w:kern w:val="0"/>
          <w:sz w:val="24"/>
          <w:szCs w:val="24"/>
        </w:rPr>
      </w:pPr>
    </w:p>
    <w:p>
      <w:pPr>
        <w:autoSpaceDE w:val="0"/>
        <w:autoSpaceDN w:val="0"/>
        <w:adjustRightInd w:val="0"/>
        <w:ind w:left="315" w:leftChars="150"/>
        <w:jc w:val="left"/>
        <w:rPr>
          <w:rFonts w:hint="default" w:ascii="Times New Roman" w:hAnsi="Times New Roman" w:eastAsia="宋体" w:cs="Times New Roman"/>
          <w:kern w:val="0"/>
          <w:sz w:val="24"/>
          <w:szCs w:val="24"/>
        </w:rPr>
      </w:pPr>
    </w:p>
    <w:p>
      <w:pPr>
        <w:autoSpaceDE w:val="0"/>
        <w:autoSpaceDN w:val="0"/>
        <w:adjustRightInd w:val="0"/>
        <w:ind w:left="315" w:leftChars="150"/>
        <w:jc w:val="left"/>
        <w:rPr>
          <w:rFonts w:hint="default" w:ascii="Times New Roman" w:hAnsi="Times New Roman" w:eastAsia="宋体" w:cs="Times New Roman"/>
          <w:kern w:val="0"/>
          <w:sz w:val="24"/>
          <w:szCs w:val="24"/>
        </w:rPr>
      </w:pPr>
    </w:p>
    <w:p>
      <w:pPr>
        <w:autoSpaceDE w:val="0"/>
        <w:autoSpaceDN w:val="0"/>
        <w:adjustRightInd w:val="0"/>
        <w:ind w:left="315" w:leftChars="150"/>
        <w:jc w:val="left"/>
        <w:rPr>
          <w:rFonts w:hint="default" w:ascii="Times New Roman" w:hAnsi="Times New Roman" w:eastAsia="宋体" w:cs="Times New Roman"/>
          <w:kern w:val="0"/>
          <w:sz w:val="24"/>
          <w:szCs w:val="24"/>
        </w:rPr>
      </w:pPr>
    </w:p>
    <w:p>
      <w:pPr>
        <w:autoSpaceDE w:val="0"/>
        <w:autoSpaceDN w:val="0"/>
        <w:adjustRightInd w:val="0"/>
        <w:ind w:left="315" w:leftChars="150"/>
        <w:jc w:val="left"/>
        <w:rPr>
          <w:rFonts w:hint="default" w:ascii="Times New Roman" w:hAnsi="Times New Roman" w:eastAsia="宋体" w:cs="Times New Roman"/>
          <w:kern w:val="0"/>
          <w:sz w:val="24"/>
          <w:szCs w:val="24"/>
        </w:rPr>
      </w:pPr>
    </w:p>
    <w:p>
      <w:pPr>
        <w:widowControl/>
        <w:rPr>
          <w:rFonts w:hint="default" w:ascii="Times New Roman" w:hAnsi="Times New Roman" w:cs="Times New Roman"/>
          <w:sz w:val="72"/>
          <w:szCs w:val="72"/>
        </w:rPr>
        <w:sectPr>
          <w:pgSz w:w="16838" w:h="11906" w:orient="landscape"/>
          <w:pgMar w:top="1134" w:right="1417" w:bottom="1134" w:left="1417" w:header="851" w:footer="992" w:gutter="0"/>
          <w:pgNumType w:fmt="decimal"/>
          <w:cols w:space="425" w:num="1"/>
          <w:docGrid w:type="lines" w:linePitch="312" w:charSpace="0"/>
        </w:sectPr>
      </w:pPr>
      <w:r>
        <w:rPr>
          <w:rFonts w:hint="default" w:ascii="Times New Roman" w:hAnsi="Times New Roman" w:eastAsia="黑体" w:cs="Times New Roman"/>
          <w:szCs w:val="21"/>
        </w:rPr>
        <w:br w:type="page"/>
      </w:r>
    </w:p>
    <w:p>
      <w:pPr>
        <w:pStyle w:val="16"/>
        <w:rPr>
          <w:rFonts w:hint="default" w:ascii="Times New Roman" w:hAnsi="Times New Roman" w:cs="Times New Roman"/>
          <w:sz w:val="72"/>
          <w:szCs w:val="72"/>
        </w:rPr>
      </w:pPr>
    </w:p>
    <w:p>
      <w:pPr>
        <w:pStyle w:val="16"/>
        <w:rPr>
          <w:rFonts w:hint="default" w:ascii="Times New Roman" w:hAnsi="Times New Roman" w:cs="Times New Roman"/>
          <w:sz w:val="72"/>
          <w:szCs w:val="72"/>
        </w:rPr>
      </w:pPr>
    </w:p>
    <w:p>
      <w:pPr>
        <w:pStyle w:val="16"/>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eastAsia="方正小标宋_GBK" w:cs="Times New Roman"/>
          <w:sz w:val="72"/>
          <w:szCs w:val="72"/>
        </w:rPr>
      </w:pPr>
    </w:p>
    <w:p>
      <w:pPr>
        <w:pStyle w:val="16"/>
        <w:spacing w:line="360" w:lineRule="auto"/>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第三部分</w:t>
      </w:r>
    </w:p>
    <w:p>
      <w:pPr>
        <w:pStyle w:val="16"/>
        <w:spacing w:line="360" w:lineRule="auto"/>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2024年度部门决算情况说明</w:t>
      </w:r>
    </w:p>
    <w:p>
      <w:pPr>
        <w:widowControl/>
        <w:jc w:val="left"/>
        <w:rPr>
          <w:rFonts w:hint="default" w:ascii="Times New Roman" w:hAnsi="Times New Roman" w:cs="Times New Roman"/>
          <w:sz w:val="32"/>
          <w:szCs w:val="32"/>
        </w:rPr>
      </w:pPr>
      <w:r>
        <w:rPr>
          <w:rFonts w:hint="default" w:ascii="Times New Roman" w:hAnsi="Times New Roman" w:eastAsia="方正小标宋_GBK" w:cs="Times New Roman"/>
          <w:sz w:val="70"/>
          <w:szCs w:val="70"/>
        </w:rPr>
        <w:br w:type="page"/>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一、收入支出决算总体情况说明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2024年度收、支总计16921.45万元。与上年相比，增加5859.62万元，增长52.97%，主要是因为</w:t>
      </w:r>
      <w:bookmarkStart w:id="4" w:name="OLE_LINK2"/>
      <w:r>
        <w:rPr>
          <w:rFonts w:hint="default" w:ascii="Times New Roman" w:hAnsi="Times New Roman" w:eastAsia="仿宋" w:cs="Times New Roman"/>
          <w:b w:val="0"/>
          <w:bCs w:val="0"/>
          <w:color w:val="auto"/>
          <w:kern w:val="0"/>
          <w:sz w:val="32"/>
          <w:szCs w:val="32"/>
          <w:highlight w:val="none"/>
          <w:lang w:val="en-US" w:eastAsia="zh-CN" w:bidi="ar"/>
        </w:rPr>
        <w:t>彩票预算销量增加，福利彩票销售机构的业务费收支相应增加</w:t>
      </w:r>
      <w:bookmarkEnd w:id="4"/>
      <w:r>
        <w:rPr>
          <w:rFonts w:hint="default" w:ascii="Times New Roman" w:hAnsi="Times New Roman" w:eastAsia="仿宋" w:cs="Times New Roman"/>
          <w:b w:val="0"/>
          <w:bCs w:val="0"/>
          <w:color w:val="auto"/>
          <w:kern w:val="0"/>
          <w:sz w:val="32"/>
          <w:szCs w:val="32"/>
          <w:highlight w:val="none"/>
          <w:lang w:val="en-US" w:eastAsia="zh-CN" w:bidi="ar"/>
        </w:rPr>
        <w:t>。</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二、收入决算情况说明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2024年度收入合计14169万元，其中：财政拨款收入14169万元，占100%；上级补助收入0万元，占0%；事业收入0万元，占0%；经营收入0万元，占0%；附属单位上缴收入0万元，占0%；其他收入0万元，占0%。</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三、支出决算情况说明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2024年度支出合计12453.61万元，其中：基本支出1669.33万元，占13.4%；项目支出10784.28万元，占86.6%；上缴上级支出0万元，占0%；经营支出0万元，占0%；对附属单位补助支出0万元，占0%。</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四、财政拨款收入支出决算总体情况说明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2024年度财政拨款收、支总计16921.45万元，与上年相比，增加5859.62万元，增长52.97%，主要是因为彩票预算销量增加，福利彩票销售机构的业务费收支相应增加。</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五、一般公共预算财政拨款支出决算情况说明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bookmarkStart w:id="5" w:name="OLE_LINK4"/>
      <w:bookmarkStart w:id="6" w:name="OLE_LINK3"/>
      <w:r>
        <w:rPr>
          <w:rFonts w:hint="default" w:ascii="Times New Roman" w:hAnsi="Times New Roman" w:eastAsia="仿宋" w:cs="Times New Roman"/>
          <w:b w:val="0"/>
          <w:bCs w:val="0"/>
          <w:color w:val="auto"/>
          <w:kern w:val="0"/>
          <w:sz w:val="32"/>
          <w:szCs w:val="32"/>
          <w:highlight w:val="none"/>
          <w:lang w:val="en-US" w:eastAsia="zh-CN" w:bidi="ar"/>
        </w:rPr>
        <w:t>省福彩中心</w:t>
      </w:r>
      <w:bookmarkEnd w:id="5"/>
      <w:r>
        <w:rPr>
          <w:rFonts w:hint="default" w:ascii="Times New Roman" w:hAnsi="Times New Roman" w:eastAsia="仿宋" w:cs="Times New Roman"/>
          <w:b w:val="0"/>
          <w:bCs w:val="0"/>
          <w:color w:val="auto"/>
          <w:kern w:val="0"/>
          <w:sz w:val="32"/>
          <w:szCs w:val="32"/>
          <w:highlight w:val="none"/>
          <w:lang w:val="en-US" w:eastAsia="zh-CN" w:bidi="ar"/>
        </w:rPr>
        <w:t>是</w:t>
      </w:r>
      <w:r>
        <w:rPr>
          <w:rFonts w:hint="eastAsia" w:ascii="Times New Roman" w:hAnsi="Times New Roman" w:eastAsia="仿宋" w:cs="Times New Roman"/>
          <w:b w:val="0"/>
          <w:bCs w:val="0"/>
          <w:color w:val="auto"/>
          <w:kern w:val="0"/>
          <w:sz w:val="32"/>
          <w:szCs w:val="32"/>
          <w:highlight w:val="none"/>
          <w:lang w:val="en-US" w:eastAsia="zh-CN" w:bidi="ar"/>
        </w:rPr>
        <w:t>自收自支</w:t>
      </w:r>
      <w:r>
        <w:rPr>
          <w:rFonts w:hint="default" w:ascii="Times New Roman" w:hAnsi="Times New Roman" w:eastAsia="仿宋" w:cs="Times New Roman"/>
          <w:b w:val="0"/>
          <w:bCs w:val="0"/>
          <w:color w:val="auto"/>
          <w:kern w:val="0"/>
          <w:sz w:val="32"/>
          <w:szCs w:val="32"/>
          <w:highlight w:val="none"/>
          <w:lang w:val="en-US" w:eastAsia="zh-CN" w:bidi="ar"/>
        </w:rPr>
        <w:t>的事业单位，业务费支出均属于政府性基金预算支出，无一般公共预算财政拨款支出。</w:t>
      </w:r>
    </w:p>
    <w:bookmarkEnd w:id="6"/>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六、一般公共预算财政拨款基本支出决算情况说明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省福彩中心是</w:t>
      </w:r>
      <w:r>
        <w:rPr>
          <w:rFonts w:hint="eastAsia" w:ascii="Times New Roman" w:hAnsi="Times New Roman" w:eastAsia="仿宋" w:cs="Times New Roman"/>
          <w:b w:val="0"/>
          <w:bCs w:val="0"/>
          <w:color w:val="auto"/>
          <w:kern w:val="0"/>
          <w:sz w:val="32"/>
          <w:szCs w:val="32"/>
          <w:highlight w:val="none"/>
          <w:lang w:val="en-US" w:eastAsia="zh-CN" w:bidi="ar"/>
        </w:rPr>
        <w:t>自收自支</w:t>
      </w:r>
      <w:r>
        <w:rPr>
          <w:rFonts w:hint="default" w:ascii="Times New Roman" w:hAnsi="Times New Roman" w:eastAsia="仿宋" w:cs="Times New Roman"/>
          <w:b w:val="0"/>
          <w:bCs w:val="0"/>
          <w:color w:val="auto"/>
          <w:kern w:val="0"/>
          <w:sz w:val="32"/>
          <w:szCs w:val="32"/>
          <w:highlight w:val="none"/>
          <w:lang w:val="en-US" w:eastAsia="zh-CN" w:bidi="ar"/>
        </w:rPr>
        <w:t>的事业单位，业务费支出均属于政府性基金预算支出，无一般公共预算财政拨款支出。</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_GB2312" w:cs="Times New Roman"/>
          <w:b/>
          <w:sz w:val="32"/>
          <w:szCs w:val="32"/>
        </w:rPr>
      </w:pPr>
      <w:r>
        <w:rPr>
          <w:rFonts w:hint="default" w:ascii="Times New Roman" w:hAnsi="Times New Roman" w:cs="Times New Roman"/>
          <w:bCs/>
          <w:sz w:val="32"/>
          <w:szCs w:val="32"/>
        </w:rPr>
        <w:t>七、财政拨款“三公”经费支出决算情况说明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（一）“三公”经费财政拨款支出决算总体情况说明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2024年度“三公”经费财政拨款支出预算为17.9万元，支出决算为7.2万元，完成预算的40.22%；与上年相比增加0.85万元，增长13.39%。决算数小于预算数的主要原因是严格贯彻落实党中央过“紧”日子要求，厉行节约，从严控制三公经费开支。决算数大于上年数的主要原因是公务用车运行维护费与上年相比有所增加。</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（二）“三公”经费财政拨款支出决算具体情况说明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1.因公出国（境）费支出预算为5万元，支出决算为0万元，完成预算的0%；与上年相比增加0万元，增长0%。决算数小于预算数的主要原因是出国（境）计划未安排实施。决算数与上年相比无变动。</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2.公务用车购置费及运行维护费支出预算为8.6万元，支出决算为6.55万元，完成预算的76.16%；</w:t>
      </w:r>
      <w:bookmarkStart w:id="7" w:name="OLE_LINK5"/>
      <w:r>
        <w:rPr>
          <w:rFonts w:hint="default" w:ascii="Times New Roman" w:hAnsi="Times New Roman" w:eastAsia="仿宋" w:cs="Times New Roman"/>
          <w:b w:val="0"/>
          <w:bCs w:val="0"/>
          <w:color w:val="auto"/>
          <w:kern w:val="0"/>
          <w:sz w:val="32"/>
          <w:szCs w:val="32"/>
          <w:highlight w:val="none"/>
          <w:lang w:val="en-US" w:eastAsia="zh-CN" w:bidi="ar"/>
        </w:rPr>
        <w:t>与上年相比增加</w:t>
      </w:r>
      <w:bookmarkEnd w:id="7"/>
      <w:r>
        <w:rPr>
          <w:rFonts w:hint="default" w:ascii="Times New Roman" w:hAnsi="Times New Roman" w:eastAsia="仿宋" w:cs="Times New Roman"/>
          <w:b w:val="0"/>
          <w:bCs w:val="0"/>
          <w:color w:val="auto"/>
          <w:kern w:val="0"/>
          <w:sz w:val="32"/>
          <w:szCs w:val="32"/>
          <w:highlight w:val="none"/>
          <w:lang w:val="en-US" w:eastAsia="zh-CN" w:bidi="ar"/>
        </w:rPr>
        <w:t>1.65万元，增长33.67%。其中：</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公务用车购置费支出预算为0万元，支出决算为0万元；与上年相比增加0万元，增长0%。</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公务用车运行维护费支出预算为8.6万元，支出决算为6.55万元，主要是按规定保留的公务用车燃料费、过桥过路费、维修维护费、保险费支出，完成预算的76.16%；与上年相比增加1.65万元，增长33.67%。决算数小于预算数的主要原因是严格贯彻落实党中央过“紧”日子要求，厉行节约，从严控制公务用车运行维护费开支。决算数大于上年数的主要原因是车辆使用年限长，外出用车频率增加，车辆燃油费和维护费增加。截止2024年12月31日，我单位开支财政拨款的公务用车保有量为2辆。</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3.公务接待费支出预算为4.3万元，支出决算为0.65万元，完成预算的15.12%；与上年相比减少0.8万元，降低55.17%。决算数小于预算数、决算数小于上年数的主要原因是严格贯彻落实党中央过“紧”日子要求，厉行节约，严格落实公函和接待清单制，从严控制公务接待费开支。2024年度共接待来访团组7个、来宾50人次，主要是为执行公务或开展业务活动发生的接待支出。</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八、政府性基金预算收入支出决算情况</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2024年度政府性基金预算财政拨款收入14169万元；年初结转和结余2752.45万元；支出12453.61万元，其中基本支出1669.33万元，项目支出10784.28万元；年末结转和结余4467.84万元。具体情况如下：</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1、其他支出（类）彩票发行销售机构业务费安排的支出（款）福利彩票销售机构的业务费支出（项）。</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年初预算为11519万元，支出决算为8848.46万元，完成年初预算的76.82%，决算数小于年初预算数的主要原因是：存在跨年项目，部分项目预算执行受到一定影响。</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2、其他支出（类）彩票发行销售机构业务费安排的支出（款）彩票市场调控资金支出（项）。</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年初预算为2650万元，支出决算为3605.15万元，完成年初预算的136.04%，决算数大于年初预算数的主要原因是：使用了年初结转和结余资金。</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九、关于机关运行经费支出说明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本部门2024年度机关运行经费支出0万元。省福彩中心是</w:t>
      </w:r>
      <w:r>
        <w:rPr>
          <w:rFonts w:hint="eastAsia" w:ascii="Times New Roman" w:hAnsi="Times New Roman" w:eastAsia="仿宋" w:cs="Times New Roman"/>
          <w:b w:val="0"/>
          <w:bCs w:val="0"/>
          <w:color w:val="auto"/>
          <w:kern w:val="0"/>
          <w:sz w:val="32"/>
          <w:szCs w:val="32"/>
          <w:highlight w:val="none"/>
          <w:lang w:val="en-US" w:eastAsia="zh-CN" w:bidi="ar"/>
        </w:rPr>
        <w:t>自收自支</w:t>
      </w:r>
      <w:r>
        <w:rPr>
          <w:rFonts w:hint="default" w:ascii="Times New Roman" w:hAnsi="Times New Roman" w:eastAsia="仿宋" w:cs="Times New Roman"/>
          <w:b w:val="0"/>
          <w:bCs w:val="0"/>
          <w:color w:val="auto"/>
          <w:kern w:val="0"/>
          <w:sz w:val="32"/>
          <w:szCs w:val="32"/>
          <w:highlight w:val="none"/>
          <w:lang w:val="en-US" w:eastAsia="zh-CN" w:bidi="ar"/>
        </w:rPr>
        <w:t>的事业单位，无一般公共预算收入，无一般公共预算安排的机关运行经费支出。</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十、一般性支出情况说明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2024年本部门开支会议费9.23万元，用于召开全省福彩工作务虚会、全省福彩一季度分析会、全省福彩年中分析会、全省福彩三季度分析会，人数269人。开支培训费3.11万元，用于开展2024年全系统管理人员培训、信息技术培训。未举办节庆、晚会、论坛、赛事活动，开支0万元。</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十一、关于政府采购支出说明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本部门2024年度政府采购支出总额9269.42万元，其中：政府采购货物支出3665.65万元、政府采购工程支出2620.54万元、政府采购服务支出2983.23万元。授予中小企业合同金额4483.64万元，占政府采购支出总额的48.37%，其中：授予小微企业合同金额3134.46万元，占授予中小企业合同金额的69.9%。货物采购授予中小企业合同金额占货物支出金额的94%，工程采购授予中小企业合同金额占工程支出金额的100%，服务采购授予中小企业合同金额占服务支出金额的54.23%。</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十二、关于国有资产占用情况说明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截至2024年12月31日，部门（单位）共有车辆2辆，其中，副部（省）级及以上领导用车0辆、主要负责人用车0辆、机要通信用车0辆、应急保障用车0辆、执法执勤用车0辆、特种专业技术用车0辆、离退休干部服务用车0辆、其他用车2辆，其他用车主要是一般公务用车；单位价值100万元以上设备（不含车辆）8台（套）。</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十三、关于</w:t>
      </w:r>
      <w:r>
        <w:rPr>
          <w:rFonts w:hint="default" w:ascii="Times New Roman" w:hAnsi="Times New Roman" w:eastAsia="仿宋_GB2312" w:cs="Times New Roman"/>
          <w:color w:val="auto"/>
          <w:sz w:val="32"/>
          <w:szCs w:val="32"/>
        </w:rPr>
        <w:t>2024</w:t>
      </w:r>
      <w:r>
        <w:rPr>
          <w:rFonts w:hint="default" w:ascii="Times New Roman" w:hAnsi="Times New Roman" w:cs="Times New Roman"/>
          <w:bCs/>
          <w:color w:val="auto"/>
          <w:sz w:val="32"/>
          <w:szCs w:val="32"/>
        </w:rPr>
        <w:t>年度预算绩效情况的说明</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楷体" w:cs="Times New Roman"/>
          <w:b/>
          <w:bCs w:val="0"/>
          <w:sz w:val="32"/>
          <w:szCs w:val="32"/>
          <w:lang w:val="en-US" w:eastAsia="zh-CN"/>
        </w:rPr>
        <w:t>（一）绩效评价工作开展情况。</w:t>
      </w:r>
      <w:r>
        <w:rPr>
          <w:rFonts w:hint="default" w:ascii="Times New Roman" w:hAnsi="Times New Roman" w:eastAsia="仿宋" w:cs="Times New Roman"/>
          <w:b/>
          <w:bCs/>
          <w:color w:val="auto"/>
          <w:kern w:val="0"/>
          <w:sz w:val="32"/>
          <w:szCs w:val="32"/>
          <w:highlight w:val="none"/>
          <w:lang w:val="en-US" w:eastAsia="zh-CN" w:bidi="ar"/>
        </w:rPr>
        <w:t>一是绩效自评开展情况。</w:t>
      </w:r>
      <w:r>
        <w:rPr>
          <w:rFonts w:hint="default" w:ascii="Times New Roman" w:hAnsi="Times New Roman" w:eastAsia="仿宋" w:cs="Times New Roman"/>
          <w:b w:val="0"/>
          <w:bCs w:val="0"/>
          <w:color w:val="auto"/>
          <w:kern w:val="0"/>
          <w:sz w:val="32"/>
          <w:szCs w:val="32"/>
          <w:highlight w:val="none"/>
          <w:lang w:val="en-US" w:eastAsia="zh-CN" w:bidi="ar"/>
        </w:rPr>
        <w:t>组织对2024年度本部门（单位）整体支出开展绩效自评，涉及项目21个，共涉及资金</w:t>
      </w:r>
      <w:r>
        <w:rPr>
          <w:rFonts w:hint="default" w:ascii="Times New Roman" w:hAnsi="Times New Roman" w:eastAsia="仿宋" w:cs="Times New Roman"/>
          <w:b w:val="0"/>
          <w:color w:val="auto"/>
          <w:sz w:val="32"/>
          <w:szCs w:val="32"/>
          <w:highlight w:val="none"/>
          <w:lang w:val="en-US" w:eastAsia="zh-CN"/>
        </w:rPr>
        <w:t>15080.54</w:t>
      </w:r>
      <w:r>
        <w:rPr>
          <w:rFonts w:hint="default" w:ascii="Times New Roman" w:hAnsi="Times New Roman" w:eastAsia="仿宋" w:cs="Times New Roman"/>
          <w:b w:val="0"/>
          <w:bCs w:val="0"/>
          <w:color w:val="auto"/>
          <w:kern w:val="0"/>
          <w:sz w:val="32"/>
          <w:szCs w:val="32"/>
          <w:highlight w:val="none"/>
          <w:lang w:val="en-US" w:eastAsia="zh-CN" w:bidi="ar"/>
        </w:rPr>
        <w:t>万元。其中，一般公共预算项目0个0万元，占一般公共预算支出总额的0%；政府性基金预算项目21个</w:t>
      </w:r>
      <w:r>
        <w:rPr>
          <w:rFonts w:hint="default" w:ascii="Times New Roman" w:hAnsi="Times New Roman" w:eastAsia="仿宋" w:cs="Times New Roman"/>
          <w:b w:val="0"/>
          <w:color w:val="auto"/>
          <w:sz w:val="32"/>
          <w:szCs w:val="32"/>
          <w:highlight w:val="none"/>
          <w:lang w:val="en-US" w:eastAsia="zh-CN"/>
        </w:rPr>
        <w:t>15080.54</w:t>
      </w:r>
      <w:r>
        <w:rPr>
          <w:rFonts w:hint="default" w:ascii="Times New Roman" w:hAnsi="Times New Roman" w:eastAsia="仿宋" w:cs="Times New Roman"/>
          <w:b w:val="0"/>
          <w:bCs w:val="0"/>
          <w:color w:val="auto"/>
          <w:kern w:val="0"/>
          <w:sz w:val="32"/>
          <w:szCs w:val="32"/>
          <w:highlight w:val="none"/>
          <w:lang w:val="en-US" w:eastAsia="zh-CN" w:bidi="ar"/>
        </w:rPr>
        <w:t>万元，占政府性基金预算支出总额的89.12%；国有资本经营预算项目0个0万元，占国有资本经营预算支出总额的0%；社会保险基金预算项目0个0万元，占社会保险基金预算支出总额的0%。</w:t>
      </w:r>
      <w:r>
        <w:rPr>
          <w:rFonts w:hint="default" w:ascii="Times New Roman" w:hAnsi="Times New Roman" w:eastAsia="仿宋" w:cs="Times New Roman"/>
          <w:b/>
          <w:bCs/>
          <w:color w:val="auto"/>
          <w:kern w:val="0"/>
          <w:sz w:val="32"/>
          <w:szCs w:val="32"/>
          <w:highlight w:val="none"/>
          <w:lang w:val="en-US" w:eastAsia="zh-CN" w:bidi="ar"/>
        </w:rPr>
        <w:t>二是事前绩效评估开展情况</w:t>
      </w:r>
      <w:r>
        <w:rPr>
          <w:rFonts w:hint="default" w:ascii="Times New Roman" w:hAnsi="Times New Roman" w:eastAsia="仿宋" w:cs="Times New Roman"/>
          <w:b w:val="0"/>
          <w:bCs w:val="0"/>
          <w:color w:val="auto"/>
          <w:kern w:val="0"/>
          <w:sz w:val="32"/>
          <w:szCs w:val="32"/>
          <w:highlight w:val="none"/>
          <w:lang w:val="en-US" w:eastAsia="zh-CN" w:bidi="ar"/>
        </w:rPr>
        <w:t>。组织对2024年度4个重大项目开展事前绩效评估，共涉及资金7935.26万元。</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楷体" w:cs="Times New Roman"/>
          <w:b/>
          <w:bCs w:val="0"/>
          <w:sz w:val="32"/>
          <w:szCs w:val="32"/>
          <w:lang w:val="en-US" w:eastAsia="zh-CN"/>
        </w:rPr>
        <w:t>（二）绩效评价结果。</w:t>
      </w:r>
      <w:r>
        <w:rPr>
          <w:rFonts w:hint="default" w:ascii="Times New Roman" w:hAnsi="Times New Roman" w:eastAsia="仿宋" w:cs="Times New Roman"/>
          <w:b/>
          <w:bCs/>
          <w:color w:val="auto"/>
          <w:kern w:val="0"/>
          <w:sz w:val="32"/>
          <w:szCs w:val="32"/>
          <w:highlight w:val="none"/>
          <w:lang w:val="en-US" w:eastAsia="zh-CN" w:bidi="ar"/>
        </w:rPr>
        <w:t>一是绩效自评结果。</w:t>
      </w:r>
      <w:r>
        <w:rPr>
          <w:rFonts w:hint="default" w:ascii="Times New Roman" w:hAnsi="Times New Roman" w:eastAsia="仿宋" w:cs="Times New Roman"/>
          <w:b w:val="0"/>
          <w:bCs w:val="0"/>
          <w:color w:val="auto"/>
          <w:kern w:val="0"/>
          <w:sz w:val="32"/>
          <w:szCs w:val="32"/>
          <w:highlight w:val="none"/>
          <w:lang w:val="en-US" w:eastAsia="zh-CN" w:bidi="ar"/>
        </w:rPr>
        <w:t>2024年度本部门（单位）整体支出全年预算数16921.45万元，执行数12453.61万元，完成预算的73.6%，绩效自评得分97.31分，评价等级为“优”。</w:t>
      </w:r>
      <w:r>
        <w:rPr>
          <w:rFonts w:hint="default" w:ascii="Times New Roman" w:hAnsi="Times New Roman" w:eastAsia="仿宋" w:cs="Times New Roman"/>
          <w:b/>
          <w:bCs/>
          <w:color w:val="auto"/>
          <w:kern w:val="0"/>
          <w:sz w:val="32"/>
          <w:szCs w:val="32"/>
          <w:highlight w:val="none"/>
          <w:lang w:val="en-US" w:eastAsia="zh-CN" w:bidi="ar"/>
        </w:rPr>
        <w:t>绩效目标完成情况：</w:t>
      </w:r>
      <w:r>
        <w:rPr>
          <w:rFonts w:hint="default" w:ascii="Times New Roman" w:hAnsi="Times New Roman" w:eastAsia="仿宋" w:cs="Times New Roman"/>
          <w:b w:val="0"/>
          <w:bCs w:val="0"/>
          <w:color w:val="auto"/>
          <w:kern w:val="0"/>
          <w:sz w:val="32"/>
          <w:szCs w:val="32"/>
          <w:highlight w:val="none"/>
          <w:lang w:val="en-US" w:eastAsia="zh-CN" w:bidi="ar"/>
        </w:rPr>
        <w:t>一是预算执行率指标分值10分，得分7.36分；二是产出指标分值40分，得分39.95分；三是效益指标分值30分，得分30分；四是满意度指标分值10分，得分10分；五是成本指标分值10分，得分10分。</w:t>
      </w:r>
      <w:r>
        <w:rPr>
          <w:rFonts w:hint="default" w:ascii="Times New Roman" w:hAnsi="Times New Roman" w:eastAsia="仿宋" w:cs="Times New Roman"/>
          <w:b/>
          <w:bCs/>
          <w:color w:val="auto"/>
          <w:kern w:val="0"/>
          <w:sz w:val="32"/>
          <w:szCs w:val="32"/>
          <w:highlight w:val="none"/>
          <w:lang w:val="en-US" w:eastAsia="zh-CN" w:bidi="ar"/>
        </w:rPr>
        <w:t>发现的主要问题及原因：</w:t>
      </w:r>
      <w:r>
        <w:rPr>
          <w:rFonts w:hint="eastAsia" w:ascii="Times New Roman" w:hAnsi="Times New Roman" w:eastAsia="仿宋" w:cs="Times New Roman"/>
          <w:b w:val="0"/>
          <w:bCs w:val="0"/>
          <w:color w:val="auto"/>
          <w:kern w:val="0"/>
          <w:sz w:val="32"/>
          <w:szCs w:val="32"/>
          <w:highlight w:val="none"/>
          <w:lang w:val="en-US" w:eastAsia="zh-CN" w:bidi="ar"/>
        </w:rPr>
        <w:t>本年度存在跨年项目，部分项目资金需结转至下一年度使用，预算执行率有待进一步提高</w:t>
      </w:r>
      <w:r>
        <w:rPr>
          <w:rFonts w:hint="default" w:ascii="Times New Roman" w:hAnsi="Times New Roman" w:eastAsia="仿宋" w:cs="Times New Roman"/>
          <w:b w:val="0"/>
          <w:bCs w:val="0"/>
          <w:color w:val="auto"/>
          <w:kern w:val="0"/>
          <w:sz w:val="32"/>
          <w:szCs w:val="32"/>
          <w:highlight w:val="none"/>
          <w:lang w:val="en-US" w:eastAsia="zh-CN" w:bidi="ar"/>
        </w:rPr>
        <w:t>。</w:t>
      </w:r>
      <w:r>
        <w:rPr>
          <w:rFonts w:hint="default" w:ascii="Times New Roman" w:hAnsi="Times New Roman" w:eastAsia="仿宋" w:cs="Times New Roman"/>
          <w:b/>
          <w:bCs/>
          <w:color w:val="auto"/>
          <w:kern w:val="0"/>
          <w:sz w:val="32"/>
          <w:szCs w:val="32"/>
          <w:highlight w:val="none"/>
          <w:lang w:val="en-US" w:eastAsia="zh-CN" w:bidi="ar"/>
        </w:rPr>
        <w:t>下一步改进措施：</w:t>
      </w:r>
      <w:r>
        <w:rPr>
          <w:rFonts w:hint="default" w:ascii="Times New Roman" w:hAnsi="Times New Roman" w:eastAsia="仿宋" w:cs="Times New Roman"/>
          <w:b w:val="0"/>
          <w:bCs w:val="0"/>
          <w:color w:val="auto"/>
          <w:kern w:val="0"/>
          <w:sz w:val="32"/>
          <w:szCs w:val="32"/>
          <w:highlight w:val="none"/>
          <w:lang w:val="en-US" w:eastAsia="zh-CN" w:bidi="ar"/>
        </w:rPr>
        <w:t>一是细化预算编制，持续深化“零基预算”改革，打破基数依赖，以零为起点重新评估各项支出必要性；同时细化预算编制流程，精准核定收支标准，强化项目全周期管理，提升预算编制科学性与精准度。二是加快预算执行，重点对金额较大或关键项目前置筹备工作，科学规划进度，避免第四季度支出扎堆；同步构建动态监测预警体系，优化资金审批流程、缩短支付周期；定期召开协调会议促进部门协同，对进度迟缓项目开展专项督导，保障预算执行提质增速。</w:t>
      </w:r>
      <w:r>
        <w:rPr>
          <w:rFonts w:hint="default" w:ascii="Times New Roman" w:hAnsi="Times New Roman" w:eastAsia="仿宋" w:cs="Times New Roman"/>
          <w:b/>
          <w:bCs/>
          <w:color w:val="auto"/>
          <w:kern w:val="0"/>
          <w:sz w:val="32"/>
          <w:szCs w:val="32"/>
          <w:highlight w:val="none"/>
          <w:lang w:val="en-US" w:eastAsia="zh-CN" w:bidi="ar"/>
        </w:rPr>
        <w:t>二是事前绩效评估结果</w:t>
      </w:r>
      <w:r>
        <w:rPr>
          <w:rFonts w:hint="default" w:ascii="Times New Roman" w:hAnsi="Times New Roman" w:eastAsia="仿宋" w:cs="Times New Roman"/>
          <w:b w:val="0"/>
          <w:bCs w:val="0"/>
          <w:color w:val="auto"/>
          <w:kern w:val="0"/>
          <w:sz w:val="32"/>
          <w:szCs w:val="32"/>
          <w:highlight w:val="none"/>
          <w:lang w:val="en-US" w:eastAsia="zh-CN" w:bidi="ar"/>
        </w:rPr>
        <w:t>。2024年度4个重大项目事前绩效评估，其中，4个项目评估通过，涉及资金7935.26万元。</w:t>
      </w:r>
    </w:p>
    <w:p>
      <w:pPr>
        <w:pStyle w:val="16"/>
        <w:keepNext w:val="0"/>
        <w:keepLines w:val="0"/>
        <w:pageBreakBefore w:val="0"/>
        <w:widowControl w:val="0"/>
        <w:kinsoku/>
        <w:wordWrap/>
        <w:overflowPunct w:val="0"/>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楷体" w:cs="Times New Roman"/>
          <w:b/>
          <w:bCs w:val="0"/>
          <w:sz w:val="32"/>
          <w:szCs w:val="32"/>
          <w:lang w:val="en-US" w:eastAsia="zh-CN"/>
        </w:rPr>
        <w:t>（三）评价结果应用情况。</w:t>
      </w:r>
      <w:r>
        <w:rPr>
          <w:rFonts w:hint="default" w:ascii="Times New Roman" w:hAnsi="Times New Roman" w:eastAsia="仿宋" w:cs="Times New Roman"/>
          <w:b w:val="0"/>
          <w:bCs w:val="0"/>
          <w:color w:val="auto"/>
          <w:kern w:val="0"/>
          <w:sz w:val="32"/>
          <w:szCs w:val="32"/>
          <w:highlight w:val="none"/>
          <w:lang w:val="en-US" w:eastAsia="zh-CN" w:bidi="ar"/>
        </w:rPr>
        <w:t>绩效自评结果将作为下一年度预算安排的重要依据，与预算调整和项目安排挂钩。</w:t>
      </w: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both"/>
        <w:rPr>
          <w:rFonts w:hint="default" w:ascii="Times New Roman" w:hAnsi="Times New Roman" w:cs="Times New Roman"/>
          <w:sz w:val="72"/>
          <w:szCs w:val="72"/>
        </w:rPr>
      </w:pPr>
    </w:p>
    <w:p>
      <w:pPr>
        <w:pStyle w:val="16"/>
        <w:jc w:val="both"/>
        <w:rPr>
          <w:rFonts w:hint="default" w:ascii="Times New Roman" w:hAnsi="Times New Roman" w:cs="Times New Roman"/>
          <w:sz w:val="72"/>
          <w:szCs w:val="72"/>
        </w:rPr>
      </w:pPr>
    </w:p>
    <w:p>
      <w:pPr>
        <w:pStyle w:val="16"/>
        <w:jc w:val="both"/>
        <w:rPr>
          <w:rFonts w:hint="default" w:ascii="Times New Roman" w:hAnsi="Times New Roman" w:cs="Times New Roman"/>
          <w:sz w:val="72"/>
          <w:szCs w:val="72"/>
        </w:rPr>
      </w:pPr>
    </w:p>
    <w:p>
      <w:pPr>
        <w:pStyle w:val="16"/>
        <w:spacing w:line="360" w:lineRule="auto"/>
        <w:jc w:val="both"/>
        <w:rPr>
          <w:rFonts w:hint="default" w:ascii="Times New Roman" w:hAnsi="Times New Roman" w:eastAsia="方正小标宋_GBK" w:cs="Times New Roman"/>
          <w:sz w:val="52"/>
          <w:szCs w:val="52"/>
        </w:rPr>
      </w:pPr>
    </w:p>
    <w:p>
      <w:pPr>
        <w:pStyle w:val="16"/>
        <w:spacing w:line="360" w:lineRule="auto"/>
        <w:jc w:val="both"/>
        <w:rPr>
          <w:rFonts w:hint="default" w:ascii="Times New Roman" w:hAnsi="Times New Roman" w:eastAsia="方正小标宋_GBK" w:cs="Times New Roman"/>
          <w:sz w:val="52"/>
          <w:szCs w:val="52"/>
        </w:rPr>
      </w:pPr>
    </w:p>
    <w:p>
      <w:pPr>
        <w:pStyle w:val="16"/>
        <w:spacing w:line="360" w:lineRule="auto"/>
        <w:jc w:val="center"/>
        <w:rPr>
          <w:rFonts w:hint="default" w:ascii="Times New Roman" w:hAnsi="Times New Roman" w:eastAsia="方正小标宋_GBK" w:cs="Times New Roman"/>
          <w:sz w:val="52"/>
          <w:szCs w:val="52"/>
        </w:rPr>
      </w:pPr>
    </w:p>
    <w:p>
      <w:pPr>
        <w:pStyle w:val="16"/>
        <w:spacing w:line="360" w:lineRule="auto"/>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 xml:space="preserve">第四部分 </w:t>
      </w:r>
    </w:p>
    <w:p>
      <w:pPr>
        <w:pStyle w:val="16"/>
        <w:spacing w:line="360" w:lineRule="auto"/>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名词解释</w:t>
      </w:r>
    </w:p>
    <w:p>
      <w:pPr>
        <w:rPr>
          <w:rFonts w:hint="default" w:ascii="Times New Roman" w:hAnsi="Times New Roman" w:cs="Times New Roman"/>
          <w:color w:val="000000"/>
          <w:kern w:val="0"/>
          <w:sz w:val="32"/>
          <w:szCs w:val="32"/>
        </w:rPr>
      </w:pPr>
      <w:r>
        <w:rPr>
          <w:rFonts w:hint="default" w:ascii="Times New Roman" w:hAnsi="Times New Roman" w:eastAsia="方正小标宋_GBK" w:cs="Times New Roman"/>
          <w:sz w:val="52"/>
          <w:szCs w:val="52"/>
        </w:rPr>
        <w:br w:type="page"/>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638" w:leftChars="304" w:firstLine="0" w:firstLineChars="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财政拨款收入：指中央和省级财政当年拨付的资金。</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二、年初结转和结余：指以前年度尚未完成、结转到本年按有关规定继续使用的资金。</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三、基本支出：指为保障单位机构正常运转、完成日常工作任务而发生的各项支出。</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 xml:space="preserve">四、项目支出：指单位为完成特定行政工作任务或事业发展目标而发生的支出，包括有关事业发展专项、专项业务费等。 </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五、因公出国（境）费：指单位公务出国（境）的住宿费、旅费、伙食补助费、杂费、培训费等支出。</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六、公务用车购置费：指单位公务车辆购置支出，包括车辆购置税支出。</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七、公务用车运行维护费：指单位公务用车租用费、燃料费、维修费、过路过桥费、保险费、安全奖励费用等支出。</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八、公务接待费：指单位按规定开支的各类公务接待（含外宾接待）费用。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九、年末结转和结余：指本年度或以前年度预算安排、因客观条件发生变化无法按原计划实施，需延迟到以后年度按有关规定继续使用的资金。</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b w:val="0"/>
          <w:bCs w:val="0"/>
          <w:color w:val="auto"/>
          <w:kern w:val="0"/>
          <w:sz w:val="32"/>
          <w:szCs w:val="32"/>
          <w:highlight w:val="none"/>
          <w:lang w:val="en-US" w:eastAsia="zh-CN" w:bidi="ar"/>
        </w:rPr>
        <w:t>十、机关运行经费：指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Style w:val="16"/>
        <w:spacing w:line="600" w:lineRule="exact"/>
        <w:ind w:firstLine="640" w:firstLineChars="200"/>
        <w:rPr>
          <w:rFonts w:hint="default" w:ascii="Times New Roman" w:hAnsi="Times New Roman" w:eastAsia="楷体_GB2312" w:cs="Times New Roman"/>
          <w:b/>
          <w:bCs/>
          <w:i/>
          <w:color w:val="auto"/>
          <w:sz w:val="32"/>
          <w:szCs w:val="3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pStyle w:val="16"/>
        <w:jc w:val="both"/>
        <w:rPr>
          <w:rFonts w:hint="default" w:ascii="Times New Roman" w:hAnsi="Times New Roman" w:cs="Times New Roman"/>
          <w:sz w:val="72"/>
          <w:szCs w:val="72"/>
        </w:rPr>
      </w:pPr>
    </w:p>
    <w:p>
      <w:pPr>
        <w:pStyle w:val="16"/>
        <w:jc w:val="both"/>
        <w:rPr>
          <w:rFonts w:hint="default" w:ascii="Times New Roman" w:hAnsi="Times New Roman" w:cs="Times New Roman"/>
          <w:sz w:val="72"/>
          <w:szCs w:val="72"/>
        </w:rPr>
      </w:pPr>
    </w:p>
    <w:p>
      <w:pPr>
        <w:pStyle w:val="16"/>
        <w:spacing w:line="360" w:lineRule="auto"/>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第五部分</w:t>
      </w:r>
    </w:p>
    <w:p>
      <w:pPr>
        <w:pStyle w:val="16"/>
        <w:spacing w:line="360" w:lineRule="auto"/>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附 件</w:t>
      </w:r>
    </w:p>
    <w:p>
      <w:pPr>
        <w:rPr>
          <w:rFonts w:hint="default" w:ascii="Times New Roman" w:hAnsi="Times New Roman" w:cs="Times New Roman"/>
          <w:sz w:val="72"/>
          <w:szCs w:val="72"/>
        </w:rPr>
      </w:pPr>
    </w:p>
    <w:p>
      <w:pPr>
        <w:pStyle w:val="16"/>
        <w:spacing w:line="600" w:lineRule="exact"/>
        <w:ind w:firstLine="640" w:firstLineChars="200"/>
        <w:rPr>
          <w:rFonts w:hint="default" w:ascii="Times New Roman" w:hAnsi="Times New Roman" w:eastAsia="仿宋_GB2312" w:cs="Times New Roman"/>
          <w:b/>
          <w:bCs/>
          <w:sz w:val="32"/>
          <w:szCs w:val="32"/>
        </w:rPr>
      </w:pPr>
    </w:p>
    <w:p>
      <w:pPr>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br w:type="page"/>
      </w:r>
    </w:p>
    <w:p>
      <w:pPr>
        <w:pStyle w:val="16"/>
        <w:spacing w:line="600" w:lineRule="exact"/>
        <w:ind w:firstLine="640" w:firstLineChars="200"/>
        <w:rPr>
          <w:rFonts w:hint="default" w:ascii="Times New Roman" w:hAnsi="Times New Roman" w:eastAsia="仿宋_GB2312" w:cs="Times New Roman"/>
          <w:b/>
          <w:bCs/>
          <w:sz w:val="32"/>
          <w:szCs w:val="32"/>
        </w:rPr>
      </w:pPr>
    </w:p>
    <w:p>
      <w:pPr>
        <w:pStyle w:val="16"/>
        <w:spacing w:line="600" w:lineRule="exact"/>
        <w:ind w:firstLine="640" w:firstLineChars="200"/>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val="en-US" w:eastAsia="zh-CN" w:bidi="ar"/>
        </w:rPr>
        <w:t>一、2024年度湖南省福利彩票发行中心整体支出绩效自评报告。</w:t>
      </w:r>
    </w:p>
    <w:p>
      <w:pPr>
        <w:pStyle w:val="16"/>
        <w:spacing w:line="600" w:lineRule="exact"/>
        <w:ind w:firstLine="640" w:firstLineChars="200"/>
        <w:rPr>
          <w:rFonts w:hint="default" w:ascii="Times New Roman" w:hAnsi="Times New Roman" w:eastAsia="仿宋_GB2312" w:cs="Times New Roman"/>
          <w:sz w:val="32"/>
          <w:szCs w:val="32"/>
        </w:rPr>
      </w:pPr>
    </w:p>
    <w:p>
      <w:pPr>
        <w:pStyle w:val="16"/>
        <w:jc w:val="center"/>
        <w:rPr>
          <w:rFonts w:hint="default" w:ascii="Times New Roman" w:hAnsi="Times New Roman" w:cs="Times New Roman"/>
          <w:sz w:val="72"/>
          <w:szCs w:val="72"/>
        </w:rPr>
      </w:pPr>
    </w:p>
    <w:p>
      <w:pPr>
        <w:pStyle w:val="16"/>
        <w:jc w:val="center"/>
        <w:rPr>
          <w:rFonts w:hint="default" w:ascii="Times New Roman" w:hAnsi="Times New Roman" w:cs="Times New Roman"/>
          <w:sz w:val="72"/>
          <w:szCs w:val="72"/>
        </w:rPr>
      </w:pPr>
    </w:p>
    <w:p>
      <w:pPr>
        <w:rPr>
          <w:rFonts w:hint="default" w:ascii="Times New Roman" w:hAnsi="Times New Roman" w:cs="Times New Roman"/>
          <w:sz w:val="72"/>
          <w:szCs w:val="72"/>
        </w:rPr>
      </w:pPr>
      <w:r>
        <w:rPr>
          <w:rFonts w:hint="default" w:ascii="Times New Roman" w:hAnsi="Times New Roman" w:cs="Times New Roman"/>
          <w:sz w:val="72"/>
          <w:szCs w:val="72"/>
        </w:rPr>
        <w:br w:type="page"/>
      </w:r>
    </w:p>
    <w:p>
      <w:pPr>
        <w:keepNext w:val="0"/>
        <w:keepLines w:val="0"/>
        <w:pageBreakBefore w:val="0"/>
        <w:widowControl w:val="0"/>
        <w:kinsoku/>
        <w:wordWrap/>
        <w:topLinePunct w:val="0"/>
        <w:autoSpaceDE/>
        <w:autoSpaceDN/>
        <w:bidi w:val="0"/>
        <w:adjustRightInd/>
        <w:snapToGrid/>
        <w:spacing w:line="540" w:lineRule="exact"/>
        <w:ind w:firstLine="0" w:firstLineChars="0"/>
        <w:jc w:val="center"/>
        <w:textAlignment w:val="auto"/>
        <w:rPr>
          <w:rFonts w:hint="default" w:ascii="Times New Roman" w:hAnsi="Times New Roman" w:eastAsia="方正小标宋简体" w:cs="Times New Roman"/>
          <w:sz w:val="44"/>
          <w:szCs w:val="44"/>
          <w:highlight w:val="none"/>
          <w:lang w:eastAsia="zh-CN"/>
        </w:rPr>
      </w:pPr>
    </w:p>
    <w:p>
      <w:pPr>
        <w:keepNext w:val="0"/>
        <w:keepLines w:val="0"/>
        <w:pageBreakBefore w:val="0"/>
        <w:widowControl w:val="0"/>
        <w:kinsoku/>
        <w:wordWrap/>
        <w:topLinePunct w:val="0"/>
        <w:autoSpaceDE/>
        <w:autoSpaceDN/>
        <w:bidi w:val="0"/>
        <w:adjustRightInd/>
        <w:snapToGrid/>
        <w:spacing w:line="540" w:lineRule="exact"/>
        <w:ind w:firstLine="0" w:firstLineChars="0"/>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eastAsia="zh-CN"/>
        </w:rPr>
        <w:t>2024年度</w:t>
      </w:r>
      <w:r>
        <w:rPr>
          <w:rFonts w:hint="default" w:ascii="Times New Roman" w:hAnsi="Times New Roman" w:eastAsia="方正小标宋简体" w:cs="Times New Roman"/>
          <w:sz w:val="44"/>
          <w:szCs w:val="44"/>
          <w:highlight w:val="none"/>
        </w:rPr>
        <w:t>湖南省福利彩票发行中心</w:t>
      </w:r>
    </w:p>
    <w:p>
      <w:pPr>
        <w:keepNext w:val="0"/>
        <w:keepLines w:val="0"/>
        <w:pageBreakBefore w:val="0"/>
        <w:widowControl w:val="0"/>
        <w:kinsoku/>
        <w:wordWrap/>
        <w:topLinePunct w:val="0"/>
        <w:autoSpaceDE/>
        <w:autoSpaceDN/>
        <w:bidi w:val="0"/>
        <w:adjustRightInd/>
        <w:snapToGrid/>
        <w:spacing w:line="540" w:lineRule="exact"/>
        <w:ind w:firstLine="0" w:firstLineChars="0"/>
        <w:jc w:val="center"/>
        <w:textAlignment w:val="auto"/>
        <w:rPr>
          <w:rFonts w:hint="default" w:ascii="Times New Roman" w:hAnsi="Times New Roman" w:eastAsia="方正小标宋简体" w:cs="Times New Roman"/>
          <w:sz w:val="44"/>
          <w:szCs w:val="44"/>
          <w:highlight w:val="none"/>
        </w:rPr>
      </w:pPr>
      <w:bookmarkStart w:id="8" w:name="_Toc21165"/>
      <w:bookmarkStart w:id="9" w:name="_Toc22791"/>
      <w:bookmarkStart w:id="10" w:name="_Toc4596"/>
      <w:bookmarkStart w:id="11" w:name="_Toc12556"/>
      <w:bookmarkStart w:id="12" w:name="_Toc10120"/>
      <w:bookmarkStart w:id="13" w:name="_Toc23432"/>
      <w:bookmarkStart w:id="14" w:name="_Toc14341"/>
      <w:bookmarkStart w:id="15" w:name="_Toc20405"/>
      <w:bookmarkStart w:id="16" w:name="_Toc16262"/>
      <w:bookmarkStart w:id="17" w:name="_Toc29545"/>
      <w:r>
        <w:rPr>
          <w:rFonts w:hint="default" w:ascii="Times New Roman" w:hAnsi="Times New Roman" w:eastAsia="方正小标宋简体" w:cs="Times New Roman"/>
          <w:sz w:val="44"/>
          <w:szCs w:val="44"/>
          <w:highlight w:val="none"/>
        </w:rPr>
        <w:t>部门整体支出绩效自评报告</w:t>
      </w:r>
      <w:bookmarkEnd w:id="8"/>
      <w:bookmarkEnd w:id="9"/>
      <w:bookmarkEnd w:id="10"/>
      <w:bookmarkEnd w:id="11"/>
      <w:bookmarkEnd w:id="12"/>
      <w:bookmarkEnd w:id="13"/>
      <w:bookmarkEnd w:id="14"/>
      <w:bookmarkEnd w:id="15"/>
      <w:bookmarkEnd w:id="16"/>
      <w:bookmarkEnd w:id="17"/>
    </w:p>
    <w:p>
      <w:pPr>
        <w:keepNext w:val="0"/>
        <w:keepLines w:val="0"/>
        <w:pageBreakBefore w:val="0"/>
        <w:widowControl w:val="0"/>
        <w:kinsoku/>
        <w:wordWrap/>
        <w:overflowPunct w:val="0"/>
        <w:topLinePunct w:val="0"/>
        <w:autoSpaceDE w:val="0"/>
        <w:autoSpaceDN w:val="0"/>
        <w:bidi w:val="0"/>
        <w:adjustRightInd w:val="0"/>
        <w:snapToGrid w:val="0"/>
        <w:spacing w:line="540" w:lineRule="exact"/>
        <w:ind w:firstLine="560"/>
        <w:jc w:val="both"/>
        <w:textAlignment w:val="auto"/>
        <w:rPr>
          <w:rFonts w:hint="default" w:ascii="Times New Roman" w:hAnsi="Times New Roman" w:cs="Times New Roman"/>
          <w:color w:val="auto"/>
          <w:sz w:val="32"/>
          <w:szCs w:val="32"/>
          <w:highlight w:val="none"/>
        </w:rPr>
      </w:pPr>
    </w:p>
    <w:p>
      <w:pPr>
        <w:keepNext w:val="0"/>
        <w:keepLines w:val="0"/>
        <w:pageBreakBefore w:val="0"/>
        <w:widowControl w:val="0"/>
        <w:kinsoku/>
        <w:wordWrap/>
        <w:overflowPunct w:val="0"/>
        <w:topLinePunct w:val="0"/>
        <w:autoSpaceDE w:val="0"/>
        <w:autoSpaceDN w:val="0"/>
        <w:bidi w:val="0"/>
        <w:adjustRightInd w:val="0"/>
        <w:snapToGrid w:val="0"/>
        <w:spacing w:line="54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为进一步加强财政资金支出管理，贯彻落实预算绩效管理，提高财政资金使用效益，根据《湖南省财政厅关于开展</w:t>
      </w:r>
      <w:r>
        <w:rPr>
          <w:rFonts w:hint="default" w:ascii="Times New Roman" w:hAnsi="Times New Roman" w:eastAsia="仿宋" w:cs="Times New Roman"/>
          <w:color w:val="auto"/>
          <w:sz w:val="32"/>
          <w:szCs w:val="32"/>
          <w:highlight w:val="none"/>
          <w:lang w:eastAsia="zh-CN"/>
        </w:rPr>
        <w:t>2024年度</w:t>
      </w:r>
      <w:r>
        <w:rPr>
          <w:rFonts w:hint="default" w:ascii="Times New Roman" w:hAnsi="Times New Roman" w:eastAsia="仿宋" w:cs="Times New Roman"/>
          <w:color w:val="auto"/>
          <w:sz w:val="32"/>
          <w:szCs w:val="32"/>
          <w:highlight w:val="none"/>
        </w:rPr>
        <w:t>省级预算部门绩效自评和部门评价的通知》</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湘财绩〔202</w:t>
      </w:r>
      <w:r>
        <w:rPr>
          <w:rFonts w:hint="default"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rPr>
        <w:t>号</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要求，湖南省福利彩票发行中心</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以下简称“省福彩中心”</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对</w:t>
      </w:r>
      <w:r>
        <w:rPr>
          <w:rFonts w:hint="default" w:ascii="Times New Roman" w:hAnsi="Times New Roman" w:eastAsia="仿宋" w:cs="Times New Roman"/>
          <w:color w:val="auto"/>
          <w:sz w:val="32"/>
          <w:szCs w:val="32"/>
          <w:highlight w:val="none"/>
          <w:lang w:eastAsia="zh-CN"/>
        </w:rPr>
        <w:t>2024年度</w:t>
      </w:r>
      <w:r>
        <w:rPr>
          <w:rFonts w:hint="default" w:ascii="Times New Roman" w:hAnsi="Times New Roman" w:eastAsia="仿宋" w:cs="Times New Roman"/>
          <w:color w:val="auto"/>
          <w:sz w:val="32"/>
          <w:szCs w:val="32"/>
          <w:highlight w:val="none"/>
        </w:rPr>
        <w:t>部门整体支出绩效进行</w:t>
      </w:r>
      <w:r>
        <w:rPr>
          <w:rFonts w:hint="default" w:ascii="Times New Roman" w:hAnsi="Times New Roman" w:eastAsia="仿宋" w:cs="Times New Roman"/>
          <w:color w:val="auto"/>
          <w:sz w:val="32"/>
          <w:szCs w:val="32"/>
          <w:highlight w:val="none"/>
          <w:lang w:eastAsia="zh-CN"/>
        </w:rPr>
        <w:t>了</w:t>
      </w:r>
      <w:r>
        <w:rPr>
          <w:rFonts w:hint="default" w:ascii="Times New Roman" w:hAnsi="Times New Roman" w:eastAsia="仿宋" w:cs="Times New Roman"/>
          <w:color w:val="auto"/>
          <w:sz w:val="32"/>
          <w:szCs w:val="32"/>
          <w:highlight w:val="none"/>
          <w:lang w:val="en-US" w:eastAsia="zh-CN"/>
        </w:rPr>
        <w:t>绩效自评</w:t>
      </w:r>
      <w:r>
        <w:rPr>
          <w:rFonts w:hint="default" w:ascii="Times New Roman" w:hAnsi="Times New Roman" w:eastAsia="仿宋" w:cs="Times New Roman"/>
          <w:color w:val="auto"/>
          <w:sz w:val="32"/>
          <w:szCs w:val="32"/>
          <w:highlight w:val="none"/>
        </w:rPr>
        <w:t>。现报告如下：</w:t>
      </w:r>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firstLine="640" w:firstLineChars="200"/>
        <w:textAlignment w:val="auto"/>
        <w:rPr>
          <w:rFonts w:hint="default" w:ascii="Times New Roman" w:hAnsi="Times New Roman" w:cs="Times New Roman"/>
          <w:b w:val="0"/>
          <w:color w:val="auto"/>
          <w:sz w:val="32"/>
          <w:szCs w:val="32"/>
          <w:highlight w:val="none"/>
        </w:rPr>
      </w:pPr>
      <w:bookmarkStart w:id="18" w:name="_Toc21243"/>
      <w:bookmarkStart w:id="19" w:name="_Toc24724"/>
      <w:r>
        <w:rPr>
          <w:rFonts w:hint="default" w:ascii="Times New Roman" w:hAnsi="Times New Roman" w:cs="Times New Roman"/>
          <w:b w:val="0"/>
          <w:color w:val="auto"/>
          <w:sz w:val="32"/>
          <w:szCs w:val="32"/>
          <w:highlight w:val="none"/>
        </w:rPr>
        <w:t>一、</w:t>
      </w:r>
      <w:r>
        <w:rPr>
          <w:rFonts w:hint="default" w:ascii="Times New Roman" w:hAnsi="Times New Roman" w:cs="Times New Roman"/>
          <w:b w:val="0"/>
          <w:color w:val="auto"/>
          <w:sz w:val="32"/>
          <w:szCs w:val="32"/>
          <w:highlight w:val="none"/>
          <w:lang w:val="en-US" w:eastAsia="zh-CN"/>
        </w:rPr>
        <w:t>部门</w:t>
      </w:r>
      <w:r>
        <w:rPr>
          <w:rFonts w:hint="default" w:ascii="Times New Roman" w:hAnsi="Times New Roman" w:cs="Times New Roman"/>
          <w:b w:val="0"/>
          <w:color w:val="auto"/>
          <w:sz w:val="32"/>
          <w:szCs w:val="32"/>
          <w:highlight w:val="none"/>
        </w:rPr>
        <w:t>基本情况</w:t>
      </w:r>
      <w:bookmarkEnd w:id="18"/>
      <w:bookmarkEnd w:id="19"/>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firstLine="640" w:firstLineChars="200"/>
        <w:textAlignment w:val="auto"/>
        <w:rPr>
          <w:rFonts w:hint="default" w:ascii="Times New Roman" w:hAnsi="Times New Roman" w:eastAsia="楷体" w:cs="Times New Roman"/>
          <w:b/>
          <w:bCs/>
          <w:color w:val="auto"/>
          <w:kern w:val="2"/>
          <w:sz w:val="32"/>
          <w:szCs w:val="32"/>
          <w:highlight w:val="none"/>
          <w:lang w:val="en-US" w:eastAsia="zh-CN" w:bidi="ar-SA"/>
        </w:rPr>
      </w:pPr>
      <w:bookmarkStart w:id="20" w:name="_Toc15866"/>
      <w:bookmarkStart w:id="21" w:name="_Toc14589"/>
      <w:r>
        <w:rPr>
          <w:rFonts w:hint="default" w:ascii="Times New Roman" w:hAnsi="Times New Roman" w:eastAsia="楷体" w:cs="Times New Roman"/>
          <w:b/>
          <w:bCs/>
          <w:color w:val="auto"/>
          <w:kern w:val="2"/>
          <w:sz w:val="32"/>
          <w:szCs w:val="32"/>
          <w:highlight w:val="none"/>
          <w:lang w:val="en-US" w:eastAsia="zh-CN" w:bidi="ar-SA"/>
        </w:rPr>
        <w:t>（一）职能</w:t>
      </w:r>
      <w:bookmarkEnd w:id="20"/>
      <w:bookmarkEnd w:id="21"/>
      <w:r>
        <w:rPr>
          <w:rFonts w:hint="default" w:ascii="Times New Roman" w:hAnsi="Times New Roman" w:eastAsia="楷体" w:cs="Times New Roman"/>
          <w:b/>
          <w:bCs/>
          <w:color w:val="auto"/>
          <w:kern w:val="2"/>
          <w:sz w:val="32"/>
          <w:szCs w:val="32"/>
          <w:highlight w:val="none"/>
          <w:lang w:val="en-US" w:eastAsia="zh-CN" w:bidi="ar-SA"/>
        </w:rPr>
        <w:t>职责</w:t>
      </w:r>
    </w:p>
    <w:p>
      <w:pPr>
        <w:keepNext w:val="0"/>
        <w:keepLines w:val="0"/>
        <w:pageBreakBefore w:val="0"/>
        <w:widowControl w:val="0"/>
        <w:kinsoku/>
        <w:wordWrap/>
        <w:overflowPunct w:val="0"/>
        <w:topLinePunct w:val="0"/>
        <w:autoSpaceDE w:val="0"/>
        <w:autoSpaceDN w:val="0"/>
        <w:bidi w:val="0"/>
        <w:adjustRightInd w:val="0"/>
        <w:snapToGrid w:val="0"/>
        <w:spacing w:line="540" w:lineRule="exact"/>
        <w:ind w:firstLine="640" w:firstLineChars="200"/>
        <w:textAlignment w:val="auto"/>
        <w:rPr>
          <w:rFonts w:hint="default" w:ascii="Times New Roman" w:hAnsi="Times New Roman" w:eastAsia="仿宋" w:cs="Times New Roman"/>
          <w:i w:val="0"/>
          <w:iCs w:val="0"/>
          <w:caps w:val="0"/>
          <w:color w:val="000000"/>
          <w:spacing w:val="0"/>
          <w:sz w:val="32"/>
          <w:szCs w:val="32"/>
          <w:highlight w:val="none"/>
        </w:rPr>
      </w:pPr>
      <w:bookmarkStart w:id="22" w:name="_Toc1238"/>
      <w:bookmarkStart w:id="23" w:name="_Toc6584"/>
      <w:r>
        <w:rPr>
          <w:rFonts w:hint="default" w:ascii="Times New Roman" w:hAnsi="Times New Roman" w:eastAsia="仿宋" w:cs="Times New Roman"/>
          <w:i w:val="0"/>
          <w:iCs w:val="0"/>
          <w:caps w:val="0"/>
          <w:color w:val="000000"/>
          <w:spacing w:val="0"/>
          <w:sz w:val="32"/>
          <w:szCs w:val="32"/>
          <w:highlight w:val="none"/>
        </w:rPr>
        <w:t>省福彩中心系湖南省民政厅直属的自收自支正处级事业单位、省财政厅确认的一级财政预算管理单位</w:t>
      </w:r>
      <w:r>
        <w:rPr>
          <w:rFonts w:hint="default" w:ascii="Times New Roman" w:hAnsi="Times New Roman" w:eastAsia="仿宋" w:cs="Times New Roman"/>
          <w:i w:val="0"/>
          <w:iCs w:val="0"/>
          <w:caps w:val="0"/>
          <w:color w:val="000000"/>
          <w:spacing w:val="0"/>
          <w:sz w:val="32"/>
          <w:szCs w:val="32"/>
          <w:highlight w:val="none"/>
          <w:lang w:eastAsia="zh-CN"/>
        </w:rPr>
        <w:t>。</w:t>
      </w:r>
      <w:r>
        <w:rPr>
          <w:rFonts w:hint="default" w:ascii="Times New Roman" w:hAnsi="Times New Roman" w:eastAsia="仿宋" w:cs="Times New Roman"/>
          <w:i w:val="0"/>
          <w:iCs w:val="0"/>
          <w:caps w:val="0"/>
          <w:color w:val="000000"/>
          <w:spacing w:val="0"/>
          <w:sz w:val="32"/>
          <w:szCs w:val="32"/>
          <w:highlight w:val="none"/>
        </w:rPr>
        <w:t>主要职责：制定本行政区域福利彩票销售管理办法和工作规范；向中国福利彩票发行机构提出停止彩票品种或者变更彩票品种审批事项的建议；制定本行政区域福利彩票销售实施方案，并组织实施；负责本行政区域福利彩票销售系统的建设、运营和维护；负责实施本行政区域福利彩票的销售系统数据管理、资金归集结算、销售渠道和场所规划、物流管理、开奖兑奖；负责组织实施本行政区域福利彩票的形象建设、彩票代销、营销宣传、业务培训、人才队伍建设等工作。</w:t>
      </w:r>
    </w:p>
    <w:p>
      <w:pPr>
        <w:pStyle w:val="3"/>
        <w:keepNext w:val="0"/>
        <w:keepLines w:val="0"/>
        <w:pageBreakBefore w:val="0"/>
        <w:widowControl w:val="0"/>
        <w:kinsoku/>
        <w:wordWrap/>
        <w:overflowPunct w:val="0"/>
        <w:topLinePunct w:val="0"/>
        <w:bidi w:val="0"/>
        <w:spacing w:before="0" w:beforeAutospacing="0" w:after="0" w:afterAutospacing="0" w:line="540" w:lineRule="exact"/>
        <w:ind w:firstLine="480" w:firstLineChars="150"/>
        <w:jc w:val="both"/>
        <w:textAlignment w:val="auto"/>
        <w:outlineLvl w:val="1"/>
        <w:rPr>
          <w:rFonts w:hint="default" w:ascii="Times New Roman" w:hAnsi="Times New Roman" w:eastAsia="楷体" w:cs="Times New Roman"/>
          <w:bCs/>
          <w:color w:val="auto"/>
          <w:kern w:val="2"/>
          <w:sz w:val="32"/>
          <w:szCs w:val="32"/>
          <w:highlight w:val="none"/>
          <w:lang w:bidi="ar-SA"/>
        </w:rPr>
      </w:pPr>
      <w:r>
        <w:rPr>
          <w:rFonts w:hint="default" w:ascii="Times New Roman" w:hAnsi="Times New Roman" w:eastAsia="楷体" w:cs="Times New Roman"/>
          <w:bCs/>
          <w:color w:val="auto"/>
          <w:kern w:val="2"/>
          <w:sz w:val="32"/>
          <w:szCs w:val="32"/>
          <w:highlight w:val="none"/>
          <w:lang w:bidi="ar-SA"/>
        </w:rPr>
        <w:t>（二）机构设置</w:t>
      </w:r>
    </w:p>
    <w:p>
      <w:pPr>
        <w:keepNext w:val="0"/>
        <w:keepLines w:val="0"/>
        <w:pageBreakBefore w:val="0"/>
        <w:widowControl w:val="0"/>
        <w:kinsoku/>
        <w:wordWrap/>
        <w:overflowPunct w:val="0"/>
        <w:topLinePunct w:val="0"/>
        <w:autoSpaceDE w:val="0"/>
        <w:autoSpaceDN w:val="0"/>
        <w:bidi w:val="0"/>
        <w:adjustRightInd w:val="0"/>
        <w:snapToGrid w:val="0"/>
        <w:spacing w:line="540" w:lineRule="exact"/>
        <w:ind w:firstLine="640" w:firstLineChars="200"/>
        <w:textAlignment w:val="auto"/>
        <w:rPr>
          <w:rFonts w:hint="default" w:ascii="Times New Roman" w:hAnsi="Times New Roman" w:eastAsia="仿宋" w:cs="Times New Roman"/>
          <w:i w:val="0"/>
          <w:iCs w:val="0"/>
          <w:caps w:val="0"/>
          <w:color w:val="000000"/>
          <w:spacing w:val="0"/>
          <w:sz w:val="32"/>
          <w:szCs w:val="32"/>
          <w:highlight w:val="none"/>
        </w:rPr>
      </w:pPr>
      <w:r>
        <w:rPr>
          <w:rFonts w:hint="default" w:ascii="Times New Roman" w:hAnsi="Times New Roman" w:eastAsia="仿宋" w:cs="Times New Roman"/>
          <w:i w:val="0"/>
          <w:iCs w:val="0"/>
          <w:caps w:val="0"/>
          <w:color w:val="000000"/>
          <w:spacing w:val="0"/>
          <w:sz w:val="32"/>
          <w:szCs w:val="32"/>
          <w:highlight w:val="none"/>
        </w:rPr>
        <w:t>省福彩中心</w:t>
      </w:r>
      <w:bookmarkStart w:id="24" w:name="_Toc28904"/>
      <w:bookmarkStart w:id="25" w:name="_Toc3216"/>
      <w:r>
        <w:rPr>
          <w:rFonts w:hint="default" w:ascii="Times New Roman" w:hAnsi="Times New Roman" w:eastAsia="仿宋" w:cs="Times New Roman"/>
          <w:i w:val="0"/>
          <w:iCs w:val="0"/>
          <w:caps w:val="0"/>
          <w:color w:val="000000"/>
          <w:spacing w:val="0"/>
          <w:sz w:val="32"/>
          <w:szCs w:val="32"/>
          <w:highlight w:val="none"/>
        </w:rPr>
        <w:t>只有本级，没有其他预算单位，因此部门整体支出仅含本级。202</w:t>
      </w:r>
      <w:r>
        <w:rPr>
          <w:rFonts w:hint="default" w:ascii="Times New Roman" w:hAnsi="Times New Roman" w:eastAsia="仿宋" w:cs="Times New Roman"/>
          <w:i w:val="0"/>
          <w:iCs w:val="0"/>
          <w:caps w:val="0"/>
          <w:color w:val="000000"/>
          <w:spacing w:val="0"/>
          <w:sz w:val="32"/>
          <w:szCs w:val="32"/>
          <w:highlight w:val="none"/>
          <w:lang w:val="en-US" w:eastAsia="zh-CN"/>
        </w:rPr>
        <w:t>4</w:t>
      </w:r>
      <w:r>
        <w:rPr>
          <w:rFonts w:hint="default" w:ascii="Times New Roman" w:hAnsi="Times New Roman" w:eastAsia="仿宋" w:cs="Times New Roman"/>
          <w:i w:val="0"/>
          <w:iCs w:val="0"/>
          <w:caps w:val="0"/>
          <w:color w:val="000000"/>
          <w:spacing w:val="0"/>
          <w:sz w:val="32"/>
          <w:szCs w:val="32"/>
          <w:highlight w:val="none"/>
        </w:rPr>
        <w:t>年</w:t>
      </w:r>
      <w:r>
        <w:rPr>
          <w:rFonts w:hint="default" w:ascii="Times New Roman" w:hAnsi="Times New Roman" w:eastAsia="仿宋" w:cs="Times New Roman"/>
          <w:i w:val="0"/>
          <w:iCs w:val="0"/>
          <w:caps w:val="0"/>
          <w:color w:val="000000"/>
          <w:spacing w:val="0"/>
          <w:sz w:val="32"/>
          <w:szCs w:val="32"/>
          <w:highlight w:val="none"/>
          <w:lang w:val="en-US" w:eastAsia="zh-CN"/>
        </w:rPr>
        <w:t>省福彩中心设有</w:t>
      </w:r>
      <w:r>
        <w:rPr>
          <w:rFonts w:hint="default" w:ascii="Times New Roman" w:hAnsi="Times New Roman" w:eastAsia="仿宋" w:cs="Times New Roman"/>
          <w:i w:val="0"/>
          <w:iCs w:val="0"/>
          <w:caps w:val="0"/>
          <w:color w:val="000000"/>
          <w:spacing w:val="0"/>
          <w:sz w:val="32"/>
          <w:szCs w:val="32"/>
          <w:highlight w:val="none"/>
        </w:rPr>
        <w:t>综合部、</w:t>
      </w:r>
      <w:r>
        <w:rPr>
          <w:rFonts w:hint="default" w:ascii="Times New Roman" w:hAnsi="Times New Roman" w:eastAsia="仿宋" w:cs="Times New Roman"/>
          <w:i w:val="0"/>
          <w:iCs w:val="0"/>
          <w:caps w:val="0"/>
          <w:color w:val="000000"/>
          <w:spacing w:val="0"/>
          <w:sz w:val="32"/>
          <w:szCs w:val="32"/>
          <w:highlight w:val="none"/>
          <w:lang w:val="en-US" w:eastAsia="zh-CN"/>
        </w:rPr>
        <w:t>市场</w:t>
      </w:r>
      <w:r>
        <w:rPr>
          <w:rFonts w:hint="default" w:ascii="Times New Roman" w:hAnsi="Times New Roman" w:eastAsia="仿宋" w:cs="Times New Roman"/>
          <w:i w:val="0"/>
          <w:iCs w:val="0"/>
          <w:caps w:val="0"/>
          <w:color w:val="000000"/>
          <w:spacing w:val="0"/>
          <w:sz w:val="32"/>
          <w:szCs w:val="32"/>
          <w:highlight w:val="none"/>
        </w:rPr>
        <w:t>部、信息部、财务部、</w:t>
      </w:r>
      <w:r>
        <w:rPr>
          <w:rFonts w:hint="default" w:ascii="Times New Roman" w:hAnsi="Times New Roman" w:eastAsia="仿宋" w:cs="Times New Roman"/>
          <w:i w:val="0"/>
          <w:iCs w:val="0"/>
          <w:caps w:val="0"/>
          <w:color w:val="000000"/>
          <w:spacing w:val="0"/>
          <w:sz w:val="32"/>
          <w:szCs w:val="32"/>
          <w:highlight w:val="none"/>
          <w:lang w:val="en-US" w:eastAsia="zh-CN"/>
        </w:rPr>
        <w:t>公益</w:t>
      </w:r>
      <w:r>
        <w:rPr>
          <w:rFonts w:hint="default" w:ascii="Times New Roman" w:hAnsi="Times New Roman" w:eastAsia="仿宋" w:cs="Times New Roman"/>
          <w:i w:val="0"/>
          <w:iCs w:val="0"/>
          <w:caps w:val="0"/>
          <w:color w:val="000000"/>
          <w:spacing w:val="0"/>
          <w:sz w:val="32"/>
          <w:szCs w:val="32"/>
          <w:highlight w:val="none"/>
        </w:rPr>
        <w:t>部、</w:t>
      </w:r>
      <w:r>
        <w:rPr>
          <w:rFonts w:hint="default" w:ascii="Times New Roman" w:hAnsi="Times New Roman" w:eastAsia="仿宋" w:cs="Times New Roman"/>
          <w:i w:val="0"/>
          <w:iCs w:val="0"/>
          <w:caps w:val="0"/>
          <w:color w:val="000000"/>
          <w:spacing w:val="0"/>
          <w:sz w:val="32"/>
          <w:szCs w:val="32"/>
          <w:highlight w:val="none"/>
          <w:lang w:val="en-US" w:eastAsia="zh-CN"/>
        </w:rPr>
        <w:t>风控</w:t>
      </w:r>
      <w:r>
        <w:rPr>
          <w:rFonts w:hint="default" w:ascii="Times New Roman" w:hAnsi="Times New Roman" w:eastAsia="仿宋" w:cs="Times New Roman"/>
          <w:i w:val="0"/>
          <w:iCs w:val="0"/>
          <w:caps w:val="0"/>
          <w:color w:val="000000"/>
          <w:spacing w:val="0"/>
          <w:sz w:val="32"/>
          <w:szCs w:val="32"/>
          <w:highlight w:val="none"/>
        </w:rPr>
        <w:t>部共6个部门</w:t>
      </w:r>
      <w:r>
        <w:rPr>
          <w:rFonts w:hint="default" w:ascii="Times New Roman" w:hAnsi="Times New Roman" w:eastAsia="仿宋" w:cs="Times New Roman"/>
          <w:i w:val="0"/>
          <w:iCs w:val="0"/>
          <w:caps w:val="0"/>
          <w:color w:val="000000"/>
          <w:spacing w:val="0"/>
          <w:sz w:val="32"/>
          <w:szCs w:val="32"/>
          <w:highlight w:val="none"/>
          <w:lang w:eastAsia="zh-CN"/>
        </w:rPr>
        <w:t>。</w:t>
      </w:r>
    </w:p>
    <w:p>
      <w:pPr>
        <w:pStyle w:val="3"/>
        <w:keepNext w:val="0"/>
        <w:keepLines w:val="0"/>
        <w:pageBreakBefore w:val="0"/>
        <w:widowControl w:val="0"/>
        <w:kinsoku/>
        <w:wordWrap/>
        <w:overflowPunct w:val="0"/>
        <w:topLinePunct w:val="0"/>
        <w:bidi w:val="0"/>
        <w:spacing w:before="0" w:beforeAutospacing="0" w:after="0" w:afterAutospacing="0" w:line="540" w:lineRule="exact"/>
        <w:ind w:firstLine="480" w:firstLineChars="150"/>
        <w:jc w:val="both"/>
        <w:textAlignment w:val="auto"/>
        <w:outlineLvl w:val="1"/>
        <w:rPr>
          <w:rFonts w:hint="default" w:ascii="Times New Roman" w:hAnsi="Times New Roman" w:eastAsia="楷体" w:cs="Times New Roman"/>
          <w:bCs/>
          <w:color w:val="auto"/>
          <w:kern w:val="2"/>
          <w:sz w:val="32"/>
          <w:szCs w:val="32"/>
          <w:highlight w:val="none"/>
          <w:lang w:bidi="ar-SA"/>
        </w:rPr>
      </w:pPr>
      <w:r>
        <w:rPr>
          <w:rFonts w:hint="default" w:ascii="Times New Roman" w:hAnsi="Times New Roman" w:eastAsia="楷体" w:cs="Times New Roman"/>
          <w:bCs/>
          <w:color w:val="auto"/>
          <w:kern w:val="2"/>
          <w:sz w:val="32"/>
          <w:szCs w:val="32"/>
          <w:highlight w:val="none"/>
          <w:lang w:bidi="ar-SA"/>
        </w:rPr>
        <w:t>（三）人员情况</w:t>
      </w:r>
      <w:bookmarkEnd w:id="24"/>
      <w:bookmarkEnd w:id="25"/>
    </w:p>
    <w:p>
      <w:pPr>
        <w:keepNext w:val="0"/>
        <w:keepLines w:val="0"/>
        <w:pageBreakBefore w:val="0"/>
        <w:widowControl w:val="0"/>
        <w:kinsoku/>
        <w:wordWrap/>
        <w:overflowPunct w:val="0"/>
        <w:topLinePunct w:val="0"/>
        <w:autoSpaceDE w:val="0"/>
        <w:autoSpaceDN w:val="0"/>
        <w:bidi w:val="0"/>
        <w:adjustRightInd w:val="0"/>
        <w:snapToGrid w:val="0"/>
        <w:spacing w:line="540" w:lineRule="exact"/>
        <w:ind w:firstLine="640" w:firstLineChars="200"/>
        <w:textAlignment w:val="auto"/>
        <w:rPr>
          <w:rFonts w:hint="default" w:ascii="Times New Roman" w:hAnsi="Times New Roman" w:eastAsia="仿宋" w:cs="Times New Roman"/>
          <w:i w:val="0"/>
          <w:iCs w:val="0"/>
          <w:caps w:val="0"/>
          <w:color w:val="000000"/>
          <w:spacing w:val="0"/>
          <w:sz w:val="32"/>
          <w:szCs w:val="32"/>
          <w:highlight w:val="none"/>
          <w:lang w:val="en-US" w:eastAsia="zh-CN"/>
        </w:rPr>
      </w:pPr>
      <w:bookmarkStart w:id="26" w:name="_Toc15392"/>
      <w:bookmarkStart w:id="27" w:name="_Toc8749"/>
      <w:r>
        <w:rPr>
          <w:rFonts w:hint="default" w:ascii="Times New Roman" w:hAnsi="Times New Roman" w:eastAsia="仿宋" w:cs="Times New Roman"/>
          <w:i w:val="0"/>
          <w:iCs w:val="0"/>
          <w:caps w:val="0"/>
          <w:color w:val="000000"/>
          <w:spacing w:val="0"/>
          <w:sz w:val="32"/>
          <w:szCs w:val="32"/>
          <w:highlight w:val="none"/>
          <w:lang w:val="en-US" w:eastAsia="zh-CN"/>
        </w:rPr>
        <w:t>2024年末，省福彩中心共有编制数16人，实际在职编制人员14人，聘用人员30人，年末实有在职人数44人。</w:t>
      </w:r>
    </w:p>
    <w:p>
      <w:pPr>
        <w:pStyle w:val="3"/>
        <w:keepNext w:val="0"/>
        <w:keepLines w:val="0"/>
        <w:pageBreakBefore w:val="0"/>
        <w:widowControl w:val="0"/>
        <w:kinsoku/>
        <w:wordWrap/>
        <w:overflowPunct w:val="0"/>
        <w:topLinePunct w:val="0"/>
        <w:bidi w:val="0"/>
        <w:spacing w:before="0" w:beforeAutospacing="0" w:after="0" w:afterAutospacing="0" w:line="540" w:lineRule="exact"/>
        <w:ind w:firstLine="480" w:firstLineChars="150"/>
        <w:jc w:val="both"/>
        <w:textAlignment w:val="auto"/>
        <w:outlineLvl w:val="1"/>
        <w:rPr>
          <w:rFonts w:hint="default" w:ascii="Times New Roman" w:hAnsi="Times New Roman" w:eastAsia="楷体" w:cs="Times New Roman"/>
          <w:bCs/>
          <w:color w:val="auto"/>
          <w:kern w:val="2"/>
          <w:sz w:val="32"/>
          <w:szCs w:val="32"/>
          <w:highlight w:val="none"/>
          <w:lang w:bidi="ar-SA"/>
        </w:rPr>
      </w:pPr>
      <w:r>
        <w:rPr>
          <w:rFonts w:hint="default" w:ascii="Times New Roman" w:hAnsi="Times New Roman" w:eastAsia="楷体" w:cs="Times New Roman"/>
          <w:bCs/>
          <w:color w:val="auto"/>
          <w:kern w:val="2"/>
          <w:sz w:val="32"/>
          <w:szCs w:val="32"/>
          <w:highlight w:val="none"/>
          <w:lang w:bidi="ar-SA"/>
        </w:rPr>
        <w:t>（四）评价范围</w:t>
      </w:r>
      <w:bookmarkEnd w:id="26"/>
      <w:bookmarkEnd w:id="27"/>
    </w:p>
    <w:p>
      <w:pPr>
        <w:keepNext w:val="0"/>
        <w:keepLines w:val="0"/>
        <w:pageBreakBefore w:val="0"/>
        <w:widowControl w:val="0"/>
        <w:kinsoku/>
        <w:wordWrap/>
        <w:overflowPunct w:val="0"/>
        <w:topLinePunct w:val="0"/>
        <w:autoSpaceDE w:val="0"/>
        <w:autoSpaceDN w:val="0"/>
        <w:bidi w:val="0"/>
        <w:adjustRightInd w:val="0"/>
        <w:snapToGrid w:val="0"/>
        <w:spacing w:line="540" w:lineRule="exact"/>
        <w:ind w:firstLine="640" w:firstLineChars="200"/>
        <w:textAlignment w:val="auto"/>
        <w:rPr>
          <w:rFonts w:hint="default" w:ascii="Times New Roman" w:hAnsi="Times New Roman" w:eastAsia="仿宋" w:cs="Times New Roman"/>
          <w:i w:val="0"/>
          <w:iCs w:val="0"/>
          <w:caps w:val="0"/>
          <w:color w:val="000000"/>
          <w:spacing w:val="0"/>
          <w:sz w:val="32"/>
          <w:szCs w:val="32"/>
          <w:highlight w:val="none"/>
          <w:lang w:val="en-US" w:eastAsia="zh-CN"/>
        </w:rPr>
      </w:pPr>
      <w:r>
        <w:rPr>
          <w:rFonts w:hint="default" w:ascii="Times New Roman" w:hAnsi="Times New Roman" w:eastAsia="仿宋" w:cs="Times New Roman"/>
          <w:i w:val="0"/>
          <w:iCs w:val="0"/>
          <w:caps w:val="0"/>
          <w:color w:val="000000"/>
          <w:spacing w:val="0"/>
          <w:sz w:val="32"/>
          <w:szCs w:val="32"/>
          <w:highlight w:val="none"/>
          <w:lang w:val="en-US" w:eastAsia="zh-CN"/>
        </w:rPr>
        <w:t>2024年度省福彩中心部门整体预算支出16921.45万元（含中央彩票市场调控资金2650万元），其中：基本支出1840.91万元、项目支出15080.54万元。</w:t>
      </w:r>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cs="Times New Roman"/>
          <w:b w:val="0"/>
          <w:color w:val="auto"/>
          <w:sz w:val="32"/>
          <w:szCs w:val="32"/>
          <w:highlight w:val="none"/>
        </w:rPr>
      </w:pPr>
      <w:bookmarkStart w:id="28" w:name="_Toc17090"/>
      <w:bookmarkStart w:id="29" w:name="_Toc28315"/>
      <w:r>
        <w:rPr>
          <w:rFonts w:hint="default" w:ascii="Times New Roman" w:hAnsi="Times New Roman" w:cs="Times New Roman"/>
          <w:b w:val="0"/>
          <w:color w:val="auto"/>
          <w:sz w:val="32"/>
          <w:szCs w:val="32"/>
          <w:highlight w:val="none"/>
        </w:rPr>
        <w:t>二、一般公共预算支出情况</w:t>
      </w:r>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val="0"/>
          <w:color w:val="auto"/>
          <w:kern w:val="2"/>
          <w:sz w:val="32"/>
          <w:szCs w:val="32"/>
          <w:highlight w:val="none"/>
          <w:lang w:val="en-US" w:eastAsia="zh-CN" w:bidi="ar-SA"/>
        </w:rPr>
      </w:pPr>
      <w:r>
        <w:rPr>
          <w:rFonts w:hint="default" w:ascii="Times New Roman" w:hAnsi="Times New Roman" w:eastAsia="仿宋" w:cs="Times New Roman"/>
          <w:b w:val="0"/>
          <w:color w:val="auto"/>
          <w:kern w:val="2"/>
          <w:sz w:val="32"/>
          <w:szCs w:val="32"/>
          <w:highlight w:val="none"/>
          <w:lang w:val="en-US" w:eastAsia="zh-CN" w:bidi="ar-SA"/>
        </w:rPr>
        <w:t>省福彩中心是</w:t>
      </w:r>
      <w:r>
        <w:rPr>
          <w:rFonts w:hint="eastAsia" w:ascii="Times New Roman" w:hAnsi="Times New Roman" w:eastAsia="仿宋" w:cs="Times New Roman"/>
          <w:b w:val="0"/>
          <w:color w:val="auto"/>
          <w:kern w:val="2"/>
          <w:sz w:val="32"/>
          <w:szCs w:val="32"/>
          <w:highlight w:val="none"/>
          <w:lang w:val="en-US" w:eastAsia="zh-CN" w:bidi="ar-SA"/>
        </w:rPr>
        <w:t>自收自支</w:t>
      </w:r>
      <w:r>
        <w:rPr>
          <w:rFonts w:hint="default" w:ascii="Times New Roman" w:hAnsi="Times New Roman" w:eastAsia="仿宋" w:cs="Times New Roman"/>
          <w:b w:val="0"/>
          <w:color w:val="auto"/>
          <w:kern w:val="2"/>
          <w:sz w:val="32"/>
          <w:szCs w:val="32"/>
          <w:highlight w:val="none"/>
          <w:lang w:val="en-US" w:eastAsia="zh-CN" w:bidi="ar-SA"/>
        </w:rPr>
        <w:t>的事业单位，业务费支出均属于政府性基金预算支出，无一般公共预算财政拨款支出。</w:t>
      </w:r>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cs="Times New Roman"/>
          <w:b w:val="0"/>
          <w:color w:val="auto"/>
          <w:sz w:val="32"/>
          <w:szCs w:val="32"/>
          <w:highlight w:val="none"/>
        </w:rPr>
      </w:pPr>
      <w:r>
        <w:rPr>
          <w:rFonts w:hint="default" w:ascii="Times New Roman" w:hAnsi="Times New Roman" w:cs="Times New Roman"/>
          <w:b w:val="0"/>
          <w:color w:val="auto"/>
          <w:sz w:val="32"/>
          <w:szCs w:val="32"/>
          <w:highlight w:val="none"/>
          <w:lang w:val="en-US" w:eastAsia="zh-CN"/>
        </w:rPr>
        <w:t>三、</w:t>
      </w:r>
      <w:r>
        <w:rPr>
          <w:rFonts w:hint="default" w:ascii="Times New Roman" w:hAnsi="Times New Roman" w:cs="Times New Roman"/>
          <w:b w:val="0"/>
          <w:color w:val="auto"/>
          <w:sz w:val="32"/>
          <w:szCs w:val="32"/>
          <w:highlight w:val="none"/>
        </w:rPr>
        <w:t>政府性基金预算支出情况</w:t>
      </w:r>
      <w:bookmarkEnd w:id="28"/>
      <w:bookmarkEnd w:id="29"/>
    </w:p>
    <w:p>
      <w:pPr>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2024年支出预算数16921.45万元，其中：2024年省本级业务费支出11253万元、2024年使用的2023年结转资金2752.45万元、2024年使用的2023年超收资金266万元、2024年中央彩票市场调控资金2650万元。</w:t>
      </w:r>
    </w:p>
    <w:p>
      <w:pPr>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2024年支出决算数12453.61万元，全年整体预算执行率为73.6%。具体情况如下：</w:t>
      </w:r>
    </w:p>
    <w:p>
      <w:pPr>
        <w:pStyle w:val="3"/>
        <w:keepNext w:val="0"/>
        <w:keepLines w:val="0"/>
        <w:pageBreakBefore w:val="0"/>
        <w:widowControl w:val="0"/>
        <w:kinsoku/>
        <w:wordWrap/>
        <w:overflowPunct w:val="0"/>
        <w:topLinePunct w:val="0"/>
        <w:bidi w:val="0"/>
        <w:spacing w:before="0" w:beforeAutospacing="0" w:after="0" w:afterAutospacing="0" w:line="540" w:lineRule="exact"/>
        <w:ind w:left="0" w:leftChars="0" w:right="0" w:firstLine="640" w:firstLineChars="200"/>
        <w:jc w:val="both"/>
        <w:textAlignment w:val="auto"/>
        <w:outlineLvl w:val="1"/>
        <w:rPr>
          <w:rFonts w:hint="default" w:ascii="Times New Roman" w:hAnsi="Times New Roman" w:eastAsia="楷体" w:cs="Times New Roman"/>
          <w:bCs/>
          <w:color w:val="auto"/>
          <w:kern w:val="2"/>
          <w:sz w:val="32"/>
          <w:szCs w:val="32"/>
          <w:highlight w:val="none"/>
          <w:lang w:bidi="ar-SA"/>
        </w:rPr>
      </w:pPr>
      <w:bookmarkStart w:id="30" w:name="_Toc11944"/>
      <w:bookmarkStart w:id="31" w:name="_Toc3100"/>
      <w:r>
        <w:rPr>
          <w:rFonts w:hint="default" w:ascii="Times New Roman" w:hAnsi="Times New Roman" w:eastAsia="楷体" w:cs="Times New Roman"/>
          <w:bCs/>
          <w:color w:val="auto"/>
          <w:kern w:val="2"/>
          <w:sz w:val="32"/>
          <w:szCs w:val="32"/>
          <w:highlight w:val="none"/>
          <w:lang w:bidi="ar-SA"/>
        </w:rPr>
        <w:t>（一）基本支出情况</w:t>
      </w:r>
      <w:bookmarkEnd w:id="30"/>
      <w:bookmarkEnd w:id="31"/>
    </w:p>
    <w:p>
      <w:pPr>
        <w:keepNext w:val="0"/>
        <w:keepLines w:val="0"/>
        <w:pageBreakBefore w:val="0"/>
        <w:widowControl w:val="0"/>
        <w:kinsoku/>
        <w:wordWrap/>
        <w:topLinePunct w:val="0"/>
        <w:bidi w:val="0"/>
        <w:spacing w:line="540" w:lineRule="exact"/>
        <w:ind w:left="0" w:leftChars="0" w:right="0"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eastAsia="zh-CN"/>
        </w:rPr>
        <w:t>基本支出</w:t>
      </w:r>
      <w:r>
        <w:rPr>
          <w:rFonts w:hint="default" w:ascii="Times New Roman" w:hAnsi="Times New Roman" w:eastAsia="仿宋" w:cs="Times New Roman"/>
          <w:color w:val="auto"/>
          <w:sz w:val="32"/>
          <w:szCs w:val="32"/>
          <w:highlight w:val="none"/>
          <w:lang w:val="en-US" w:eastAsia="zh-CN"/>
        </w:rPr>
        <w:t>主要是为</w:t>
      </w:r>
      <w:r>
        <w:rPr>
          <w:rFonts w:hint="default" w:ascii="Times New Roman" w:hAnsi="Times New Roman" w:eastAsia="仿宋" w:cs="Times New Roman"/>
          <w:color w:val="auto"/>
          <w:sz w:val="32"/>
          <w:szCs w:val="32"/>
          <w:highlight w:val="none"/>
          <w:lang w:eastAsia="zh-CN"/>
        </w:rPr>
        <w:t>保障机构正常运转、完成日常工作任务而发生的各项支出，包括人员经费以及办公费、水电费等日常公用经费。2024年度，基本支出预算数为</w:t>
      </w:r>
      <w:r>
        <w:rPr>
          <w:rFonts w:hint="default" w:ascii="Times New Roman" w:hAnsi="Times New Roman" w:eastAsia="仿宋" w:cs="Times New Roman"/>
          <w:color w:val="auto"/>
          <w:sz w:val="32"/>
          <w:szCs w:val="32"/>
          <w:highlight w:val="none"/>
          <w:lang w:val="en-US" w:eastAsia="zh-CN"/>
        </w:rPr>
        <w:t>1840.91</w:t>
      </w:r>
      <w:r>
        <w:rPr>
          <w:rFonts w:hint="default" w:ascii="Times New Roman" w:hAnsi="Times New Roman" w:eastAsia="仿宋" w:cs="Times New Roman"/>
          <w:color w:val="auto"/>
          <w:sz w:val="32"/>
          <w:szCs w:val="32"/>
          <w:highlight w:val="none"/>
          <w:lang w:eastAsia="zh-CN"/>
        </w:rPr>
        <w:t>万元，决算数</w:t>
      </w:r>
      <w:r>
        <w:rPr>
          <w:rFonts w:hint="default" w:ascii="Times New Roman" w:hAnsi="Times New Roman" w:eastAsia="仿宋" w:cs="Times New Roman"/>
          <w:color w:val="auto"/>
          <w:sz w:val="32"/>
          <w:szCs w:val="32"/>
          <w:highlight w:val="none"/>
          <w:lang w:val="en-US" w:eastAsia="zh-CN"/>
        </w:rPr>
        <w:t>1669.33</w:t>
      </w:r>
      <w:r>
        <w:rPr>
          <w:rFonts w:hint="default" w:ascii="Times New Roman" w:hAnsi="Times New Roman" w:eastAsia="仿宋" w:cs="Times New Roman"/>
          <w:color w:val="auto"/>
          <w:sz w:val="32"/>
          <w:szCs w:val="32"/>
          <w:highlight w:val="none"/>
          <w:lang w:eastAsia="zh-CN"/>
        </w:rPr>
        <w:t>万元，预算执行率</w:t>
      </w:r>
      <w:r>
        <w:rPr>
          <w:rFonts w:hint="default" w:ascii="Times New Roman" w:hAnsi="Times New Roman" w:eastAsia="仿宋" w:cs="Times New Roman"/>
          <w:color w:val="auto"/>
          <w:sz w:val="32"/>
          <w:szCs w:val="32"/>
          <w:highlight w:val="none"/>
          <w:lang w:val="en-US" w:eastAsia="zh-CN"/>
        </w:rPr>
        <w:t>90</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68</w:t>
      </w:r>
      <w:r>
        <w:rPr>
          <w:rFonts w:hint="default" w:ascii="Times New Roman" w:hAnsi="Times New Roman" w:eastAsia="仿宋" w:cs="Times New Roman"/>
          <w:color w:val="auto"/>
          <w:sz w:val="32"/>
          <w:szCs w:val="32"/>
          <w:highlight w:val="none"/>
          <w:lang w:eastAsia="zh-CN"/>
        </w:rPr>
        <w:t>%。</w:t>
      </w:r>
      <w:bookmarkStart w:id="32" w:name="_Toc6871"/>
      <w:bookmarkStart w:id="33" w:name="_Toc31435"/>
    </w:p>
    <w:bookmarkEnd w:id="32"/>
    <w:bookmarkEnd w:id="33"/>
    <w:p>
      <w:pPr>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楷体" w:cs="Times New Roman"/>
          <w:b/>
          <w:bCs/>
          <w:color w:val="auto"/>
          <w:kern w:val="2"/>
          <w:sz w:val="32"/>
          <w:szCs w:val="32"/>
          <w:highlight w:val="none"/>
          <w:lang w:val="en-US" w:eastAsia="zh-CN" w:bidi="ar-SA"/>
        </w:rPr>
      </w:pPr>
      <w:bookmarkStart w:id="34" w:name="_Toc17339"/>
      <w:bookmarkStart w:id="35" w:name="_Toc7867"/>
      <w:r>
        <w:rPr>
          <w:rFonts w:hint="default" w:ascii="Times New Roman" w:hAnsi="Times New Roman" w:eastAsia="楷体" w:cs="Times New Roman"/>
          <w:b/>
          <w:bCs/>
          <w:color w:val="auto"/>
          <w:kern w:val="2"/>
          <w:sz w:val="32"/>
          <w:szCs w:val="32"/>
          <w:highlight w:val="none"/>
          <w:lang w:val="en-US" w:eastAsia="zh-CN" w:bidi="ar-SA"/>
        </w:rPr>
        <w:t>（二）项目支出情况</w:t>
      </w:r>
      <w:bookmarkEnd w:id="34"/>
      <w:bookmarkEnd w:id="35"/>
    </w:p>
    <w:p>
      <w:pPr>
        <w:keepNext w:val="0"/>
        <w:keepLines w:val="0"/>
        <w:pageBreakBefore w:val="0"/>
        <w:numPr>
          <w:ilvl w:val="0"/>
          <w:numId w:val="0"/>
        </w:numPr>
        <w:kinsoku/>
        <w:wordWrap/>
        <w:topLinePunct w:val="0"/>
        <w:bidi w:val="0"/>
        <w:spacing w:line="540" w:lineRule="exact"/>
        <w:ind w:right="0" w:firstLine="640" w:firstLineChars="200"/>
        <w:jc w:val="both"/>
        <w:textAlignment w:val="auto"/>
        <w:rPr>
          <w:rFonts w:hint="default" w:ascii="Times New Roman" w:hAnsi="Times New Roman" w:eastAsia="仿宋" w:cs="Times New Roman"/>
          <w:b w:val="0"/>
          <w:color w:val="auto"/>
          <w:sz w:val="32"/>
          <w:szCs w:val="32"/>
          <w:highlight w:val="none"/>
          <w:lang w:val="en-US" w:eastAsia="zh-CN"/>
        </w:rPr>
      </w:pPr>
      <w:r>
        <w:rPr>
          <w:rFonts w:hint="default" w:ascii="Times New Roman" w:hAnsi="Times New Roman" w:eastAsia="仿宋" w:cs="Times New Roman"/>
          <w:b w:val="0"/>
          <w:color w:val="auto"/>
          <w:sz w:val="32"/>
          <w:szCs w:val="32"/>
          <w:highlight w:val="none"/>
          <w:lang w:val="en-US" w:eastAsia="zh-CN"/>
        </w:rPr>
        <w:t>项目支出主要是为完成特定工作任务或事业发展目标而发生的支出，主要用于责任彩票建设、公益品牌宣传推广、投注设备购置、彩票印制费、彩票销售系统建设和运行维护费等方面。2024年度，项目支出全年预算数为15080.54万元，其中2024年省本级业务费支出9412.09万元、2024年使用的2023年结转资金2752.45万元、2024年使用的2023年超收资金266万元、2024年中央调控资金2650万，决算数为10784.28万元，预算执行率71.51%。</w:t>
      </w:r>
    </w:p>
    <w:p>
      <w:pPr>
        <w:pStyle w:val="3"/>
        <w:keepNext w:val="0"/>
        <w:keepLines w:val="0"/>
        <w:pageBreakBefore w:val="0"/>
        <w:widowControl w:val="0"/>
        <w:kinsoku/>
        <w:wordWrap/>
        <w:overflowPunct w:val="0"/>
        <w:topLinePunct w:val="0"/>
        <w:autoSpaceDE w:val="0"/>
        <w:autoSpaceDN w:val="0"/>
        <w:bidi w:val="0"/>
        <w:adjustRightInd w:val="0"/>
        <w:snapToGrid w:val="0"/>
        <w:spacing w:before="0" w:beforeAutospacing="0" w:after="0" w:afterAutospacing="0" w:line="540" w:lineRule="exact"/>
        <w:ind w:right="0" w:firstLine="640" w:firstLineChars="200"/>
        <w:jc w:val="both"/>
        <w:textAlignment w:val="auto"/>
        <w:outlineLvl w:val="1"/>
        <w:rPr>
          <w:rFonts w:hint="default" w:ascii="Times New Roman" w:hAnsi="Times New Roman" w:eastAsia="楷体" w:cs="Times New Roman"/>
          <w:b/>
          <w:bCs/>
          <w:color w:val="auto"/>
          <w:kern w:val="2"/>
          <w:sz w:val="32"/>
          <w:szCs w:val="32"/>
          <w:highlight w:val="none"/>
          <w:lang w:val="en-US" w:eastAsia="zh-CN" w:bidi="ar-SA"/>
        </w:rPr>
      </w:pPr>
      <w:r>
        <w:rPr>
          <w:rFonts w:hint="default" w:ascii="Times New Roman" w:hAnsi="Times New Roman" w:eastAsia="楷体" w:cs="Times New Roman"/>
          <w:b/>
          <w:bCs/>
          <w:color w:val="auto"/>
          <w:kern w:val="2"/>
          <w:sz w:val="32"/>
          <w:szCs w:val="32"/>
          <w:highlight w:val="none"/>
          <w:lang w:val="en-US" w:eastAsia="zh-CN" w:bidi="ar-SA"/>
        </w:rPr>
        <w:t>（三）“三公”经费支出情况</w:t>
      </w:r>
    </w:p>
    <w:p>
      <w:pPr>
        <w:pStyle w:val="3"/>
        <w:keepNext w:val="0"/>
        <w:keepLines w:val="0"/>
        <w:pageBreakBefore w:val="0"/>
        <w:widowControl w:val="0"/>
        <w:kinsoku/>
        <w:wordWrap/>
        <w:overflowPunct w:val="0"/>
        <w:topLinePunct w:val="0"/>
        <w:autoSpaceDE w:val="0"/>
        <w:autoSpaceDN w:val="0"/>
        <w:bidi w:val="0"/>
        <w:adjustRightInd w:val="0"/>
        <w:snapToGrid w:val="0"/>
        <w:spacing w:before="0" w:beforeAutospacing="0" w:after="0" w:afterAutospacing="0" w:line="540" w:lineRule="exact"/>
        <w:ind w:left="0" w:leftChars="0" w:right="0" w:firstLine="640" w:firstLineChars="200"/>
        <w:jc w:val="both"/>
        <w:textAlignment w:val="auto"/>
        <w:outlineLvl w:val="1"/>
        <w:rPr>
          <w:rFonts w:hint="default" w:ascii="Times New Roman" w:hAnsi="Times New Roman" w:eastAsia="仿宋" w:cs="Times New Roman"/>
          <w:b w:val="0"/>
          <w:bCs w:val="0"/>
          <w:color w:val="auto"/>
          <w:kern w:val="2"/>
          <w:sz w:val="32"/>
          <w:szCs w:val="32"/>
          <w:highlight w:val="none"/>
          <w:lang w:val="en-US" w:eastAsia="zh-CN" w:bidi="ar-SA"/>
        </w:rPr>
      </w:pPr>
      <w:r>
        <w:rPr>
          <w:rFonts w:hint="default" w:ascii="Times New Roman" w:hAnsi="Times New Roman" w:eastAsia="仿宋" w:cs="Times New Roman"/>
          <w:b w:val="0"/>
          <w:bCs w:val="0"/>
          <w:color w:val="auto"/>
          <w:kern w:val="2"/>
          <w:sz w:val="32"/>
          <w:szCs w:val="32"/>
          <w:highlight w:val="none"/>
          <w:lang w:val="en-US" w:eastAsia="zh-CN" w:bidi="ar-SA"/>
        </w:rPr>
        <w:t>“三公”经费包括公务接待费、公务用车运行维护费、因公出国（境）费用。2024年度，“三公”经费预算数为17.9万元，“三公”经费决算数为7.2万元，其中：公务接待费0.65万元、公务用车购置和维护经费6.55万元、因公出国（境）未支出。“三公”经费决算数未超出年初财政预算数。</w:t>
      </w:r>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cs="Times New Roman"/>
          <w:b w:val="0"/>
          <w:color w:val="auto"/>
          <w:sz w:val="32"/>
          <w:szCs w:val="32"/>
          <w:highlight w:val="none"/>
        </w:rPr>
      </w:pPr>
      <w:bookmarkStart w:id="36" w:name="_Toc8495"/>
      <w:bookmarkStart w:id="37" w:name="_Toc29396"/>
      <w:r>
        <w:rPr>
          <w:rFonts w:hint="default" w:ascii="Times New Roman" w:hAnsi="Times New Roman" w:cs="Times New Roman"/>
          <w:b w:val="0"/>
          <w:color w:val="auto"/>
          <w:sz w:val="32"/>
          <w:szCs w:val="32"/>
          <w:highlight w:val="none"/>
          <w:lang w:val="en-US" w:eastAsia="zh-CN"/>
        </w:rPr>
        <w:t>四</w:t>
      </w:r>
      <w:r>
        <w:rPr>
          <w:rFonts w:hint="default" w:ascii="Times New Roman" w:hAnsi="Times New Roman" w:cs="Times New Roman"/>
          <w:b w:val="0"/>
          <w:color w:val="auto"/>
          <w:sz w:val="32"/>
          <w:szCs w:val="32"/>
          <w:highlight w:val="none"/>
        </w:rPr>
        <w:t>、国有资本经营预算支出情况</w:t>
      </w:r>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val="0"/>
          <w:color w:val="auto"/>
          <w:kern w:val="2"/>
          <w:sz w:val="32"/>
          <w:szCs w:val="32"/>
          <w:highlight w:val="none"/>
          <w:lang w:val="en-US" w:eastAsia="zh-CN" w:bidi="ar-SA"/>
        </w:rPr>
      </w:pPr>
      <w:r>
        <w:rPr>
          <w:rFonts w:hint="default" w:ascii="Times New Roman" w:hAnsi="Times New Roman" w:eastAsia="仿宋" w:cs="Times New Roman"/>
          <w:b w:val="0"/>
          <w:color w:val="auto"/>
          <w:kern w:val="2"/>
          <w:sz w:val="32"/>
          <w:szCs w:val="32"/>
          <w:highlight w:val="none"/>
          <w:lang w:val="en-US" w:eastAsia="zh-CN" w:bidi="ar-SA"/>
        </w:rPr>
        <w:t>省福彩中心是</w:t>
      </w:r>
      <w:r>
        <w:rPr>
          <w:rFonts w:hint="eastAsia" w:ascii="Times New Roman" w:hAnsi="Times New Roman" w:eastAsia="仿宋" w:cs="Times New Roman"/>
          <w:b w:val="0"/>
          <w:color w:val="auto"/>
          <w:kern w:val="2"/>
          <w:sz w:val="32"/>
          <w:szCs w:val="32"/>
          <w:highlight w:val="none"/>
          <w:lang w:val="en-US" w:eastAsia="zh-CN" w:bidi="ar-SA"/>
        </w:rPr>
        <w:t>自收自支</w:t>
      </w:r>
      <w:r>
        <w:rPr>
          <w:rFonts w:hint="default" w:ascii="Times New Roman" w:hAnsi="Times New Roman" w:eastAsia="仿宋" w:cs="Times New Roman"/>
          <w:b w:val="0"/>
          <w:color w:val="auto"/>
          <w:kern w:val="2"/>
          <w:sz w:val="32"/>
          <w:szCs w:val="32"/>
          <w:highlight w:val="none"/>
          <w:lang w:val="en-US" w:eastAsia="zh-CN" w:bidi="ar-SA"/>
        </w:rPr>
        <w:t>的事业单位，业务费支出均属于政府性基金预算支出，无国有资本经营预算支出。</w:t>
      </w:r>
    </w:p>
    <w:p>
      <w:pPr>
        <w:keepNext w:val="0"/>
        <w:keepLines w:val="0"/>
        <w:pageBreakBefore w:val="0"/>
        <w:kinsoku/>
        <w:wordWrap/>
        <w:topLinePunct w:val="0"/>
        <w:bidi w:val="0"/>
        <w:spacing w:line="540" w:lineRule="exact"/>
        <w:ind w:right="0"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社会保险基金预算支出情况</w:t>
      </w:r>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val="0"/>
          <w:color w:val="auto"/>
          <w:kern w:val="2"/>
          <w:sz w:val="32"/>
          <w:szCs w:val="32"/>
          <w:highlight w:val="none"/>
          <w:lang w:val="en-US" w:eastAsia="zh-CN" w:bidi="ar-SA"/>
        </w:rPr>
      </w:pPr>
      <w:r>
        <w:rPr>
          <w:rFonts w:hint="default" w:ascii="Times New Roman" w:hAnsi="Times New Roman" w:eastAsia="仿宋" w:cs="Times New Roman"/>
          <w:b w:val="0"/>
          <w:color w:val="auto"/>
          <w:kern w:val="2"/>
          <w:sz w:val="32"/>
          <w:szCs w:val="32"/>
          <w:highlight w:val="none"/>
          <w:lang w:val="en-US" w:eastAsia="zh-CN" w:bidi="ar-SA"/>
        </w:rPr>
        <w:t>省福彩中心是</w:t>
      </w:r>
      <w:r>
        <w:rPr>
          <w:rFonts w:hint="eastAsia" w:ascii="Times New Roman" w:hAnsi="Times New Roman" w:eastAsia="仿宋" w:cs="Times New Roman"/>
          <w:b w:val="0"/>
          <w:color w:val="auto"/>
          <w:kern w:val="2"/>
          <w:sz w:val="32"/>
          <w:szCs w:val="32"/>
          <w:highlight w:val="none"/>
          <w:lang w:val="en-US" w:eastAsia="zh-CN" w:bidi="ar-SA"/>
        </w:rPr>
        <w:t>自收自支</w:t>
      </w:r>
      <w:r>
        <w:rPr>
          <w:rFonts w:hint="default" w:ascii="Times New Roman" w:hAnsi="Times New Roman" w:eastAsia="仿宋" w:cs="Times New Roman"/>
          <w:b w:val="0"/>
          <w:color w:val="auto"/>
          <w:kern w:val="2"/>
          <w:sz w:val="32"/>
          <w:szCs w:val="32"/>
          <w:highlight w:val="none"/>
          <w:lang w:val="en-US" w:eastAsia="zh-CN" w:bidi="ar-SA"/>
        </w:rPr>
        <w:t>的事业单位，业务费支出均属于政府性基金预算支出，无社会保险基金预算支出。</w:t>
      </w:r>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val="0"/>
          <w:color w:val="auto"/>
          <w:sz w:val="32"/>
          <w:szCs w:val="32"/>
          <w:highlight w:val="none"/>
          <w:lang w:val="en-US" w:eastAsia="zh-CN"/>
        </w:rPr>
        <w:t>六、</w:t>
      </w:r>
      <w:r>
        <w:rPr>
          <w:rFonts w:hint="default" w:ascii="Times New Roman" w:hAnsi="Times New Roman" w:cs="Times New Roman"/>
          <w:b w:val="0"/>
          <w:color w:val="auto"/>
          <w:sz w:val="32"/>
          <w:szCs w:val="32"/>
          <w:highlight w:val="none"/>
        </w:rPr>
        <w:t>部门整体支出绩效情况</w:t>
      </w:r>
      <w:bookmarkEnd w:id="36"/>
      <w:bookmarkEnd w:id="37"/>
      <w:bookmarkStart w:id="38" w:name="_Toc14953"/>
      <w:bookmarkStart w:id="39" w:name="_Toc13809"/>
    </w:p>
    <w:p>
      <w:pPr>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4" w:firstLineChars="200"/>
        <w:textAlignment w:val="auto"/>
        <w:outlineLvl w:val="0"/>
        <w:rPr>
          <w:rFonts w:hint="default" w:ascii="Times New Roman" w:hAnsi="Times New Roman" w:eastAsia="仿宋" w:cs="Times New Roman"/>
          <w:color w:val="auto"/>
          <w:spacing w:val="1"/>
          <w:sz w:val="32"/>
          <w:szCs w:val="32"/>
          <w:highlight w:val="none"/>
          <w:lang w:val="en-US" w:eastAsia="zh-CN"/>
        </w:rPr>
      </w:pPr>
      <w:r>
        <w:rPr>
          <w:rFonts w:hint="default" w:ascii="Times New Roman" w:hAnsi="Times New Roman" w:eastAsia="仿宋" w:cs="Times New Roman"/>
          <w:color w:val="auto"/>
          <w:spacing w:val="1"/>
          <w:sz w:val="32"/>
          <w:szCs w:val="32"/>
          <w:highlight w:val="none"/>
          <w:lang w:val="zh-TW" w:eastAsia="zh-CN"/>
        </w:rPr>
        <w:t>202</w:t>
      </w:r>
      <w:r>
        <w:rPr>
          <w:rFonts w:hint="default" w:ascii="Times New Roman" w:hAnsi="Times New Roman" w:eastAsia="仿宋" w:cs="Times New Roman"/>
          <w:color w:val="auto"/>
          <w:spacing w:val="1"/>
          <w:sz w:val="32"/>
          <w:szCs w:val="32"/>
          <w:highlight w:val="none"/>
          <w:lang w:val="en-US" w:eastAsia="zh-CN"/>
        </w:rPr>
        <w:t>4</w:t>
      </w:r>
      <w:r>
        <w:rPr>
          <w:rFonts w:hint="default" w:ascii="Times New Roman" w:hAnsi="Times New Roman" w:eastAsia="仿宋" w:cs="Times New Roman"/>
          <w:color w:val="auto"/>
          <w:spacing w:val="1"/>
          <w:sz w:val="32"/>
          <w:szCs w:val="32"/>
          <w:highlight w:val="none"/>
          <w:lang w:val="zh-TW" w:eastAsia="zh-CN"/>
        </w:rPr>
        <w:t>年</w:t>
      </w:r>
      <w:r>
        <w:rPr>
          <w:rFonts w:hint="default" w:ascii="Times New Roman" w:hAnsi="Times New Roman" w:eastAsia="仿宋" w:cs="Times New Roman"/>
          <w:color w:val="auto"/>
          <w:spacing w:val="1"/>
          <w:sz w:val="32"/>
          <w:szCs w:val="32"/>
          <w:highlight w:val="none"/>
          <w:lang w:val="en-US" w:eastAsia="zh-CN"/>
        </w:rPr>
        <w:t>在省财政厅、省民政厅党组的坚强领导下，全省</w:t>
      </w:r>
      <w:r>
        <w:rPr>
          <w:rFonts w:hint="default" w:ascii="Times New Roman" w:hAnsi="Times New Roman" w:eastAsia="仿宋" w:cs="Times New Roman"/>
          <w:color w:val="auto"/>
          <w:spacing w:val="1"/>
          <w:sz w:val="32"/>
          <w:szCs w:val="32"/>
          <w:highlight w:val="none"/>
          <w:lang w:val="zh-TW" w:eastAsia="zh-CN"/>
        </w:rPr>
        <w:t>福彩</w:t>
      </w:r>
      <w:r>
        <w:rPr>
          <w:rFonts w:hint="default" w:ascii="Times New Roman" w:hAnsi="Times New Roman" w:eastAsia="仿宋" w:cs="Times New Roman"/>
          <w:color w:val="auto"/>
          <w:spacing w:val="1"/>
          <w:sz w:val="32"/>
          <w:szCs w:val="32"/>
          <w:highlight w:val="none"/>
          <w:lang w:val="en-US" w:eastAsia="zh-CN"/>
        </w:rPr>
        <w:t>系统</w:t>
      </w:r>
      <w:r>
        <w:rPr>
          <w:rFonts w:hint="default" w:ascii="Times New Roman" w:hAnsi="Times New Roman" w:eastAsia="仿宋" w:cs="Times New Roman"/>
          <w:color w:val="auto"/>
          <w:spacing w:val="1"/>
          <w:sz w:val="32"/>
          <w:szCs w:val="32"/>
          <w:highlight w:val="none"/>
          <w:lang w:val="zh-TW" w:eastAsia="zh-CN"/>
        </w:rPr>
        <w:t>坚持以习近平新时代中国特色社会主义思想为指导，</w:t>
      </w:r>
      <w:r>
        <w:rPr>
          <w:rFonts w:hint="default" w:ascii="Times New Roman" w:hAnsi="Times New Roman" w:eastAsia="仿宋" w:cs="Times New Roman"/>
          <w:color w:val="auto"/>
          <w:spacing w:val="1"/>
          <w:sz w:val="32"/>
          <w:szCs w:val="32"/>
          <w:highlight w:val="none"/>
          <w:lang w:val="en-US" w:eastAsia="zh-CN"/>
        </w:rPr>
        <w:t>认真践行福利彩票“政治性、人民性、公益性”，进一步全面深化改革，</w:t>
      </w:r>
      <w:r>
        <w:rPr>
          <w:rFonts w:hint="default" w:ascii="Times New Roman" w:hAnsi="Times New Roman" w:eastAsia="仿宋" w:cs="Times New Roman"/>
          <w:color w:val="auto"/>
          <w:spacing w:val="1"/>
          <w:sz w:val="32"/>
          <w:szCs w:val="32"/>
          <w:highlight w:val="none"/>
          <w:lang w:val="zh-TW" w:eastAsia="zh-CN"/>
        </w:rPr>
        <w:t>加强销售规范管理，深化责任彩票建设，推动福彩事业高质量发展。全省福彩销售88.9</w:t>
      </w:r>
      <w:r>
        <w:rPr>
          <w:rFonts w:hint="default" w:ascii="Times New Roman" w:hAnsi="Times New Roman" w:eastAsia="仿宋" w:cs="Times New Roman"/>
          <w:color w:val="auto"/>
          <w:spacing w:val="1"/>
          <w:sz w:val="32"/>
          <w:szCs w:val="32"/>
          <w:highlight w:val="none"/>
          <w:lang w:val="en-US" w:eastAsia="zh-CN"/>
        </w:rPr>
        <w:t>1</w:t>
      </w:r>
      <w:r>
        <w:rPr>
          <w:rFonts w:hint="default" w:ascii="Times New Roman" w:hAnsi="Times New Roman" w:eastAsia="仿宋" w:cs="Times New Roman"/>
          <w:color w:val="auto"/>
          <w:spacing w:val="1"/>
          <w:sz w:val="32"/>
          <w:szCs w:val="32"/>
          <w:highlight w:val="none"/>
          <w:lang w:val="zh-TW" w:eastAsia="zh-CN"/>
        </w:rPr>
        <w:t>亿元，同比增幅10.7</w:t>
      </w:r>
      <w:r>
        <w:rPr>
          <w:rFonts w:hint="default" w:ascii="Times New Roman" w:hAnsi="Times New Roman" w:eastAsia="仿宋" w:cs="Times New Roman"/>
          <w:color w:val="auto"/>
          <w:spacing w:val="1"/>
          <w:sz w:val="32"/>
          <w:szCs w:val="32"/>
          <w:highlight w:val="none"/>
          <w:lang w:val="en-US" w:eastAsia="zh-CN"/>
        </w:rPr>
        <w:t>2</w:t>
      </w:r>
      <w:r>
        <w:rPr>
          <w:rFonts w:hint="default" w:ascii="Times New Roman" w:hAnsi="Times New Roman" w:eastAsia="仿宋" w:cs="Times New Roman"/>
          <w:color w:val="auto"/>
          <w:spacing w:val="1"/>
          <w:sz w:val="32"/>
          <w:szCs w:val="32"/>
          <w:highlight w:val="none"/>
          <w:lang w:val="zh-TW" w:eastAsia="zh-CN"/>
        </w:rPr>
        <w:t>%；</w:t>
      </w:r>
      <w:r>
        <w:rPr>
          <w:rFonts w:hint="default" w:ascii="Times New Roman" w:hAnsi="Times New Roman" w:eastAsia="仿宋" w:cs="Times New Roman"/>
          <w:color w:val="auto"/>
          <w:spacing w:val="1"/>
          <w:sz w:val="32"/>
          <w:szCs w:val="32"/>
          <w:highlight w:val="none"/>
          <w:lang w:val="en-US" w:eastAsia="zh-CN"/>
        </w:rPr>
        <w:t>筹集公益金27.14亿元，上缴国家税收1.67亿元</w:t>
      </w:r>
      <w:r>
        <w:rPr>
          <w:rFonts w:hint="default" w:ascii="Times New Roman" w:hAnsi="Times New Roman" w:eastAsia="仿宋" w:cs="Times New Roman"/>
          <w:color w:val="auto"/>
          <w:spacing w:val="1"/>
          <w:sz w:val="32"/>
          <w:szCs w:val="32"/>
          <w:highlight w:val="none"/>
          <w:lang w:val="zh-TW" w:eastAsia="zh-CN"/>
        </w:rPr>
        <w:t>。助力稳就业保就业，开展“业主征召”活动，助力高校毕业生、退伍军人、务工返乡人员等创业就业，实现新增就业岗位近1000个，</w:t>
      </w:r>
      <w:r>
        <w:rPr>
          <w:rFonts w:hint="default" w:ascii="Times New Roman" w:hAnsi="Times New Roman" w:eastAsia="仿宋" w:cs="Times New Roman"/>
          <w:color w:val="auto"/>
          <w:spacing w:val="1"/>
          <w:sz w:val="32"/>
          <w:szCs w:val="32"/>
          <w:highlight w:val="none"/>
          <w:lang w:val="en-US" w:eastAsia="zh-CN"/>
        </w:rPr>
        <w:t>销售网点业主代销费收入7.55亿元，</w:t>
      </w:r>
      <w:r>
        <w:rPr>
          <w:rFonts w:hint="default" w:ascii="Times New Roman" w:hAnsi="Times New Roman" w:eastAsia="仿宋" w:cs="Times New Roman"/>
          <w:color w:val="auto"/>
          <w:spacing w:val="1"/>
          <w:sz w:val="32"/>
          <w:szCs w:val="32"/>
          <w:highlight w:val="none"/>
          <w:lang w:val="zh-CN" w:eastAsia="zh-CN"/>
        </w:rPr>
        <w:t>同比增加</w:t>
      </w:r>
      <w:r>
        <w:rPr>
          <w:rFonts w:hint="default" w:ascii="Times New Roman" w:hAnsi="Times New Roman" w:eastAsia="仿宋" w:cs="Times New Roman"/>
          <w:color w:val="auto"/>
          <w:spacing w:val="1"/>
          <w:sz w:val="32"/>
          <w:szCs w:val="32"/>
          <w:highlight w:val="none"/>
          <w:lang w:val="en-US" w:eastAsia="zh-CN"/>
        </w:rPr>
        <w:t>0.73亿元</w:t>
      </w:r>
      <w:r>
        <w:rPr>
          <w:rFonts w:hint="default" w:ascii="Times New Roman" w:hAnsi="Times New Roman" w:eastAsia="仿宋" w:cs="Times New Roman"/>
          <w:color w:val="auto"/>
          <w:spacing w:val="1"/>
          <w:sz w:val="32"/>
          <w:szCs w:val="32"/>
          <w:highlight w:val="none"/>
          <w:lang w:val="zh-CN" w:eastAsia="zh-CN"/>
        </w:rPr>
        <w:t>，为“六稳”、“六保”作出了积极努力</w:t>
      </w:r>
      <w:r>
        <w:rPr>
          <w:rFonts w:hint="default" w:ascii="Times New Roman" w:hAnsi="Times New Roman" w:eastAsia="仿宋" w:cs="Times New Roman"/>
          <w:color w:val="auto"/>
          <w:spacing w:val="1"/>
          <w:sz w:val="32"/>
          <w:szCs w:val="32"/>
          <w:highlight w:val="none"/>
          <w:lang w:val="zh-TW" w:eastAsia="zh-CN"/>
        </w:rPr>
        <w:t>。</w:t>
      </w:r>
    </w:p>
    <w:bookmarkEnd w:id="38"/>
    <w:bookmarkEnd w:id="39"/>
    <w:p>
      <w:pPr>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4" w:firstLineChars="200"/>
        <w:textAlignment w:val="auto"/>
        <w:outlineLvl w:val="0"/>
        <w:rPr>
          <w:rFonts w:hint="default" w:ascii="Times New Roman" w:hAnsi="Times New Roman" w:cs="Times New Roman"/>
          <w:b w:val="0"/>
          <w:color w:val="auto"/>
          <w:sz w:val="32"/>
          <w:szCs w:val="32"/>
          <w:highlight w:val="none"/>
          <w:lang w:val="en-US" w:eastAsia="zh-CN"/>
        </w:rPr>
      </w:pPr>
      <w:bookmarkStart w:id="40" w:name="_Toc30447"/>
      <w:bookmarkStart w:id="41" w:name="_Toc27872"/>
      <w:r>
        <w:rPr>
          <w:rFonts w:hint="default" w:ascii="Times New Roman" w:hAnsi="Times New Roman" w:eastAsia="仿宋" w:cs="Times New Roman"/>
          <w:color w:val="auto"/>
          <w:spacing w:val="1"/>
          <w:sz w:val="32"/>
          <w:szCs w:val="32"/>
          <w:highlight w:val="none"/>
        </w:rPr>
        <w:t>按照绩效评价管理办法</w:t>
      </w:r>
      <w:r>
        <w:rPr>
          <w:rFonts w:hint="default" w:ascii="Times New Roman" w:hAnsi="Times New Roman" w:eastAsia="仿宋" w:cs="Times New Roman"/>
          <w:color w:val="auto"/>
          <w:spacing w:val="1"/>
          <w:sz w:val="32"/>
          <w:szCs w:val="32"/>
          <w:highlight w:val="none"/>
          <w:lang w:val="en-US" w:eastAsia="zh-CN"/>
        </w:rPr>
        <w:t>相关</w:t>
      </w:r>
      <w:r>
        <w:rPr>
          <w:rFonts w:hint="default" w:ascii="Times New Roman" w:hAnsi="Times New Roman" w:eastAsia="仿宋" w:cs="Times New Roman"/>
          <w:color w:val="auto"/>
          <w:spacing w:val="1"/>
          <w:sz w:val="32"/>
          <w:szCs w:val="32"/>
          <w:highlight w:val="none"/>
        </w:rPr>
        <w:t>规定，省福彩中心</w:t>
      </w:r>
      <w:r>
        <w:rPr>
          <w:rFonts w:hint="default" w:ascii="Times New Roman" w:hAnsi="Times New Roman" w:eastAsia="仿宋" w:cs="Times New Roman"/>
          <w:color w:val="auto"/>
          <w:spacing w:val="1"/>
          <w:sz w:val="32"/>
          <w:szCs w:val="32"/>
          <w:highlight w:val="none"/>
          <w:lang w:val="en-US" w:eastAsia="zh-CN"/>
        </w:rPr>
        <w:t>2024年度</w:t>
      </w:r>
      <w:r>
        <w:rPr>
          <w:rFonts w:hint="default" w:ascii="Times New Roman" w:hAnsi="Times New Roman" w:eastAsia="仿宋" w:cs="Times New Roman"/>
          <w:color w:val="auto"/>
          <w:spacing w:val="1"/>
          <w:sz w:val="32"/>
          <w:szCs w:val="32"/>
          <w:highlight w:val="none"/>
        </w:rPr>
        <w:t>部门整体支出绩效自评标准是：预算执行率10分，产出指标</w:t>
      </w:r>
      <w:r>
        <w:rPr>
          <w:rFonts w:hint="default" w:ascii="Times New Roman" w:hAnsi="Times New Roman" w:eastAsia="仿宋" w:cs="Times New Roman"/>
          <w:color w:val="auto"/>
          <w:spacing w:val="1"/>
          <w:sz w:val="32"/>
          <w:szCs w:val="32"/>
          <w:highlight w:val="none"/>
          <w:lang w:val="en-US" w:eastAsia="zh-CN"/>
        </w:rPr>
        <w:t>4</w:t>
      </w:r>
      <w:r>
        <w:rPr>
          <w:rFonts w:hint="default" w:ascii="Times New Roman" w:hAnsi="Times New Roman" w:eastAsia="仿宋" w:cs="Times New Roman"/>
          <w:color w:val="auto"/>
          <w:spacing w:val="1"/>
          <w:sz w:val="32"/>
          <w:szCs w:val="32"/>
          <w:highlight w:val="none"/>
        </w:rPr>
        <w:t>0分、效益指标30分、满意度指标10分</w:t>
      </w:r>
      <w:r>
        <w:rPr>
          <w:rFonts w:hint="default" w:ascii="Times New Roman" w:hAnsi="Times New Roman" w:eastAsia="仿宋" w:cs="Times New Roman"/>
          <w:color w:val="auto"/>
          <w:spacing w:val="1"/>
          <w:sz w:val="32"/>
          <w:szCs w:val="32"/>
          <w:highlight w:val="none"/>
          <w:lang w:eastAsia="zh-CN"/>
        </w:rPr>
        <w:t>、</w:t>
      </w:r>
      <w:r>
        <w:rPr>
          <w:rFonts w:hint="default" w:ascii="Times New Roman" w:hAnsi="Times New Roman" w:eastAsia="仿宋" w:cs="Times New Roman"/>
          <w:color w:val="auto"/>
          <w:spacing w:val="1"/>
          <w:sz w:val="32"/>
          <w:szCs w:val="32"/>
          <w:highlight w:val="none"/>
          <w:lang w:val="en-US" w:eastAsia="zh-CN"/>
        </w:rPr>
        <w:t>成本指标10分</w:t>
      </w:r>
      <w:r>
        <w:rPr>
          <w:rFonts w:hint="default" w:ascii="Times New Roman" w:hAnsi="Times New Roman" w:eastAsia="仿宋" w:cs="Times New Roman"/>
          <w:color w:val="auto"/>
          <w:spacing w:val="1"/>
          <w:sz w:val="32"/>
          <w:szCs w:val="32"/>
          <w:highlight w:val="none"/>
        </w:rPr>
        <w:t>。结合对各项目的预期目标、执行过程及绩效指标</w:t>
      </w:r>
      <w:r>
        <w:rPr>
          <w:rFonts w:hint="default" w:ascii="Times New Roman" w:hAnsi="Times New Roman" w:eastAsia="仿宋" w:cs="Times New Roman"/>
          <w:color w:val="auto"/>
          <w:spacing w:val="1"/>
          <w:sz w:val="32"/>
          <w:szCs w:val="32"/>
          <w:highlight w:val="none"/>
          <w:lang w:val="zh-TW"/>
        </w:rPr>
        <w:t>进行</w:t>
      </w:r>
      <w:r>
        <w:rPr>
          <w:rFonts w:hint="default" w:ascii="Times New Roman" w:hAnsi="Times New Roman" w:eastAsia="仿宋" w:cs="Times New Roman"/>
          <w:color w:val="auto"/>
          <w:spacing w:val="1"/>
          <w:sz w:val="32"/>
          <w:szCs w:val="32"/>
          <w:highlight w:val="none"/>
        </w:rPr>
        <w:t>自评</w:t>
      </w:r>
      <w:r>
        <w:rPr>
          <w:rFonts w:hint="default" w:ascii="Times New Roman" w:hAnsi="Times New Roman" w:eastAsia="仿宋" w:cs="Times New Roman"/>
          <w:color w:val="auto"/>
          <w:spacing w:val="1"/>
          <w:sz w:val="32"/>
          <w:szCs w:val="32"/>
          <w:highlight w:val="none"/>
          <w:lang w:eastAsia="zh-CN"/>
        </w:rPr>
        <w:t>，</w:t>
      </w:r>
      <w:r>
        <w:rPr>
          <w:rFonts w:hint="default" w:ascii="Times New Roman" w:hAnsi="Times New Roman" w:eastAsia="仿宋" w:cs="Times New Roman"/>
          <w:color w:val="auto"/>
          <w:spacing w:val="1"/>
          <w:sz w:val="32"/>
          <w:szCs w:val="32"/>
          <w:highlight w:val="none"/>
        </w:rPr>
        <w:t>省福彩中心</w:t>
      </w:r>
      <w:r>
        <w:rPr>
          <w:rFonts w:hint="default" w:ascii="Times New Roman" w:hAnsi="Times New Roman" w:eastAsia="仿宋" w:cs="Times New Roman"/>
          <w:color w:val="auto"/>
          <w:spacing w:val="1"/>
          <w:sz w:val="32"/>
          <w:szCs w:val="32"/>
          <w:highlight w:val="none"/>
          <w:lang w:eastAsia="zh-CN"/>
        </w:rPr>
        <w:t>2024年度</w:t>
      </w:r>
      <w:r>
        <w:rPr>
          <w:rFonts w:hint="default" w:ascii="Times New Roman" w:hAnsi="Times New Roman" w:eastAsia="仿宋" w:cs="Times New Roman"/>
          <w:color w:val="auto"/>
          <w:spacing w:val="1"/>
          <w:sz w:val="32"/>
          <w:szCs w:val="32"/>
          <w:highlight w:val="none"/>
        </w:rPr>
        <w:t>部门整体支出绩效自评得分为</w:t>
      </w:r>
      <w:r>
        <w:rPr>
          <w:rFonts w:hint="default" w:ascii="Times New Roman" w:hAnsi="Times New Roman" w:eastAsia="仿宋" w:cs="Times New Roman"/>
          <w:color w:val="auto"/>
          <w:spacing w:val="1"/>
          <w:sz w:val="32"/>
          <w:szCs w:val="32"/>
          <w:highlight w:val="none"/>
          <w:lang w:val="en-US" w:eastAsia="zh-CN"/>
        </w:rPr>
        <w:t>97.31</w:t>
      </w:r>
      <w:r>
        <w:rPr>
          <w:rFonts w:hint="default" w:ascii="Times New Roman" w:hAnsi="Times New Roman" w:eastAsia="仿宋" w:cs="Times New Roman"/>
          <w:color w:val="auto"/>
          <w:spacing w:val="1"/>
          <w:sz w:val="32"/>
          <w:szCs w:val="32"/>
          <w:highlight w:val="none"/>
        </w:rPr>
        <w:t>分，自评结果为“优”。</w:t>
      </w:r>
    </w:p>
    <w:p>
      <w:pPr>
        <w:pStyle w:val="3"/>
        <w:keepNext w:val="0"/>
        <w:keepLines w:val="0"/>
        <w:pageBreakBefore w:val="0"/>
        <w:kinsoku/>
        <w:wordWrap/>
        <w:overflowPunct w:val="0"/>
        <w:topLinePunct w:val="0"/>
        <w:autoSpaceDE w:val="0"/>
        <w:autoSpaceDN w:val="0"/>
        <w:bidi w:val="0"/>
        <w:adjustRightInd w:val="0"/>
        <w:snapToGrid w:val="0"/>
        <w:spacing w:before="0" w:beforeAutospacing="0" w:after="0" w:afterAutospacing="0" w:line="540" w:lineRule="exact"/>
        <w:ind w:right="0" w:firstLine="596" w:firstLineChars="200"/>
        <w:jc w:val="both"/>
        <w:textAlignment w:val="auto"/>
        <w:outlineLvl w:val="1"/>
        <w:rPr>
          <w:rFonts w:hint="default" w:ascii="Times New Roman" w:hAnsi="Times New Roman" w:eastAsia="楷体" w:cs="Times New Roman"/>
          <w:b/>
          <w:bCs w:val="0"/>
          <w:color w:val="auto"/>
          <w:spacing w:val="-11"/>
          <w:kern w:val="2"/>
          <w:sz w:val="32"/>
          <w:szCs w:val="32"/>
          <w:highlight w:val="none"/>
          <w:lang w:val="en-US" w:eastAsia="zh-CN" w:bidi="ar-SA"/>
        </w:rPr>
      </w:pPr>
      <w:r>
        <w:rPr>
          <w:rFonts w:hint="default" w:ascii="Times New Roman" w:hAnsi="Times New Roman" w:eastAsia="楷体" w:cs="Times New Roman"/>
          <w:b/>
          <w:bCs w:val="0"/>
          <w:color w:val="auto"/>
          <w:spacing w:val="-11"/>
          <w:kern w:val="2"/>
          <w:sz w:val="32"/>
          <w:szCs w:val="32"/>
          <w:highlight w:val="none"/>
          <w:lang w:val="en-US" w:eastAsia="zh-CN" w:bidi="ar-SA"/>
        </w:rPr>
        <w:t>（一）</w:t>
      </w:r>
      <w:r>
        <w:rPr>
          <w:rFonts w:hint="default" w:ascii="Times New Roman" w:hAnsi="Times New Roman" w:eastAsia="楷体" w:cs="Times New Roman"/>
          <w:b/>
          <w:bCs w:val="0"/>
          <w:color w:val="auto"/>
          <w:spacing w:val="-11"/>
          <w:kern w:val="2"/>
          <w:sz w:val="32"/>
          <w:szCs w:val="32"/>
          <w:highlight w:val="none"/>
          <w:lang w:bidi="ar-SA"/>
        </w:rPr>
        <w:t>预算执行率</w:t>
      </w:r>
      <w:r>
        <w:rPr>
          <w:rFonts w:hint="default" w:ascii="Times New Roman" w:hAnsi="Times New Roman" w:eastAsia="楷体" w:cs="Times New Roman"/>
          <w:b/>
          <w:bCs w:val="0"/>
          <w:color w:val="auto"/>
          <w:spacing w:val="-11"/>
          <w:kern w:val="2"/>
          <w:sz w:val="32"/>
          <w:szCs w:val="32"/>
          <w:highlight w:val="none"/>
          <w:lang w:eastAsia="zh-CN" w:bidi="ar-SA"/>
        </w:rPr>
        <w:t>（</w:t>
      </w:r>
      <w:r>
        <w:rPr>
          <w:rFonts w:hint="default" w:ascii="Times New Roman" w:hAnsi="Times New Roman" w:eastAsia="楷体" w:cs="Times New Roman"/>
          <w:b/>
          <w:bCs w:val="0"/>
          <w:color w:val="auto"/>
          <w:spacing w:val="-11"/>
          <w:kern w:val="2"/>
          <w:sz w:val="32"/>
          <w:szCs w:val="32"/>
          <w:highlight w:val="none"/>
          <w:lang w:bidi="ar-SA"/>
        </w:rPr>
        <w:t>分值10分，得</w:t>
      </w:r>
      <w:r>
        <w:rPr>
          <w:rFonts w:hint="default" w:ascii="Times New Roman" w:hAnsi="Times New Roman" w:eastAsia="楷体" w:cs="Times New Roman"/>
          <w:b/>
          <w:bCs w:val="0"/>
          <w:color w:val="auto"/>
          <w:spacing w:val="-11"/>
          <w:kern w:val="2"/>
          <w:sz w:val="32"/>
          <w:szCs w:val="32"/>
          <w:highlight w:val="none"/>
          <w:lang w:val="en-US" w:eastAsia="zh-CN" w:bidi="ar-SA"/>
        </w:rPr>
        <w:t>7.36</w:t>
      </w:r>
      <w:r>
        <w:rPr>
          <w:rFonts w:hint="default" w:ascii="Times New Roman" w:hAnsi="Times New Roman" w:eastAsia="楷体" w:cs="Times New Roman"/>
          <w:b/>
          <w:bCs w:val="0"/>
          <w:color w:val="auto"/>
          <w:spacing w:val="-11"/>
          <w:kern w:val="2"/>
          <w:sz w:val="32"/>
          <w:szCs w:val="32"/>
          <w:highlight w:val="none"/>
          <w:lang w:bidi="ar-SA"/>
        </w:rPr>
        <w:t>分</w:t>
      </w:r>
      <w:r>
        <w:rPr>
          <w:rFonts w:hint="default" w:ascii="Times New Roman" w:hAnsi="Times New Roman" w:eastAsia="楷体" w:cs="Times New Roman"/>
          <w:b/>
          <w:bCs w:val="0"/>
          <w:color w:val="auto"/>
          <w:spacing w:val="-11"/>
          <w:kern w:val="2"/>
          <w:sz w:val="32"/>
          <w:szCs w:val="32"/>
          <w:highlight w:val="none"/>
          <w:lang w:eastAsia="zh-CN" w:bidi="ar-SA"/>
        </w:rPr>
        <w:t>）</w:t>
      </w:r>
    </w:p>
    <w:p>
      <w:pPr>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sz w:val="32"/>
          <w:szCs w:val="32"/>
          <w:highlight w:val="none"/>
          <w:lang w:val="zh-CN"/>
        </w:rPr>
      </w:pPr>
      <w:r>
        <w:rPr>
          <w:rFonts w:hint="default" w:ascii="Times New Roman" w:hAnsi="Times New Roman" w:eastAsia="仿宋" w:cs="Times New Roman"/>
          <w:color w:val="auto"/>
          <w:sz w:val="32"/>
          <w:szCs w:val="32"/>
          <w:highlight w:val="none"/>
        </w:rPr>
        <w:t>202</w:t>
      </w:r>
      <w:r>
        <w:rPr>
          <w:rFonts w:hint="default" w:ascii="Times New Roman" w:hAnsi="Times New Roman" w:eastAsia="仿宋" w:cs="Times New Roman"/>
          <w:color w:val="auto"/>
          <w:sz w:val="32"/>
          <w:szCs w:val="32"/>
          <w:highlight w:val="none"/>
          <w:lang w:val="en-US" w:eastAsia="zh-CN"/>
        </w:rPr>
        <w:t>4</w:t>
      </w:r>
      <w:r>
        <w:rPr>
          <w:rFonts w:hint="default" w:ascii="Times New Roman" w:hAnsi="Times New Roman" w:eastAsia="仿宋" w:cs="Times New Roman"/>
          <w:color w:val="auto"/>
          <w:sz w:val="32"/>
          <w:szCs w:val="32"/>
          <w:highlight w:val="none"/>
        </w:rPr>
        <w:t>年政府性基金预算支出数为16</w:t>
      </w:r>
      <w:r>
        <w:rPr>
          <w:rFonts w:hint="default" w:ascii="Times New Roman" w:hAnsi="Times New Roman" w:eastAsia="仿宋" w:cs="Times New Roman"/>
          <w:color w:val="auto"/>
          <w:sz w:val="32"/>
          <w:szCs w:val="32"/>
          <w:highlight w:val="none"/>
          <w:lang w:val="en-US" w:eastAsia="zh-CN"/>
        </w:rPr>
        <w:t>921.43</w:t>
      </w:r>
      <w:r>
        <w:rPr>
          <w:rFonts w:hint="default" w:ascii="Times New Roman" w:hAnsi="Times New Roman" w:eastAsia="仿宋" w:cs="Times New Roman"/>
          <w:color w:val="auto"/>
          <w:sz w:val="32"/>
          <w:szCs w:val="32"/>
          <w:highlight w:val="none"/>
        </w:rPr>
        <w:t>万元，执行数为1</w:t>
      </w:r>
      <w:r>
        <w:rPr>
          <w:rFonts w:hint="default" w:ascii="Times New Roman" w:hAnsi="Times New Roman" w:eastAsia="仿宋" w:cs="Times New Roman"/>
          <w:color w:val="auto"/>
          <w:sz w:val="32"/>
          <w:szCs w:val="32"/>
          <w:highlight w:val="none"/>
          <w:lang w:val="en-US" w:eastAsia="zh-CN"/>
        </w:rPr>
        <w:t>2453.62</w:t>
      </w:r>
      <w:r>
        <w:rPr>
          <w:rFonts w:hint="default" w:ascii="Times New Roman" w:hAnsi="Times New Roman" w:eastAsia="仿宋" w:cs="Times New Roman"/>
          <w:color w:val="auto"/>
          <w:sz w:val="32"/>
          <w:szCs w:val="32"/>
          <w:highlight w:val="none"/>
        </w:rPr>
        <w:t>万元，资金预算执行率为</w:t>
      </w:r>
      <w:r>
        <w:rPr>
          <w:rFonts w:hint="default" w:ascii="Times New Roman" w:hAnsi="Times New Roman" w:eastAsia="仿宋" w:cs="Times New Roman"/>
          <w:color w:val="auto"/>
          <w:sz w:val="32"/>
          <w:szCs w:val="32"/>
          <w:highlight w:val="none"/>
          <w:lang w:val="en-US" w:eastAsia="zh-CN"/>
        </w:rPr>
        <w:t>73</w:t>
      </w: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60</w:t>
      </w:r>
      <w:r>
        <w:rPr>
          <w:rFonts w:hint="default" w:ascii="Times New Roman" w:hAnsi="Times New Roman" w:eastAsia="仿宋" w:cs="Times New Roman"/>
          <w:color w:val="auto"/>
          <w:sz w:val="32"/>
          <w:szCs w:val="32"/>
          <w:highlight w:val="none"/>
        </w:rPr>
        <w:t>%。</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楷体" w:cs="Times New Roman"/>
          <w:b/>
          <w:color w:val="auto"/>
          <w:sz w:val="32"/>
          <w:szCs w:val="32"/>
          <w:highlight w:val="none"/>
          <w:lang w:eastAsia="zh-CN"/>
        </w:rPr>
      </w:pPr>
      <w:r>
        <w:rPr>
          <w:rFonts w:hint="default" w:ascii="Times New Roman" w:hAnsi="Times New Roman" w:eastAsia="楷体" w:cs="Times New Roman"/>
          <w:b/>
          <w:color w:val="auto"/>
          <w:sz w:val="32"/>
          <w:szCs w:val="32"/>
          <w:highlight w:val="none"/>
          <w:lang w:val="en-US" w:eastAsia="zh-CN"/>
        </w:rPr>
        <w:t>（二）</w:t>
      </w:r>
      <w:r>
        <w:rPr>
          <w:rFonts w:hint="default" w:ascii="Times New Roman" w:hAnsi="Times New Roman" w:eastAsia="楷体" w:cs="Times New Roman"/>
          <w:b/>
          <w:color w:val="auto"/>
          <w:sz w:val="32"/>
          <w:szCs w:val="32"/>
          <w:highlight w:val="none"/>
          <w:lang w:eastAsia="zh-CN"/>
        </w:rPr>
        <w:t>产出指标（</w:t>
      </w:r>
      <w:r>
        <w:rPr>
          <w:rFonts w:hint="default" w:ascii="Times New Roman" w:hAnsi="Times New Roman" w:eastAsia="楷体" w:cs="Times New Roman"/>
          <w:b/>
          <w:color w:val="auto"/>
          <w:sz w:val="32"/>
          <w:szCs w:val="32"/>
          <w:highlight w:val="none"/>
          <w:lang w:val="en-US" w:eastAsia="zh-CN"/>
        </w:rPr>
        <w:t>分值40分，</w:t>
      </w:r>
      <w:r>
        <w:rPr>
          <w:rFonts w:hint="default" w:ascii="Times New Roman" w:hAnsi="Times New Roman" w:eastAsia="楷体" w:cs="Times New Roman"/>
          <w:b/>
          <w:color w:val="auto"/>
          <w:sz w:val="32"/>
          <w:szCs w:val="32"/>
          <w:highlight w:val="none"/>
          <w:lang w:eastAsia="zh-CN"/>
        </w:rPr>
        <w:t>得</w:t>
      </w:r>
      <w:r>
        <w:rPr>
          <w:rFonts w:hint="default" w:ascii="Times New Roman" w:hAnsi="Times New Roman" w:eastAsia="楷体" w:cs="Times New Roman"/>
          <w:b/>
          <w:color w:val="auto"/>
          <w:sz w:val="32"/>
          <w:szCs w:val="32"/>
          <w:highlight w:val="none"/>
          <w:lang w:val="en-US" w:eastAsia="zh-CN"/>
        </w:rPr>
        <w:t>39.95</w:t>
      </w:r>
      <w:r>
        <w:rPr>
          <w:rFonts w:hint="default" w:ascii="Times New Roman" w:hAnsi="Times New Roman" w:eastAsia="楷体" w:cs="Times New Roman"/>
          <w:b/>
          <w:color w:val="auto"/>
          <w:sz w:val="32"/>
          <w:szCs w:val="32"/>
          <w:highlight w:val="none"/>
          <w:lang w:eastAsia="zh-CN"/>
        </w:rPr>
        <w:t>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b/>
          <w:bCs/>
          <w:color w:val="auto"/>
          <w:kern w:val="0"/>
          <w:sz w:val="32"/>
          <w:szCs w:val="32"/>
          <w:highlight w:val="none"/>
          <w:lang w:val="en-US" w:eastAsia="zh-CN" w:bidi="ar"/>
        </w:rPr>
        <w:t>1.</w:t>
      </w:r>
      <w:r>
        <w:rPr>
          <w:rFonts w:hint="default" w:ascii="Times New Roman" w:hAnsi="Times New Roman" w:eastAsia="仿宋" w:cs="Times New Roman"/>
          <w:b/>
          <w:bCs/>
          <w:color w:val="auto"/>
          <w:kern w:val="0"/>
          <w:sz w:val="32"/>
          <w:szCs w:val="32"/>
          <w:highlight w:val="none"/>
          <w:lang w:eastAsia="zh-CN" w:bidi="ar"/>
        </w:rPr>
        <w:t>数量</w:t>
      </w:r>
      <w:r>
        <w:rPr>
          <w:rFonts w:hint="default" w:ascii="Times New Roman" w:hAnsi="Times New Roman" w:eastAsia="仿宋" w:cs="Times New Roman"/>
          <w:b/>
          <w:color w:val="auto"/>
          <w:sz w:val="32"/>
          <w:szCs w:val="32"/>
          <w:highlight w:val="none"/>
          <w:lang w:eastAsia="zh-CN"/>
        </w:rPr>
        <w:t>指标（分值</w:t>
      </w:r>
      <w:r>
        <w:rPr>
          <w:rFonts w:hint="default" w:ascii="Times New Roman" w:hAnsi="Times New Roman" w:eastAsia="仿宋" w:cs="Times New Roman"/>
          <w:b/>
          <w:color w:val="auto"/>
          <w:sz w:val="32"/>
          <w:szCs w:val="32"/>
          <w:highlight w:val="none"/>
          <w:lang w:val="en-US" w:eastAsia="zh-CN"/>
        </w:rPr>
        <w:t>2</w:t>
      </w:r>
      <w:r>
        <w:rPr>
          <w:rFonts w:hint="default" w:ascii="Times New Roman" w:hAnsi="Times New Roman" w:eastAsia="仿宋" w:cs="Times New Roman"/>
          <w:b/>
          <w:color w:val="auto"/>
          <w:sz w:val="32"/>
          <w:szCs w:val="32"/>
          <w:highlight w:val="none"/>
          <w:lang w:eastAsia="zh-CN"/>
        </w:rPr>
        <w:t>0分，得</w:t>
      </w:r>
      <w:r>
        <w:rPr>
          <w:rFonts w:hint="default" w:ascii="Times New Roman" w:hAnsi="Times New Roman" w:eastAsia="仿宋" w:cs="Times New Roman"/>
          <w:b/>
          <w:color w:val="auto"/>
          <w:sz w:val="32"/>
          <w:szCs w:val="32"/>
          <w:highlight w:val="none"/>
          <w:lang w:val="en-US" w:eastAsia="zh-CN"/>
        </w:rPr>
        <w:t>19.95</w:t>
      </w:r>
      <w:r>
        <w:rPr>
          <w:rFonts w:hint="default" w:ascii="Times New Roman" w:hAnsi="Times New Roman" w:eastAsia="仿宋" w:cs="Times New Roman"/>
          <w:b/>
          <w:color w:val="auto"/>
          <w:sz w:val="32"/>
          <w:szCs w:val="32"/>
          <w:highlight w:val="none"/>
          <w:lang w:eastAsia="zh-CN"/>
        </w:rPr>
        <w:t>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eastAsia="zh-CN" w:bidi="ar"/>
        </w:rPr>
        <w:t>“彩票销售额”</w:t>
      </w:r>
      <w:r>
        <w:rPr>
          <w:rFonts w:hint="default" w:ascii="Times New Roman" w:hAnsi="Times New Roman" w:eastAsia="仿宋" w:cs="Times New Roman"/>
          <w:color w:val="auto"/>
          <w:kern w:val="0"/>
          <w:sz w:val="32"/>
          <w:szCs w:val="32"/>
          <w:highlight w:val="none"/>
          <w:lang w:val="en-US" w:eastAsia="zh-CN" w:bidi="ar"/>
        </w:rPr>
        <w:t>指标：年度指标值：≥90亿元，实际完成值：88.91亿元，分值4分，得分3.95分。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eastAsia="zh-CN" w:bidi="ar"/>
        </w:rPr>
        <w:t>“彩票销售场所数量”</w:t>
      </w:r>
      <w:r>
        <w:rPr>
          <w:rFonts w:hint="default" w:ascii="Times New Roman" w:hAnsi="Times New Roman" w:eastAsia="仿宋" w:cs="Times New Roman"/>
          <w:color w:val="auto"/>
          <w:kern w:val="0"/>
          <w:sz w:val="32"/>
          <w:szCs w:val="32"/>
          <w:highlight w:val="none"/>
          <w:lang w:val="en-US" w:eastAsia="zh-CN" w:bidi="ar"/>
        </w:rPr>
        <w:t>指标：年度指标值：≥7400家，实际完成值：7426家，分值4分，得分4分。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eastAsia="zh-CN" w:bidi="ar"/>
        </w:rPr>
        <w:t>“投注机设备维护数量”</w:t>
      </w:r>
      <w:r>
        <w:rPr>
          <w:rFonts w:hint="default" w:ascii="Times New Roman" w:hAnsi="Times New Roman" w:eastAsia="仿宋" w:cs="Times New Roman"/>
          <w:color w:val="auto"/>
          <w:kern w:val="0"/>
          <w:sz w:val="32"/>
          <w:szCs w:val="32"/>
          <w:highlight w:val="none"/>
          <w:lang w:val="en-US" w:eastAsia="zh-CN" w:bidi="ar"/>
        </w:rPr>
        <w:t>指标：年度指标值：≥6800台，实际完成值：7272台，分值4分，得分4分。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eastAsia="zh-CN" w:bidi="ar"/>
        </w:rPr>
        <w:t>“开展主题公益活动批次”</w:t>
      </w:r>
      <w:r>
        <w:rPr>
          <w:rFonts w:hint="default" w:ascii="Times New Roman" w:hAnsi="Times New Roman" w:eastAsia="仿宋" w:cs="Times New Roman"/>
          <w:color w:val="auto"/>
          <w:kern w:val="0"/>
          <w:sz w:val="32"/>
          <w:szCs w:val="32"/>
          <w:highlight w:val="none"/>
          <w:lang w:val="en-US" w:eastAsia="zh-CN" w:bidi="ar"/>
        </w:rPr>
        <w:t>指标：年度指标值：≥5次，实际完成值：5次，分值4分，得分4分。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“新闻媒体发稿数量”</w:t>
      </w:r>
      <w:r>
        <w:rPr>
          <w:rFonts w:hint="default" w:ascii="Times New Roman" w:hAnsi="Times New Roman" w:eastAsia="仿宋" w:cs="Times New Roman"/>
          <w:color w:val="auto"/>
          <w:kern w:val="0"/>
          <w:sz w:val="32"/>
          <w:szCs w:val="32"/>
          <w:highlight w:val="none"/>
          <w:lang w:val="en-US" w:eastAsia="zh-CN" w:bidi="ar"/>
        </w:rPr>
        <w:t>指标：年度指标值：≥600，实际完成值：620，分值4分，得分4分。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b/>
          <w:bCs/>
          <w:color w:val="auto"/>
          <w:kern w:val="0"/>
          <w:sz w:val="32"/>
          <w:szCs w:val="32"/>
          <w:highlight w:val="none"/>
          <w:lang w:val="en-US" w:eastAsia="zh-CN" w:bidi="ar"/>
        </w:rPr>
        <w:t>2.</w:t>
      </w:r>
      <w:r>
        <w:rPr>
          <w:rFonts w:hint="default" w:ascii="Times New Roman" w:hAnsi="Times New Roman" w:eastAsia="仿宋" w:cs="Times New Roman"/>
          <w:b/>
          <w:bCs/>
          <w:color w:val="auto"/>
          <w:kern w:val="0"/>
          <w:sz w:val="32"/>
          <w:szCs w:val="32"/>
          <w:highlight w:val="none"/>
          <w:lang w:eastAsia="zh-CN" w:bidi="ar"/>
        </w:rPr>
        <w:t>质量指标（分值</w:t>
      </w:r>
      <w:r>
        <w:rPr>
          <w:rFonts w:hint="default" w:ascii="Times New Roman" w:hAnsi="Times New Roman" w:eastAsia="仿宋" w:cs="Times New Roman"/>
          <w:b/>
          <w:bCs/>
          <w:color w:val="auto"/>
          <w:kern w:val="0"/>
          <w:sz w:val="32"/>
          <w:szCs w:val="32"/>
          <w:highlight w:val="none"/>
          <w:lang w:val="en-US" w:eastAsia="zh-CN" w:bidi="ar"/>
        </w:rPr>
        <w:t>10</w:t>
      </w:r>
      <w:r>
        <w:rPr>
          <w:rFonts w:hint="default" w:ascii="Times New Roman" w:hAnsi="Times New Roman" w:eastAsia="仿宋" w:cs="Times New Roman"/>
          <w:b/>
          <w:bCs/>
          <w:color w:val="auto"/>
          <w:kern w:val="0"/>
          <w:sz w:val="32"/>
          <w:szCs w:val="32"/>
          <w:highlight w:val="none"/>
          <w:lang w:eastAsia="zh-CN" w:bidi="ar"/>
        </w:rPr>
        <w:t>分，得</w:t>
      </w:r>
      <w:r>
        <w:rPr>
          <w:rFonts w:hint="default" w:ascii="Times New Roman" w:hAnsi="Times New Roman" w:eastAsia="仿宋" w:cs="Times New Roman"/>
          <w:b/>
          <w:bCs/>
          <w:color w:val="auto"/>
          <w:kern w:val="0"/>
          <w:sz w:val="32"/>
          <w:szCs w:val="32"/>
          <w:highlight w:val="none"/>
          <w:lang w:val="en-US" w:eastAsia="zh-CN" w:bidi="ar"/>
        </w:rPr>
        <w:t>10</w:t>
      </w:r>
      <w:r>
        <w:rPr>
          <w:rFonts w:hint="default" w:ascii="Times New Roman" w:hAnsi="Times New Roman" w:eastAsia="仿宋" w:cs="Times New Roman"/>
          <w:b/>
          <w:bCs/>
          <w:color w:val="auto"/>
          <w:kern w:val="0"/>
          <w:sz w:val="32"/>
          <w:szCs w:val="32"/>
          <w:highlight w:val="none"/>
          <w:lang w:eastAsia="zh-CN" w:bidi="ar"/>
        </w:rPr>
        <w:t>分）</w:t>
      </w:r>
    </w:p>
    <w:p>
      <w:pPr>
        <w:pStyle w:val="4"/>
        <w:keepNext w:val="0"/>
        <w:keepLines w:val="0"/>
        <w:pageBreakBefore w:val="0"/>
        <w:kinsoku/>
        <w:wordWrap/>
        <w:overflowPunct w:val="0"/>
        <w:topLinePunct w:val="0"/>
        <w:autoSpaceDE w:val="0"/>
        <w:autoSpaceDN w:val="0"/>
        <w:bidi w:val="0"/>
        <w:adjustRightInd w:val="0"/>
        <w:snapToGrid w:val="0"/>
        <w:spacing w:line="540" w:lineRule="exact"/>
        <w:ind w:left="0" w:leftChars="0"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“绩效信息公开情况”</w:t>
      </w:r>
      <w:r>
        <w:rPr>
          <w:rFonts w:hint="default" w:ascii="Times New Roman" w:hAnsi="Times New Roman" w:eastAsia="仿宋" w:cs="Times New Roman"/>
          <w:color w:val="auto"/>
          <w:kern w:val="0"/>
          <w:sz w:val="32"/>
          <w:szCs w:val="32"/>
          <w:highlight w:val="none"/>
          <w:lang w:val="en-US" w:eastAsia="zh-CN" w:bidi="ar"/>
        </w:rPr>
        <w:t>指标：年度指标值：合规，实际完成值：合规，分值4分，得分4分。</w:t>
      </w:r>
    </w:p>
    <w:p>
      <w:pPr>
        <w:pStyle w:val="4"/>
        <w:keepNext w:val="0"/>
        <w:keepLines w:val="0"/>
        <w:pageBreakBefore w:val="0"/>
        <w:kinsoku/>
        <w:wordWrap/>
        <w:overflowPunct w:val="0"/>
        <w:topLinePunct w:val="0"/>
        <w:autoSpaceDE w:val="0"/>
        <w:autoSpaceDN w:val="0"/>
        <w:bidi w:val="0"/>
        <w:adjustRightInd w:val="0"/>
        <w:snapToGrid w:val="0"/>
        <w:spacing w:line="540" w:lineRule="exact"/>
        <w:ind w:left="0" w:leftChars="0"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“预决算公开合规性”</w:t>
      </w:r>
      <w:r>
        <w:rPr>
          <w:rFonts w:hint="default" w:ascii="Times New Roman" w:hAnsi="Times New Roman" w:eastAsia="仿宋" w:cs="Times New Roman"/>
          <w:color w:val="auto"/>
          <w:kern w:val="0"/>
          <w:sz w:val="32"/>
          <w:szCs w:val="32"/>
          <w:highlight w:val="none"/>
          <w:lang w:val="en-US" w:eastAsia="zh-CN" w:bidi="ar"/>
        </w:rPr>
        <w:t>指标：年度指标值：合规，实际完成值：合规，分值3分，得分3分。</w:t>
      </w:r>
    </w:p>
    <w:p>
      <w:pPr>
        <w:pStyle w:val="4"/>
        <w:keepNext w:val="0"/>
        <w:keepLines w:val="0"/>
        <w:pageBreakBefore w:val="0"/>
        <w:kinsoku/>
        <w:wordWrap/>
        <w:overflowPunct w:val="0"/>
        <w:topLinePunct w:val="0"/>
        <w:autoSpaceDE w:val="0"/>
        <w:autoSpaceDN w:val="0"/>
        <w:bidi w:val="0"/>
        <w:adjustRightInd w:val="0"/>
        <w:snapToGrid w:val="0"/>
        <w:spacing w:line="540" w:lineRule="exact"/>
        <w:ind w:left="0" w:leftChars="0"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“延时开奖等彩票销售安全事故发生率”</w:t>
      </w:r>
      <w:r>
        <w:rPr>
          <w:rFonts w:hint="default" w:ascii="Times New Roman" w:hAnsi="Times New Roman" w:eastAsia="仿宋" w:cs="Times New Roman"/>
          <w:color w:val="auto"/>
          <w:kern w:val="0"/>
          <w:sz w:val="32"/>
          <w:szCs w:val="32"/>
          <w:highlight w:val="none"/>
          <w:lang w:val="en-US" w:eastAsia="zh-CN" w:bidi="ar"/>
        </w:rPr>
        <w:t>指标：年度指标值：≤0.1%，实际完成值：≤0.1%，分值3分，得分3分。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bCs/>
          <w:color w:val="auto"/>
          <w:kern w:val="0"/>
          <w:sz w:val="32"/>
          <w:szCs w:val="32"/>
          <w:highlight w:val="none"/>
          <w:lang w:eastAsia="zh-CN" w:bidi="ar"/>
        </w:rPr>
      </w:pPr>
      <w:r>
        <w:rPr>
          <w:rFonts w:hint="default" w:ascii="Times New Roman" w:hAnsi="Times New Roman" w:eastAsia="仿宋" w:cs="Times New Roman"/>
          <w:b/>
          <w:bCs/>
          <w:color w:val="auto"/>
          <w:kern w:val="0"/>
          <w:sz w:val="32"/>
          <w:szCs w:val="32"/>
          <w:highlight w:val="none"/>
          <w:lang w:val="en-US" w:eastAsia="zh-CN" w:bidi="ar"/>
        </w:rPr>
        <w:t>3.</w:t>
      </w:r>
      <w:r>
        <w:rPr>
          <w:rFonts w:hint="default" w:ascii="Times New Roman" w:hAnsi="Times New Roman" w:eastAsia="仿宋" w:cs="Times New Roman"/>
          <w:b/>
          <w:bCs/>
          <w:color w:val="auto"/>
          <w:kern w:val="0"/>
          <w:sz w:val="32"/>
          <w:szCs w:val="32"/>
          <w:highlight w:val="none"/>
          <w:lang w:eastAsia="zh-CN" w:bidi="ar"/>
        </w:rPr>
        <w:t>时效指标（分值</w:t>
      </w:r>
      <w:r>
        <w:rPr>
          <w:rFonts w:hint="default" w:ascii="Times New Roman" w:hAnsi="Times New Roman" w:eastAsia="仿宋" w:cs="Times New Roman"/>
          <w:b/>
          <w:bCs/>
          <w:color w:val="auto"/>
          <w:kern w:val="0"/>
          <w:sz w:val="32"/>
          <w:szCs w:val="32"/>
          <w:highlight w:val="none"/>
          <w:lang w:val="en-US" w:eastAsia="zh-CN" w:bidi="ar"/>
        </w:rPr>
        <w:t>10</w:t>
      </w:r>
      <w:r>
        <w:rPr>
          <w:rFonts w:hint="default" w:ascii="Times New Roman" w:hAnsi="Times New Roman" w:eastAsia="仿宋" w:cs="Times New Roman"/>
          <w:b/>
          <w:bCs/>
          <w:color w:val="auto"/>
          <w:kern w:val="0"/>
          <w:sz w:val="32"/>
          <w:szCs w:val="32"/>
          <w:highlight w:val="none"/>
          <w:lang w:eastAsia="zh-CN" w:bidi="ar"/>
        </w:rPr>
        <w:t>分，得</w:t>
      </w:r>
      <w:r>
        <w:rPr>
          <w:rFonts w:hint="default" w:ascii="Times New Roman" w:hAnsi="Times New Roman" w:eastAsia="仿宋" w:cs="Times New Roman"/>
          <w:b/>
          <w:bCs/>
          <w:color w:val="auto"/>
          <w:kern w:val="0"/>
          <w:sz w:val="32"/>
          <w:szCs w:val="32"/>
          <w:highlight w:val="none"/>
          <w:lang w:val="en-US" w:eastAsia="zh-CN" w:bidi="ar"/>
        </w:rPr>
        <w:t>10</w:t>
      </w:r>
      <w:r>
        <w:rPr>
          <w:rFonts w:hint="default" w:ascii="Times New Roman" w:hAnsi="Times New Roman" w:eastAsia="仿宋" w:cs="Times New Roman"/>
          <w:b/>
          <w:bCs/>
          <w:color w:val="auto"/>
          <w:kern w:val="0"/>
          <w:sz w:val="32"/>
          <w:szCs w:val="32"/>
          <w:highlight w:val="none"/>
          <w:lang w:eastAsia="zh-CN" w:bidi="ar"/>
        </w:rPr>
        <w:t>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“技术系统维护故障处理率”</w:t>
      </w:r>
      <w:r>
        <w:rPr>
          <w:rFonts w:hint="default" w:ascii="Times New Roman" w:hAnsi="Times New Roman" w:eastAsia="仿宋" w:cs="Times New Roman"/>
          <w:color w:val="auto"/>
          <w:kern w:val="0"/>
          <w:sz w:val="32"/>
          <w:szCs w:val="32"/>
          <w:highlight w:val="none"/>
          <w:lang w:val="en-US" w:eastAsia="zh-CN" w:bidi="ar"/>
        </w:rPr>
        <w:t>指标：年度指标值：100%，实际完成值：100%，分值4分，得分4分。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“系统数据采集上传及时性与合格率”</w:t>
      </w:r>
      <w:r>
        <w:rPr>
          <w:rFonts w:hint="default" w:ascii="Times New Roman" w:hAnsi="Times New Roman" w:eastAsia="仿宋" w:cs="Times New Roman"/>
          <w:color w:val="auto"/>
          <w:kern w:val="0"/>
          <w:sz w:val="32"/>
          <w:szCs w:val="32"/>
          <w:highlight w:val="none"/>
          <w:lang w:val="en-US" w:eastAsia="zh-CN" w:bidi="ar"/>
        </w:rPr>
        <w:t>指标：年度指标值：100%，实际完成值：100%，分值3分，得分3分。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“重点工作完成及时率”</w:t>
      </w:r>
      <w:r>
        <w:rPr>
          <w:rFonts w:hint="default" w:ascii="Times New Roman" w:hAnsi="Times New Roman" w:eastAsia="仿宋" w:cs="Times New Roman"/>
          <w:color w:val="auto"/>
          <w:kern w:val="0"/>
          <w:sz w:val="32"/>
          <w:szCs w:val="32"/>
          <w:highlight w:val="none"/>
          <w:lang w:val="en-US" w:eastAsia="zh-CN" w:bidi="ar"/>
        </w:rPr>
        <w:t>指标：年度指标值：100%，实际完成值：100%，分值3分，得分3分。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楷体" w:cs="Times New Roman"/>
          <w:b/>
          <w:color w:val="auto"/>
          <w:sz w:val="32"/>
          <w:szCs w:val="32"/>
          <w:highlight w:val="none"/>
          <w:lang w:eastAsia="zh-CN"/>
        </w:rPr>
      </w:pPr>
      <w:r>
        <w:rPr>
          <w:rFonts w:hint="default" w:ascii="Times New Roman" w:hAnsi="Times New Roman" w:eastAsia="楷体" w:cs="Times New Roman"/>
          <w:b/>
          <w:bCs/>
          <w:color w:val="auto"/>
          <w:kern w:val="0"/>
          <w:sz w:val="32"/>
          <w:szCs w:val="32"/>
          <w:highlight w:val="none"/>
          <w:lang w:eastAsia="zh-CN" w:bidi="ar"/>
        </w:rPr>
        <w:t>（</w:t>
      </w:r>
      <w:r>
        <w:rPr>
          <w:rFonts w:hint="default" w:ascii="Times New Roman" w:hAnsi="Times New Roman" w:eastAsia="楷体" w:cs="Times New Roman"/>
          <w:b/>
          <w:bCs/>
          <w:color w:val="auto"/>
          <w:kern w:val="0"/>
          <w:sz w:val="32"/>
          <w:szCs w:val="32"/>
          <w:highlight w:val="none"/>
          <w:lang w:val="en-US" w:eastAsia="zh-CN" w:bidi="ar"/>
        </w:rPr>
        <w:t>三</w:t>
      </w:r>
      <w:r>
        <w:rPr>
          <w:rFonts w:hint="default" w:ascii="Times New Roman" w:hAnsi="Times New Roman" w:eastAsia="楷体" w:cs="Times New Roman"/>
          <w:b/>
          <w:bCs/>
          <w:color w:val="auto"/>
          <w:kern w:val="0"/>
          <w:sz w:val="32"/>
          <w:szCs w:val="32"/>
          <w:highlight w:val="none"/>
          <w:lang w:eastAsia="zh-CN" w:bidi="ar"/>
        </w:rPr>
        <w:t>）效益指标</w:t>
      </w:r>
      <w:r>
        <w:rPr>
          <w:rFonts w:hint="default" w:ascii="Times New Roman" w:hAnsi="Times New Roman" w:eastAsia="楷体" w:cs="Times New Roman"/>
          <w:b/>
          <w:color w:val="auto"/>
          <w:sz w:val="32"/>
          <w:szCs w:val="32"/>
          <w:highlight w:val="none"/>
          <w:lang w:eastAsia="zh-CN"/>
        </w:rPr>
        <w:t>（分值30分，得30分）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bCs/>
          <w:color w:val="auto"/>
          <w:kern w:val="0"/>
          <w:sz w:val="32"/>
          <w:szCs w:val="32"/>
          <w:highlight w:val="none"/>
          <w:lang w:eastAsia="zh-CN" w:bidi="ar"/>
        </w:rPr>
      </w:pPr>
      <w:r>
        <w:rPr>
          <w:rFonts w:hint="default" w:ascii="Times New Roman" w:hAnsi="Times New Roman" w:eastAsia="仿宋" w:cs="Times New Roman"/>
          <w:b/>
          <w:bCs/>
          <w:color w:val="auto"/>
          <w:kern w:val="0"/>
          <w:sz w:val="32"/>
          <w:szCs w:val="32"/>
          <w:highlight w:val="none"/>
          <w:lang w:val="en-US" w:eastAsia="zh-CN" w:bidi="ar"/>
        </w:rPr>
        <w:t>1.</w:t>
      </w:r>
      <w:r>
        <w:rPr>
          <w:rFonts w:hint="default" w:ascii="Times New Roman" w:hAnsi="Times New Roman" w:eastAsia="仿宋" w:cs="Times New Roman"/>
          <w:b/>
          <w:bCs/>
          <w:color w:val="auto"/>
          <w:kern w:val="0"/>
          <w:sz w:val="32"/>
          <w:szCs w:val="32"/>
          <w:highlight w:val="none"/>
          <w:lang w:eastAsia="zh-CN" w:bidi="ar"/>
        </w:rPr>
        <w:t>经济效益指标（分值</w:t>
      </w:r>
      <w:r>
        <w:rPr>
          <w:rFonts w:hint="default" w:ascii="Times New Roman" w:hAnsi="Times New Roman" w:eastAsia="仿宋" w:cs="Times New Roman"/>
          <w:b/>
          <w:bCs/>
          <w:color w:val="auto"/>
          <w:kern w:val="0"/>
          <w:sz w:val="32"/>
          <w:szCs w:val="32"/>
          <w:highlight w:val="none"/>
          <w:lang w:val="en-US" w:eastAsia="zh-CN" w:bidi="ar"/>
        </w:rPr>
        <w:t>15</w:t>
      </w:r>
      <w:r>
        <w:rPr>
          <w:rFonts w:hint="default" w:ascii="Times New Roman" w:hAnsi="Times New Roman" w:eastAsia="仿宋" w:cs="Times New Roman"/>
          <w:b/>
          <w:bCs/>
          <w:color w:val="auto"/>
          <w:kern w:val="0"/>
          <w:sz w:val="32"/>
          <w:szCs w:val="32"/>
          <w:highlight w:val="none"/>
          <w:lang w:eastAsia="zh-CN" w:bidi="ar"/>
        </w:rPr>
        <w:t>分，得</w:t>
      </w:r>
      <w:r>
        <w:rPr>
          <w:rFonts w:hint="default" w:ascii="Times New Roman" w:hAnsi="Times New Roman" w:eastAsia="仿宋" w:cs="Times New Roman"/>
          <w:b/>
          <w:bCs/>
          <w:color w:val="auto"/>
          <w:kern w:val="0"/>
          <w:sz w:val="32"/>
          <w:szCs w:val="32"/>
          <w:highlight w:val="none"/>
          <w:lang w:val="en-US" w:eastAsia="zh-CN" w:bidi="ar"/>
        </w:rPr>
        <w:t>15</w:t>
      </w:r>
      <w:r>
        <w:rPr>
          <w:rFonts w:hint="default" w:ascii="Times New Roman" w:hAnsi="Times New Roman" w:eastAsia="仿宋" w:cs="Times New Roman"/>
          <w:b/>
          <w:bCs/>
          <w:color w:val="auto"/>
          <w:kern w:val="0"/>
          <w:sz w:val="32"/>
          <w:szCs w:val="32"/>
          <w:highlight w:val="none"/>
          <w:lang w:eastAsia="zh-CN" w:bidi="ar"/>
        </w:rPr>
        <w:t>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bCs/>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“筹集公益金总额”</w:t>
      </w:r>
      <w:r>
        <w:rPr>
          <w:rFonts w:hint="default" w:ascii="Times New Roman" w:hAnsi="Times New Roman" w:eastAsia="仿宋" w:cs="Times New Roman"/>
          <w:color w:val="auto"/>
          <w:kern w:val="0"/>
          <w:sz w:val="32"/>
          <w:szCs w:val="32"/>
          <w:highlight w:val="none"/>
          <w:lang w:val="en-US" w:eastAsia="zh-CN" w:bidi="ar"/>
        </w:rPr>
        <w:t>指标，年度指标值：≥26.67亿元，实际完成值：27.14亿元，分值5分，得分5分。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eastAsia="zh-CN" w:bidi="ar"/>
        </w:rPr>
        <w:t>“上缴国家税收总额”</w:t>
      </w:r>
      <w:r>
        <w:rPr>
          <w:rFonts w:hint="default" w:ascii="Times New Roman" w:hAnsi="Times New Roman" w:eastAsia="仿宋" w:cs="Times New Roman"/>
          <w:color w:val="auto"/>
          <w:kern w:val="0"/>
          <w:sz w:val="32"/>
          <w:szCs w:val="32"/>
          <w:highlight w:val="none"/>
          <w:lang w:val="en-US" w:eastAsia="zh-CN" w:bidi="ar"/>
        </w:rPr>
        <w:t>指标，年度指标值：≥1亿元，实际完成值：1.67亿元，分值5分，得分5分。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eastAsia="zh-CN" w:bidi="ar"/>
        </w:rPr>
        <w:t>“</w:t>
      </w:r>
      <w:r>
        <w:rPr>
          <w:rFonts w:hint="default" w:ascii="Times New Roman" w:hAnsi="Times New Roman" w:eastAsia="仿宋" w:cs="Times New Roman"/>
          <w:color w:val="auto"/>
          <w:kern w:val="0"/>
          <w:sz w:val="32"/>
          <w:szCs w:val="32"/>
          <w:highlight w:val="none"/>
          <w:lang w:val="en-US" w:eastAsia="zh-CN" w:bidi="ar"/>
        </w:rPr>
        <w:t>提升彩票销售额</w:t>
      </w:r>
      <w:r>
        <w:rPr>
          <w:rFonts w:hint="default" w:ascii="Times New Roman" w:hAnsi="Times New Roman" w:eastAsia="仿宋" w:cs="Times New Roman"/>
          <w:color w:val="auto"/>
          <w:kern w:val="0"/>
          <w:sz w:val="32"/>
          <w:szCs w:val="32"/>
          <w:highlight w:val="none"/>
          <w:lang w:eastAsia="zh-CN" w:bidi="ar"/>
        </w:rPr>
        <w:t>”</w:t>
      </w:r>
      <w:r>
        <w:rPr>
          <w:rFonts w:hint="default" w:ascii="Times New Roman" w:hAnsi="Times New Roman" w:eastAsia="仿宋" w:cs="Times New Roman"/>
          <w:color w:val="auto"/>
          <w:kern w:val="0"/>
          <w:sz w:val="32"/>
          <w:szCs w:val="32"/>
          <w:highlight w:val="none"/>
          <w:lang w:val="en-US" w:eastAsia="zh-CN" w:bidi="ar"/>
        </w:rPr>
        <w:t>指标，年度指标值：≥上年销售额80%，实际完成值：上年销售额110.71%，分值5分，得分5分。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b/>
          <w:bCs/>
          <w:color w:val="auto"/>
          <w:kern w:val="0"/>
          <w:sz w:val="32"/>
          <w:szCs w:val="32"/>
          <w:highlight w:val="none"/>
          <w:lang w:val="en-US" w:eastAsia="zh-CN" w:bidi="ar"/>
        </w:rPr>
        <w:t>2.</w:t>
      </w:r>
      <w:r>
        <w:rPr>
          <w:rFonts w:hint="default" w:ascii="Times New Roman" w:hAnsi="Times New Roman" w:eastAsia="仿宋" w:cs="Times New Roman"/>
          <w:b/>
          <w:bCs/>
          <w:color w:val="auto"/>
          <w:kern w:val="0"/>
          <w:sz w:val="32"/>
          <w:szCs w:val="32"/>
          <w:highlight w:val="none"/>
          <w:lang w:eastAsia="zh-CN" w:bidi="ar"/>
        </w:rPr>
        <w:t>社会效益指标（分值</w:t>
      </w:r>
      <w:r>
        <w:rPr>
          <w:rFonts w:hint="default" w:ascii="Times New Roman" w:hAnsi="Times New Roman" w:eastAsia="仿宋" w:cs="Times New Roman"/>
          <w:b/>
          <w:bCs/>
          <w:color w:val="auto"/>
          <w:kern w:val="0"/>
          <w:sz w:val="32"/>
          <w:szCs w:val="32"/>
          <w:highlight w:val="none"/>
          <w:lang w:val="en-US" w:eastAsia="zh-CN" w:bidi="ar"/>
        </w:rPr>
        <w:t>5</w:t>
      </w:r>
      <w:r>
        <w:rPr>
          <w:rFonts w:hint="default" w:ascii="Times New Roman" w:hAnsi="Times New Roman" w:eastAsia="仿宋" w:cs="Times New Roman"/>
          <w:b/>
          <w:bCs/>
          <w:color w:val="auto"/>
          <w:kern w:val="0"/>
          <w:sz w:val="32"/>
          <w:szCs w:val="32"/>
          <w:highlight w:val="none"/>
          <w:lang w:eastAsia="zh-CN" w:bidi="ar"/>
        </w:rPr>
        <w:t>分，得</w:t>
      </w:r>
      <w:r>
        <w:rPr>
          <w:rFonts w:hint="default" w:ascii="Times New Roman" w:hAnsi="Times New Roman" w:eastAsia="仿宋" w:cs="Times New Roman"/>
          <w:b/>
          <w:bCs/>
          <w:color w:val="auto"/>
          <w:kern w:val="0"/>
          <w:sz w:val="32"/>
          <w:szCs w:val="32"/>
          <w:highlight w:val="none"/>
          <w:lang w:val="en-US" w:eastAsia="zh-CN" w:bidi="ar"/>
        </w:rPr>
        <w:t>5</w:t>
      </w:r>
      <w:r>
        <w:rPr>
          <w:rFonts w:hint="default" w:ascii="Times New Roman" w:hAnsi="Times New Roman" w:eastAsia="仿宋" w:cs="Times New Roman"/>
          <w:b/>
          <w:bCs/>
          <w:color w:val="auto"/>
          <w:kern w:val="0"/>
          <w:sz w:val="32"/>
          <w:szCs w:val="32"/>
          <w:highlight w:val="none"/>
          <w:lang w:eastAsia="zh-CN" w:bidi="ar"/>
        </w:rPr>
        <w:t>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eastAsia="zh-CN" w:bidi="ar"/>
        </w:rPr>
        <w:t>“提升福彩品牌形象、知名度”</w:t>
      </w:r>
      <w:r>
        <w:rPr>
          <w:rFonts w:hint="default" w:ascii="Times New Roman" w:hAnsi="Times New Roman" w:eastAsia="仿宋" w:cs="Times New Roman"/>
          <w:color w:val="auto"/>
          <w:kern w:val="0"/>
          <w:sz w:val="32"/>
          <w:szCs w:val="32"/>
          <w:highlight w:val="none"/>
          <w:lang w:val="en-US" w:eastAsia="zh-CN" w:bidi="ar"/>
        </w:rPr>
        <w:t>指标，年度指标值：提升，实际完成值：提升，分值3分，得分3分。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eastAsia="zh-CN" w:bidi="ar"/>
        </w:rPr>
        <w:t>“福彩公益活动受益人数增加情况”</w:t>
      </w:r>
      <w:r>
        <w:rPr>
          <w:rFonts w:hint="default" w:ascii="Times New Roman" w:hAnsi="Times New Roman" w:eastAsia="仿宋" w:cs="Times New Roman"/>
          <w:color w:val="auto"/>
          <w:kern w:val="0"/>
          <w:sz w:val="32"/>
          <w:szCs w:val="32"/>
          <w:highlight w:val="none"/>
          <w:lang w:val="en-US" w:eastAsia="zh-CN" w:bidi="ar"/>
        </w:rPr>
        <w:t>指标，年度指标值：增加，实际完成值：增加，分值2分，得分2分。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b/>
          <w:color w:val="auto"/>
          <w:sz w:val="32"/>
          <w:szCs w:val="32"/>
          <w:highlight w:val="none"/>
          <w:lang w:val="en-US" w:eastAsia="zh-CN"/>
        </w:rPr>
        <w:t>3.</w:t>
      </w:r>
      <w:r>
        <w:rPr>
          <w:rFonts w:hint="default" w:ascii="Times New Roman" w:hAnsi="Times New Roman" w:eastAsia="仿宋" w:cs="Times New Roman"/>
          <w:b/>
          <w:color w:val="auto"/>
          <w:sz w:val="32"/>
          <w:szCs w:val="32"/>
          <w:highlight w:val="none"/>
          <w:lang w:eastAsia="zh-CN"/>
        </w:rPr>
        <w:t>生态效益指标</w:t>
      </w:r>
      <w:r>
        <w:rPr>
          <w:rFonts w:hint="default" w:ascii="Times New Roman" w:hAnsi="Times New Roman" w:eastAsia="仿宋" w:cs="Times New Roman"/>
          <w:b/>
          <w:bCs/>
          <w:color w:val="auto"/>
          <w:kern w:val="0"/>
          <w:sz w:val="32"/>
          <w:szCs w:val="32"/>
          <w:highlight w:val="none"/>
          <w:lang w:eastAsia="zh-CN" w:bidi="ar"/>
        </w:rPr>
        <w:t>（分值</w:t>
      </w:r>
      <w:r>
        <w:rPr>
          <w:rFonts w:hint="default" w:ascii="Times New Roman" w:hAnsi="Times New Roman" w:eastAsia="仿宋" w:cs="Times New Roman"/>
          <w:b/>
          <w:bCs/>
          <w:color w:val="auto"/>
          <w:kern w:val="0"/>
          <w:sz w:val="32"/>
          <w:szCs w:val="32"/>
          <w:highlight w:val="none"/>
          <w:lang w:val="en-US" w:eastAsia="zh-CN" w:bidi="ar"/>
        </w:rPr>
        <w:t>5</w:t>
      </w:r>
      <w:r>
        <w:rPr>
          <w:rFonts w:hint="default" w:ascii="Times New Roman" w:hAnsi="Times New Roman" w:eastAsia="仿宋" w:cs="Times New Roman"/>
          <w:b/>
          <w:bCs/>
          <w:color w:val="auto"/>
          <w:kern w:val="0"/>
          <w:sz w:val="32"/>
          <w:szCs w:val="32"/>
          <w:highlight w:val="none"/>
          <w:lang w:eastAsia="zh-CN" w:bidi="ar"/>
        </w:rPr>
        <w:t>分，得</w:t>
      </w:r>
      <w:r>
        <w:rPr>
          <w:rFonts w:hint="default" w:ascii="Times New Roman" w:hAnsi="Times New Roman" w:eastAsia="仿宋" w:cs="Times New Roman"/>
          <w:b/>
          <w:bCs/>
          <w:color w:val="auto"/>
          <w:kern w:val="0"/>
          <w:sz w:val="32"/>
          <w:szCs w:val="32"/>
          <w:highlight w:val="none"/>
          <w:lang w:val="en-US" w:eastAsia="zh-CN" w:bidi="ar"/>
        </w:rPr>
        <w:t>5</w:t>
      </w:r>
      <w:r>
        <w:rPr>
          <w:rFonts w:hint="default" w:ascii="Times New Roman" w:hAnsi="Times New Roman" w:eastAsia="仿宋" w:cs="Times New Roman"/>
          <w:b/>
          <w:bCs/>
          <w:color w:val="auto"/>
          <w:kern w:val="0"/>
          <w:sz w:val="32"/>
          <w:szCs w:val="32"/>
          <w:highlight w:val="none"/>
          <w:lang w:eastAsia="zh-CN" w:bidi="ar"/>
        </w:rPr>
        <w:t>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color w:val="auto"/>
          <w:sz w:val="32"/>
          <w:szCs w:val="32"/>
          <w:highlight w:val="none"/>
          <w:lang w:eastAsia="zh-CN"/>
        </w:rPr>
      </w:pPr>
      <w:r>
        <w:rPr>
          <w:rFonts w:hint="default" w:ascii="Times New Roman" w:hAnsi="Times New Roman" w:eastAsia="仿宋" w:cs="Times New Roman"/>
          <w:color w:val="auto"/>
          <w:kern w:val="0"/>
          <w:sz w:val="32"/>
          <w:szCs w:val="32"/>
          <w:highlight w:val="none"/>
          <w:lang w:eastAsia="zh-CN" w:bidi="ar"/>
        </w:rPr>
        <w:t>“系统低碳、绿色、健康运行”</w:t>
      </w:r>
      <w:r>
        <w:rPr>
          <w:rFonts w:hint="default" w:ascii="Times New Roman" w:hAnsi="Times New Roman" w:eastAsia="仿宋" w:cs="Times New Roman"/>
          <w:color w:val="auto"/>
          <w:kern w:val="0"/>
          <w:sz w:val="32"/>
          <w:szCs w:val="32"/>
          <w:highlight w:val="none"/>
          <w:lang w:val="en-US" w:eastAsia="zh-CN" w:bidi="ar"/>
        </w:rPr>
        <w:t>指标，年度指标值：符合低碳、绿色、健康要求，实际完成值：符合低碳、绿色、健康要求，分值5分，得分5分。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color w:val="auto"/>
          <w:sz w:val="32"/>
          <w:szCs w:val="32"/>
          <w:highlight w:val="none"/>
          <w:lang w:eastAsia="zh-CN"/>
        </w:rPr>
      </w:pPr>
      <w:r>
        <w:rPr>
          <w:rFonts w:hint="default" w:ascii="Times New Roman" w:hAnsi="Times New Roman" w:eastAsia="仿宋" w:cs="Times New Roman"/>
          <w:b/>
          <w:color w:val="auto"/>
          <w:sz w:val="32"/>
          <w:szCs w:val="32"/>
          <w:highlight w:val="none"/>
          <w:lang w:val="en-US" w:eastAsia="zh-CN"/>
        </w:rPr>
        <w:t>4.</w:t>
      </w:r>
      <w:r>
        <w:rPr>
          <w:rFonts w:hint="default" w:ascii="Times New Roman" w:hAnsi="Times New Roman" w:eastAsia="仿宋" w:cs="Times New Roman"/>
          <w:b/>
          <w:color w:val="auto"/>
          <w:sz w:val="32"/>
          <w:szCs w:val="32"/>
          <w:highlight w:val="none"/>
          <w:lang w:eastAsia="zh-CN"/>
        </w:rPr>
        <w:t>可持续发展指标</w:t>
      </w:r>
      <w:r>
        <w:rPr>
          <w:rFonts w:hint="default" w:ascii="Times New Roman" w:hAnsi="Times New Roman" w:eastAsia="仿宋" w:cs="Times New Roman"/>
          <w:b/>
          <w:bCs/>
          <w:color w:val="auto"/>
          <w:kern w:val="0"/>
          <w:sz w:val="32"/>
          <w:szCs w:val="32"/>
          <w:highlight w:val="none"/>
          <w:lang w:eastAsia="zh-CN" w:bidi="ar"/>
        </w:rPr>
        <w:t>（分值</w:t>
      </w:r>
      <w:r>
        <w:rPr>
          <w:rFonts w:hint="default" w:ascii="Times New Roman" w:hAnsi="Times New Roman" w:eastAsia="仿宋" w:cs="Times New Roman"/>
          <w:b/>
          <w:bCs/>
          <w:color w:val="auto"/>
          <w:kern w:val="0"/>
          <w:sz w:val="32"/>
          <w:szCs w:val="32"/>
          <w:highlight w:val="none"/>
          <w:lang w:val="en-US" w:eastAsia="zh-CN" w:bidi="ar"/>
        </w:rPr>
        <w:t>5</w:t>
      </w:r>
      <w:r>
        <w:rPr>
          <w:rFonts w:hint="default" w:ascii="Times New Roman" w:hAnsi="Times New Roman" w:eastAsia="仿宋" w:cs="Times New Roman"/>
          <w:b/>
          <w:bCs/>
          <w:color w:val="auto"/>
          <w:kern w:val="0"/>
          <w:sz w:val="32"/>
          <w:szCs w:val="32"/>
          <w:highlight w:val="none"/>
          <w:lang w:eastAsia="zh-CN" w:bidi="ar"/>
        </w:rPr>
        <w:t>分，得</w:t>
      </w:r>
      <w:r>
        <w:rPr>
          <w:rFonts w:hint="default" w:ascii="Times New Roman" w:hAnsi="Times New Roman" w:eastAsia="仿宋" w:cs="Times New Roman"/>
          <w:b/>
          <w:bCs/>
          <w:color w:val="auto"/>
          <w:kern w:val="0"/>
          <w:sz w:val="32"/>
          <w:szCs w:val="32"/>
          <w:highlight w:val="none"/>
          <w:lang w:val="en-US" w:eastAsia="zh-CN" w:bidi="ar"/>
        </w:rPr>
        <w:t>5</w:t>
      </w:r>
      <w:r>
        <w:rPr>
          <w:rFonts w:hint="default" w:ascii="Times New Roman" w:hAnsi="Times New Roman" w:eastAsia="仿宋" w:cs="Times New Roman"/>
          <w:b/>
          <w:bCs/>
          <w:color w:val="auto"/>
          <w:kern w:val="0"/>
          <w:sz w:val="32"/>
          <w:szCs w:val="32"/>
          <w:highlight w:val="none"/>
          <w:lang w:eastAsia="zh-CN" w:bidi="ar"/>
        </w:rPr>
        <w:t>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“福彩销售市场秩序稳定”</w:t>
      </w:r>
      <w:r>
        <w:rPr>
          <w:rFonts w:hint="default" w:ascii="Times New Roman" w:hAnsi="Times New Roman" w:eastAsia="仿宋" w:cs="Times New Roman"/>
          <w:color w:val="auto"/>
          <w:kern w:val="0"/>
          <w:sz w:val="32"/>
          <w:szCs w:val="32"/>
          <w:highlight w:val="none"/>
          <w:lang w:val="en-US" w:eastAsia="zh-CN" w:bidi="ar"/>
        </w:rPr>
        <w:t>指标，年度指标值：有效维护市场秩序，实际完成值：有效维护市场秩序，分值5分，得分5分。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楷体" w:cs="Times New Roman"/>
          <w:b/>
          <w:color w:val="auto"/>
          <w:sz w:val="32"/>
          <w:szCs w:val="32"/>
          <w:highlight w:val="none"/>
          <w:lang w:eastAsia="zh-CN"/>
        </w:rPr>
        <w:t>（</w:t>
      </w:r>
      <w:r>
        <w:rPr>
          <w:rFonts w:hint="default" w:ascii="Times New Roman" w:hAnsi="Times New Roman" w:eastAsia="楷体" w:cs="Times New Roman"/>
          <w:b/>
          <w:color w:val="auto"/>
          <w:sz w:val="32"/>
          <w:szCs w:val="32"/>
          <w:highlight w:val="none"/>
          <w:lang w:val="en-US" w:eastAsia="zh-CN"/>
        </w:rPr>
        <w:t>四</w:t>
      </w:r>
      <w:r>
        <w:rPr>
          <w:rFonts w:hint="default" w:ascii="Times New Roman" w:hAnsi="Times New Roman" w:eastAsia="楷体" w:cs="Times New Roman"/>
          <w:b/>
          <w:color w:val="auto"/>
          <w:sz w:val="32"/>
          <w:szCs w:val="32"/>
          <w:highlight w:val="none"/>
          <w:lang w:eastAsia="zh-CN"/>
        </w:rPr>
        <w:t>）满意度指标（分值10分，得10分）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“福彩</w:t>
      </w:r>
      <w:r>
        <w:rPr>
          <w:rFonts w:hint="default" w:ascii="Times New Roman" w:hAnsi="Times New Roman" w:eastAsia="仿宋" w:cs="Times New Roman"/>
          <w:color w:val="auto"/>
          <w:kern w:val="0"/>
          <w:sz w:val="32"/>
          <w:szCs w:val="32"/>
          <w:highlight w:val="none"/>
          <w:lang w:val="en-US" w:eastAsia="zh-CN" w:bidi="ar"/>
        </w:rPr>
        <w:t>从业者</w:t>
      </w:r>
      <w:r>
        <w:rPr>
          <w:rFonts w:hint="default" w:ascii="Times New Roman" w:hAnsi="Times New Roman" w:eastAsia="仿宋" w:cs="Times New Roman"/>
          <w:color w:val="auto"/>
          <w:kern w:val="0"/>
          <w:sz w:val="32"/>
          <w:szCs w:val="32"/>
          <w:highlight w:val="none"/>
          <w:lang w:eastAsia="zh-CN" w:bidi="ar"/>
        </w:rPr>
        <w:t>满意度”</w:t>
      </w:r>
      <w:r>
        <w:rPr>
          <w:rFonts w:hint="default" w:ascii="Times New Roman" w:hAnsi="Times New Roman" w:eastAsia="仿宋" w:cs="Times New Roman"/>
          <w:color w:val="auto"/>
          <w:kern w:val="0"/>
          <w:sz w:val="32"/>
          <w:szCs w:val="32"/>
          <w:highlight w:val="none"/>
          <w:lang w:val="en-US" w:eastAsia="zh-CN" w:bidi="ar"/>
        </w:rPr>
        <w:t>指标，年度指标值：≥90%，实际完成值：≥95%，分值5分，得分5分。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w:t>
      </w:r>
      <w:r>
        <w:rPr>
          <w:rFonts w:hint="default" w:ascii="Times New Roman" w:hAnsi="Times New Roman" w:eastAsia="仿宋" w:cs="Times New Roman"/>
          <w:color w:val="auto"/>
          <w:kern w:val="0"/>
          <w:sz w:val="32"/>
          <w:szCs w:val="32"/>
          <w:highlight w:val="none"/>
          <w:lang w:val="en-US" w:eastAsia="zh-CN" w:bidi="ar"/>
        </w:rPr>
        <w:t>彩民</w:t>
      </w:r>
      <w:r>
        <w:rPr>
          <w:rFonts w:hint="default" w:ascii="Times New Roman" w:hAnsi="Times New Roman" w:eastAsia="仿宋" w:cs="Times New Roman"/>
          <w:color w:val="auto"/>
          <w:kern w:val="0"/>
          <w:sz w:val="32"/>
          <w:szCs w:val="32"/>
          <w:highlight w:val="none"/>
          <w:lang w:eastAsia="zh-CN" w:bidi="ar"/>
        </w:rPr>
        <w:t>满意度”</w:t>
      </w:r>
      <w:r>
        <w:rPr>
          <w:rFonts w:hint="default" w:ascii="Times New Roman" w:hAnsi="Times New Roman" w:eastAsia="仿宋" w:cs="Times New Roman"/>
          <w:color w:val="auto"/>
          <w:kern w:val="0"/>
          <w:sz w:val="32"/>
          <w:szCs w:val="32"/>
          <w:highlight w:val="none"/>
          <w:lang w:val="en-US" w:eastAsia="zh-CN" w:bidi="ar"/>
        </w:rPr>
        <w:t>指标，年度指标值：≥90%，实际完成值：≥95%，分值5分，得分5分。</w:t>
      </w:r>
    </w:p>
    <w:p>
      <w:pPr>
        <w:pStyle w:val="4"/>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楷体" w:cs="Times New Roman"/>
          <w:b/>
          <w:color w:val="auto"/>
          <w:sz w:val="32"/>
          <w:szCs w:val="32"/>
          <w:highlight w:val="none"/>
          <w:lang w:eastAsia="zh-CN"/>
        </w:rPr>
      </w:pPr>
      <w:r>
        <w:rPr>
          <w:rFonts w:hint="default" w:ascii="Times New Roman" w:hAnsi="Times New Roman" w:eastAsia="楷体" w:cs="Times New Roman"/>
          <w:b/>
          <w:color w:val="auto"/>
          <w:sz w:val="32"/>
          <w:szCs w:val="32"/>
          <w:highlight w:val="none"/>
          <w:lang w:eastAsia="zh-CN"/>
        </w:rPr>
        <w:t>（</w:t>
      </w:r>
      <w:r>
        <w:rPr>
          <w:rFonts w:hint="default" w:ascii="Times New Roman" w:hAnsi="Times New Roman" w:eastAsia="楷体" w:cs="Times New Roman"/>
          <w:b/>
          <w:color w:val="auto"/>
          <w:sz w:val="32"/>
          <w:szCs w:val="32"/>
          <w:highlight w:val="none"/>
          <w:lang w:val="en-US" w:eastAsia="zh-CN"/>
        </w:rPr>
        <w:t>五）成本指标</w:t>
      </w:r>
      <w:r>
        <w:rPr>
          <w:rFonts w:hint="default" w:ascii="Times New Roman" w:hAnsi="Times New Roman" w:eastAsia="楷体" w:cs="Times New Roman"/>
          <w:b/>
          <w:color w:val="auto"/>
          <w:sz w:val="32"/>
          <w:szCs w:val="32"/>
          <w:highlight w:val="none"/>
          <w:lang w:eastAsia="zh-CN"/>
        </w:rPr>
        <w:t>（分值10分，得10分）</w:t>
      </w:r>
    </w:p>
    <w:p>
      <w:pPr>
        <w:pStyle w:val="4"/>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b/>
          <w:color w:val="auto"/>
          <w:sz w:val="32"/>
          <w:szCs w:val="32"/>
          <w:highlight w:val="none"/>
          <w:lang w:val="en-US" w:eastAsia="zh-CN"/>
        </w:rPr>
        <w:t>1.经济成本</w:t>
      </w:r>
      <w:r>
        <w:rPr>
          <w:rFonts w:hint="default" w:ascii="Times New Roman" w:hAnsi="Times New Roman" w:eastAsia="仿宋" w:cs="Times New Roman"/>
          <w:b/>
          <w:color w:val="auto"/>
          <w:sz w:val="32"/>
          <w:szCs w:val="32"/>
          <w:highlight w:val="none"/>
          <w:lang w:eastAsia="zh-CN"/>
        </w:rPr>
        <w:t>指标</w:t>
      </w:r>
      <w:r>
        <w:rPr>
          <w:rFonts w:hint="default" w:ascii="Times New Roman" w:hAnsi="Times New Roman" w:eastAsia="楷体" w:cs="Times New Roman"/>
          <w:b/>
          <w:color w:val="auto"/>
          <w:sz w:val="32"/>
          <w:szCs w:val="32"/>
          <w:highlight w:val="none"/>
          <w:lang w:eastAsia="zh-CN"/>
        </w:rPr>
        <w:t>（分值</w:t>
      </w:r>
      <w:r>
        <w:rPr>
          <w:rFonts w:hint="default" w:ascii="Times New Roman" w:hAnsi="Times New Roman" w:eastAsia="楷体" w:cs="Times New Roman"/>
          <w:b/>
          <w:color w:val="auto"/>
          <w:sz w:val="32"/>
          <w:szCs w:val="32"/>
          <w:highlight w:val="none"/>
          <w:lang w:val="en-US" w:eastAsia="zh-CN"/>
        </w:rPr>
        <w:t>5</w:t>
      </w:r>
      <w:r>
        <w:rPr>
          <w:rFonts w:hint="default" w:ascii="Times New Roman" w:hAnsi="Times New Roman" w:eastAsia="楷体" w:cs="Times New Roman"/>
          <w:b/>
          <w:color w:val="auto"/>
          <w:sz w:val="32"/>
          <w:szCs w:val="32"/>
          <w:highlight w:val="none"/>
          <w:lang w:eastAsia="zh-CN"/>
        </w:rPr>
        <w:t>分，得</w:t>
      </w:r>
      <w:r>
        <w:rPr>
          <w:rFonts w:hint="default" w:ascii="Times New Roman" w:hAnsi="Times New Roman" w:eastAsia="楷体" w:cs="Times New Roman"/>
          <w:b/>
          <w:color w:val="auto"/>
          <w:sz w:val="32"/>
          <w:szCs w:val="32"/>
          <w:highlight w:val="none"/>
          <w:lang w:val="en-US" w:eastAsia="zh-CN"/>
        </w:rPr>
        <w:t>5</w:t>
      </w:r>
      <w:r>
        <w:rPr>
          <w:rFonts w:hint="default" w:ascii="Times New Roman" w:hAnsi="Times New Roman" w:eastAsia="楷体" w:cs="Times New Roman"/>
          <w:b/>
          <w:color w:val="auto"/>
          <w:sz w:val="32"/>
          <w:szCs w:val="32"/>
          <w:highlight w:val="none"/>
          <w:lang w:eastAsia="zh-CN"/>
        </w:rPr>
        <w:t>分）</w:t>
      </w:r>
    </w:p>
    <w:p>
      <w:pPr>
        <w:pStyle w:val="4"/>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color w:val="auto"/>
          <w:kern w:val="0"/>
          <w:sz w:val="32"/>
          <w:szCs w:val="32"/>
          <w:highlight w:val="none"/>
          <w:lang w:eastAsia="zh-CN" w:bidi="ar"/>
        </w:rPr>
        <w:t>“</w:t>
      </w:r>
      <w:r>
        <w:rPr>
          <w:rFonts w:hint="default" w:ascii="Times New Roman" w:hAnsi="Times New Roman" w:eastAsia="仿宋" w:cs="Times New Roman"/>
          <w:color w:val="auto"/>
          <w:kern w:val="0"/>
          <w:sz w:val="32"/>
          <w:szCs w:val="32"/>
          <w:highlight w:val="none"/>
          <w:lang w:val="en-US" w:eastAsia="zh-CN" w:bidi="ar"/>
        </w:rPr>
        <w:t>公用经费控制率</w:t>
      </w:r>
      <w:r>
        <w:rPr>
          <w:rFonts w:hint="default" w:ascii="Times New Roman" w:hAnsi="Times New Roman" w:eastAsia="仿宋" w:cs="Times New Roman"/>
          <w:color w:val="auto"/>
          <w:kern w:val="0"/>
          <w:sz w:val="32"/>
          <w:szCs w:val="32"/>
          <w:highlight w:val="none"/>
          <w:lang w:eastAsia="zh-CN" w:bidi="ar"/>
        </w:rPr>
        <w:t>”</w:t>
      </w:r>
      <w:r>
        <w:rPr>
          <w:rFonts w:hint="default" w:ascii="Times New Roman" w:hAnsi="Times New Roman" w:eastAsia="仿宋" w:cs="Times New Roman"/>
          <w:color w:val="auto"/>
          <w:kern w:val="0"/>
          <w:sz w:val="32"/>
          <w:szCs w:val="32"/>
          <w:highlight w:val="none"/>
          <w:lang w:val="en-US" w:eastAsia="zh-CN" w:bidi="ar"/>
        </w:rPr>
        <w:t>指标，年度指标值：≤100%，实际完成值：91.25%，分值3分，得分3分。</w:t>
      </w:r>
    </w:p>
    <w:p>
      <w:pPr>
        <w:pStyle w:val="4"/>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val="en-US" w:eastAsia="zh-CN" w:bidi="ar"/>
        </w:rPr>
        <w:t>“三公经费控制率”指标，年度指标值：≤100%，实际完成值：40.22%，分值2分，得分2分。</w:t>
      </w:r>
    </w:p>
    <w:p>
      <w:pPr>
        <w:pStyle w:val="4"/>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b/>
          <w:color w:val="auto"/>
          <w:sz w:val="32"/>
          <w:szCs w:val="32"/>
          <w:highlight w:val="none"/>
          <w:lang w:val="en-US" w:eastAsia="zh-CN"/>
        </w:rPr>
        <w:t>2.社会成本</w:t>
      </w:r>
      <w:r>
        <w:rPr>
          <w:rFonts w:hint="default" w:ascii="Times New Roman" w:hAnsi="Times New Roman" w:eastAsia="仿宋" w:cs="Times New Roman"/>
          <w:b/>
          <w:color w:val="auto"/>
          <w:sz w:val="32"/>
          <w:szCs w:val="32"/>
          <w:highlight w:val="none"/>
          <w:lang w:eastAsia="zh-CN"/>
        </w:rPr>
        <w:t>指标</w:t>
      </w:r>
      <w:r>
        <w:rPr>
          <w:rFonts w:hint="default" w:ascii="Times New Roman" w:hAnsi="Times New Roman" w:eastAsia="楷体" w:cs="Times New Roman"/>
          <w:b/>
          <w:color w:val="auto"/>
          <w:sz w:val="32"/>
          <w:szCs w:val="32"/>
          <w:highlight w:val="none"/>
          <w:lang w:eastAsia="zh-CN"/>
        </w:rPr>
        <w:t>（分值</w:t>
      </w:r>
      <w:r>
        <w:rPr>
          <w:rFonts w:hint="default" w:ascii="Times New Roman" w:hAnsi="Times New Roman" w:eastAsia="楷体" w:cs="Times New Roman"/>
          <w:b/>
          <w:color w:val="auto"/>
          <w:sz w:val="32"/>
          <w:szCs w:val="32"/>
          <w:highlight w:val="none"/>
          <w:lang w:val="en-US" w:eastAsia="zh-CN"/>
        </w:rPr>
        <w:t>3</w:t>
      </w:r>
      <w:r>
        <w:rPr>
          <w:rFonts w:hint="default" w:ascii="Times New Roman" w:hAnsi="Times New Roman" w:eastAsia="楷体" w:cs="Times New Roman"/>
          <w:b/>
          <w:color w:val="auto"/>
          <w:sz w:val="32"/>
          <w:szCs w:val="32"/>
          <w:highlight w:val="none"/>
          <w:lang w:eastAsia="zh-CN"/>
        </w:rPr>
        <w:t>分，得</w:t>
      </w:r>
      <w:r>
        <w:rPr>
          <w:rFonts w:hint="default" w:ascii="Times New Roman" w:hAnsi="Times New Roman" w:eastAsia="楷体" w:cs="Times New Roman"/>
          <w:b/>
          <w:color w:val="auto"/>
          <w:sz w:val="32"/>
          <w:szCs w:val="32"/>
          <w:highlight w:val="none"/>
          <w:lang w:val="en-US" w:eastAsia="zh-CN"/>
        </w:rPr>
        <w:t>3</w:t>
      </w:r>
      <w:r>
        <w:rPr>
          <w:rFonts w:hint="default" w:ascii="Times New Roman" w:hAnsi="Times New Roman" w:eastAsia="楷体" w:cs="Times New Roman"/>
          <w:b/>
          <w:color w:val="auto"/>
          <w:sz w:val="32"/>
          <w:szCs w:val="32"/>
          <w:highlight w:val="none"/>
          <w:lang w:eastAsia="zh-CN"/>
        </w:rPr>
        <w:t>分）</w:t>
      </w:r>
    </w:p>
    <w:p>
      <w:pPr>
        <w:pStyle w:val="4"/>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w:t>
      </w:r>
      <w:r>
        <w:rPr>
          <w:rFonts w:hint="default" w:ascii="Times New Roman" w:hAnsi="Times New Roman" w:eastAsia="仿宋" w:cs="Times New Roman"/>
          <w:color w:val="auto"/>
          <w:kern w:val="0"/>
          <w:sz w:val="32"/>
          <w:szCs w:val="32"/>
          <w:highlight w:val="none"/>
          <w:lang w:val="en-US" w:eastAsia="zh-CN" w:bidi="ar"/>
        </w:rPr>
        <w:t>新增就业岗位数</w:t>
      </w:r>
      <w:r>
        <w:rPr>
          <w:rFonts w:hint="default" w:ascii="Times New Roman" w:hAnsi="Times New Roman" w:eastAsia="仿宋" w:cs="Times New Roman"/>
          <w:color w:val="auto"/>
          <w:kern w:val="0"/>
          <w:sz w:val="32"/>
          <w:szCs w:val="32"/>
          <w:highlight w:val="none"/>
          <w:lang w:eastAsia="zh-CN" w:bidi="ar"/>
        </w:rPr>
        <w:t>”</w:t>
      </w:r>
      <w:r>
        <w:rPr>
          <w:rFonts w:hint="default" w:ascii="Times New Roman" w:hAnsi="Times New Roman" w:eastAsia="仿宋" w:cs="Times New Roman"/>
          <w:color w:val="auto"/>
          <w:kern w:val="0"/>
          <w:sz w:val="32"/>
          <w:szCs w:val="32"/>
          <w:highlight w:val="none"/>
          <w:lang w:val="en-US" w:eastAsia="zh-CN" w:bidi="ar"/>
        </w:rPr>
        <w:t>指标，年度指标值：≥1000人，实际完成值：1000人，分值3分，得分3分。</w:t>
      </w:r>
    </w:p>
    <w:p>
      <w:pPr>
        <w:pStyle w:val="4"/>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color w:val="auto"/>
          <w:kern w:val="0"/>
          <w:sz w:val="32"/>
          <w:szCs w:val="32"/>
          <w:highlight w:val="none"/>
          <w:lang w:val="en-US" w:eastAsia="zh-CN" w:bidi="ar"/>
        </w:rPr>
      </w:pPr>
      <w:r>
        <w:rPr>
          <w:rFonts w:hint="default" w:ascii="Times New Roman" w:hAnsi="Times New Roman" w:eastAsia="仿宋" w:cs="Times New Roman"/>
          <w:b/>
          <w:color w:val="auto"/>
          <w:sz w:val="32"/>
          <w:szCs w:val="32"/>
          <w:highlight w:val="none"/>
          <w:lang w:val="en-US" w:eastAsia="zh-CN"/>
        </w:rPr>
        <w:t>3.生态环境成本</w:t>
      </w:r>
      <w:r>
        <w:rPr>
          <w:rFonts w:hint="default" w:ascii="Times New Roman" w:hAnsi="Times New Roman" w:eastAsia="仿宋" w:cs="Times New Roman"/>
          <w:b/>
          <w:color w:val="auto"/>
          <w:sz w:val="32"/>
          <w:szCs w:val="32"/>
          <w:highlight w:val="none"/>
          <w:lang w:eastAsia="zh-CN"/>
        </w:rPr>
        <w:t>指标</w:t>
      </w:r>
      <w:r>
        <w:rPr>
          <w:rFonts w:hint="default" w:ascii="Times New Roman" w:hAnsi="Times New Roman" w:eastAsia="楷体" w:cs="Times New Roman"/>
          <w:b/>
          <w:color w:val="auto"/>
          <w:sz w:val="32"/>
          <w:szCs w:val="32"/>
          <w:highlight w:val="none"/>
          <w:lang w:eastAsia="zh-CN"/>
        </w:rPr>
        <w:t>（分值</w:t>
      </w:r>
      <w:r>
        <w:rPr>
          <w:rFonts w:hint="default" w:ascii="Times New Roman" w:hAnsi="Times New Roman" w:eastAsia="楷体" w:cs="Times New Roman"/>
          <w:b/>
          <w:color w:val="auto"/>
          <w:sz w:val="32"/>
          <w:szCs w:val="32"/>
          <w:highlight w:val="none"/>
          <w:lang w:val="en-US" w:eastAsia="zh-CN"/>
        </w:rPr>
        <w:t>2</w:t>
      </w:r>
      <w:r>
        <w:rPr>
          <w:rFonts w:hint="default" w:ascii="Times New Roman" w:hAnsi="Times New Roman" w:eastAsia="楷体" w:cs="Times New Roman"/>
          <w:b/>
          <w:color w:val="auto"/>
          <w:sz w:val="32"/>
          <w:szCs w:val="32"/>
          <w:highlight w:val="none"/>
          <w:lang w:eastAsia="zh-CN"/>
        </w:rPr>
        <w:t>分，得</w:t>
      </w:r>
      <w:r>
        <w:rPr>
          <w:rFonts w:hint="default" w:ascii="Times New Roman" w:hAnsi="Times New Roman" w:eastAsia="楷体" w:cs="Times New Roman"/>
          <w:b/>
          <w:color w:val="auto"/>
          <w:sz w:val="32"/>
          <w:szCs w:val="32"/>
          <w:highlight w:val="none"/>
          <w:lang w:val="en-US" w:eastAsia="zh-CN"/>
        </w:rPr>
        <w:t>2</w:t>
      </w:r>
      <w:r>
        <w:rPr>
          <w:rFonts w:hint="default" w:ascii="Times New Roman" w:hAnsi="Times New Roman" w:eastAsia="楷体" w:cs="Times New Roman"/>
          <w:b/>
          <w:color w:val="auto"/>
          <w:sz w:val="32"/>
          <w:szCs w:val="32"/>
          <w:highlight w:val="none"/>
          <w:lang w:eastAsia="zh-CN"/>
        </w:rPr>
        <w:t>分）</w:t>
      </w:r>
    </w:p>
    <w:p>
      <w:pPr>
        <w:pStyle w:val="4"/>
        <w:keepNext w:val="0"/>
        <w:keepLines w:val="0"/>
        <w:pageBreakBefore w:val="0"/>
        <w:widowControl w:val="0"/>
        <w:kinsoku/>
        <w:wordWrap/>
        <w:overflowPunct w:val="0"/>
        <w:topLinePunct w:val="0"/>
        <w:autoSpaceDE w:val="0"/>
        <w:autoSpaceDN w:val="0"/>
        <w:bidi w:val="0"/>
        <w:adjustRightInd w:val="0"/>
        <w:snapToGrid w:val="0"/>
        <w:spacing w:line="540" w:lineRule="exact"/>
        <w:ind w:left="0" w:leftChars="0" w:right="0" w:firstLine="640" w:firstLineChars="200"/>
        <w:textAlignment w:val="auto"/>
        <w:rPr>
          <w:rFonts w:hint="default" w:ascii="Times New Roman" w:hAnsi="Times New Roman" w:eastAsia="仿宋" w:cs="Times New Roman"/>
          <w:color w:val="auto"/>
          <w:kern w:val="0"/>
          <w:sz w:val="32"/>
          <w:szCs w:val="32"/>
          <w:highlight w:val="none"/>
          <w:lang w:eastAsia="zh-CN" w:bidi="ar"/>
        </w:rPr>
      </w:pPr>
      <w:r>
        <w:rPr>
          <w:rFonts w:hint="default" w:ascii="Times New Roman" w:hAnsi="Times New Roman" w:eastAsia="仿宋" w:cs="Times New Roman"/>
          <w:color w:val="auto"/>
          <w:kern w:val="0"/>
          <w:sz w:val="32"/>
          <w:szCs w:val="32"/>
          <w:highlight w:val="none"/>
          <w:lang w:eastAsia="zh-CN" w:bidi="ar"/>
        </w:rPr>
        <w:t>“</w:t>
      </w:r>
      <w:r>
        <w:rPr>
          <w:rFonts w:hint="default" w:ascii="Times New Roman" w:hAnsi="Times New Roman" w:eastAsia="仿宋" w:cs="Times New Roman"/>
          <w:color w:val="auto"/>
          <w:kern w:val="0"/>
          <w:sz w:val="32"/>
          <w:szCs w:val="32"/>
          <w:highlight w:val="none"/>
          <w:lang w:val="en-US" w:eastAsia="zh-CN" w:bidi="ar"/>
        </w:rPr>
        <w:t>项目符合绿色低碳标准</w:t>
      </w:r>
      <w:r>
        <w:rPr>
          <w:rFonts w:hint="default" w:ascii="Times New Roman" w:hAnsi="Times New Roman" w:eastAsia="仿宋" w:cs="Times New Roman"/>
          <w:color w:val="auto"/>
          <w:kern w:val="0"/>
          <w:sz w:val="32"/>
          <w:szCs w:val="32"/>
          <w:highlight w:val="none"/>
          <w:lang w:eastAsia="zh-CN" w:bidi="ar"/>
        </w:rPr>
        <w:t>”</w:t>
      </w:r>
      <w:r>
        <w:rPr>
          <w:rFonts w:hint="default" w:ascii="Times New Roman" w:hAnsi="Times New Roman" w:eastAsia="仿宋" w:cs="Times New Roman"/>
          <w:color w:val="auto"/>
          <w:kern w:val="0"/>
          <w:sz w:val="32"/>
          <w:szCs w:val="32"/>
          <w:highlight w:val="none"/>
          <w:lang w:val="en-US" w:eastAsia="zh-CN" w:bidi="ar"/>
        </w:rPr>
        <w:t>指标，年度指标值：项目符合绿色低碳标准，实际完成值：项目符合绿色低碳标准，分值2分，得分2分。</w:t>
      </w:r>
    </w:p>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cs="Times New Roman"/>
          <w:b w:val="0"/>
          <w:color w:val="auto"/>
          <w:sz w:val="32"/>
          <w:szCs w:val="32"/>
          <w:highlight w:val="none"/>
          <w:lang w:val="en-US" w:eastAsia="zh-CN"/>
        </w:rPr>
      </w:pPr>
      <w:r>
        <w:rPr>
          <w:rFonts w:hint="default" w:ascii="Times New Roman" w:hAnsi="Times New Roman" w:cs="Times New Roman"/>
          <w:b w:val="0"/>
          <w:color w:val="auto"/>
          <w:sz w:val="32"/>
          <w:szCs w:val="32"/>
          <w:highlight w:val="none"/>
          <w:lang w:val="en-US" w:eastAsia="zh-CN"/>
        </w:rPr>
        <w:t>七</w:t>
      </w:r>
      <w:r>
        <w:rPr>
          <w:rFonts w:hint="default" w:ascii="Times New Roman" w:hAnsi="Times New Roman" w:cs="Times New Roman"/>
          <w:b w:val="0"/>
          <w:color w:val="auto"/>
          <w:sz w:val="32"/>
          <w:szCs w:val="32"/>
          <w:highlight w:val="none"/>
        </w:rPr>
        <w:t>、存在的问题</w:t>
      </w:r>
      <w:bookmarkEnd w:id="40"/>
      <w:bookmarkEnd w:id="41"/>
      <w:r>
        <w:rPr>
          <w:rFonts w:hint="default" w:ascii="Times New Roman" w:hAnsi="Times New Roman" w:cs="Times New Roman"/>
          <w:b w:val="0"/>
          <w:color w:val="auto"/>
          <w:sz w:val="32"/>
          <w:szCs w:val="32"/>
          <w:highlight w:val="none"/>
          <w:lang w:val="en-US" w:eastAsia="zh-CN"/>
        </w:rPr>
        <w:t>及原因分析</w:t>
      </w:r>
    </w:p>
    <w:p>
      <w:pPr>
        <w:pStyle w:val="3"/>
        <w:keepNext w:val="0"/>
        <w:keepLines w:val="0"/>
        <w:pageBreakBefore w:val="0"/>
        <w:widowControl w:val="0"/>
        <w:kinsoku/>
        <w:wordWrap/>
        <w:overflowPunct w:val="0"/>
        <w:topLinePunct w:val="0"/>
        <w:autoSpaceDE w:val="0"/>
        <w:autoSpaceDN w:val="0"/>
        <w:bidi w:val="0"/>
        <w:adjustRightInd w:val="0"/>
        <w:snapToGrid w:val="0"/>
        <w:spacing w:before="0" w:beforeAutospacing="0" w:after="0" w:afterAutospacing="0" w:line="540" w:lineRule="exact"/>
        <w:ind w:right="0" w:firstLine="640" w:firstLineChars="200"/>
        <w:jc w:val="both"/>
        <w:textAlignment w:val="auto"/>
        <w:outlineLvl w:val="1"/>
        <w:rPr>
          <w:rFonts w:hint="default" w:ascii="Times New Roman" w:hAnsi="Times New Roman" w:eastAsia="仿宋" w:cs="Times New Roman"/>
          <w:b w:val="0"/>
          <w:bCs w:val="0"/>
          <w:color w:val="auto"/>
          <w:kern w:val="0"/>
          <w:sz w:val="32"/>
          <w:szCs w:val="32"/>
          <w:highlight w:val="none"/>
          <w:lang w:val="en-US" w:eastAsia="zh-CN" w:bidi="ar"/>
        </w:rPr>
      </w:pPr>
      <w:bookmarkStart w:id="49" w:name="_GoBack"/>
      <w:bookmarkEnd w:id="49"/>
      <w:bookmarkStart w:id="42" w:name="_Toc2427"/>
      <w:bookmarkStart w:id="43" w:name="_Toc3588"/>
      <w:r>
        <w:rPr>
          <w:rFonts w:hint="eastAsia" w:ascii="Times New Roman" w:hAnsi="Times New Roman" w:eastAsia="仿宋" w:cs="Times New Roman"/>
          <w:b w:val="0"/>
          <w:bCs w:val="0"/>
          <w:color w:val="auto"/>
          <w:kern w:val="0"/>
          <w:sz w:val="32"/>
          <w:szCs w:val="32"/>
          <w:highlight w:val="none"/>
          <w:lang w:val="en-US" w:eastAsia="zh-CN" w:bidi="ar"/>
        </w:rPr>
        <w:t>本年度存在跨年项目，部分项目资金需结转至下一年度使用，预算执行率有待进一步提高</w:t>
      </w:r>
      <w:r>
        <w:rPr>
          <w:rFonts w:hint="default" w:ascii="Times New Roman" w:hAnsi="Times New Roman" w:eastAsia="仿宋" w:cs="Times New Roman"/>
          <w:b w:val="0"/>
          <w:bCs w:val="0"/>
          <w:color w:val="auto"/>
          <w:kern w:val="0"/>
          <w:sz w:val="32"/>
          <w:szCs w:val="32"/>
          <w:highlight w:val="none"/>
          <w:lang w:val="en-US" w:eastAsia="zh-CN" w:bidi="ar"/>
        </w:rPr>
        <w:t>。</w:t>
      </w:r>
    </w:p>
    <w:bookmarkEnd w:id="42"/>
    <w:bookmarkEnd w:id="43"/>
    <w:p>
      <w:pPr>
        <w:pStyle w:val="2"/>
        <w:keepNext w:val="0"/>
        <w:keepLines w:val="0"/>
        <w:pageBreakBefore w:val="0"/>
        <w:widowControl w:val="0"/>
        <w:kinsoku/>
        <w:wordWrap/>
        <w:overflowPunct w:val="0"/>
        <w:topLinePunct w:val="0"/>
        <w:autoSpaceDE w:val="0"/>
        <w:autoSpaceDN w:val="0"/>
        <w:bidi w:val="0"/>
        <w:adjustRightInd w:val="0"/>
        <w:snapToGrid w:val="0"/>
        <w:spacing w:line="540" w:lineRule="exact"/>
        <w:ind w:left="0" w:leftChars="0" w:right="0" w:firstLine="640" w:firstLineChars="200"/>
        <w:textAlignment w:val="auto"/>
        <w:rPr>
          <w:rFonts w:hint="default" w:ascii="Times New Roman" w:hAnsi="Times New Roman" w:cs="Times New Roman"/>
          <w:b w:val="0"/>
          <w:color w:val="auto"/>
          <w:sz w:val="32"/>
          <w:szCs w:val="32"/>
          <w:highlight w:val="none"/>
        </w:rPr>
      </w:pPr>
      <w:bookmarkStart w:id="44" w:name="_Toc27581"/>
      <w:bookmarkStart w:id="45" w:name="_Toc32424"/>
      <w:r>
        <w:rPr>
          <w:rFonts w:hint="default" w:ascii="Times New Roman" w:hAnsi="Times New Roman" w:cs="Times New Roman"/>
          <w:b w:val="0"/>
          <w:color w:val="auto"/>
          <w:sz w:val="32"/>
          <w:szCs w:val="32"/>
          <w:highlight w:val="none"/>
          <w:lang w:val="en-US" w:eastAsia="zh-CN"/>
        </w:rPr>
        <w:t>八</w:t>
      </w:r>
      <w:r>
        <w:rPr>
          <w:rFonts w:hint="default" w:ascii="Times New Roman" w:hAnsi="Times New Roman" w:cs="Times New Roman"/>
          <w:b w:val="0"/>
          <w:color w:val="auto"/>
          <w:sz w:val="32"/>
          <w:szCs w:val="32"/>
          <w:highlight w:val="none"/>
        </w:rPr>
        <w:t>、下一步改进措施</w:t>
      </w:r>
      <w:bookmarkEnd w:id="44"/>
      <w:bookmarkEnd w:id="45"/>
    </w:p>
    <w:p>
      <w:pPr>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jc w:val="left"/>
        <w:textAlignment w:val="auto"/>
        <w:rPr>
          <w:rFonts w:hint="default" w:ascii="Times New Roman" w:hAnsi="Times New Roman" w:eastAsia="楷体" w:cs="Times New Roman"/>
          <w:b/>
          <w:bCs/>
          <w:color w:val="auto"/>
          <w:kern w:val="0"/>
          <w:sz w:val="32"/>
          <w:szCs w:val="32"/>
          <w:highlight w:val="none"/>
          <w:lang w:val="en-US" w:eastAsia="zh-CN" w:bidi="ar"/>
        </w:rPr>
      </w:pPr>
      <w:bookmarkStart w:id="46" w:name="_Toc18508"/>
      <w:bookmarkStart w:id="47" w:name="_Toc23376"/>
      <w:r>
        <w:rPr>
          <w:rFonts w:hint="default" w:ascii="Times New Roman" w:hAnsi="Times New Roman" w:eastAsia="楷体" w:cs="Times New Roman"/>
          <w:b/>
          <w:bCs/>
          <w:color w:val="auto"/>
          <w:kern w:val="0"/>
          <w:sz w:val="32"/>
          <w:szCs w:val="32"/>
          <w:highlight w:val="none"/>
          <w:lang w:val="en-US" w:eastAsia="zh-CN" w:bidi="ar"/>
        </w:rPr>
        <w:t>（一）细化预算编制</w:t>
      </w:r>
    </w:p>
    <w:p>
      <w:pPr>
        <w:pStyle w:val="11"/>
        <w:keepNext w:val="0"/>
        <w:keepLines w:val="0"/>
        <w:pageBreakBefore w:val="0"/>
        <w:widowControl w:val="0"/>
        <w:kinsoku/>
        <w:wordWrap/>
        <w:overflowPunct w:val="0"/>
        <w:topLinePunct w:val="0"/>
        <w:autoSpaceDE w:val="0"/>
        <w:autoSpaceDN w:val="0"/>
        <w:bidi w:val="0"/>
        <w:adjustRightInd w:val="0"/>
        <w:snapToGrid w:val="0"/>
        <w:spacing w:line="540" w:lineRule="exact"/>
        <w:ind w:right="0" w:firstLine="640" w:firstLineChars="200"/>
        <w:jc w:val="both"/>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持续深化“零基预算”改革，打破基数依赖，以零为起点重新评估各项支出必要性；同时细化预算编制流程，精准核定收支标准，强化项目全周期管理，提升预算编制科学性与精准度。</w:t>
      </w:r>
    </w:p>
    <w:p>
      <w:pPr>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jc w:val="left"/>
        <w:textAlignment w:val="auto"/>
        <w:rPr>
          <w:rFonts w:hint="default" w:ascii="Times New Roman" w:hAnsi="Times New Roman" w:eastAsia="楷体" w:cs="Times New Roman"/>
          <w:b/>
          <w:bCs/>
          <w:color w:val="auto"/>
          <w:kern w:val="0"/>
          <w:sz w:val="32"/>
          <w:szCs w:val="32"/>
          <w:highlight w:val="none"/>
          <w:lang w:val="en-US" w:eastAsia="zh-CN" w:bidi="ar"/>
        </w:rPr>
      </w:pPr>
      <w:r>
        <w:rPr>
          <w:rFonts w:hint="default" w:ascii="Times New Roman" w:hAnsi="Times New Roman" w:eastAsia="楷体" w:cs="Times New Roman"/>
          <w:b/>
          <w:bCs/>
          <w:color w:val="auto"/>
          <w:kern w:val="0"/>
          <w:sz w:val="32"/>
          <w:szCs w:val="32"/>
          <w:highlight w:val="none"/>
          <w:lang w:bidi="ar"/>
        </w:rPr>
        <w:t>（二</w:t>
      </w:r>
      <w:r>
        <w:rPr>
          <w:rFonts w:hint="default" w:ascii="Times New Roman" w:hAnsi="Times New Roman" w:eastAsia="楷体" w:cs="Times New Roman"/>
          <w:b/>
          <w:bCs/>
          <w:color w:val="auto"/>
          <w:kern w:val="0"/>
          <w:sz w:val="32"/>
          <w:szCs w:val="32"/>
          <w:highlight w:val="none"/>
          <w:lang w:val="en-US" w:eastAsia="zh-CN" w:bidi="ar"/>
        </w:rPr>
        <w:t>）加快预算执行</w:t>
      </w:r>
    </w:p>
    <w:p>
      <w:pPr>
        <w:pStyle w:val="2"/>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val="0"/>
          <w:color w:val="auto"/>
          <w:kern w:val="2"/>
          <w:sz w:val="32"/>
          <w:szCs w:val="32"/>
          <w:highlight w:val="none"/>
          <w:lang w:val="en-US" w:eastAsia="zh-CN" w:bidi="ar-SA"/>
        </w:rPr>
      </w:pPr>
      <w:r>
        <w:rPr>
          <w:rFonts w:hint="default" w:ascii="Times New Roman" w:hAnsi="Times New Roman" w:eastAsia="仿宋" w:cs="Times New Roman"/>
          <w:b w:val="0"/>
          <w:color w:val="auto"/>
          <w:kern w:val="2"/>
          <w:sz w:val="32"/>
          <w:szCs w:val="32"/>
          <w:highlight w:val="none"/>
          <w:lang w:val="en-US" w:eastAsia="zh-CN" w:bidi="ar-SA"/>
        </w:rPr>
        <w:t>重点对金额较大或关键项目前置筹备工作，科学规划进度，避免第四季度支出扎堆；同步构建动态监测预警体系，优化资金审批流程、缩短支付周期；定期召开协调会议促进部门协同，对进度迟缓项目开展专项督导，保障预算执行提质增速。</w:t>
      </w:r>
    </w:p>
    <w:p>
      <w:pPr>
        <w:pStyle w:val="2"/>
        <w:keepNext w:val="0"/>
        <w:keepLines w:val="0"/>
        <w:pageBreakBefore w:val="0"/>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cs="Times New Roman"/>
          <w:b w:val="0"/>
          <w:color w:val="auto"/>
          <w:sz w:val="32"/>
          <w:szCs w:val="32"/>
          <w:highlight w:val="none"/>
        </w:rPr>
      </w:pPr>
      <w:r>
        <w:rPr>
          <w:rFonts w:hint="default" w:ascii="Times New Roman" w:hAnsi="Times New Roman" w:cs="Times New Roman"/>
          <w:b w:val="0"/>
          <w:color w:val="auto"/>
          <w:sz w:val="32"/>
          <w:szCs w:val="32"/>
          <w:highlight w:val="none"/>
          <w:lang w:val="en-US" w:eastAsia="zh-CN"/>
        </w:rPr>
        <w:t>九</w:t>
      </w:r>
      <w:r>
        <w:rPr>
          <w:rFonts w:hint="default" w:ascii="Times New Roman" w:hAnsi="Times New Roman" w:cs="Times New Roman"/>
          <w:b w:val="0"/>
          <w:color w:val="auto"/>
          <w:sz w:val="32"/>
          <w:szCs w:val="32"/>
          <w:highlight w:val="none"/>
        </w:rPr>
        <w:t>、</w:t>
      </w:r>
      <w:bookmarkEnd w:id="46"/>
      <w:bookmarkEnd w:id="47"/>
      <w:r>
        <w:rPr>
          <w:rFonts w:hint="default" w:ascii="Times New Roman" w:hAnsi="Times New Roman" w:cs="Times New Roman"/>
          <w:b w:val="0"/>
          <w:color w:val="auto"/>
          <w:sz w:val="32"/>
          <w:szCs w:val="32"/>
          <w:highlight w:val="none"/>
        </w:rPr>
        <w:t>部门整体支出绩效自评结果拟应用和公开情况</w:t>
      </w:r>
    </w:p>
    <w:p>
      <w:pPr>
        <w:keepNext w:val="0"/>
        <w:keepLines w:val="0"/>
        <w:pageBreakBefore w:val="0"/>
        <w:widowControl/>
        <w:kinsoku/>
        <w:wordWrap/>
        <w:overflowPunct w:val="0"/>
        <w:topLinePunct w:val="0"/>
        <w:autoSpaceDE w:val="0"/>
        <w:autoSpaceDN w:val="0"/>
        <w:bidi w:val="0"/>
        <w:adjustRightInd w:val="0"/>
        <w:snapToGrid w:val="0"/>
        <w:spacing w:line="540" w:lineRule="exact"/>
        <w:ind w:right="0" w:firstLine="640" w:firstLineChars="200"/>
        <w:textAlignment w:val="auto"/>
        <w:rPr>
          <w:rFonts w:hint="default" w:ascii="Times New Roman" w:hAnsi="Times New Roman" w:eastAsia="仿宋" w:cs="Times New Roman"/>
          <w:b w:val="0"/>
          <w:color w:val="auto"/>
          <w:kern w:val="2"/>
          <w:sz w:val="32"/>
          <w:szCs w:val="32"/>
          <w:highlight w:val="none"/>
          <w:lang w:val="en-US" w:eastAsia="zh-CN" w:bidi="ar-SA"/>
        </w:rPr>
      </w:pPr>
      <w:r>
        <w:rPr>
          <w:rFonts w:hint="default" w:ascii="Times New Roman" w:hAnsi="Times New Roman" w:eastAsia="仿宋" w:cs="Times New Roman"/>
          <w:b w:val="0"/>
          <w:color w:val="auto"/>
          <w:kern w:val="2"/>
          <w:sz w:val="32"/>
          <w:szCs w:val="32"/>
          <w:highlight w:val="none"/>
          <w:lang w:val="en-US" w:eastAsia="zh-CN" w:bidi="ar-SA"/>
        </w:rPr>
        <w:t>绩效自评结果将作为下一年度预算安排的重要依据，与预算调整和项目安排挂钩。拟在省福彩中心官网进行公开。</w:t>
      </w:r>
    </w:p>
    <w:p>
      <w:pPr>
        <w:keepNext w:val="0"/>
        <w:keepLines w:val="0"/>
        <w:pageBreakBefore w:val="0"/>
        <w:kinsoku/>
        <w:wordWrap/>
        <w:topLinePunct w:val="0"/>
        <w:bidi w:val="0"/>
        <w:spacing w:line="540" w:lineRule="exact"/>
        <w:ind w:right="0" w:firstLine="640" w:firstLineChars="200"/>
        <w:textAlignment w:val="auto"/>
        <w:rPr>
          <w:rFonts w:hint="default" w:ascii="Times New Roman" w:hAnsi="Times New Roman" w:eastAsia="黑体" w:cs="Times New Roman"/>
          <w:b w:val="0"/>
          <w:color w:val="auto"/>
          <w:kern w:val="44"/>
          <w:sz w:val="32"/>
          <w:szCs w:val="32"/>
          <w:highlight w:val="none"/>
          <w:lang w:val="en-US" w:eastAsia="zh-CN" w:bidi="ar-SA"/>
        </w:rPr>
      </w:pPr>
      <w:bookmarkStart w:id="48" w:name="_Toc246"/>
      <w:r>
        <w:rPr>
          <w:rFonts w:hint="default" w:ascii="Times New Roman" w:hAnsi="Times New Roman" w:eastAsia="黑体" w:cs="Times New Roman"/>
          <w:b w:val="0"/>
          <w:color w:val="auto"/>
          <w:kern w:val="44"/>
          <w:sz w:val="32"/>
          <w:szCs w:val="32"/>
          <w:highlight w:val="none"/>
          <w:lang w:val="en-US" w:eastAsia="zh-CN" w:bidi="ar-SA"/>
        </w:rPr>
        <w:t>十、其他需要说明的情况</w:t>
      </w:r>
    </w:p>
    <w:p>
      <w:pPr>
        <w:keepNext w:val="0"/>
        <w:keepLines w:val="0"/>
        <w:pageBreakBefore w:val="0"/>
        <w:kinsoku/>
        <w:wordWrap/>
        <w:topLinePunct w:val="0"/>
        <w:bidi w:val="0"/>
        <w:spacing w:line="540" w:lineRule="exact"/>
        <w:ind w:right="0" w:firstLine="640" w:firstLineChars="200"/>
        <w:textAlignment w:val="auto"/>
        <w:rPr>
          <w:rFonts w:hint="default" w:ascii="Times New Roman" w:hAnsi="Times New Roman" w:eastAsia="仿宋" w:cs="Times New Roman"/>
          <w:strike w:val="0"/>
          <w:dstrike w:val="0"/>
          <w:color w:val="auto"/>
          <w:sz w:val="32"/>
          <w:szCs w:val="32"/>
          <w:highlight w:val="none"/>
          <w:lang w:val="en-US" w:eastAsia="zh-CN"/>
        </w:rPr>
      </w:pPr>
      <w:r>
        <w:rPr>
          <w:rFonts w:hint="default" w:ascii="Times New Roman" w:hAnsi="Times New Roman" w:eastAsia="仿宋" w:cs="Times New Roman"/>
          <w:b w:val="0"/>
          <w:color w:val="auto"/>
          <w:kern w:val="2"/>
          <w:sz w:val="32"/>
          <w:szCs w:val="32"/>
          <w:highlight w:val="none"/>
          <w:lang w:val="en-US" w:eastAsia="zh-CN" w:bidi="ar-SA"/>
        </w:rPr>
        <w:t>无。</w:t>
      </w:r>
      <w:bookmarkEnd w:id="22"/>
      <w:bookmarkEnd w:id="23"/>
      <w:bookmarkEnd w:id="48"/>
    </w:p>
    <w:p>
      <w:pPr>
        <w:pStyle w:val="16"/>
        <w:jc w:val="both"/>
        <w:rPr>
          <w:rFonts w:hint="default" w:ascii="Times New Roman" w:hAnsi="Times New Roman" w:cs="Times New Roman"/>
          <w:sz w:val="72"/>
          <w:szCs w:val="72"/>
        </w:rPr>
      </w:pPr>
    </w:p>
    <w:p>
      <w:pPr>
        <w:jc w:val="left"/>
        <w:rPr>
          <w:rFonts w:hint="default" w:ascii="Times New Roman" w:hAnsi="Times New Roman" w:cs="Times New Roman"/>
          <w:color w:val="000000"/>
          <w:kern w:val="0"/>
          <w:sz w:val="32"/>
          <w:szCs w:val="32"/>
        </w:rPr>
      </w:pPr>
    </w:p>
    <w:sectPr>
      <w:pgSz w:w="11906" w:h="16838"/>
      <w:pgMar w:top="1417" w:right="1588" w:bottom="1417" w:left="1588" w:header="851" w:footer="992" w:gutter="0"/>
      <w:pgNumType w:fmt="decimal"/>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3884CF"/>
    <w:multiLevelType w:val="singleLevel"/>
    <w:tmpl w:val="753884C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jNzEyMjBjZDlhYzQ4ODkwMjUwNWU2ODA5Y2I5MDcifQ=="/>
  </w:docVars>
  <w:rsids>
    <w:rsidRoot w:val="004506F9"/>
    <w:rsid w:val="0000001A"/>
    <w:rsid w:val="0002229B"/>
    <w:rsid w:val="000273BD"/>
    <w:rsid w:val="0003620C"/>
    <w:rsid w:val="00040CBC"/>
    <w:rsid w:val="000415B7"/>
    <w:rsid w:val="00041E3F"/>
    <w:rsid w:val="00055DAA"/>
    <w:rsid w:val="00061F7B"/>
    <w:rsid w:val="000658A3"/>
    <w:rsid w:val="00074155"/>
    <w:rsid w:val="00080785"/>
    <w:rsid w:val="000A3F69"/>
    <w:rsid w:val="000B20F1"/>
    <w:rsid w:val="000C5742"/>
    <w:rsid w:val="00103957"/>
    <w:rsid w:val="00152C6D"/>
    <w:rsid w:val="00162D39"/>
    <w:rsid w:val="001678BD"/>
    <w:rsid w:val="00182373"/>
    <w:rsid w:val="001A67DB"/>
    <w:rsid w:val="001B67D1"/>
    <w:rsid w:val="001C3C29"/>
    <w:rsid w:val="001D2B79"/>
    <w:rsid w:val="001D51E5"/>
    <w:rsid w:val="001E080D"/>
    <w:rsid w:val="001E53D0"/>
    <w:rsid w:val="001F0C3B"/>
    <w:rsid w:val="00202C82"/>
    <w:rsid w:val="00214427"/>
    <w:rsid w:val="00220689"/>
    <w:rsid w:val="00221AFD"/>
    <w:rsid w:val="00226CB7"/>
    <w:rsid w:val="00252450"/>
    <w:rsid w:val="00264552"/>
    <w:rsid w:val="00264EF9"/>
    <w:rsid w:val="00265724"/>
    <w:rsid w:val="0027426B"/>
    <w:rsid w:val="00296D60"/>
    <w:rsid w:val="002E0A30"/>
    <w:rsid w:val="0030077D"/>
    <w:rsid w:val="003130C4"/>
    <w:rsid w:val="00316C4B"/>
    <w:rsid w:val="0032192B"/>
    <w:rsid w:val="0033283E"/>
    <w:rsid w:val="003479BD"/>
    <w:rsid w:val="0037197D"/>
    <w:rsid w:val="003768D5"/>
    <w:rsid w:val="003926B9"/>
    <w:rsid w:val="003C2E17"/>
    <w:rsid w:val="003C47E6"/>
    <w:rsid w:val="003C4FC2"/>
    <w:rsid w:val="00401F9A"/>
    <w:rsid w:val="00416E61"/>
    <w:rsid w:val="0042790C"/>
    <w:rsid w:val="004506F9"/>
    <w:rsid w:val="00462315"/>
    <w:rsid w:val="004717A2"/>
    <w:rsid w:val="00473DF3"/>
    <w:rsid w:val="00487911"/>
    <w:rsid w:val="00490F48"/>
    <w:rsid w:val="00491741"/>
    <w:rsid w:val="004B0CEE"/>
    <w:rsid w:val="004C2A0A"/>
    <w:rsid w:val="004F5EFB"/>
    <w:rsid w:val="00500E5F"/>
    <w:rsid w:val="005122EF"/>
    <w:rsid w:val="0051441A"/>
    <w:rsid w:val="00517C33"/>
    <w:rsid w:val="00517D5F"/>
    <w:rsid w:val="00523644"/>
    <w:rsid w:val="0054069E"/>
    <w:rsid w:val="00544866"/>
    <w:rsid w:val="00552A3D"/>
    <w:rsid w:val="00574CC8"/>
    <w:rsid w:val="005767CC"/>
    <w:rsid w:val="00590D9F"/>
    <w:rsid w:val="00595D26"/>
    <w:rsid w:val="005A74E6"/>
    <w:rsid w:val="005B404E"/>
    <w:rsid w:val="005D4D55"/>
    <w:rsid w:val="005E0E6C"/>
    <w:rsid w:val="005E2CFB"/>
    <w:rsid w:val="005F2103"/>
    <w:rsid w:val="005F3D1C"/>
    <w:rsid w:val="005F4189"/>
    <w:rsid w:val="006171EE"/>
    <w:rsid w:val="0062378F"/>
    <w:rsid w:val="00641842"/>
    <w:rsid w:val="00651EEC"/>
    <w:rsid w:val="00686673"/>
    <w:rsid w:val="00691E8C"/>
    <w:rsid w:val="006A22C4"/>
    <w:rsid w:val="006A351B"/>
    <w:rsid w:val="006B0422"/>
    <w:rsid w:val="006C1B53"/>
    <w:rsid w:val="006D7730"/>
    <w:rsid w:val="006E5284"/>
    <w:rsid w:val="006F3EB5"/>
    <w:rsid w:val="006F56C8"/>
    <w:rsid w:val="00702E34"/>
    <w:rsid w:val="00704395"/>
    <w:rsid w:val="00710FE7"/>
    <w:rsid w:val="00717621"/>
    <w:rsid w:val="00720FF1"/>
    <w:rsid w:val="00727A53"/>
    <w:rsid w:val="007502DE"/>
    <w:rsid w:val="00787B42"/>
    <w:rsid w:val="007B3DF5"/>
    <w:rsid w:val="007C4539"/>
    <w:rsid w:val="007F3657"/>
    <w:rsid w:val="00810F0C"/>
    <w:rsid w:val="00811AA2"/>
    <w:rsid w:val="00812ED5"/>
    <w:rsid w:val="008145B6"/>
    <w:rsid w:val="008277D9"/>
    <w:rsid w:val="0084478C"/>
    <w:rsid w:val="0086638C"/>
    <w:rsid w:val="008764FA"/>
    <w:rsid w:val="008A1079"/>
    <w:rsid w:val="008A3E8D"/>
    <w:rsid w:val="008A5055"/>
    <w:rsid w:val="008D17F4"/>
    <w:rsid w:val="009237C4"/>
    <w:rsid w:val="00944C48"/>
    <w:rsid w:val="00950252"/>
    <w:rsid w:val="00967F5D"/>
    <w:rsid w:val="009A0F95"/>
    <w:rsid w:val="009B3ADF"/>
    <w:rsid w:val="009C31C5"/>
    <w:rsid w:val="009C3B52"/>
    <w:rsid w:val="009E6817"/>
    <w:rsid w:val="009E6E9A"/>
    <w:rsid w:val="00A01D2B"/>
    <w:rsid w:val="00A1392A"/>
    <w:rsid w:val="00A42218"/>
    <w:rsid w:val="00A70249"/>
    <w:rsid w:val="00A70B02"/>
    <w:rsid w:val="00A71D9F"/>
    <w:rsid w:val="00A92E9F"/>
    <w:rsid w:val="00AB18FF"/>
    <w:rsid w:val="00B26269"/>
    <w:rsid w:val="00B33BEA"/>
    <w:rsid w:val="00B57C9F"/>
    <w:rsid w:val="00B63572"/>
    <w:rsid w:val="00B845B3"/>
    <w:rsid w:val="00B85D8B"/>
    <w:rsid w:val="00BB4A40"/>
    <w:rsid w:val="00BD6022"/>
    <w:rsid w:val="00BD6C3E"/>
    <w:rsid w:val="00BE3674"/>
    <w:rsid w:val="00C10681"/>
    <w:rsid w:val="00C10822"/>
    <w:rsid w:val="00C15C89"/>
    <w:rsid w:val="00C27C0D"/>
    <w:rsid w:val="00C3049A"/>
    <w:rsid w:val="00C31B1E"/>
    <w:rsid w:val="00C32F2E"/>
    <w:rsid w:val="00C73888"/>
    <w:rsid w:val="00C77645"/>
    <w:rsid w:val="00CE04C3"/>
    <w:rsid w:val="00CE34BE"/>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EC2823"/>
    <w:rsid w:val="00F56A37"/>
    <w:rsid w:val="00F74360"/>
    <w:rsid w:val="00FB462F"/>
    <w:rsid w:val="00FD7A4E"/>
    <w:rsid w:val="00FE16FA"/>
    <w:rsid w:val="00FE328A"/>
    <w:rsid w:val="00FE6269"/>
    <w:rsid w:val="00FF5CD6"/>
    <w:rsid w:val="01DC6C46"/>
    <w:rsid w:val="022E6257"/>
    <w:rsid w:val="0254111A"/>
    <w:rsid w:val="02A641F7"/>
    <w:rsid w:val="02D83DE0"/>
    <w:rsid w:val="03145E2D"/>
    <w:rsid w:val="03150BC8"/>
    <w:rsid w:val="040F1D6E"/>
    <w:rsid w:val="04523256"/>
    <w:rsid w:val="04BE09FE"/>
    <w:rsid w:val="04EB6681"/>
    <w:rsid w:val="056930F4"/>
    <w:rsid w:val="057B2CDD"/>
    <w:rsid w:val="058D14E6"/>
    <w:rsid w:val="06AD7F2E"/>
    <w:rsid w:val="06CB0A69"/>
    <w:rsid w:val="071719AF"/>
    <w:rsid w:val="07E5385B"/>
    <w:rsid w:val="08892439"/>
    <w:rsid w:val="09795283"/>
    <w:rsid w:val="0A116422"/>
    <w:rsid w:val="0AC37758"/>
    <w:rsid w:val="0AF53184"/>
    <w:rsid w:val="0B494101"/>
    <w:rsid w:val="0BE46D3E"/>
    <w:rsid w:val="0C4072B2"/>
    <w:rsid w:val="0D071AF2"/>
    <w:rsid w:val="0D1E779C"/>
    <w:rsid w:val="0D4F1E8D"/>
    <w:rsid w:val="0DD9755C"/>
    <w:rsid w:val="0DDB3390"/>
    <w:rsid w:val="0E0F1632"/>
    <w:rsid w:val="0E8A0804"/>
    <w:rsid w:val="11A80D06"/>
    <w:rsid w:val="12392983"/>
    <w:rsid w:val="12955E7E"/>
    <w:rsid w:val="129B6072"/>
    <w:rsid w:val="130E2BFF"/>
    <w:rsid w:val="1600728B"/>
    <w:rsid w:val="161B669A"/>
    <w:rsid w:val="16CE64D4"/>
    <w:rsid w:val="17210DCB"/>
    <w:rsid w:val="17337667"/>
    <w:rsid w:val="17662CCF"/>
    <w:rsid w:val="18E611E1"/>
    <w:rsid w:val="19341110"/>
    <w:rsid w:val="198E60F1"/>
    <w:rsid w:val="19A30E80"/>
    <w:rsid w:val="19C22C3D"/>
    <w:rsid w:val="19CE2DC7"/>
    <w:rsid w:val="19D66C57"/>
    <w:rsid w:val="19F35365"/>
    <w:rsid w:val="1AB55CF8"/>
    <w:rsid w:val="1D28001A"/>
    <w:rsid w:val="1D97DEFF"/>
    <w:rsid w:val="1DBC69B5"/>
    <w:rsid w:val="1DFF72E5"/>
    <w:rsid w:val="1ED5336F"/>
    <w:rsid w:val="1EFC6F07"/>
    <w:rsid w:val="1F446D63"/>
    <w:rsid w:val="201E013C"/>
    <w:rsid w:val="20C26876"/>
    <w:rsid w:val="20E406FC"/>
    <w:rsid w:val="215E44A7"/>
    <w:rsid w:val="21D01D6B"/>
    <w:rsid w:val="228850B7"/>
    <w:rsid w:val="23EE7669"/>
    <w:rsid w:val="240C3A97"/>
    <w:rsid w:val="24F17BED"/>
    <w:rsid w:val="24FE78B3"/>
    <w:rsid w:val="25C7239A"/>
    <w:rsid w:val="26993D37"/>
    <w:rsid w:val="273864EE"/>
    <w:rsid w:val="27764078"/>
    <w:rsid w:val="285A74F6"/>
    <w:rsid w:val="28C53703"/>
    <w:rsid w:val="29090CBB"/>
    <w:rsid w:val="2909671C"/>
    <w:rsid w:val="29AA30DC"/>
    <w:rsid w:val="2A1D4E1F"/>
    <w:rsid w:val="2A3B1FD1"/>
    <w:rsid w:val="2B1B7EB7"/>
    <w:rsid w:val="2B4E4339"/>
    <w:rsid w:val="2C0C2828"/>
    <w:rsid w:val="2D0F04FC"/>
    <w:rsid w:val="2EB21578"/>
    <w:rsid w:val="2EBB79B0"/>
    <w:rsid w:val="2F464330"/>
    <w:rsid w:val="2F5F2C25"/>
    <w:rsid w:val="2F986C69"/>
    <w:rsid w:val="2F9B07AA"/>
    <w:rsid w:val="2FDA4FD6"/>
    <w:rsid w:val="2FDF85B8"/>
    <w:rsid w:val="2FF27C1D"/>
    <w:rsid w:val="2FFFEE04"/>
    <w:rsid w:val="329A3436"/>
    <w:rsid w:val="342B01C6"/>
    <w:rsid w:val="346D235F"/>
    <w:rsid w:val="34DF85B0"/>
    <w:rsid w:val="35F434A8"/>
    <w:rsid w:val="377B294A"/>
    <w:rsid w:val="385664E5"/>
    <w:rsid w:val="38792D0F"/>
    <w:rsid w:val="38ED5C53"/>
    <w:rsid w:val="392E0749"/>
    <w:rsid w:val="394C69E7"/>
    <w:rsid w:val="39BA1467"/>
    <w:rsid w:val="3B3D2E6F"/>
    <w:rsid w:val="3B651FE2"/>
    <w:rsid w:val="3B6834A4"/>
    <w:rsid w:val="3B8F36BC"/>
    <w:rsid w:val="3B911029"/>
    <w:rsid w:val="3B9B5A04"/>
    <w:rsid w:val="3CDB56F5"/>
    <w:rsid w:val="3DC719B5"/>
    <w:rsid w:val="3DE02715"/>
    <w:rsid w:val="3E491747"/>
    <w:rsid w:val="3F393CF4"/>
    <w:rsid w:val="3F8F215A"/>
    <w:rsid w:val="3FEB51AC"/>
    <w:rsid w:val="40101EC4"/>
    <w:rsid w:val="41821CD2"/>
    <w:rsid w:val="42645684"/>
    <w:rsid w:val="42A8653E"/>
    <w:rsid w:val="42AC18A0"/>
    <w:rsid w:val="42AF0B3B"/>
    <w:rsid w:val="44B80445"/>
    <w:rsid w:val="44C84F18"/>
    <w:rsid w:val="450F6729"/>
    <w:rsid w:val="45970D27"/>
    <w:rsid w:val="45C32288"/>
    <w:rsid w:val="46752E4C"/>
    <w:rsid w:val="476A10AC"/>
    <w:rsid w:val="48253225"/>
    <w:rsid w:val="482A6D9A"/>
    <w:rsid w:val="487778B0"/>
    <w:rsid w:val="4885231C"/>
    <w:rsid w:val="491FF225"/>
    <w:rsid w:val="497955D6"/>
    <w:rsid w:val="4B487E57"/>
    <w:rsid w:val="4C2A3BAE"/>
    <w:rsid w:val="4C301125"/>
    <w:rsid w:val="4CE805AB"/>
    <w:rsid w:val="4D4E28D6"/>
    <w:rsid w:val="4DC13902"/>
    <w:rsid w:val="4DED4259"/>
    <w:rsid w:val="4E4C388B"/>
    <w:rsid w:val="4E526638"/>
    <w:rsid w:val="4E6744C7"/>
    <w:rsid w:val="4EBC5986"/>
    <w:rsid w:val="4F2C57AC"/>
    <w:rsid w:val="4F994A3A"/>
    <w:rsid w:val="4FA569CB"/>
    <w:rsid w:val="4FFD214C"/>
    <w:rsid w:val="50885B18"/>
    <w:rsid w:val="50897743"/>
    <w:rsid w:val="50A75B54"/>
    <w:rsid w:val="50C335DB"/>
    <w:rsid w:val="50C64757"/>
    <w:rsid w:val="516A7739"/>
    <w:rsid w:val="5219400F"/>
    <w:rsid w:val="52920457"/>
    <w:rsid w:val="52DB5A27"/>
    <w:rsid w:val="54071A30"/>
    <w:rsid w:val="543038B2"/>
    <w:rsid w:val="545C11C5"/>
    <w:rsid w:val="559460CF"/>
    <w:rsid w:val="56BF6014"/>
    <w:rsid w:val="5777D4F5"/>
    <w:rsid w:val="58E25FC7"/>
    <w:rsid w:val="59C75E5C"/>
    <w:rsid w:val="59C7757C"/>
    <w:rsid w:val="59DD8326"/>
    <w:rsid w:val="59EF0C2A"/>
    <w:rsid w:val="5B7420A1"/>
    <w:rsid w:val="5BAE1417"/>
    <w:rsid w:val="5CE90CEB"/>
    <w:rsid w:val="5D454033"/>
    <w:rsid w:val="5DB101E8"/>
    <w:rsid w:val="5DEB5F1F"/>
    <w:rsid w:val="5DEF592A"/>
    <w:rsid w:val="5DFF1254"/>
    <w:rsid w:val="5FC6BB1E"/>
    <w:rsid w:val="5FF720F1"/>
    <w:rsid w:val="6056012F"/>
    <w:rsid w:val="605B738C"/>
    <w:rsid w:val="60855656"/>
    <w:rsid w:val="61585D7F"/>
    <w:rsid w:val="617E7A8E"/>
    <w:rsid w:val="63400541"/>
    <w:rsid w:val="637527AA"/>
    <w:rsid w:val="63C37EC1"/>
    <w:rsid w:val="63F55D49"/>
    <w:rsid w:val="64215692"/>
    <w:rsid w:val="649E4163"/>
    <w:rsid w:val="64A676C0"/>
    <w:rsid w:val="64AA0DE0"/>
    <w:rsid w:val="64E275B7"/>
    <w:rsid w:val="65041F5A"/>
    <w:rsid w:val="65E77EBE"/>
    <w:rsid w:val="66A82BFF"/>
    <w:rsid w:val="67CC7CE7"/>
    <w:rsid w:val="67FF5C0B"/>
    <w:rsid w:val="68387C34"/>
    <w:rsid w:val="6853791F"/>
    <w:rsid w:val="6A1A66E6"/>
    <w:rsid w:val="6A9E2C97"/>
    <w:rsid w:val="6BEF1545"/>
    <w:rsid w:val="6C5B1DE5"/>
    <w:rsid w:val="6C723639"/>
    <w:rsid w:val="6C867EA1"/>
    <w:rsid w:val="6CB26586"/>
    <w:rsid w:val="6E2F38E2"/>
    <w:rsid w:val="6EA97E5C"/>
    <w:rsid w:val="6EFC0924"/>
    <w:rsid w:val="6FB74722"/>
    <w:rsid w:val="6FEF8B7E"/>
    <w:rsid w:val="706548A3"/>
    <w:rsid w:val="706C6A24"/>
    <w:rsid w:val="71051911"/>
    <w:rsid w:val="71054A52"/>
    <w:rsid w:val="713C6F4A"/>
    <w:rsid w:val="714A2AC0"/>
    <w:rsid w:val="717958C4"/>
    <w:rsid w:val="71A6591B"/>
    <w:rsid w:val="72FF76C3"/>
    <w:rsid w:val="737D59BA"/>
    <w:rsid w:val="739B2BC6"/>
    <w:rsid w:val="76770854"/>
    <w:rsid w:val="76C20083"/>
    <w:rsid w:val="76FE1633"/>
    <w:rsid w:val="770F0E66"/>
    <w:rsid w:val="77870C32"/>
    <w:rsid w:val="77C37683"/>
    <w:rsid w:val="78560992"/>
    <w:rsid w:val="79C478F8"/>
    <w:rsid w:val="79D19834"/>
    <w:rsid w:val="79FF515B"/>
    <w:rsid w:val="7BDB4F02"/>
    <w:rsid w:val="7C030722"/>
    <w:rsid w:val="7C094087"/>
    <w:rsid w:val="7C4A7A64"/>
    <w:rsid w:val="7DA06EB5"/>
    <w:rsid w:val="7E0A5DEF"/>
    <w:rsid w:val="7E9E1962"/>
    <w:rsid w:val="7E9F11B4"/>
    <w:rsid w:val="7F37EC1E"/>
    <w:rsid w:val="7F516BC5"/>
    <w:rsid w:val="7F7DCD9D"/>
    <w:rsid w:val="7F970A6F"/>
    <w:rsid w:val="7FC1FFF3"/>
    <w:rsid w:val="7FC69637"/>
    <w:rsid w:val="7FDF8620"/>
    <w:rsid w:val="7FE8C8F7"/>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600" w:lineRule="exact"/>
      <w:outlineLvl w:val="0"/>
    </w:pPr>
    <w:rPr>
      <w:rFonts w:eastAsia="黑体"/>
      <w:b/>
      <w:kern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eastAsia="en-US"/>
    </w:rPr>
  </w:style>
  <w:style w:type="paragraph" w:styleId="5">
    <w:name w:val="Body Text Indent"/>
    <w:basedOn w:val="1"/>
    <w:next w:val="6"/>
    <w:unhideWhenUsed/>
    <w:qFormat/>
    <w:uiPriority w:val="99"/>
    <w:pPr>
      <w:widowControl/>
      <w:spacing w:after="120"/>
      <w:ind w:left="420" w:leftChars="200"/>
      <w:jc w:val="left"/>
    </w:pPr>
    <w:rPr>
      <w:rFonts w:ascii="宋体" w:hAnsi="宋体" w:eastAsia="宋体" w:cs="宋体"/>
      <w:kern w:val="0"/>
      <w:sz w:val="24"/>
    </w:rPr>
  </w:style>
  <w:style w:type="paragraph" w:styleId="6">
    <w:name w:val="Body Text First Indent 2"/>
    <w:basedOn w:val="5"/>
    <w:next w:val="1"/>
    <w:unhideWhenUsed/>
    <w:qFormat/>
    <w:uiPriority w:val="99"/>
    <w:pPr>
      <w:ind w:firstLine="420" w:firstLineChars="200"/>
    </w:pPr>
  </w:style>
  <w:style w:type="paragraph" w:styleId="7">
    <w:name w:val="Balloon Text"/>
    <w:basedOn w:val="1"/>
    <w:link w:val="18"/>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next w:val="6"/>
    <w:semiHidden/>
    <w:qFormat/>
    <w:uiPriority w:val="0"/>
    <w:pPr>
      <w:snapToGrid w:val="0"/>
      <w:jc w:val="left"/>
    </w:pPr>
    <w:rPr>
      <w:sz w:val="18"/>
      <w:szCs w:val="18"/>
    </w:rPr>
  </w:style>
  <w:style w:type="paragraph" w:styleId="11">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paragraph" w:customStyle="1" w:styleId="16">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7">
    <w:name w:val="List Paragraph"/>
    <w:basedOn w:val="1"/>
    <w:qFormat/>
    <w:uiPriority w:val="34"/>
    <w:pPr>
      <w:ind w:firstLine="420" w:firstLineChars="200"/>
    </w:pPr>
  </w:style>
  <w:style w:type="character" w:customStyle="1" w:styleId="18">
    <w:name w:val="批注框文本 Char"/>
    <w:basedOn w:val="13"/>
    <w:link w:val="7"/>
    <w:semiHidden/>
    <w:qFormat/>
    <w:uiPriority w:val="99"/>
    <w:rPr>
      <w:sz w:val="18"/>
      <w:szCs w:val="18"/>
    </w:rPr>
  </w:style>
  <w:style w:type="character" w:customStyle="1" w:styleId="19">
    <w:name w:val="font01"/>
    <w:basedOn w:val="13"/>
    <w:qFormat/>
    <w:uiPriority w:val="0"/>
    <w:rPr>
      <w:rFonts w:hint="eastAsia" w:ascii="宋体" w:hAnsi="宋体" w:eastAsia="宋体" w:cs="宋体"/>
      <w:color w:val="000000"/>
      <w:sz w:val="22"/>
      <w:szCs w:val="22"/>
      <w:u w:val="none"/>
    </w:rPr>
  </w:style>
  <w:style w:type="character" w:customStyle="1" w:styleId="20">
    <w:name w:val="font21"/>
    <w:basedOn w:val="13"/>
    <w:qFormat/>
    <w:uiPriority w:val="0"/>
    <w:rPr>
      <w:rFonts w:hint="eastAsia" w:ascii="宋体" w:hAnsi="宋体" w:eastAsia="宋体" w:cs="宋体"/>
      <w:color w:val="000000"/>
      <w:sz w:val="24"/>
      <w:szCs w:val="24"/>
      <w:u w:val="none"/>
    </w:rPr>
  </w:style>
  <w:style w:type="character" w:customStyle="1" w:styleId="21">
    <w:name w:val="font1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32</Pages>
  <Words>10190</Words>
  <Characters>11910</Characters>
  <Lines>69</Lines>
  <Paragraphs>19</Paragraphs>
  <TotalTime>1</TotalTime>
  <ScaleCrop>false</ScaleCrop>
  <LinksUpToDate>false</LinksUpToDate>
  <CharactersWithSpaces>13294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2025-08-18T10:17:00Z</dcterms:created>
  <dc:creator>李航 null</dc:creator>
  <cp:lastModifiedBy>better</cp:lastModifiedBy>
  <cp:lastPrinted>2025-08-29T01:44:00Z</cp:lastPrinted>
  <dcterms:modified xsi:type="dcterms:W3CDTF">2025-09-09T07:17:46Z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5EEAFE88DF7945F0893E792281120E0A_13</vt:lpwstr>
  </property>
  <property fmtid="{D5CDD505-2E9C-101B-9397-08002B2CF9AE}" pid="4" name="KSOTemplateDocerSaveRecord">
    <vt:lpwstr>eyJoZGlkIjoiMjc2MThiODg3MGNmMTIwYjNjOGM3YzY4YjJjYWM4ZjYiLCJ1c2VySWQiOiI3NzM3OTQwODUifQ==</vt:lpwstr>
  </property>
</Properties>
</file>