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年</w:t>
      </w:r>
      <w:r>
        <w:rPr>
          <w:rFonts w:hint="eastAsia" w:eastAsia="方正小标宋_GBK" w:cs="Times New Roman"/>
          <w:bCs/>
          <w:kern w:val="0"/>
          <w:sz w:val="44"/>
          <w:szCs w:val="44"/>
          <w:lang w:val="en-US" w:eastAsia="zh-CN"/>
        </w:rPr>
        <w:t>中共湖南省委机关新湘幼儿院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第二部分 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注：以上部门预算报表中，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本部门无相关收支情况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，也需公开空表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/>
    <w:p/>
    <w:p/>
    <w:p/>
    <w:p/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第一部分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30" w:firstLineChars="196"/>
        <w:jc w:val="left"/>
        <w:rPr>
          <w:rFonts w:hint="default" w:eastAsia="楷体_GB2312" w:cs="Times New Roman"/>
          <w:b/>
          <w:sz w:val="32"/>
          <w:szCs w:val="32"/>
          <w:lang w:val="en-US" w:eastAsia="zh-CN"/>
        </w:rPr>
      </w:pPr>
      <w:r>
        <w:rPr>
          <w:rFonts w:hint="eastAsia" w:eastAsia="楷体_GB2312" w:cs="Times New Roman"/>
          <w:b/>
          <w:sz w:val="32"/>
          <w:szCs w:val="32"/>
          <w:lang w:val="en-US" w:eastAsia="zh-CN"/>
        </w:rPr>
        <w:t>本单位主要致力于省委机关大院干部职工下一代的幼儿教育。</w:t>
      </w:r>
    </w:p>
    <w:p>
      <w:pPr>
        <w:widowControl/>
        <w:numPr>
          <w:ilvl w:val="0"/>
          <w:numId w:val="0"/>
        </w:numPr>
        <w:spacing w:line="60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eastAsia" w:eastAsia="楷体_GB2312" w:cs="Times New Roman"/>
          <w:b/>
          <w:sz w:val="32"/>
          <w:szCs w:val="32"/>
          <w:lang w:eastAsia="zh-CN"/>
        </w:rPr>
        <w:t>（</w:t>
      </w:r>
      <w:r>
        <w:rPr>
          <w:rFonts w:hint="eastAsia" w:eastAsia="楷体_GB2312" w:cs="Times New Roman"/>
          <w:b/>
          <w:sz w:val="32"/>
          <w:szCs w:val="32"/>
          <w:lang w:val="en-US" w:eastAsia="zh-CN"/>
        </w:rPr>
        <w:t>二</w:t>
      </w:r>
      <w:r>
        <w:rPr>
          <w:rFonts w:hint="eastAsia" w:eastAsia="楷体_GB2312" w:cs="Times New Roman"/>
          <w:b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b/>
          <w:sz w:val="32"/>
          <w:szCs w:val="32"/>
        </w:rPr>
        <w:t>机构设置。</w:t>
      </w:r>
    </w:p>
    <w:p>
      <w:pPr>
        <w:widowControl/>
        <w:numPr>
          <w:ilvl w:val="0"/>
          <w:numId w:val="0"/>
        </w:numPr>
        <w:spacing w:line="600" w:lineRule="exact"/>
        <w:ind w:firstLine="640"/>
        <w:jc w:val="left"/>
        <w:rPr>
          <w:rFonts w:hint="eastAsia" w:eastAsia="楷体_GB2312" w:cs="Times New Roman"/>
          <w:b/>
          <w:sz w:val="32"/>
          <w:szCs w:val="32"/>
          <w:lang w:val="en-US" w:eastAsia="zh-CN"/>
        </w:rPr>
      </w:pPr>
      <w:r>
        <w:rPr>
          <w:rFonts w:hint="eastAsia" w:eastAsia="楷体_GB2312" w:cs="Times New Roman"/>
          <w:b/>
          <w:sz w:val="32"/>
          <w:szCs w:val="32"/>
          <w:lang w:val="en-US" w:eastAsia="zh-CN"/>
        </w:rPr>
        <w:t>本单位隶属于省委办公厅独立核算的公益二类事业单位。</w:t>
      </w:r>
    </w:p>
    <w:p>
      <w:pPr>
        <w:widowControl/>
        <w:numPr>
          <w:ilvl w:val="0"/>
          <w:numId w:val="1"/>
        </w:numPr>
        <w:spacing w:line="600" w:lineRule="exact"/>
        <w:ind w:firstLine="627" w:firstLineChars="196"/>
        <w:jc w:val="left"/>
        <w:rPr>
          <w:rFonts w:hint="eastAsia" w:eastAsia="黑体" w:cs="Times New Roman"/>
          <w:bCs/>
          <w:kern w:val="0"/>
          <w:sz w:val="32"/>
          <w:szCs w:val="32"/>
          <w:lang w:val="en-US" w:eastAsia="zh-CN"/>
        </w:rPr>
      </w:pPr>
      <w:r>
        <w:rPr>
          <w:rFonts w:hint="eastAsia" w:eastAsia="黑体" w:cs="Times New Roman"/>
          <w:bCs/>
          <w:kern w:val="0"/>
          <w:sz w:val="32"/>
          <w:szCs w:val="32"/>
          <w:lang w:val="en-US" w:eastAsia="zh-CN"/>
        </w:rPr>
        <w:t>部门预算单位构成本</w:t>
      </w:r>
    </w:p>
    <w:p>
      <w:pPr>
        <w:widowControl/>
        <w:numPr>
          <w:ilvl w:val="0"/>
          <w:numId w:val="0"/>
        </w:numPr>
        <w:spacing w:line="600" w:lineRule="exact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bCs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本单位预算仅含本级预算</w:t>
      </w: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eastAsia="黑体" w:cs="Times New Roman"/>
          <w:bCs/>
          <w:kern w:val="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年本单位收入预算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1129.57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万元，其中，一般公共预算拨款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986.1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万元，政府性基金预算拨款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万元，国有资本经营预算拨款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万元，纳入专户管理的非税收入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其他收入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收入较去年增加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/>
          <w:sz w:val="32"/>
          <w:szCs w:val="32"/>
          <w:u w:val="single"/>
          <w:lang w:val="en-US" w:eastAsia="zh-CN"/>
        </w:rPr>
        <w:t>218.22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万元，主要是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上一年疫情影响减人减支，今年疫情回暖增加收入218万元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hint="default" w:ascii="Times New Roman" w:hAnsi="Times New Roman" w:eastAsia="黑体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（二）支出预算：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年本单位支出预算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1129.57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万元，其中，一般公共服务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790.4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万元，公共安全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万元，教育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162.07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万元，科学技术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社会保障和就业支出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84.1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万元，卫生健康支出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45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万元，住房保障支出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48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支出较去年增加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/>
          <w:sz w:val="32"/>
          <w:szCs w:val="32"/>
          <w:u w:val="single"/>
          <w:lang w:val="en-US" w:eastAsia="zh-CN"/>
        </w:rPr>
        <w:t>218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万元，主要是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疫情回暖增加了各项支出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年本单位一般公共预算拨款支出预算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1075.17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万元，其中，一般公共服务支出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736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68.45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162.07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15.08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社会保障和就业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84.1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7.82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卫生健康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45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4.18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住房保障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48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4.47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%；。具体安排情况如下：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（一）基本支出：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年本单位基本支出预算数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913.1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（二）项目支出：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年本单位项目支出预算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162.07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教育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162.07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万元，主要用于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学前教育发展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等方面。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本部门无政府性基金安排的支出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（一）机关运行经费：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年本单位机关运行经费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125.34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万元，比上年预算增加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万元，下降（上升）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14.63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%，主要是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疫情回暖增加机关运行费用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（二）“三公”经费预算：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年本单位“三公”经费预算数为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1.54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万元，其中，公务接待费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万元，公务用车购置及运行费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1.54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万元（其中，公务用车购置费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万元，公务用车运行费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1.54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万元），因公出国（境）费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年“三公”经费预算较上年持平，主要是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暂无影响经费变动事项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（三）一般性支出情况：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年本单位会议费预算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万元，拟召开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会议，人数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人，培训费预算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万元，拟开展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12次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培训，人数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321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人，内容为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骨干老师跟岗培训、事业单位工作人员培训、音乐教育研讨会、保育上岗、心里培训费等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；拟举办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等节庆、晚会、论坛、赛事活动，经费预算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（四）政府采购情况：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年本部门政府采购预算总额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万元，其中，货物类采购预算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万元；工程类采购预算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万元；服务类采购预算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（注：如某大类无采购预算，则填“0”）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截至202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年12月底，本单位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共有公务用车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辆，其中，机要通信用车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辆，应急保障用车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辆；单位价值50万元以上通用设备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台，单位价值100万元以上专用设备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年拟新增配置公务用车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辆，其中，机要通信用车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辆，应急保障用车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辆；新增配备单位价值50万元以上通用设备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台，单位价值100万元以上专用设备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本单位所有支出实行绩效目标管理。纳入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年单位整体支出绩效目标金额为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1129.57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万元，其中，基本支出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967.5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万元，项目支出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162.07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2、“三公”经费：纳入省（市/县）财政预算管理的</w:t>
      </w:r>
      <w:r>
        <w:rPr>
          <w:rFonts w:hint="eastAsia" w:eastAsia="仿宋_GB2312" w:cs="Times New Roman"/>
          <w:sz w:val="32"/>
          <w:szCs w:val="32"/>
          <w:lang w:eastAsia="zh-CN"/>
        </w:rPr>
        <w:t>“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三公</w:t>
      </w:r>
      <w:r>
        <w:rPr>
          <w:rFonts w:hint="eastAsia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C0CBB1"/>
    <w:multiLevelType w:val="singleLevel"/>
    <w:tmpl w:val="FEC0CBB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466F3"/>
    <w:rsid w:val="1986392D"/>
    <w:rsid w:val="3FC47935"/>
    <w:rsid w:val="49EA6A76"/>
    <w:rsid w:val="754B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2023-03-01T08:25:00Z</dcterms:created>
  <dc:creator>Administrator</dc:creator>
  <cp:lastModifiedBy>Administrator</cp:lastModifiedBy>
  <cp:lastPrinted>2023-03-01T09:59:00Z</cp:lastPrinted>
  <dcterms:modified xsi:type="dcterms:W3CDTF">2023-04-12T07:25:39Z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