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湖南省外事侨务办公室出国（境）服务中心单位决算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第一部分湖南省外事侨务办公室出国（境）服务中心概况</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一、单位职责</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21年度单位决算表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一、收入支出决算总表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二、收入决算表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三、支出决算表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21年度单位决算情况说明</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500" w:lineRule="exact"/>
        <w:ind w:firstLine="700" w:firstLineChars="25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pPr>
        <w:autoSpaceDE w:val="0"/>
        <w:autoSpaceDN w:val="0"/>
        <w:adjustRightInd w:val="0"/>
        <w:spacing w:line="50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十一、政府采购支出说明</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十二、国有资产占用情况说明</w:t>
      </w:r>
    </w:p>
    <w:p>
      <w:pPr>
        <w:pStyle w:val="11"/>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十三、2021年度预算绩效情况说明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湖南省外事侨务办公室出国（境）服务中心概况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单位</w:t>
      </w:r>
      <w:r>
        <w:rPr>
          <w:rFonts w:ascii="黑体" w:hAnsi="黑体" w:eastAsia="黑体"/>
          <w:sz w:val="32"/>
          <w:szCs w:val="32"/>
        </w:rPr>
        <w:t>职责</w:t>
      </w:r>
    </w:p>
    <w:p>
      <w:pPr>
        <w:ind w:firstLine="803" w:firstLineChars="250"/>
        <w:jc w:val="left"/>
        <w:rPr>
          <w:rFonts w:ascii="仿宋" w:hAnsi="仿宋" w:eastAsia="仿宋" w:cs="仿宋"/>
          <w:sz w:val="32"/>
          <w:szCs w:val="32"/>
        </w:rPr>
      </w:pPr>
      <w:r>
        <w:rPr>
          <w:rFonts w:hint="eastAsia" w:ascii="仿宋" w:hAnsi="仿宋" w:eastAsia="仿宋" w:cs="仿宋"/>
          <w:b/>
          <w:bCs/>
          <w:sz w:val="32"/>
          <w:szCs w:val="32"/>
        </w:rPr>
        <w:t>湖南省外事侨务办公室出国（境）服务中心</w:t>
      </w:r>
      <w:r>
        <w:rPr>
          <w:rFonts w:hint="eastAsia" w:ascii="仿宋" w:hAnsi="仿宋" w:eastAsia="仿宋" w:cs="仿宋"/>
          <w:sz w:val="32"/>
          <w:szCs w:val="32"/>
        </w:rPr>
        <w:t>（以下简称“中心”）是</w:t>
      </w:r>
      <w:r>
        <w:rPr>
          <w:rFonts w:hint="eastAsia" w:ascii="仿宋" w:hAnsi="仿宋" w:eastAsia="仿宋" w:cs="仿宋"/>
          <w:b/>
          <w:bCs/>
          <w:sz w:val="32"/>
          <w:szCs w:val="32"/>
        </w:rPr>
        <w:t>中共湖南省委外事工作委员会办公室</w:t>
      </w:r>
      <w:r>
        <w:rPr>
          <w:rFonts w:hint="eastAsia" w:ascii="仿宋" w:hAnsi="仿宋" w:eastAsia="仿宋" w:cs="仿宋"/>
          <w:sz w:val="32"/>
          <w:szCs w:val="32"/>
        </w:rPr>
        <w:t>下属的二级机构，属于公益二类事业单位。中心负责我省因公护照及赴港澳通行证的制作，代办出国签证服务，代办涉外公证文书的领事认证，负责“APEC商务旅行卡”的申办和代办其签证服务等涉外服务工作。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仿宋" w:hAnsi="仿宋" w:eastAsia="仿宋" w:cs="仿宋"/>
          <w:bCs/>
          <w:kern w:val="0"/>
          <w:sz w:val="32"/>
          <w:szCs w:val="32"/>
        </w:rPr>
      </w:pPr>
      <w:r>
        <w:rPr>
          <w:rFonts w:hint="eastAsia" w:ascii="仿宋" w:hAnsi="仿宋" w:eastAsia="仿宋" w:cs="仿宋"/>
          <w:bCs/>
          <w:kern w:val="0"/>
          <w:sz w:val="32"/>
          <w:szCs w:val="32"/>
        </w:rPr>
        <w:t>（一）内设机构设置。中心内设机构包括：办公室、财务室、护照签证部、领事服务部。</w:t>
      </w:r>
    </w:p>
    <w:p>
      <w:pPr>
        <w:widowControl/>
        <w:spacing w:line="600" w:lineRule="exact"/>
        <w:rPr>
          <w:rFonts w:ascii="仿宋" w:hAnsi="仿宋" w:eastAsia="仿宋" w:cs="仿宋"/>
          <w:bCs/>
          <w:kern w:val="0"/>
          <w:sz w:val="32"/>
          <w:szCs w:val="32"/>
        </w:rPr>
      </w:pPr>
      <w:r>
        <w:rPr>
          <w:rFonts w:hint="eastAsia" w:ascii="仿宋" w:hAnsi="仿宋" w:eastAsia="仿宋" w:cs="仿宋"/>
          <w:bCs/>
          <w:kern w:val="0"/>
          <w:sz w:val="32"/>
          <w:szCs w:val="32"/>
        </w:rPr>
        <w:t>（二）决算单位构成。中心2021年单位决算汇总公开单位构成包括：湖南省外事侨务办公室出国（境）服务中心本单位。</w:t>
      </w:r>
    </w:p>
    <w:p>
      <w:pPr>
        <w:jc w:val="left"/>
        <w:rPr>
          <w:rFonts w:ascii="仿宋" w:hAnsi="仿宋" w:eastAsia="仿宋" w:cs="仿宋"/>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单位决算表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14081"/>
      </w:tblGrid>
      <w:tr>
        <w:tblPrEx>
          <w:tblCellMar>
            <w:top w:w="0" w:type="dxa"/>
            <w:left w:w="108" w:type="dxa"/>
            <w:bottom w:w="0" w:type="dxa"/>
            <w:right w:w="108" w:type="dxa"/>
          </w:tblCellMar>
        </w:tblPrEx>
        <w:trPr>
          <w:trHeight w:val="1020" w:hRule="atLeast"/>
        </w:trPr>
        <w:tc>
          <w:tcPr>
            <w:tcW w:w="14081" w:type="dxa"/>
            <w:tcBorders>
              <w:top w:val="nil"/>
              <w:left w:val="nil"/>
              <w:bottom w:val="nil"/>
              <w:right w:val="nil"/>
            </w:tcBorders>
            <w:shd w:val="clear" w:color="auto" w:fill="auto"/>
            <w:vAlign w:val="center"/>
          </w:tcPr>
          <w:tbl>
            <w:tblPr>
              <w:tblStyle w:val="8"/>
              <w:tblW w:w="13772" w:type="dxa"/>
              <w:tblInd w:w="0" w:type="dxa"/>
              <w:tblLayout w:type="autofit"/>
              <w:tblCellMar>
                <w:top w:w="0" w:type="dxa"/>
                <w:left w:w="108" w:type="dxa"/>
                <w:bottom w:w="0" w:type="dxa"/>
                <w:right w:w="108" w:type="dxa"/>
              </w:tblCellMar>
            </w:tblPr>
            <w:tblGrid>
              <w:gridCol w:w="13860"/>
            </w:tblGrid>
            <w:tr>
              <w:tblPrEx>
                <w:tblCellMar>
                  <w:top w:w="0" w:type="dxa"/>
                  <w:left w:w="108" w:type="dxa"/>
                  <w:bottom w:w="0" w:type="dxa"/>
                  <w:right w:w="108" w:type="dxa"/>
                </w:tblCellMar>
              </w:tblPrEx>
              <w:trPr>
                <w:trHeight w:val="300" w:hRule="atLeast"/>
              </w:trPr>
              <w:tc>
                <w:tcPr>
                  <w:tcW w:w="13772" w:type="dxa"/>
                  <w:tcBorders>
                    <w:top w:val="nil"/>
                    <w:left w:val="nil"/>
                    <w:bottom w:val="nil"/>
                    <w:right w:val="nil"/>
                  </w:tcBorders>
                  <w:shd w:val="clear" w:color="auto" w:fill="FFFFFF"/>
                  <w:noWrap/>
                  <w:vAlign w:val="center"/>
                </w:tcPr>
                <w:p/>
                <w:tbl>
                  <w:tblPr>
                    <w:tblStyle w:val="8"/>
                    <w:tblW w:w="13644" w:type="dxa"/>
                    <w:tblInd w:w="0" w:type="dxa"/>
                    <w:tblLayout w:type="autofit"/>
                    <w:tblCellMar>
                      <w:top w:w="0" w:type="dxa"/>
                      <w:left w:w="108" w:type="dxa"/>
                      <w:bottom w:w="0" w:type="dxa"/>
                      <w:right w:w="108" w:type="dxa"/>
                    </w:tblCellMar>
                  </w:tblPr>
                  <w:tblGrid>
                    <w:gridCol w:w="2563"/>
                    <w:gridCol w:w="427"/>
                    <w:gridCol w:w="353"/>
                    <w:gridCol w:w="851"/>
                    <w:gridCol w:w="1984"/>
                    <w:gridCol w:w="5136"/>
                    <w:gridCol w:w="1032"/>
                    <w:gridCol w:w="1298"/>
                  </w:tblGrid>
                  <w:tr>
                    <w:tblPrEx>
                      <w:tblCellMar>
                        <w:top w:w="0" w:type="dxa"/>
                        <w:left w:w="108" w:type="dxa"/>
                        <w:bottom w:w="0" w:type="dxa"/>
                        <w:right w:w="108" w:type="dxa"/>
                      </w:tblCellMar>
                    </w:tblPrEx>
                    <w:trPr>
                      <w:trHeight w:val="375" w:hRule="atLeast"/>
                    </w:trPr>
                    <w:tc>
                      <w:tcPr>
                        <w:tcW w:w="2563" w:type="dxa"/>
                        <w:tcBorders>
                          <w:top w:val="nil"/>
                          <w:left w:val="nil"/>
                          <w:bottom w:val="nil"/>
                          <w:right w:val="nil"/>
                        </w:tcBorders>
                        <w:shd w:val="clear" w:color="auto" w:fill="auto"/>
                        <w:noWrap/>
                        <w:vAlign w:val="center"/>
                      </w:tcPr>
                      <w:p>
                        <w:pPr>
                          <w:rPr>
                            <w:rFonts w:ascii="宋体" w:hAnsi="宋体" w:eastAsia="宋体" w:cs="Arial"/>
                            <w:sz w:val="22"/>
                          </w:rPr>
                        </w:pPr>
                      </w:p>
                    </w:tc>
                    <w:tc>
                      <w:tcPr>
                        <w:tcW w:w="427"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188" w:type="dxa"/>
                        <w:gridSpan w:val="3"/>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 xml:space="preserve">   收入支出决算总表</w:t>
                        </w:r>
                      </w:p>
                    </w:tc>
                    <w:tc>
                      <w:tcPr>
                        <w:tcW w:w="5136"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32"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298" w:type="dxa"/>
                        <w:tcBorders>
                          <w:top w:val="nil"/>
                          <w:left w:val="nil"/>
                          <w:bottom w:val="nil"/>
                          <w:right w:val="single" w:color="808080" w:sz="4" w:space="0"/>
                        </w:tcBorders>
                        <w:shd w:val="clear" w:color="auto" w:fill="auto"/>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2563" w:type="dxa"/>
                        <w:tcBorders>
                          <w:top w:val="nil"/>
                          <w:left w:val="nil"/>
                          <w:bottom w:val="nil"/>
                          <w:right w:val="nil"/>
                        </w:tcBorders>
                        <w:shd w:val="clear" w:color="auto" w:fill="auto"/>
                        <w:noWrap/>
                        <w:vAlign w:val="center"/>
                      </w:tcPr>
                      <w:p>
                        <w:pPr>
                          <w:rPr>
                            <w:rFonts w:ascii="宋体" w:hAnsi="宋体" w:eastAsia="宋体" w:cs="Arial"/>
                            <w:sz w:val="22"/>
                          </w:rPr>
                        </w:pPr>
                      </w:p>
                    </w:tc>
                    <w:tc>
                      <w:tcPr>
                        <w:tcW w:w="427"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188" w:type="dxa"/>
                        <w:gridSpan w:val="3"/>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136"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32"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298" w:type="dxa"/>
                        <w:tcBorders>
                          <w:top w:val="nil"/>
                          <w:left w:val="nil"/>
                          <w:bottom w:val="nil"/>
                          <w:right w:val="single" w:color="808080" w:sz="4" w:space="0"/>
                        </w:tcBorders>
                        <w:shd w:val="clear" w:color="auto" w:fill="auto"/>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2563" w:type="dxa"/>
                        <w:tcBorders>
                          <w:top w:val="nil"/>
                          <w:left w:val="nil"/>
                          <w:bottom w:val="nil"/>
                          <w:right w:val="nil"/>
                        </w:tcBorders>
                        <w:shd w:val="clear" w:color="auto" w:fill="auto"/>
                        <w:noWrap/>
                        <w:vAlign w:val="center"/>
                      </w:tcPr>
                      <w:p>
                        <w:pPr>
                          <w:rPr>
                            <w:rFonts w:ascii="宋体" w:hAnsi="宋体" w:eastAsia="宋体" w:cs="Arial"/>
                            <w:sz w:val="22"/>
                          </w:rPr>
                        </w:pPr>
                      </w:p>
                    </w:tc>
                    <w:tc>
                      <w:tcPr>
                        <w:tcW w:w="427"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188" w:type="dxa"/>
                        <w:gridSpan w:val="3"/>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136"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32"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298" w:type="dxa"/>
                        <w:tcBorders>
                          <w:top w:val="nil"/>
                          <w:left w:val="nil"/>
                          <w:bottom w:val="nil"/>
                          <w:right w:val="single" w:color="808080" w:sz="4" w:space="0"/>
                        </w:tcBorders>
                        <w:shd w:val="clear" w:color="auto" w:fill="auto"/>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2563"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27"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188" w:type="dxa"/>
                        <w:gridSpan w:val="3"/>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136"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32"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298" w:type="dxa"/>
                        <w:tcBorders>
                          <w:top w:val="nil"/>
                          <w:left w:val="nil"/>
                          <w:bottom w:val="nil"/>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公开01表</w:t>
                        </w:r>
                      </w:p>
                    </w:tc>
                  </w:tr>
                  <w:tr>
                    <w:tblPrEx>
                      <w:tblCellMar>
                        <w:top w:w="0" w:type="dxa"/>
                        <w:left w:w="108" w:type="dxa"/>
                        <w:bottom w:w="0" w:type="dxa"/>
                        <w:right w:w="108" w:type="dxa"/>
                      </w:tblCellMar>
                    </w:tblPrEx>
                    <w:trPr>
                      <w:trHeight w:val="300" w:hRule="atLeast"/>
                    </w:trPr>
                    <w:tc>
                      <w:tcPr>
                        <w:tcW w:w="2990" w:type="dxa"/>
                        <w:gridSpan w:val="2"/>
                        <w:tcBorders>
                          <w:top w:val="nil"/>
                          <w:left w:val="nil"/>
                          <w:bottom w:val="single" w:color="808080" w:sz="4" w:space="0"/>
                          <w:right w:val="nil"/>
                        </w:tcBorders>
                        <w:shd w:val="clear" w:color="auto" w:fill="auto"/>
                        <w:noWrap/>
                        <w:vAlign w:val="center"/>
                      </w:tcPr>
                      <w:p>
                        <w:pPr>
                          <w:rPr>
                            <w:rFonts w:ascii="宋体" w:hAnsi="宋体" w:eastAsia="宋体" w:cs="Arial"/>
                            <w:color w:val="000000"/>
                            <w:sz w:val="22"/>
                          </w:rPr>
                        </w:pPr>
                        <w:r>
                          <w:rPr>
                            <w:rFonts w:hint="eastAsia" w:cs="Arial"/>
                            <w:color w:val="000000"/>
                            <w:sz w:val="22"/>
                          </w:rPr>
                          <w:t>单位：湖南省外事侨务办公室出国（境）服务中心</w:t>
                        </w:r>
                      </w:p>
                    </w:tc>
                    <w:tc>
                      <w:tcPr>
                        <w:tcW w:w="3188" w:type="dxa"/>
                        <w:gridSpan w:val="3"/>
                        <w:tcBorders>
                          <w:top w:val="nil"/>
                          <w:left w:val="nil"/>
                          <w:bottom w:val="single" w:color="808080" w:sz="4" w:space="0"/>
                          <w:right w:val="nil"/>
                        </w:tcBorders>
                        <w:shd w:val="clear" w:color="auto" w:fill="auto"/>
                        <w:noWrap/>
                        <w:vAlign w:val="center"/>
                      </w:tcPr>
                      <w:p>
                        <w:pPr>
                          <w:jc w:val="center"/>
                          <w:rPr>
                            <w:rFonts w:ascii="宋体" w:hAnsi="宋体" w:eastAsia="宋体" w:cs="Arial"/>
                            <w:color w:val="000000"/>
                            <w:sz w:val="24"/>
                            <w:szCs w:val="24"/>
                          </w:rPr>
                        </w:pPr>
                        <w:r>
                          <w:rPr>
                            <w:rFonts w:hint="eastAsia" w:cs="Arial"/>
                            <w:color w:val="000000"/>
                          </w:rPr>
                          <w:t>2021年度</w:t>
                        </w:r>
                      </w:p>
                    </w:tc>
                    <w:tc>
                      <w:tcPr>
                        <w:tcW w:w="5136" w:type="dxa"/>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1032" w:type="dxa"/>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1298" w:type="dxa"/>
                        <w:tcBorders>
                          <w:top w:val="nil"/>
                          <w:left w:val="nil"/>
                          <w:bottom w:val="single" w:color="808080" w:sz="4" w:space="0"/>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6178"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收入</w:t>
                        </w:r>
                      </w:p>
                    </w:tc>
                    <w:tc>
                      <w:tcPr>
                        <w:tcW w:w="7466" w:type="dxa"/>
                        <w:gridSpan w:val="3"/>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支出</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项目</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行次</w:t>
                        </w:r>
                      </w:p>
                    </w:tc>
                    <w:tc>
                      <w:tcPr>
                        <w:tcW w:w="1984"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金额</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项目</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行次</w:t>
                        </w:r>
                      </w:p>
                    </w:tc>
                    <w:tc>
                      <w:tcPr>
                        <w:tcW w:w="1298"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金额</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栏次</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　</w:t>
                        </w:r>
                      </w:p>
                    </w:tc>
                    <w:tc>
                      <w:tcPr>
                        <w:tcW w:w="1984"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栏次</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　</w:t>
                        </w:r>
                      </w:p>
                    </w:tc>
                    <w:tc>
                      <w:tcPr>
                        <w:tcW w:w="1298"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一、一般公共预算财政拨款收入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370.28</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一、一般公共服务支出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32</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303.40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二、政府性基金预算财政拨款收入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二、外交支出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33</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三、国有资本经营预算财政拨款收入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三、国防支出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34</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四、上级补助收入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四、公共安全支出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35</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五、事业收入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五、教育支出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36</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六、经营收入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9.88</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六、科学技术支出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37</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七、附属单位上缴收入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7</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七、文化旅游体育与传媒支出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38</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八、其他收入</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8</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八、社会保障和就业支出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39</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41.75</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9</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九、卫生健康支出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40</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40.17</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10</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十、节能环保支出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41</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11</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十一、城乡社区支出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42</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12</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十二、农林水支出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43</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13</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十三、交通运输支出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44</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14</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十四、资源勘探工业信息等支出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45</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15</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十五、商业服务业等支出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46</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16</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十六、金融支出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47</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17</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十七、援助其他地区支出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48</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18</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十八、自然资源海洋气象等支出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49</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19</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十九、住房保障支出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50</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54.26</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20</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二十、粮油物资储备支出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51</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21</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二十一、国有资本经营预算支出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52</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22</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二十二、灾害防治及应急管理支出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53</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23</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二十三、其他支出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54</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b/>
                            <w:bCs/>
                            <w:sz w:val="20"/>
                            <w:szCs w:val="20"/>
                          </w:rPr>
                        </w:pPr>
                        <w:r>
                          <w:rPr>
                            <w:rFonts w:hint="eastAsia" w:cs="Arial"/>
                            <w:b/>
                            <w:bCs/>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24</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二十四、债务还本支出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55</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25</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二十五、债务付息支出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56</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26</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二十六、抗疫特别国债安排的支出</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57</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b/>
                            <w:bCs/>
                            <w:sz w:val="20"/>
                            <w:szCs w:val="20"/>
                          </w:rPr>
                        </w:pPr>
                        <w:r>
                          <w:rPr>
                            <w:rFonts w:hint="eastAsia" w:cs="Arial"/>
                            <w:b/>
                            <w:bCs/>
                            <w:sz w:val="20"/>
                            <w:szCs w:val="20"/>
                          </w:rPr>
                          <w:t>本年收入合计</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27</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380.17</w:t>
                        </w:r>
                      </w:p>
                    </w:tc>
                    <w:tc>
                      <w:tcPr>
                        <w:tcW w:w="5136"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b/>
                            <w:bCs/>
                            <w:sz w:val="20"/>
                            <w:szCs w:val="20"/>
                          </w:rPr>
                        </w:pPr>
                        <w:r>
                          <w:rPr>
                            <w:rFonts w:hint="eastAsia" w:cs="Arial"/>
                            <w:b/>
                            <w:bCs/>
                            <w:sz w:val="20"/>
                            <w:szCs w:val="20"/>
                          </w:rPr>
                          <w:t>本年支出合计</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58</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439.58</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使用非财政拨款结余</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28</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结余分配</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59</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年初结转和结余</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29</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0.52</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年末结转和结余</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60</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-58.90</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30</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61</w:t>
                        </w:r>
                      </w:p>
                    </w:tc>
                    <w:tc>
                      <w:tcPr>
                        <w:tcW w:w="1298"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34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总计</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31</w:t>
                        </w:r>
                      </w:p>
                    </w:tc>
                    <w:tc>
                      <w:tcPr>
                        <w:tcW w:w="198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380.68</w:t>
                        </w:r>
                      </w:p>
                    </w:tc>
                    <w:tc>
                      <w:tcPr>
                        <w:tcW w:w="5136"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总计</w:t>
                        </w:r>
                      </w:p>
                    </w:tc>
                    <w:tc>
                      <w:tcPr>
                        <w:tcW w:w="103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62</w:t>
                        </w:r>
                      </w:p>
                    </w:tc>
                    <w:tc>
                      <w:tcPr>
                        <w:tcW w:w="129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380.68</w:t>
                        </w:r>
                      </w:p>
                    </w:tc>
                  </w:tr>
                  <w:tr>
                    <w:tblPrEx>
                      <w:tblCellMar>
                        <w:top w:w="0" w:type="dxa"/>
                        <w:left w:w="108" w:type="dxa"/>
                        <w:bottom w:w="0" w:type="dxa"/>
                        <w:right w:w="108" w:type="dxa"/>
                      </w:tblCellMar>
                    </w:tblPrEx>
                    <w:trPr>
                      <w:trHeight w:val="300" w:hRule="atLeast"/>
                    </w:trPr>
                    <w:tc>
                      <w:tcPr>
                        <w:tcW w:w="13644" w:type="dxa"/>
                        <w:gridSpan w:val="8"/>
                        <w:tcBorders>
                          <w:top w:val="nil"/>
                          <w:left w:val="nil"/>
                          <w:bottom w:val="nil"/>
                          <w:right w:val="nil"/>
                        </w:tcBorders>
                        <w:shd w:val="clear" w:color="auto" w:fill="auto"/>
                        <w:noWrap/>
                        <w:vAlign w:val="center"/>
                      </w:tcPr>
                      <w:p>
                        <w:pPr>
                          <w:rPr>
                            <w:rFonts w:ascii="宋体" w:hAnsi="宋体" w:eastAsia="宋体" w:cs="Arial"/>
                            <w:sz w:val="20"/>
                            <w:szCs w:val="20"/>
                          </w:rPr>
                        </w:pPr>
                        <w:r>
                          <w:rPr>
                            <w:rFonts w:hint="eastAsia" w:cs="Arial"/>
                            <w:sz w:val="20"/>
                            <w:szCs w:val="20"/>
                          </w:rPr>
                          <w:t>注：1.本表反映单位本年度的总收支和年末结转结余情况。</w:t>
                        </w:r>
                      </w:p>
                    </w:tc>
                  </w:tr>
                  <w:tr>
                    <w:tblPrEx>
                      <w:tblCellMar>
                        <w:top w:w="0" w:type="dxa"/>
                        <w:left w:w="108" w:type="dxa"/>
                        <w:bottom w:w="0" w:type="dxa"/>
                        <w:right w:w="108" w:type="dxa"/>
                      </w:tblCellMar>
                    </w:tblPrEx>
                    <w:trPr>
                      <w:trHeight w:val="300" w:hRule="atLeast"/>
                    </w:trPr>
                    <w:tc>
                      <w:tcPr>
                        <w:tcW w:w="13644" w:type="dxa"/>
                        <w:gridSpan w:val="8"/>
                        <w:tcBorders>
                          <w:top w:val="nil"/>
                          <w:left w:val="nil"/>
                          <w:bottom w:val="nil"/>
                          <w:right w:val="nil"/>
                        </w:tcBorders>
                        <w:shd w:val="clear" w:color="auto" w:fill="auto"/>
                        <w:noWrap/>
                        <w:vAlign w:val="center"/>
                      </w:tcPr>
                      <w:p>
                        <w:pPr>
                          <w:rPr>
                            <w:rFonts w:ascii="宋体" w:hAnsi="宋体" w:eastAsia="宋体" w:cs="Arial"/>
                            <w:sz w:val="20"/>
                            <w:szCs w:val="20"/>
                          </w:rPr>
                        </w:pPr>
                        <w:r>
                          <w:rPr>
                            <w:rFonts w:hint="eastAsia" w:cs="Arial"/>
                            <w:sz w:val="20"/>
                            <w:szCs w:val="20"/>
                          </w:rPr>
                          <w:t xml:space="preserve">    2.本套报表金额单位转换时可能存在尾数误差。</w:t>
                        </w:r>
                      </w:p>
                    </w:tc>
                  </w:tr>
                </w:tbl>
                <w:p>
                  <w:pPr>
                    <w:widowControl/>
                    <w:jc w:val="left"/>
                    <w:textAlignment w:val="center"/>
                    <w:rPr>
                      <w:rFonts w:ascii="宋体" w:hAnsi="宋体" w:eastAsia="宋体" w:cs="宋体"/>
                      <w:color w:val="000000"/>
                      <w:kern w:val="0"/>
                      <w:sz w:val="20"/>
                      <w:szCs w:val="20"/>
                    </w:rPr>
                  </w:pPr>
                </w:p>
              </w:tc>
            </w:tr>
          </w:tbl>
          <w:p>
            <w:pPr>
              <w:widowControl/>
              <w:jc w:val="left"/>
              <w:rPr>
                <w:rFonts w:ascii="宋体" w:hAnsi="宋体" w:eastAsia="宋体" w:cs="宋体"/>
                <w:kern w:val="0"/>
                <w:sz w:val="24"/>
                <w:szCs w:val="24"/>
              </w:rPr>
            </w:pP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5000" w:type="pct"/>
        <w:tblInd w:w="0" w:type="dxa"/>
        <w:tblLayout w:type="autofit"/>
        <w:tblCellMar>
          <w:top w:w="0" w:type="dxa"/>
          <w:left w:w="108" w:type="dxa"/>
          <w:bottom w:w="0" w:type="dxa"/>
          <w:right w:w="108" w:type="dxa"/>
        </w:tblCellMar>
      </w:tblPr>
      <w:tblGrid>
        <w:gridCol w:w="231"/>
        <w:gridCol w:w="192"/>
        <w:gridCol w:w="168"/>
        <w:gridCol w:w="222"/>
        <w:gridCol w:w="222"/>
        <w:gridCol w:w="3616"/>
        <w:gridCol w:w="1385"/>
        <w:gridCol w:w="1716"/>
        <w:gridCol w:w="1478"/>
        <w:gridCol w:w="1478"/>
        <w:gridCol w:w="1478"/>
        <w:gridCol w:w="1478"/>
        <w:gridCol w:w="1756"/>
        <w:gridCol w:w="194"/>
      </w:tblGrid>
      <w:tr>
        <w:tblPrEx>
          <w:tblCellMar>
            <w:top w:w="0" w:type="dxa"/>
            <w:left w:w="108" w:type="dxa"/>
            <w:bottom w:w="0" w:type="dxa"/>
            <w:right w:w="108" w:type="dxa"/>
          </w:tblCellMar>
        </w:tblPrEx>
        <w:trPr>
          <w:gridAfter w:val="1"/>
          <w:wAfter w:w="94" w:type="pct"/>
          <w:trHeight w:val="375" w:hRule="atLeast"/>
        </w:trPr>
        <w:tc>
          <w:tcPr>
            <w:tcW w:w="243" w:type="pct"/>
            <w:gridSpan w:val="3"/>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69"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69"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22"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收入决算表</w:t>
            </w: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single" w:color="808080" w:sz="4" w:space="0"/>
            </w:tcBorders>
            <w:shd w:val="clear" w:color="auto" w:fill="auto"/>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gridAfter w:val="1"/>
          <w:wAfter w:w="94" w:type="pct"/>
          <w:trHeight w:val="300" w:hRule="atLeast"/>
        </w:trPr>
        <w:tc>
          <w:tcPr>
            <w:tcW w:w="243" w:type="pct"/>
            <w:gridSpan w:val="3"/>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69"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69"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22"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01" w:type="pct"/>
            <w:tcBorders>
              <w:top w:val="nil"/>
              <w:left w:val="nil"/>
              <w:bottom w:val="nil"/>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公开02表</w:t>
            </w:r>
          </w:p>
        </w:tc>
      </w:tr>
      <w:tr>
        <w:tblPrEx>
          <w:tblCellMar>
            <w:top w:w="0" w:type="dxa"/>
            <w:left w:w="108" w:type="dxa"/>
            <w:bottom w:w="0" w:type="dxa"/>
            <w:right w:w="108" w:type="dxa"/>
          </w:tblCellMar>
        </w:tblPrEx>
        <w:trPr>
          <w:gridAfter w:val="1"/>
          <w:wAfter w:w="94" w:type="pct"/>
          <w:trHeight w:val="300" w:hRule="atLeast"/>
        </w:trPr>
        <w:tc>
          <w:tcPr>
            <w:tcW w:w="1903" w:type="pct"/>
            <w:gridSpan w:val="7"/>
            <w:tcBorders>
              <w:top w:val="nil"/>
              <w:left w:val="nil"/>
              <w:bottom w:val="single" w:color="808080" w:sz="4" w:space="0"/>
              <w:right w:val="nil"/>
            </w:tcBorders>
            <w:shd w:val="clear" w:color="auto" w:fill="auto"/>
            <w:noWrap/>
            <w:vAlign w:val="center"/>
          </w:tcPr>
          <w:p>
            <w:pPr>
              <w:rPr>
                <w:rFonts w:ascii="宋体" w:hAnsi="宋体" w:eastAsia="宋体" w:cs="Arial"/>
                <w:color w:val="000000"/>
                <w:sz w:val="22"/>
              </w:rPr>
            </w:pPr>
            <w:r>
              <w:rPr>
                <w:rFonts w:hint="eastAsia" w:cs="Arial"/>
                <w:color w:val="000000"/>
                <w:sz w:val="22"/>
              </w:rPr>
              <w:t>单位：湖南省外事侨务办公室出国（境）服务中心</w:t>
            </w:r>
          </w:p>
        </w:tc>
        <w:tc>
          <w:tcPr>
            <w:tcW w:w="501" w:type="pct"/>
            <w:tcBorders>
              <w:top w:val="nil"/>
              <w:left w:val="nil"/>
              <w:bottom w:val="single" w:color="808080" w:sz="4" w:space="0"/>
              <w:right w:val="nil"/>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2021年度</w:t>
            </w:r>
          </w:p>
        </w:tc>
        <w:tc>
          <w:tcPr>
            <w:tcW w:w="501"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501"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501"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501"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501" w:type="pct"/>
            <w:tcBorders>
              <w:top w:val="nil"/>
              <w:left w:val="nil"/>
              <w:bottom w:val="single" w:color="808080" w:sz="4" w:space="0"/>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gridAfter w:val="1"/>
          <w:wAfter w:w="94" w:type="pct"/>
          <w:trHeight w:val="300" w:hRule="atLeast"/>
        </w:trPr>
        <w:tc>
          <w:tcPr>
            <w:tcW w:w="1403" w:type="pct"/>
            <w:gridSpan w:val="6"/>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项目</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本年收入合计</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财政拨款收入</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上级补助收入</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事业收入</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经营收入</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附属单位上缴收入</w:t>
            </w:r>
          </w:p>
        </w:tc>
        <w:tc>
          <w:tcPr>
            <w:tcW w:w="50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其他收入</w:t>
            </w:r>
          </w:p>
        </w:tc>
      </w:tr>
      <w:tr>
        <w:tblPrEx>
          <w:tblCellMar>
            <w:top w:w="0" w:type="dxa"/>
            <w:left w:w="108" w:type="dxa"/>
            <w:bottom w:w="0" w:type="dxa"/>
            <w:right w:w="108" w:type="dxa"/>
          </w:tblCellMar>
        </w:tblPrEx>
        <w:trPr>
          <w:gridAfter w:val="1"/>
          <w:wAfter w:w="94" w:type="pct"/>
          <w:trHeight w:val="312" w:hRule="atLeast"/>
        </w:trPr>
        <w:tc>
          <w:tcPr>
            <w:tcW w:w="381" w:type="pct"/>
            <w:gridSpan w:val="5"/>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功能分类科目编码</w:t>
            </w:r>
          </w:p>
        </w:tc>
        <w:tc>
          <w:tcPr>
            <w:tcW w:w="1022" w:type="pct"/>
            <w:vMerge w:val="restar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科目名称</w:t>
            </w: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94" w:type="pct"/>
          <w:trHeight w:val="312" w:hRule="atLeast"/>
        </w:trPr>
        <w:tc>
          <w:tcPr>
            <w:tcW w:w="381" w:type="pct"/>
            <w:gridSpan w:val="5"/>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0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94" w:type="pct"/>
          <w:trHeight w:val="312" w:hRule="atLeast"/>
        </w:trPr>
        <w:tc>
          <w:tcPr>
            <w:tcW w:w="381" w:type="pct"/>
            <w:gridSpan w:val="5"/>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022"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0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94" w:type="pct"/>
          <w:trHeight w:val="300" w:hRule="atLeast"/>
        </w:trPr>
        <w:tc>
          <w:tcPr>
            <w:tcW w:w="1403" w:type="pct"/>
            <w:gridSpan w:val="6"/>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栏次</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1</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2</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3</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4</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5</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6</w:t>
            </w:r>
          </w:p>
        </w:tc>
        <w:tc>
          <w:tcPr>
            <w:tcW w:w="501" w:type="pc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7</w:t>
            </w:r>
          </w:p>
        </w:tc>
      </w:tr>
      <w:tr>
        <w:tblPrEx>
          <w:tblCellMar>
            <w:top w:w="0" w:type="dxa"/>
            <w:left w:w="108" w:type="dxa"/>
            <w:bottom w:w="0" w:type="dxa"/>
            <w:right w:w="108" w:type="dxa"/>
          </w:tblCellMar>
        </w:tblPrEx>
        <w:trPr>
          <w:gridAfter w:val="1"/>
          <w:wAfter w:w="94" w:type="pct"/>
          <w:trHeight w:val="300" w:hRule="atLeast"/>
        </w:trPr>
        <w:tc>
          <w:tcPr>
            <w:tcW w:w="1403" w:type="pct"/>
            <w:gridSpan w:val="6"/>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合计</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380.17</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370.28</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9.88</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201</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一般公共服务支出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225.91</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220.54</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5.37</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20131</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党委办公厅（室）及相关机构事务</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225.91</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220.54</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5.37</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2013150</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事业运行</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225.91</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220.54</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5.37</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208</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53.00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53.00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20805</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53.00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53.00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2080505</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机关事业单位基本养老保险缴费支出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35.00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35.00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2080506</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机关事业单位职业年金缴费支出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18.00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18.00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210</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卫生健康支出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47.00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45.00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21011</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行政事业单位医疗</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47.00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45.00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2101102</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事业单位医疗</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47.00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45.00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221</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住房保障支出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54.26</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51.74</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2.52</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22102</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住房改革支出</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54.26</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51.74</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2.52</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After w:val="1"/>
          <w:wAfter w:w="94" w:type="pct"/>
          <w:trHeight w:val="300" w:hRule="atLeast"/>
        </w:trPr>
        <w:tc>
          <w:tcPr>
            <w:tcW w:w="381"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2210201</w:t>
            </w:r>
          </w:p>
        </w:tc>
        <w:tc>
          <w:tcPr>
            <w:tcW w:w="1022"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住房公积金</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54.26</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51.74</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2.52</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01"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2"/>
          <w:wBefore w:w="174" w:type="pct"/>
          <w:trHeight w:val="300" w:hRule="atLeast"/>
        </w:trPr>
        <w:tc>
          <w:tcPr>
            <w:tcW w:w="4826" w:type="pct"/>
            <w:gridSpan w:val="12"/>
            <w:tcBorders>
              <w:top w:val="nil"/>
              <w:left w:val="nil"/>
              <w:bottom w:val="nil"/>
              <w:right w:val="nil"/>
            </w:tcBorders>
            <w:shd w:val="clear" w:color="auto" w:fill="auto"/>
            <w:noWrap/>
            <w:vAlign w:val="center"/>
          </w:tcPr>
          <w:p>
            <w:pPr>
              <w:rPr>
                <w:rFonts w:ascii="宋体" w:hAnsi="宋体" w:eastAsia="宋体" w:cs="Arial"/>
                <w:sz w:val="20"/>
                <w:szCs w:val="20"/>
              </w:rPr>
            </w:pPr>
            <w:r>
              <w:rPr>
                <w:rFonts w:hint="eastAsia" w:cs="Arial"/>
                <w:sz w:val="20"/>
                <w:szCs w:val="20"/>
              </w:rPr>
              <w:t>注：本表反映单位本年度取得的各项收入情况。</w:t>
            </w:r>
          </w:p>
        </w:tc>
      </w:tr>
      <w:tr>
        <w:tblPrEx>
          <w:tblCellMar>
            <w:top w:w="0" w:type="dxa"/>
            <w:left w:w="0" w:type="dxa"/>
            <w:bottom w:w="0" w:type="dxa"/>
            <w:right w:w="0" w:type="dxa"/>
          </w:tblCellMar>
        </w:tblPrEx>
        <w:trPr>
          <w:gridBefore w:val="1"/>
          <w:gridAfter w:val="1"/>
          <w:wBefore w:w="95" w:type="pct"/>
          <w:wAfter w:w="94" w:type="pct"/>
          <w:trHeight w:val="615" w:hRule="atLeast"/>
        </w:trPr>
        <w:tc>
          <w:tcPr>
            <w:tcW w:w="4812" w:type="pct"/>
            <w:gridSpan w:val="12"/>
            <w:tcBorders>
              <w:top w:val="nil"/>
              <w:left w:val="nil"/>
              <w:bottom w:val="nil"/>
              <w:right w:val="nil"/>
            </w:tcBorders>
            <w:shd w:val="clear" w:color="auto" w:fill="auto"/>
            <w:tcMar>
              <w:top w:w="15" w:type="dxa"/>
              <w:left w:w="15" w:type="dxa"/>
              <w:bottom w:w="0" w:type="dxa"/>
              <w:right w:w="15" w:type="dxa"/>
            </w:tcMar>
            <w:vAlign w:val="center"/>
          </w:tcPr>
          <w:tbl>
            <w:tblPr>
              <w:tblStyle w:val="8"/>
              <w:tblW w:w="0" w:type="auto"/>
              <w:tblInd w:w="0" w:type="dxa"/>
              <w:tblLayout w:type="autofit"/>
              <w:tblCellMar>
                <w:top w:w="0" w:type="dxa"/>
                <w:left w:w="108" w:type="dxa"/>
                <w:bottom w:w="0" w:type="dxa"/>
                <w:right w:w="108" w:type="dxa"/>
              </w:tblCellMar>
            </w:tblPr>
            <w:tblGrid>
              <w:gridCol w:w="222"/>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
                  <w:pPr>
                    <w:widowControl/>
                    <w:jc w:val="left"/>
                    <w:textAlignment w:val="center"/>
                    <w:rPr>
                      <w:rFonts w:ascii="宋体" w:hAnsi="宋体" w:eastAsia="宋体" w:cs="宋体"/>
                      <w:color w:val="000000"/>
                      <w:kern w:val="0"/>
                      <w:sz w:val="20"/>
                      <w:szCs w:val="20"/>
                    </w:rPr>
                  </w:pPr>
                </w:p>
              </w:tc>
            </w:tr>
          </w:tbl>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5740" w:type="dxa"/>
        <w:tblInd w:w="93" w:type="dxa"/>
        <w:tblLayout w:type="autofit"/>
        <w:tblCellMar>
          <w:top w:w="0" w:type="dxa"/>
          <w:left w:w="108" w:type="dxa"/>
          <w:bottom w:w="0" w:type="dxa"/>
          <w:right w:w="108" w:type="dxa"/>
        </w:tblCellMar>
      </w:tblPr>
      <w:tblGrid>
        <w:gridCol w:w="340"/>
        <w:gridCol w:w="340"/>
        <w:gridCol w:w="340"/>
        <w:gridCol w:w="3920"/>
        <w:gridCol w:w="1800"/>
        <w:gridCol w:w="1800"/>
        <w:gridCol w:w="1800"/>
        <w:gridCol w:w="1800"/>
        <w:gridCol w:w="1800"/>
        <w:gridCol w:w="1581"/>
        <w:gridCol w:w="219"/>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4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4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92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支出决算表</w:t>
            </w: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gridSpan w:val="2"/>
            <w:tcBorders>
              <w:top w:val="nil"/>
              <w:left w:val="nil"/>
              <w:bottom w:val="nil"/>
              <w:right w:val="single" w:color="808080" w:sz="4" w:space="0"/>
            </w:tcBorders>
            <w:shd w:val="clear" w:color="auto" w:fill="auto"/>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4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4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392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800" w:type="dxa"/>
            <w:gridSpan w:val="2"/>
            <w:tcBorders>
              <w:top w:val="nil"/>
              <w:left w:val="nil"/>
              <w:bottom w:val="nil"/>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公开03表</w:t>
            </w:r>
          </w:p>
        </w:tc>
      </w:tr>
      <w:tr>
        <w:tblPrEx>
          <w:tblCellMar>
            <w:top w:w="0" w:type="dxa"/>
            <w:left w:w="108" w:type="dxa"/>
            <w:bottom w:w="0" w:type="dxa"/>
            <w:right w:w="108" w:type="dxa"/>
          </w:tblCellMar>
        </w:tblPrEx>
        <w:trPr>
          <w:trHeight w:val="300" w:hRule="atLeast"/>
        </w:trPr>
        <w:tc>
          <w:tcPr>
            <w:tcW w:w="4940" w:type="dxa"/>
            <w:gridSpan w:val="4"/>
            <w:tcBorders>
              <w:top w:val="nil"/>
              <w:left w:val="nil"/>
              <w:bottom w:val="single" w:color="808080" w:sz="4" w:space="0"/>
              <w:right w:val="nil"/>
            </w:tcBorders>
            <w:shd w:val="clear" w:color="auto" w:fill="auto"/>
            <w:noWrap/>
            <w:vAlign w:val="center"/>
          </w:tcPr>
          <w:p>
            <w:pPr>
              <w:rPr>
                <w:rFonts w:ascii="宋体" w:hAnsi="宋体" w:eastAsia="宋体" w:cs="Arial"/>
                <w:color w:val="000000"/>
                <w:sz w:val="22"/>
              </w:rPr>
            </w:pPr>
            <w:r>
              <w:rPr>
                <w:rFonts w:hint="eastAsia" w:cs="Arial"/>
                <w:color w:val="000000"/>
                <w:sz w:val="22"/>
              </w:rPr>
              <w:t>单位：湖南省外事侨务办公室出国（境）服务中心</w:t>
            </w:r>
          </w:p>
        </w:tc>
        <w:tc>
          <w:tcPr>
            <w:tcW w:w="1800" w:type="dxa"/>
            <w:tcBorders>
              <w:top w:val="nil"/>
              <w:left w:val="nil"/>
              <w:bottom w:val="single" w:color="808080" w:sz="4" w:space="0"/>
              <w:right w:val="nil"/>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2021年度</w:t>
            </w:r>
          </w:p>
        </w:tc>
        <w:tc>
          <w:tcPr>
            <w:tcW w:w="1800" w:type="dxa"/>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1800" w:type="dxa"/>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1800" w:type="dxa"/>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1800" w:type="dxa"/>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1800" w:type="dxa"/>
            <w:gridSpan w:val="2"/>
            <w:tcBorders>
              <w:top w:val="nil"/>
              <w:left w:val="nil"/>
              <w:bottom w:val="single" w:color="808080" w:sz="4" w:space="0"/>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项目</w:t>
            </w:r>
          </w:p>
        </w:tc>
        <w:tc>
          <w:tcPr>
            <w:tcW w:w="180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本年支出合计</w:t>
            </w:r>
          </w:p>
        </w:tc>
        <w:tc>
          <w:tcPr>
            <w:tcW w:w="180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基本支出</w:t>
            </w:r>
          </w:p>
        </w:tc>
        <w:tc>
          <w:tcPr>
            <w:tcW w:w="180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项目支出</w:t>
            </w:r>
          </w:p>
        </w:tc>
        <w:tc>
          <w:tcPr>
            <w:tcW w:w="180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上缴上级支出</w:t>
            </w:r>
          </w:p>
        </w:tc>
        <w:tc>
          <w:tcPr>
            <w:tcW w:w="1800" w:type="dxa"/>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经营支出</w:t>
            </w:r>
          </w:p>
        </w:tc>
        <w:tc>
          <w:tcPr>
            <w:tcW w:w="1800"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功能分类科目编码</w:t>
            </w:r>
          </w:p>
        </w:tc>
        <w:tc>
          <w:tcPr>
            <w:tcW w:w="3920" w:type="dxa"/>
            <w:vMerge w:val="restar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科目名称</w:t>
            </w: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392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392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80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栏次</w:t>
            </w:r>
          </w:p>
        </w:tc>
        <w:tc>
          <w:tcPr>
            <w:tcW w:w="180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1</w:t>
            </w:r>
          </w:p>
        </w:tc>
        <w:tc>
          <w:tcPr>
            <w:tcW w:w="180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2</w:t>
            </w:r>
          </w:p>
        </w:tc>
        <w:tc>
          <w:tcPr>
            <w:tcW w:w="180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3</w:t>
            </w:r>
          </w:p>
        </w:tc>
        <w:tc>
          <w:tcPr>
            <w:tcW w:w="180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4</w:t>
            </w:r>
          </w:p>
        </w:tc>
        <w:tc>
          <w:tcPr>
            <w:tcW w:w="1800" w:type="dxa"/>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5</w:t>
            </w:r>
          </w:p>
        </w:tc>
        <w:tc>
          <w:tcPr>
            <w:tcW w:w="1800" w:type="dxa"/>
            <w:gridSpan w:val="2"/>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合计</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439.58</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279.27</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160.31</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201</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303.40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165.78</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137.62</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20103</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政府办公厅（室）及相关机构事务</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0.52</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0.52</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2010350</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事业运行</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0.52</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0.52</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20131</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党委办公厅（室）及相关机构事务</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302.88</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165.26</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137.62</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2013150</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事业运行</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302.88</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165.26</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137.62</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208</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41.75</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41.75</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20805</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41.75</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41.75</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2080505</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35.00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35.00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2080506</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机关事业单位职业年金缴费支出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6.75</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6.75</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210</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卫生健康支出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40.17</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20.17</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21011</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行政事业单位医疗</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40.17</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20.17</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2101102</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事业单位医疗</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40.17</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20.17</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221</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住房保障支出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54.26</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51.74</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2.52</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22102</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住房改革支出</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54.26</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51.74</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2.52</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2210201</w:t>
            </w:r>
          </w:p>
        </w:tc>
        <w:tc>
          <w:tcPr>
            <w:tcW w:w="3920"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住房公积金</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54.26</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51.74</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2.52</w:t>
            </w:r>
          </w:p>
        </w:tc>
        <w:tc>
          <w:tcPr>
            <w:tcW w:w="180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5740" w:type="dxa"/>
            <w:gridSpan w:val="11"/>
            <w:tcBorders>
              <w:top w:val="nil"/>
              <w:left w:val="nil"/>
              <w:bottom w:val="nil"/>
              <w:right w:val="nil"/>
            </w:tcBorders>
            <w:shd w:val="clear" w:color="auto" w:fill="auto"/>
            <w:noWrap/>
            <w:vAlign w:val="center"/>
          </w:tcPr>
          <w:p>
            <w:pPr>
              <w:rPr>
                <w:rFonts w:ascii="宋体" w:hAnsi="宋体" w:eastAsia="宋体" w:cs="Arial"/>
                <w:sz w:val="20"/>
                <w:szCs w:val="20"/>
              </w:rPr>
            </w:pPr>
            <w:r>
              <w:rPr>
                <w:rFonts w:hint="eastAsia" w:cs="Arial"/>
                <w:sz w:val="20"/>
                <w:szCs w:val="20"/>
              </w:rPr>
              <w:t>注：本表反映单位本年度各项支出情况。</w:t>
            </w:r>
          </w:p>
        </w:tc>
      </w:tr>
      <w:tr>
        <w:tblPrEx>
          <w:tblCellMar>
            <w:top w:w="0" w:type="dxa"/>
            <w:left w:w="108" w:type="dxa"/>
            <w:bottom w:w="0" w:type="dxa"/>
            <w:right w:w="108" w:type="dxa"/>
          </w:tblCellMar>
        </w:tblPrEx>
        <w:trPr>
          <w:gridAfter w:val="1"/>
          <w:wAfter w:w="219" w:type="dxa"/>
          <w:trHeight w:val="630"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ind w:left="93"/>
        <w:jc w:val="center"/>
        <w:rPr>
          <w:rFonts w:ascii="Times New Roman" w:hAnsi="Times New Roman" w:eastAsia="方正小标宋_GBK" w:cs="Times New Roman"/>
          <w:color w:val="000000"/>
          <w:kern w:val="0"/>
          <w:sz w:val="36"/>
          <w:szCs w:val="21"/>
        </w:rPr>
      </w:pPr>
    </w:p>
    <w:tbl>
      <w:tblPr>
        <w:tblStyle w:val="8"/>
        <w:tblW w:w="5000" w:type="pct"/>
        <w:tblInd w:w="0" w:type="dxa"/>
        <w:tblLayout w:type="autofit"/>
        <w:tblCellMar>
          <w:top w:w="0" w:type="dxa"/>
          <w:left w:w="108" w:type="dxa"/>
          <w:bottom w:w="0" w:type="dxa"/>
          <w:right w:w="108" w:type="dxa"/>
        </w:tblCellMar>
      </w:tblPr>
      <w:tblGrid>
        <w:gridCol w:w="2555"/>
        <w:gridCol w:w="494"/>
        <w:gridCol w:w="1333"/>
        <w:gridCol w:w="2845"/>
        <w:gridCol w:w="2983"/>
        <w:gridCol w:w="1333"/>
        <w:gridCol w:w="1333"/>
        <w:gridCol w:w="1333"/>
        <w:gridCol w:w="251"/>
        <w:gridCol w:w="1154"/>
      </w:tblGrid>
      <w:tr>
        <w:tblPrEx>
          <w:tblCellMar>
            <w:top w:w="0" w:type="dxa"/>
            <w:left w:w="108" w:type="dxa"/>
            <w:bottom w:w="0" w:type="dxa"/>
            <w:right w:w="108" w:type="dxa"/>
          </w:tblCellMar>
        </w:tblPrEx>
        <w:trPr>
          <w:trHeight w:val="375" w:hRule="atLeast"/>
        </w:trPr>
        <w:tc>
          <w:tcPr>
            <w:tcW w:w="96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7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76"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284" w:type="pct"/>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财政拨款收入支出决算总表</w:t>
            </w: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29" w:type="pct"/>
            <w:gridSpan w:val="2"/>
            <w:tcBorders>
              <w:top w:val="nil"/>
              <w:left w:val="nil"/>
              <w:bottom w:val="nil"/>
              <w:right w:val="single" w:color="808080" w:sz="4" w:space="0"/>
            </w:tcBorders>
            <w:shd w:val="clear" w:color="auto" w:fill="auto"/>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96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71"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1076"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28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494" w:type="pct"/>
            <w:tcBorders>
              <w:top w:val="nil"/>
              <w:left w:val="nil"/>
              <w:bottom w:val="nil"/>
              <w:right w:val="nil"/>
            </w:tcBorders>
            <w:shd w:val="clear" w:color="auto" w:fill="auto"/>
            <w:noWrap/>
            <w:vAlign w:val="center"/>
          </w:tcPr>
          <w:p>
            <w:pPr>
              <w:rPr>
                <w:rFonts w:ascii="宋体" w:hAnsi="宋体" w:eastAsia="宋体" w:cs="Arial"/>
                <w:sz w:val="18"/>
                <w:szCs w:val="18"/>
              </w:rPr>
            </w:pPr>
          </w:p>
        </w:tc>
        <w:tc>
          <w:tcPr>
            <w:tcW w:w="529" w:type="pct"/>
            <w:gridSpan w:val="2"/>
            <w:tcBorders>
              <w:top w:val="nil"/>
              <w:left w:val="nil"/>
              <w:bottom w:val="nil"/>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公开04表</w:t>
            </w:r>
          </w:p>
        </w:tc>
      </w:tr>
      <w:tr>
        <w:tblPrEx>
          <w:tblCellMar>
            <w:top w:w="0" w:type="dxa"/>
            <w:left w:w="108" w:type="dxa"/>
            <w:bottom w:w="0" w:type="dxa"/>
            <w:right w:w="108" w:type="dxa"/>
          </w:tblCellMar>
        </w:tblPrEx>
        <w:trPr>
          <w:trHeight w:val="300" w:hRule="atLeast"/>
        </w:trPr>
        <w:tc>
          <w:tcPr>
            <w:tcW w:w="1629" w:type="pct"/>
            <w:gridSpan w:val="3"/>
            <w:tcBorders>
              <w:top w:val="nil"/>
              <w:left w:val="nil"/>
              <w:bottom w:val="single" w:color="808080" w:sz="4" w:space="0"/>
              <w:right w:val="nil"/>
            </w:tcBorders>
            <w:shd w:val="clear" w:color="auto" w:fill="auto"/>
            <w:noWrap/>
            <w:vAlign w:val="center"/>
          </w:tcPr>
          <w:p>
            <w:pPr>
              <w:rPr>
                <w:rFonts w:ascii="宋体" w:hAnsi="宋体" w:eastAsia="宋体" w:cs="Arial"/>
                <w:color w:val="000000"/>
                <w:sz w:val="22"/>
              </w:rPr>
            </w:pPr>
            <w:r>
              <w:rPr>
                <w:rFonts w:hint="eastAsia" w:cs="Arial"/>
                <w:color w:val="000000"/>
                <w:sz w:val="22"/>
              </w:rPr>
              <w:t>单位：湖南省外事侨务办公室出国（境）服务中心</w:t>
            </w:r>
          </w:p>
        </w:tc>
        <w:tc>
          <w:tcPr>
            <w:tcW w:w="1076"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284" w:type="pct"/>
            <w:tcBorders>
              <w:top w:val="nil"/>
              <w:left w:val="nil"/>
              <w:bottom w:val="single" w:color="808080" w:sz="4" w:space="0"/>
              <w:right w:val="nil"/>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2021年度</w:t>
            </w:r>
          </w:p>
        </w:tc>
        <w:tc>
          <w:tcPr>
            <w:tcW w:w="494"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494"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494" w:type="pct"/>
            <w:tcBorders>
              <w:top w:val="nil"/>
              <w:left w:val="nil"/>
              <w:bottom w:val="single" w:color="808080" w:sz="4" w:space="0"/>
              <w:right w:val="nil"/>
            </w:tcBorders>
            <w:shd w:val="clear" w:color="auto" w:fill="auto"/>
            <w:noWrap/>
            <w:vAlign w:val="center"/>
          </w:tcPr>
          <w:p>
            <w:pPr>
              <w:rPr>
                <w:rFonts w:ascii="宋体" w:hAnsi="宋体" w:eastAsia="宋体" w:cs="Arial"/>
                <w:sz w:val="18"/>
                <w:szCs w:val="18"/>
              </w:rPr>
            </w:pPr>
            <w:r>
              <w:rPr>
                <w:rFonts w:hint="eastAsia" w:cs="Arial"/>
                <w:sz w:val="18"/>
                <w:szCs w:val="18"/>
              </w:rPr>
              <w:t>　</w:t>
            </w:r>
          </w:p>
        </w:tc>
        <w:tc>
          <w:tcPr>
            <w:tcW w:w="529" w:type="pct"/>
            <w:gridSpan w:val="2"/>
            <w:tcBorders>
              <w:top w:val="nil"/>
              <w:left w:val="nil"/>
              <w:bottom w:val="single" w:color="808080" w:sz="4" w:space="0"/>
              <w:right w:val="single" w:color="808080"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1629" w:type="pct"/>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收     入</w:t>
            </w:r>
          </w:p>
        </w:tc>
        <w:tc>
          <w:tcPr>
            <w:tcW w:w="3371" w:type="pct"/>
            <w:gridSpan w:val="7"/>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支     出</w:t>
            </w:r>
          </w:p>
        </w:tc>
      </w:tr>
      <w:tr>
        <w:tblPrEx>
          <w:tblCellMar>
            <w:top w:w="0" w:type="dxa"/>
            <w:left w:w="108" w:type="dxa"/>
            <w:bottom w:w="0" w:type="dxa"/>
            <w:right w:w="108" w:type="dxa"/>
          </w:tblCellMar>
        </w:tblPrEx>
        <w:trPr>
          <w:trHeight w:val="312" w:hRule="atLeast"/>
        </w:trPr>
        <w:tc>
          <w:tcPr>
            <w:tcW w:w="964" w:type="pct"/>
            <w:vMerge w:val="restart"/>
            <w:tcBorders>
              <w:top w:val="nil"/>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0"/>
                <w:szCs w:val="20"/>
              </w:rPr>
            </w:pPr>
            <w:r>
              <w:rPr>
                <w:rFonts w:hint="eastAsia" w:cs="Arial"/>
                <w:sz w:val="20"/>
                <w:szCs w:val="20"/>
              </w:rPr>
              <w:t>项目</w:t>
            </w:r>
          </w:p>
        </w:tc>
        <w:tc>
          <w:tcPr>
            <w:tcW w:w="171"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行次</w:t>
            </w:r>
          </w:p>
        </w:tc>
        <w:tc>
          <w:tcPr>
            <w:tcW w:w="494"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金额</w:t>
            </w:r>
          </w:p>
        </w:tc>
        <w:tc>
          <w:tcPr>
            <w:tcW w:w="1076" w:type="pct"/>
            <w:vMerge w:val="restart"/>
            <w:tcBorders>
              <w:top w:val="nil"/>
              <w:left w:val="nil"/>
              <w:bottom w:val="single" w:color="000000" w:sz="4" w:space="0"/>
              <w:right w:val="single" w:color="000000" w:sz="4" w:space="0"/>
            </w:tcBorders>
            <w:shd w:val="clear" w:color="auto" w:fill="auto"/>
            <w:vAlign w:val="bottom"/>
          </w:tcPr>
          <w:p>
            <w:pPr>
              <w:rPr>
                <w:rFonts w:ascii="宋体" w:hAnsi="宋体" w:eastAsia="宋体" w:cs="Arial"/>
                <w:sz w:val="20"/>
                <w:szCs w:val="20"/>
              </w:rPr>
            </w:pPr>
            <w:r>
              <w:rPr>
                <w:rFonts w:hint="eastAsia" w:cs="Arial"/>
                <w:sz w:val="20"/>
                <w:szCs w:val="20"/>
              </w:rPr>
              <w:t>项目</w:t>
            </w:r>
          </w:p>
        </w:tc>
        <w:tc>
          <w:tcPr>
            <w:tcW w:w="284"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行次</w:t>
            </w:r>
          </w:p>
        </w:tc>
        <w:tc>
          <w:tcPr>
            <w:tcW w:w="494" w:type="pct"/>
            <w:vMerge w:val="restar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合计</w:t>
            </w:r>
          </w:p>
        </w:tc>
        <w:tc>
          <w:tcPr>
            <w:tcW w:w="494"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一般公共预算财政拨款</w:t>
            </w:r>
          </w:p>
        </w:tc>
        <w:tc>
          <w:tcPr>
            <w:tcW w:w="494" w:type="pct"/>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政府性基金预算财政拨款</w:t>
            </w:r>
          </w:p>
        </w:tc>
        <w:tc>
          <w:tcPr>
            <w:tcW w:w="529" w:type="pct"/>
            <w:gridSpan w:val="2"/>
            <w:vMerge w:val="restart"/>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trHeight w:val="600" w:hRule="atLeast"/>
        </w:trPr>
        <w:tc>
          <w:tcPr>
            <w:tcW w:w="964" w:type="pct"/>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71"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94"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076"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284"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94"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94"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494" w:type="pct"/>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529" w:type="pct"/>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栏次</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w:t>
            </w:r>
          </w:p>
        </w:tc>
        <w:tc>
          <w:tcPr>
            <w:tcW w:w="1076" w:type="pct"/>
            <w:tcBorders>
              <w:top w:val="nil"/>
              <w:left w:val="nil"/>
              <w:bottom w:val="single" w:color="000000" w:sz="4" w:space="0"/>
              <w:right w:val="single" w:color="000000" w:sz="4" w:space="0"/>
            </w:tcBorders>
            <w:shd w:val="clear" w:color="auto" w:fill="auto"/>
            <w:noWrap/>
            <w:vAlign w:val="bottom"/>
          </w:tcPr>
          <w:p>
            <w:pPr>
              <w:rPr>
                <w:rFonts w:ascii="宋体" w:hAnsi="宋体" w:eastAsia="宋体" w:cs="Arial"/>
                <w:sz w:val="20"/>
                <w:szCs w:val="20"/>
              </w:rPr>
            </w:pPr>
            <w:r>
              <w:rPr>
                <w:rFonts w:hint="eastAsia" w:cs="Arial"/>
                <w:sz w:val="20"/>
                <w:szCs w:val="20"/>
              </w:rPr>
              <w:t>栏次</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w:t>
            </w:r>
          </w:p>
        </w:tc>
        <w:tc>
          <w:tcPr>
            <w:tcW w:w="49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w:t>
            </w:r>
          </w:p>
        </w:tc>
        <w:tc>
          <w:tcPr>
            <w:tcW w:w="49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一、一般公共预算财政拨款</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370.28</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一、一般公共服务支出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165.78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165.78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二、政府性基金预算财政拨款</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二、外交支出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三、国有资本经营财政拨款</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三、国防支出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四、公共安全支出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五、教育支出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六、科学技术支出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七、文化旅游体育与传媒支出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八、社会保障和就业支出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41.75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41.75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九、卫生健康支出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十、节能环保支出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十一、城乡社区支出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十二、农林水支出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十三、交通运输支出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十四、资源勘探工业信息等支出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十五、商业服务业等支出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十六、金融支出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十七、援助其他地区支出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49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十八、自然资源海洋气象等支出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19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十九、住房保障支出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51.74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51.74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二十、粮油物资储备支出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二十一、国有资本经营预算支出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二十二、灾害防治及应急管理支出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二十三、其他支出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b/>
                <w:bCs/>
                <w:sz w:val="20"/>
                <w:szCs w:val="20"/>
              </w:rPr>
            </w:pPr>
            <w:r>
              <w:rPr>
                <w:rFonts w:hint="eastAsia" w:cs="Arial"/>
                <w:b/>
                <w:bCs/>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二十四、债务还本支出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二十五、债务付息支出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二十六、抗疫特别国债安排的支出</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b/>
                <w:bCs/>
                <w:sz w:val="20"/>
                <w:szCs w:val="20"/>
              </w:rPr>
            </w:pPr>
            <w:r>
              <w:rPr>
                <w:rFonts w:hint="eastAsia" w:cs="Arial"/>
                <w:b/>
                <w:bCs/>
                <w:sz w:val="20"/>
                <w:szCs w:val="20"/>
              </w:rPr>
              <w:t>本年收入合计</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370.28</w:t>
            </w:r>
          </w:p>
        </w:tc>
        <w:tc>
          <w:tcPr>
            <w:tcW w:w="1076"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b/>
                <w:bCs/>
                <w:sz w:val="20"/>
                <w:szCs w:val="20"/>
              </w:rPr>
            </w:pPr>
            <w:r>
              <w:rPr>
                <w:rFonts w:hint="eastAsia" w:cs="Arial"/>
                <w:b/>
                <w:bCs/>
                <w:sz w:val="20"/>
                <w:szCs w:val="20"/>
              </w:rPr>
              <w:t>本年支出合计</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59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279.27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279.27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年初财政拨款结转和结余</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0.52</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年末财政拨款结转和结余</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91.53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91.53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一般公共预算财政拨款</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29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0.52</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政府性基金预算财政拨款</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xml:space="preserve">  国有资本经营预算财政拨款</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sz w:val="20"/>
                <w:szCs w:val="20"/>
              </w:rPr>
            </w:pPr>
            <w:r>
              <w:rPr>
                <w:rFonts w:hint="eastAsia" w:cs="Arial"/>
                <w:sz w:val="20"/>
                <w:szCs w:val="20"/>
              </w:rPr>
              <w:t>　</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964"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总计</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32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370.80</w:t>
            </w:r>
          </w:p>
        </w:tc>
        <w:tc>
          <w:tcPr>
            <w:tcW w:w="1076" w:type="pct"/>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b/>
                <w:bCs/>
                <w:sz w:val="20"/>
                <w:szCs w:val="20"/>
              </w:rPr>
            </w:pPr>
            <w:r>
              <w:rPr>
                <w:rFonts w:hint="eastAsia" w:cs="Arial"/>
                <w:b/>
                <w:bCs/>
                <w:sz w:val="20"/>
                <w:szCs w:val="20"/>
              </w:rPr>
              <w:t>总计</w:t>
            </w:r>
          </w:p>
        </w:tc>
        <w:tc>
          <w:tcPr>
            <w:tcW w:w="284" w:type="pct"/>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Arial"/>
                <w:sz w:val="20"/>
                <w:szCs w:val="20"/>
              </w:rPr>
            </w:pPr>
            <w:r>
              <w:rPr>
                <w:rFonts w:hint="eastAsia" w:cs="Arial"/>
                <w:sz w:val="20"/>
                <w:szCs w:val="20"/>
              </w:rPr>
              <w:t>64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370.80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370.80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c>
          <w:tcPr>
            <w:tcW w:w="5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4471" w:type="pct"/>
            <w:gridSpan w:val="8"/>
            <w:tcBorders>
              <w:top w:val="nil"/>
              <w:left w:val="nil"/>
              <w:bottom w:val="nil"/>
              <w:right w:val="nil"/>
            </w:tcBorders>
            <w:shd w:val="clear" w:color="auto" w:fill="auto"/>
            <w:noWrap/>
            <w:vAlign w:val="center"/>
          </w:tcPr>
          <w:p>
            <w:pPr>
              <w:rPr>
                <w:rFonts w:ascii="宋体" w:hAnsi="宋体" w:eastAsia="宋体" w:cs="Arial"/>
                <w:sz w:val="20"/>
                <w:szCs w:val="20"/>
              </w:rPr>
            </w:pPr>
            <w:r>
              <w:rPr>
                <w:rFonts w:hint="eastAsia" w:cs="Arial"/>
                <w:sz w:val="20"/>
                <w:szCs w:val="20"/>
              </w:rPr>
              <w:t>注：本表反映单位本年度一般公共预算财政拨款、政府性基金预算财政拨款和国有资本经营预算财政拨款的总收支和年末结转结余情况。</w:t>
            </w:r>
          </w:p>
        </w:tc>
        <w:tc>
          <w:tcPr>
            <w:tcW w:w="529" w:type="pct"/>
            <w:gridSpan w:val="2"/>
            <w:tcBorders>
              <w:top w:val="nil"/>
              <w:left w:val="nil"/>
              <w:bottom w:val="nil"/>
              <w:right w:val="nil"/>
            </w:tcBorders>
            <w:shd w:val="clear" w:color="auto" w:fill="auto"/>
            <w:noWrap/>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436" w:type="pct"/>
          <w:trHeight w:val="585" w:hRule="atLeast"/>
        </w:trPr>
        <w:tc>
          <w:tcPr>
            <w:tcW w:w="4564" w:type="pct"/>
            <w:gridSpan w:val="9"/>
            <w:tcBorders>
              <w:top w:val="nil"/>
              <w:left w:val="nil"/>
              <w:bottom w:val="nil"/>
              <w:right w:val="nil"/>
            </w:tcBorders>
            <w:shd w:val="clear" w:color="auto" w:fill="auto"/>
            <w:vAlign w:val="center"/>
          </w:tcPr>
          <w:tbl>
            <w:tblPr>
              <w:tblStyle w:val="8"/>
              <w:tblW w:w="15212" w:type="dxa"/>
              <w:tblInd w:w="0" w:type="dxa"/>
              <w:tblLayout w:type="autofit"/>
              <w:tblCellMar>
                <w:top w:w="0" w:type="dxa"/>
                <w:left w:w="108" w:type="dxa"/>
                <w:bottom w:w="0" w:type="dxa"/>
                <w:right w:w="108" w:type="dxa"/>
              </w:tblCellMar>
            </w:tblPr>
            <w:tblGrid>
              <w:gridCol w:w="14244"/>
            </w:tblGrid>
            <w:tr>
              <w:tblPrEx>
                <w:tblCellMar>
                  <w:top w:w="0" w:type="dxa"/>
                  <w:left w:w="108" w:type="dxa"/>
                  <w:bottom w:w="0" w:type="dxa"/>
                  <w:right w:w="108" w:type="dxa"/>
                </w:tblCellMar>
              </w:tblPrEx>
              <w:trPr>
                <w:trHeight w:val="300" w:hRule="atLeast"/>
              </w:trPr>
              <w:tc>
                <w:tcPr>
                  <w:tcW w:w="15212" w:type="dxa"/>
                  <w:tcBorders>
                    <w:top w:val="nil"/>
                    <w:left w:val="nil"/>
                    <w:bottom w:val="nil"/>
                    <w:right w:val="nil"/>
                  </w:tcBorders>
                  <w:shd w:val="clear" w:color="auto" w:fill="FFFFFF"/>
                  <w:noWrap/>
                  <w:vAlign w:val="center"/>
                </w:tcPr>
                <w:p/>
                <w:tbl>
                  <w:tblPr>
                    <w:tblStyle w:val="8"/>
                    <w:tblW w:w="14107" w:type="dxa"/>
                    <w:tblInd w:w="5" w:type="dxa"/>
                    <w:tblLayout w:type="autofit"/>
                    <w:tblCellMar>
                      <w:top w:w="0" w:type="dxa"/>
                      <w:left w:w="108" w:type="dxa"/>
                      <w:bottom w:w="0" w:type="dxa"/>
                      <w:right w:w="108" w:type="dxa"/>
                    </w:tblCellMar>
                  </w:tblPr>
                  <w:tblGrid>
                    <w:gridCol w:w="12500"/>
                    <w:gridCol w:w="1523"/>
                  </w:tblGrid>
                  <w:tr>
                    <w:tblPrEx>
                      <w:tblCellMar>
                        <w:top w:w="0" w:type="dxa"/>
                        <w:left w:w="108" w:type="dxa"/>
                        <w:bottom w:w="0" w:type="dxa"/>
                        <w:right w:w="108" w:type="dxa"/>
                      </w:tblCellMar>
                    </w:tblPrEx>
                    <w:trPr>
                      <w:trHeight w:val="300" w:hRule="atLeast"/>
                    </w:trPr>
                    <w:tc>
                      <w:tcPr>
                        <w:tcW w:w="12576"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0"/>
                            <w:szCs w:val="20"/>
                          </w:rPr>
                        </w:pPr>
                        <w:bookmarkStart w:id="0" w:name="RANGE!A1:I22"/>
                        <w:bookmarkEnd w:id="0"/>
                        <w:bookmarkStart w:id="1" w:name="RANGE!A1:F16"/>
                      </w:p>
                    </w:tc>
                    <w:tc>
                      <w:tcPr>
                        <w:tcW w:w="1531" w:type="dxa"/>
                        <w:tcBorders>
                          <w:top w:val="nil"/>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jc w:val="left"/>
                    <w:rPr>
                      <w:rFonts w:ascii="宋体" w:hAnsi="宋体" w:eastAsia="宋体" w:cs="宋体"/>
                      <w:color w:val="000000"/>
                      <w:sz w:val="20"/>
                      <w:szCs w:val="20"/>
                    </w:rPr>
                  </w:pPr>
                </w:p>
              </w:tc>
            </w:tr>
          </w:tbl>
          <w:p>
            <w:pPr>
              <w:widowControl/>
              <w:jc w:val="left"/>
              <w:rPr>
                <w:rFonts w:ascii="宋体" w:hAnsi="宋体" w:eastAsia="宋体" w:cs="宋体"/>
                <w:kern w:val="0"/>
                <w:sz w:val="24"/>
                <w:szCs w:val="24"/>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8"/>
        <w:tblW w:w="15571" w:type="dxa"/>
        <w:tblInd w:w="93" w:type="dxa"/>
        <w:tblLayout w:type="autofit"/>
        <w:tblCellMar>
          <w:top w:w="0" w:type="dxa"/>
          <w:left w:w="108" w:type="dxa"/>
          <w:bottom w:w="0" w:type="dxa"/>
          <w:right w:w="108" w:type="dxa"/>
        </w:tblCellMar>
      </w:tblPr>
      <w:tblGrid>
        <w:gridCol w:w="1624"/>
        <w:gridCol w:w="1623"/>
        <w:gridCol w:w="1623"/>
        <w:gridCol w:w="4577"/>
        <w:gridCol w:w="1932"/>
        <w:gridCol w:w="1932"/>
        <w:gridCol w:w="2260"/>
      </w:tblGrid>
      <w:tr>
        <w:tblPrEx>
          <w:tblCellMar>
            <w:top w:w="0" w:type="dxa"/>
            <w:left w:w="108" w:type="dxa"/>
            <w:bottom w:w="0" w:type="dxa"/>
            <w:right w:w="108" w:type="dxa"/>
          </w:tblCellMar>
        </w:tblPrEx>
        <w:trPr>
          <w:trHeight w:val="375" w:hRule="atLeast"/>
        </w:trPr>
        <w:tc>
          <w:tcPr>
            <w:tcW w:w="162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2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2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8441" w:type="dxa"/>
            <w:gridSpan w:val="3"/>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 xml:space="preserve">     一般公共预算财政拨款支出决算表</w:t>
            </w:r>
          </w:p>
        </w:tc>
        <w:tc>
          <w:tcPr>
            <w:tcW w:w="2260" w:type="dxa"/>
            <w:tcBorders>
              <w:top w:val="nil"/>
              <w:left w:val="nil"/>
              <w:bottom w:val="nil"/>
              <w:right w:val="single" w:color="808080" w:sz="4" w:space="0"/>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1624"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2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623"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577"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32"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932"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60"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300" w:hRule="atLeast"/>
        </w:trPr>
        <w:tc>
          <w:tcPr>
            <w:tcW w:w="4870" w:type="dxa"/>
            <w:gridSpan w:val="3"/>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单位：湖南省外事侨务办公室出国（境）服务中心</w:t>
            </w:r>
          </w:p>
        </w:tc>
        <w:tc>
          <w:tcPr>
            <w:tcW w:w="4577" w:type="dxa"/>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w:t>
            </w:r>
          </w:p>
        </w:tc>
        <w:tc>
          <w:tcPr>
            <w:tcW w:w="1932"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32"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94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12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12" w:hRule="atLeast"/>
        </w:trPr>
        <w:tc>
          <w:tcPr>
            <w:tcW w:w="487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457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9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93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12" w:hRule="atLeast"/>
        </w:trPr>
        <w:tc>
          <w:tcPr>
            <w:tcW w:w="487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5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487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57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9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94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00" w:hRule="atLeast"/>
        </w:trPr>
        <w:tc>
          <w:tcPr>
            <w:tcW w:w="944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279.27</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279.27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一般公共服务支出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165.78</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165.78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20103</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政府办公厅（室）及相关机构事务</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0.52</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2010350</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0.52</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20131</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党委办公厅（室）及相关机构事务</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165.26</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165.26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2013150</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事业运行</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165.26</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165.26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41.75</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41.75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41.75</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41.75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35.00</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2080506</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机关事业单位职业年金缴费支出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6.75</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20.00</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20.00</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2101102</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事业单位医疗</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51.74</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51.74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51.74</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51.74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487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457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51.74</w:t>
            </w:r>
          </w:p>
        </w:tc>
        <w:tc>
          <w:tcPr>
            <w:tcW w:w="19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51.74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5571" w:type="dxa"/>
            <w:gridSpan w:val="7"/>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注：本表反映单位本年度一般公共预算财政拨款支出情况。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8"/>
        <w:tblW w:w="4937" w:type="pct"/>
        <w:tblInd w:w="0" w:type="dxa"/>
        <w:tblLayout w:type="fixed"/>
        <w:tblCellMar>
          <w:top w:w="0" w:type="dxa"/>
          <w:left w:w="108" w:type="dxa"/>
          <w:bottom w:w="0" w:type="dxa"/>
          <w:right w:w="108" w:type="dxa"/>
        </w:tblCellMar>
      </w:tblPr>
      <w:tblGrid>
        <w:gridCol w:w="699"/>
        <w:gridCol w:w="392"/>
        <w:gridCol w:w="2729"/>
        <w:gridCol w:w="543"/>
        <w:gridCol w:w="848"/>
        <w:gridCol w:w="629"/>
        <w:gridCol w:w="503"/>
        <w:gridCol w:w="1653"/>
        <w:gridCol w:w="759"/>
        <w:gridCol w:w="558"/>
        <w:gridCol w:w="432"/>
        <w:gridCol w:w="271"/>
        <w:gridCol w:w="1147"/>
        <w:gridCol w:w="2750"/>
        <w:gridCol w:w="86"/>
        <w:gridCol w:w="1418"/>
      </w:tblGrid>
      <w:tr>
        <w:tblPrEx>
          <w:tblCellMar>
            <w:top w:w="0" w:type="dxa"/>
            <w:left w:w="108" w:type="dxa"/>
            <w:bottom w:w="0" w:type="dxa"/>
            <w:right w:w="108" w:type="dxa"/>
          </w:tblCellMar>
        </w:tblPrEx>
        <w:trPr>
          <w:trHeight w:val="375" w:hRule="atLeast"/>
        </w:trPr>
        <w:tc>
          <w:tcPr>
            <w:tcW w:w="227" w:type="pct"/>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p>
        </w:tc>
        <w:tc>
          <w:tcPr>
            <w:tcW w:w="1012"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09" w:type="pct"/>
            <w:gridSpan w:val="9"/>
            <w:tcBorders>
              <w:top w:val="nil"/>
              <w:left w:val="nil"/>
              <w:bottom w:val="nil"/>
              <w:right w:val="nil"/>
            </w:tcBorders>
            <w:shd w:val="clear" w:color="auto" w:fill="auto"/>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一般公共预算财政拨款基本支出决算明细表</w:t>
            </w:r>
          </w:p>
        </w:tc>
        <w:tc>
          <w:tcPr>
            <w:tcW w:w="1264"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r>
      <w:tr>
        <w:tblPrEx>
          <w:tblCellMar>
            <w:top w:w="0" w:type="dxa"/>
            <w:left w:w="108" w:type="dxa"/>
            <w:bottom w:w="0" w:type="dxa"/>
            <w:right w:w="108" w:type="dxa"/>
          </w:tblCellMar>
        </w:tblPrEx>
        <w:trPr>
          <w:trHeight w:val="300" w:hRule="atLeast"/>
        </w:trPr>
        <w:tc>
          <w:tcPr>
            <w:tcW w:w="227" w:type="pct"/>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p>
        </w:tc>
        <w:tc>
          <w:tcPr>
            <w:tcW w:w="1012"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51"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99"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7"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64"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r>
      <w:tr>
        <w:tblPrEx>
          <w:tblCellMar>
            <w:top w:w="0" w:type="dxa"/>
            <w:left w:w="108" w:type="dxa"/>
            <w:bottom w:w="0" w:type="dxa"/>
            <w:right w:w="108" w:type="dxa"/>
          </w:tblCellMar>
        </w:tblPrEx>
        <w:trPr>
          <w:trHeight w:val="300" w:hRule="atLeast"/>
        </w:trPr>
        <w:tc>
          <w:tcPr>
            <w:tcW w:w="227" w:type="pct"/>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p>
        </w:tc>
        <w:tc>
          <w:tcPr>
            <w:tcW w:w="1012"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51"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99"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7"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64"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r>
      <w:tr>
        <w:tblPrEx>
          <w:tblCellMar>
            <w:top w:w="0" w:type="dxa"/>
            <w:left w:w="108" w:type="dxa"/>
            <w:bottom w:w="0" w:type="dxa"/>
            <w:right w:w="108" w:type="dxa"/>
          </w:tblCellMar>
        </w:tblPrEx>
        <w:trPr>
          <w:trHeight w:val="300" w:hRule="atLeast"/>
        </w:trPr>
        <w:tc>
          <w:tcPr>
            <w:tcW w:w="227" w:type="pct"/>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p>
        </w:tc>
        <w:tc>
          <w:tcPr>
            <w:tcW w:w="1012"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51"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99"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7"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64"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r>
      <w:tr>
        <w:tblPrEx>
          <w:tblCellMar>
            <w:top w:w="0" w:type="dxa"/>
            <w:left w:w="108" w:type="dxa"/>
            <w:bottom w:w="0" w:type="dxa"/>
            <w:right w:w="108" w:type="dxa"/>
          </w:tblCellMar>
        </w:tblPrEx>
        <w:trPr>
          <w:trHeight w:val="300" w:hRule="atLeast"/>
        </w:trPr>
        <w:tc>
          <w:tcPr>
            <w:tcW w:w="227"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012"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51"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04" w:type="pct"/>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699"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27"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28"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264" w:type="pct"/>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488" w:type="pct"/>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公开06表</w:t>
            </w:r>
          </w:p>
        </w:tc>
      </w:tr>
      <w:tr>
        <w:tblPrEx>
          <w:tblCellMar>
            <w:top w:w="0" w:type="dxa"/>
            <w:left w:w="108" w:type="dxa"/>
            <w:bottom w:w="0" w:type="dxa"/>
            <w:right w:w="108" w:type="dxa"/>
          </w:tblCellMar>
        </w:tblPrEx>
        <w:trPr>
          <w:trHeight w:val="300" w:hRule="atLeast"/>
        </w:trPr>
        <w:tc>
          <w:tcPr>
            <w:tcW w:w="1690" w:type="pct"/>
            <w:gridSpan w:val="5"/>
            <w:tcBorders>
              <w:top w:val="nil"/>
              <w:left w:val="nil"/>
              <w:bottom w:val="single" w:color="808080" w:sz="4" w:space="0"/>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单位：湖南省外事侨务办公室出国（境）服务中心</w:t>
            </w:r>
          </w:p>
        </w:tc>
        <w:tc>
          <w:tcPr>
            <w:tcW w:w="204" w:type="pct"/>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99" w:type="pct"/>
            <w:gridSpan w:val="2"/>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　</w:t>
            </w:r>
          </w:p>
        </w:tc>
        <w:tc>
          <w:tcPr>
            <w:tcW w:w="427" w:type="pct"/>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8" w:type="pct"/>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64" w:type="pct"/>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88" w:type="pct"/>
            <w:gridSpan w:val="2"/>
            <w:tcBorders>
              <w:top w:val="nil"/>
              <w:left w:val="nil"/>
              <w:bottom w:val="single" w:color="808080" w:sz="4" w:space="0"/>
              <w:right w:val="nil"/>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1690" w:type="pct"/>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3310" w:type="pct"/>
            <w:gridSpan w:val="11"/>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354"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1061" w:type="pct"/>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7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367" w:type="pct"/>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782" w:type="pct"/>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321" w:type="pct"/>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460" w:type="pct"/>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920" w:type="pct"/>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460"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354"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61"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67"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82"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21"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60"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20" w:type="pct"/>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60"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275.80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70.63</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1.38</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0.13</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74.93</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6.75</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0.73</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0.30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51.74</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0.36</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16.75</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0.08</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0.23</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0.01</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3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78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321"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0.06</w:t>
            </w:r>
          </w:p>
        </w:tc>
        <w:tc>
          <w:tcPr>
            <w:tcW w:w="46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20"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1415" w:type="pct"/>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27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275.80</w:t>
            </w:r>
          </w:p>
        </w:tc>
        <w:tc>
          <w:tcPr>
            <w:tcW w:w="2850" w:type="pct"/>
            <w:gridSpan w:val="10"/>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3.47</w:t>
            </w:r>
          </w:p>
        </w:tc>
      </w:tr>
      <w:tr>
        <w:tblPrEx>
          <w:tblCellMar>
            <w:top w:w="0" w:type="dxa"/>
            <w:left w:w="108" w:type="dxa"/>
            <w:bottom w:w="0" w:type="dxa"/>
            <w:right w:w="108" w:type="dxa"/>
          </w:tblCellMar>
        </w:tblPrEx>
        <w:trPr>
          <w:trHeight w:val="300" w:hRule="atLeast"/>
        </w:trPr>
        <w:tc>
          <w:tcPr>
            <w:tcW w:w="5000" w:type="pct"/>
            <w:gridSpan w:val="1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注：本表反映单位本年度一般公共预算财政拨款基本支出明细情况。</w:t>
            </w:r>
          </w:p>
        </w:tc>
      </w:tr>
    </w:tbl>
    <w:p>
      <w:pPr>
        <w:widowControl/>
        <w:jc w:val="center"/>
        <w:rPr>
          <w:rFonts w:ascii="Times New Roman" w:hAnsi="Times New Roman" w:eastAsia="方正小标宋_GBK" w:cs="Times New Roman"/>
          <w:kern w:val="0"/>
          <w:sz w:val="36"/>
          <w:szCs w:val="36"/>
        </w:rPr>
      </w:pPr>
    </w:p>
    <w:bookmarkEnd w:id="1"/>
    <w:tbl>
      <w:tblPr>
        <w:tblStyle w:val="8"/>
        <w:tblW w:w="15614" w:type="dxa"/>
        <w:jc w:val="center"/>
        <w:tblLayout w:type="fixed"/>
        <w:tblCellMar>
          <w:top w:w="0" w:type="dxa"/>
          <w:left w:w="108" w:type="dxa"/>
          <w:bottom w:w="0" w:type="dxa"/>
          <w:right w:w="108" w:type="dxa"/>
        </w:tblCellMar>
      </w:tblPr>
      <w:tblGrid>
        <w:gridCol w:w="15614"/>
      </w:tblGrid>
      <w:tr>
        <w:tblPrEx>
          <w:tblCellMar>
            <w:top w:w="0" w:type="dxa"/>
            <w:left w:w="108" w:type="dxa"/>
            <w:bottom w:w="0" w:type="dxa"/>
            <w:right w:w="108" w:type="dxa"/>
          </w:tblCellMar>
        </w:tblPrEx>
        <w:trPr>
          <w:trHeight w:val="645" w:hRule="atLeast"/>
          <w:jc w:val="center"/>
        </w:trPr>
        <w:tc>
          <w:tcPr>
            <w:tcW w:w="15614" w:type="dxa"/>
            <w:tcBorders>
              <w:top w:val="nil"/>
              <w:left w:val="nil"/>
              <w:bottom w:val="nil"/>
              <w:right w:val="nil"/>
            </w:tcBorders>
            <w:shd w:val="clear" w:color="auto" w:fill="auto"/>
            <w:vAlign w:val="center"/>
          </w:tcPr>
          <w:tbl>
            <w:tblPr>
              <w:tblStyle w:val="8"/>
              <w:tblW w:w="15305" w:type="dxa"/>
              <w:tblInd w:w="0" w:type="dxa"/>
              <w:tblLayout w:type="fixed"/>
              <w:tblCellMar>
                <w:top w:w="0" w:type="dxa"/>
                <w:left w:w="108" w:type="dxa"/>
                <w:bottom w:w="0" w:type="dxa"/>
                <w:right w:w="108" w:type="dxa"/>
              </w:tblCellMar>
            </w:tblPr>
            <w:tblGrid>
              <w:gridCol w:w="15305"/>
            </w:tblGrid>
            <w:tr>
              <w:tblPrEx>
                <w:tblCellMar>
                  <w:top w:w="0" w:type="dxa"/>
                  <w:left w:w="108" w:type="dxa"/>
                  <w:bottom w:w="0" w:type="dxa"/>
                  <w:right w:w="108" w:type="dxa"/>
                </w:tblCellMar>
              </w:tblPrEx>
              <w:trPr>
                <w:trHeight w:val="300" w:hRule="atLeast"/>
              </w:trPr>
              <w:tc>
                <w:tcPr>
                  <w:tcW w:w="15305"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kern w:val="0"/>
                      <w:sz w:val="20"/>
                      <w:szCs w:val="20"/>
                    </w:rPr>
                  </w:pPr>
                </w:p>
              </w:tc>
            </w:tr>
          </w:tbl>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7133" w:type="dxa"/>
        <w:tblInd w:w="0" w:type="dxa"/>
        <w:tblLayout w:type="autofit"/>
        <w:tblCellMar>
          <w:top w:w="0" w:type="dxa"/>
          <w:left w:w="108" w:type="dxa"/>
          <w:bottom w:w="0" w:type="dxa"/>
          <w:right w:w="108" w:type="dxa"/>
        </w:tblCellMar>
      </w:tblPr>
      <w:tblGrid>
        <w:gridCol w:w="93"/>
        <w:gridCol w:w="1057"/>
        <w:gridCol w:w="1152"/>
        <w:gridCol w:w="1149"/>
        <w:gridCol w:w="1168"/>
        <w:gridCol w:w="571"/>
        <w:gridCol w:w="1174"/>
        <w:gridCol w:w="1555"/>
        <w:gridCol w:w="1274"/>
        <w:gridCol w:w="1121"/>
        <w:gridCol w:w="1268"/>
        <w:gridCol w:w="150"/>
        <w:gridCol w:w="600"/>
        <w:gridCol w:w="534"/>
        <w:gridCol w:w="37"/>
        <w:gridCol w:w="571"/>
        <w:gridCol w:w="575"/>
        <w:gridCol w:w="1565"/>
        <w:gridCol w:w="1519"/>
      </w:tblGrid>
      <w:tr>
        <w:tblPrEx>
          <w:tblCellMar>
            <w:top w:w="0" w:type="dxa"/>
            <w:left w:w="108" w:type="dxa"/>
            <w:bottom w:w="0" w:type="dxa"/>
            <w:right w:w="108" w:type="dxa"/>
          </w:tblCellMar>
        </w:tblPrEx>
        <w:trPr>
          <w:gridBefore w:val="1"/>
          <w:wBefore w:w="93" w:type="dxa"/>
          <w:trHeight w:val="375" w:hRule="atLeast"/>
        </w:trPr>
        <w:tc>
          <w:tcPr>
            <w:tcW w:w="17040" w:type="dxa"/>
            <w:gridSpan w:val="18"/>
            <w:tcBorders>
              <w:top w:val="nil"/>
              <w:left w:val="nil"/>
              <w:bottom w:val="nil"/>
              <w:right w:val="single" w:color="808080" w:sz="4" w:space="0"/>
            </w:tcBorders>
            <w:shd w:val="clear" w:color="auto" w:fill="auto"/>
            <w:noWrap/>
            <w:vAlign w:val="center"/>
          </w:tcPr>
          <w:p>
            <w:pPr>
              <w:jc w:val="center"/>
              <w:rPr>
                <w:rFonts w:ascii="黑体" w:hAnsi="黑体" w:eastAsia="黑体" w:cs="Arial"/>
                <w:sz w:val="30"/>
                <w:szCs w:val="30"/>
              </w:rPr>
            </w:pPr>
            <w:r>
              <w:rPr>
                <w:rFonts w:hint="eastAsia" w:ascii="黑体" w:hAnsi="黑体" w:eastAsia="黑体" w:cs="Arial"/>
                <w:sz w:val="30"/>
                <w:szCs w:val="30"/>
              </w:rPr>
              <w:t>一般公共预算财政拨款“三公”经费支出决算表</w:t>
            </w:r>
          </w:p>
        </w:tc>
      </w:tr>
      <w:tr>
        <w:tblPrEx>
          <w:tblCellMar>
            <w:top w:w="0" w:type="dxa"/>
            <w:left w:w="108" w:type="dxa"/>
            <w:bottom w:w="0" w:type="dxa"/>
            <w:right w:w="108" w:type="dxa"/>
          </w:tblCellMar>
        </w:tblPrEx>
        <w:trPr>
          <w:gridAfter w:val="1"/>
          <w:wAfter w:w="1519" w:type="dxa"/>
          <w:trHeight w:val="375" w:hRule="atLeast"/>
        </w:trPr>
        <w:tc>
          <w:tcPr>
            <w:tcW w:w="1150"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52"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4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68"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729" w:type="dxa"/>
            <w:gridSpan w:val="2"/>
            <w:tcBorders>
              <w:top w:val="nil"/>
              <w:left w:val="nil"/>
              <w:bottom w:val="nil"/>
              <w:right w:val="nil"/>
            </w:tcBorders>
            <w:shd w:val="clear" w:color="auto" w:fill="auto"/>
            <w:noWrap/>
            <w:vAlign w:val="center"/>
          </w:tcPr>
          <w:p>
            <w:pPr>
              <w:jc w:val="center"/>
              <w:rPr>
                <w:rFonts w:ascii="黑体" w:hAnsi="黑体" w:eastAsia="黑体" w:cs="Arial"/>
                <w:sz w:val="30"/>
                <w:szCs w:val="30"/>
              </w:rPr>
            </w:pPr>
          </w:p>
        </w:tc>
        <w:tc>
          <w:tcPr>
            <w:tcW w:w="3663" w:type="dxa"/>
            <w:gridSpan w:val="3"/>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50"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5"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565" w:type="dxa"/>
            <w:tcBorders>
              <w:top w:val="nil"/>
              <w:left w:val="nil"/>
              <w:bottom w:val="nil"/>
              <w:right w:val="single" w:color="808080" w:sz="4" w:space="0"/>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gridAfter w:val="1"/>
          <w:wAfter w:w="1519" w:type="dxa"/>
          <w:trHeight w:val="300" w:hRule="atLeast"/>
        </w:trPr>
        <w:tc>
          <w:tcPr>
            <w:tcW w:w="2302" w:type="dxa"/>
            <w:gridSpan w:val="3"/>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预算代码：401004</w:t>
            </w:r>
          </w:p>
        </w:tc>
        <w:tc>
          <w:tcPr>
            <w:tcW w:w="1149"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168"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2729"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3663" w:type="dxa"/>
            <w:gridSpan w:val="3"/>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750"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dxa"/>
            <w:gridSpan w:val="2"/>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1"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575" w:type="dxa"/>
            <w:tcBorders>
              <w:top w:val="nil"/>
              <w:left w:val="nil"/>
              <w:bottom w:val="nil"/>
              <w:right w:val="nil"/>
            </w:tcBorders>
            <w:shd w:val="clear" w:color="auto" w:fill="auto"/>
            <w:noWrap/>
            <w:vAlign w:val="center"/>
          </w:tcPr>
          <w:p>
            <w:pPr>
              <w:widowControl/>
              <w:jc w:val="left"/>
              <w:rPr>
                <w:rFonts w:ascii="宋体" w:hAnsi="宋体" w:eastAsia="宋体" w:cs="Arial"/>
                <w:kern w:val="0"/>
                <w:sz w:val="18"/>
                <w:szCs w:val="18"/>
              </w:rPr>
            </w:pPr>
          </w:p>
        </w:tc>
        <w:tc>
          <w:tcPr>
            <w:tcW w:w="1565" w:type="dxa"/>
            <w:tcBorders>
              <w:top w:val="nil"/>
              <w:left w:val="nil"/>
              <w:bottom w:val="nil"/>
              <w:right w:val="single" w:color="80808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公开07表</w:t>
            </w:r>
          </w:p>
        </w:tc>
      </w:tr>
      <w:tr>
        <w:tblPrEx>
          <w:tblCellMar>
            <w:top w:w="0" w:type="dxa"/>
            <w:left w:w="108" w:type="dxa"/>
            <w:bottom w:w="0" w:type="dxa"/>
            <w:right w:w="108" w:type="dxa"/>
          </w:tblCellMar>
        </w:tblPrEx>
        <w:trPr>
          <w:gridAfter w:val="1"/>
          <w:wAfter w:w="1519" w:type="dxa"/>
          <w:trHeight w:val="300" w:hRule="atLeast"/>
        </w:trPr>
        <w:tc>
          <w:tcPr>
            <w:tcW w:w="4619" w:type="dxa"/>
            <w:gridSpan w:val="5"/>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部门：湖南省外事侨务办公室出国（境）服务中心</w:t>
            </w:r>
          </w:p>
        </w:tc>
        <w:tc>
          <w:tcPr>
            <w:tcW w:w="571"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29" w:type="dxa"/>
            <w:gridSpan w:val="2"/>
            <w:tcBorders>
              <w:top w:val="nil"/>
              <w:left w:val="nil"/>
              <w:bottom w:val="single" w:color="808080" w:sz="4" w:space="0"/>
              <w:right w:val="nil"/>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制表日期：2022年3月</w:t>
            </w:r>
          </w:p>
        </w:tc>
        <w:tc>
          <w:tcPr>
            <w:tcW w:w="3663" w:type="dxa"/>
            <w:gridSpan w:val="3"/>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50" w:type="dxa"/>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71" w:type="dxa"/>
            <w:gridSpan w:val="2"/>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71"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75" w:type="dxa"/>
            <w:tcBorders>
              <w:top w:val="nil"/>
              <w:left w:val="nil"/>
              <w:bottom w:val="single" w:color="808080" w:sz="4" w:space="0"/>
              <w:right w:val="nil"/>
            </w:tcBorders>
            <w:shd w:val="clear" w:color="auto" w:fill="auto"/>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65" w:type="dxa"/>
            <w:tcBorders>
              <w:top w:val="nil"/>
              <w:left w:val="nil"/>
              <w:bottom w:val="single" w:color="808080" w:sz="4" w:space="0"/>
              <w:right w:val="single" w:color="80808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gridAfter w:val="1"/>
          <w:wAfter w:w="1519" w:type="dxa"/>
          <w:trHeight w:val="300" w:hRule="atLeast"/>
        </w:trPr>
        <w:tc>
          <w:tcPr>
            <w:tcW w:w="7919" w:type="dxa"/>
            <w:gridSpan w:val="8"/>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7695" w:type="dxa"/>
            <w:gridSpan w:val="10"/>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gridAfter w:val="1"/>
          <w:wAfter w:w="1519" w:type="dxa"/>
          <w:trHeight w:val="300" w:hRule="atLeast"/>
        </w:trPr>
        <w:tc>
          <w:tcPr>
            <w:tcW w:w="115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15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406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5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127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12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735" w:type="dxa"/>
            <w:gridSpan w:val="7"/>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公务用车购置及运行费</w:t>
            </w:r>
          </w:p>
        </w:tc>
        <w:tc>
          <w:tcPr>
            <w:tcW w:w="156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gridAfter w:val="1"/>
          <w:wAfter w:w="1519" w:type="dxa"/>
          <w:trHeight w:val="600" w:hRule="atLeast"/>
        </w:trPr>
        <w:tc>
          <w:tcPr>
            <w:tcW w:w="1150"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1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55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7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2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18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公务用车运行费</w:t>
            </w:r>
          </w:p>
        </w:tc>
        <w:tc>
          <w:tcPr>
            <w:tcW w:w="156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After w:val="1"/>
          <w:wAfter w:w="1519" w:type="dxa"/>
          <w:trHeight w:val="300" w:hRule="atLeast"/>
        </w:trPr>
        <w:tc>
          <w:tcPr>
            <w:tcW w:w="1150"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1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1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74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55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2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1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41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183"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5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gridAfter w:val="1"/>
          <w:wAfter w:w="1519" w:type="dxa"/>
          <w:trHeight w:val="300" w:hRule="atLeast"/>
        </w:trPr>
        <w:tc>
          <w:tcPr>
            <w:tcW w:w="11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1.50</w:t>
            </w:r>
          </w:p>
        </w:tc>
        <w:tc>
          <w:tcPr>
            <w:tcW w:w="11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1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74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155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0.50</w:t>
            </w:r>
          </w:p>
        </w:tc>
        <w:tc>
          <w:tcPr>
            <w:tcW w:w="12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0.08</w:t>
            </w:r>
          </w:p>
        </w:tc>
        <w:tc>
          <w:tcPr>
            <w:tcW w:w="11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8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0.08</w:t>
            </w:r>
          </w:p>
        </w:tc>
      </w:tr>
      <w:tr>
        <w:tblPrEx>
          <w:tblCellMar>
            <w:top w:w="0" w:type="dxa"/>
            <w:left w:w="108" w:type="dxa"/>
            <w:bottom w:w="0" w:type="dxa"/>
            <w:right w:w="108" w:type="dxa"/>
          </w:tblCellMar>
        </w:tblPrEx>
        <w:trPr>
          <w:gridAfter w:val="1"/>
          <w:wAfter w:w="1519" w:type="dxa"/>
          <w:trHeight w:val="600" w:hRule="atLeast"/>
        </w:trPr>
        <w:tc>
          <w:tcPr>
            <w:tcW w:w="15614" w:type="dxa"/>
            <w:gridSpan w:val="18"/>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bl>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r>
        <w:rPr>
          <w:rFonts w:hint="eastAsia" w:ascii="Times New Roman" w:hAnsi="Times New Roman" w:eastAsia="仿宋_GB2312" w:cs="Times New Roman"/>
          <w:color w:val="000000"/>
          <w:kern w:val="0"/>
          <w:szCs w:val="21"/>
        </w:rPr>
        <w:t xml:space="preserve">    </w:t>
      </w:r>
    </w:p>
    <w:p>
      <w:pPr>
        <w:widowControl/>
        <w:wordWrap w:val="0"/>
        <w:ind w:firstLine="630" w:firstLineChars="3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 xml:space="preserve">湖南省外事侨务办公室出国（境）服务中心     2021年度                                                                    </w:t>
      </w: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w:t>
      </w:r>
      <w:r>
        <w:rPr>
          <w:rFonts w:hint="eastAsia" w:ascii="Times New Roman" w:hAnsi="Times New Roman" w:eastAsia="仿宋_GB2312" w:cs="Times New Roman"/>
          <w:kern w:val="0"/>
          <w:szCs w:val="21"/>
        </w:rPr>
        <w:t>单位</w:t>
      </w:r>
      <w:r>
        <w:rPr>
          <w:rFonts w:ascii="Times New Roman" w:hAnsi="Times New Roman" w:eastAsia="仿宋_GB2312" w:cs="Times New Roman"/>
          <w:kern w:val="0"/>
          <w:szCs w:val="21"/>
        </w:rPr>
        <w:t>本年度政府性基金预算财政拨款收入、支出及结转和结余情况</w:t>
      </w:r>
    </w:p>
    <w:p>
      <w:pPr>
        <w:widowControl/>
        <w:ind w:firstLine="840" w:firstLineChars="4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湖南省外事侨务办公室出国（境）服务中心没有政府性基金收入，也没有使用政府性基金安排的支出，故本表无数据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2709"/>
        <w:gridCol w:w="1646"/>
        <w:gridCol w:w="240"/>
        <w:gridCol w:w="240"/>
        <w:gridCol w:w="1225"/>
        <w:gridCol w:w="1326"/>
        <w:gridCol w:w="1294"/>
        <w:gridCol w:w="1683"/>
        <w:gridCol w:w="3827"/>
      </w:tblGrid>
      <w:tr>
        <w:tblPrEx>
          <w:tblCellMar>
            <w:top w:w="0" w:type="dxa"/>
            <w:left w:w="108" w:type="dxa"/>
            <w:bottom w:w="0" w:type="dxa"/>
            <w:right w:w="108" w:type="dxa"/>
          </w:tblCellMar>
        </w:tblPrEx>
        <w:trPr>
          <w:gridAfter w:val="1"/>
          <w:wAfter w:w="3827" w:type="dxa"/>
          <w:trHeight w:val="375" w:hRule="atLeast"/>
        </w:trPr>
        <w:tc>
          <w:tcPr>
            <w:tcW w:w="10363" w:type="dxa"/>
            <w:gridSpan w:val="8"/>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 xml:space="preserve">                  国有资本经营预算财政拨款支出决算表</w:t>
            </w:r>
          </w:p>
        </w:tc>
      </w:tr>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rPr>
                <w:rFonts w:ascii="华文中宋" w:hAnsi="华文中宋" w:eastAsia="华文中宋" w:cs="宋体"/>
                <w:kern w:val="0"/>
                <w:sz w:val="32"/>
                <w:szCs w:val="32"/>
              </w:rPr>
            </w:pPr>
          </w:p>
        </w:tc>
      </w:tr>
      <w:tr>
        <w:tblPrEx>
          <w:tblCellMar>
            <w:top w:w="0" w:type="dxa"/>
            <w:left w:w="108" w:type="dxa"/>
            <w:bottom w:w="0" w:type="dxa"/>
            <w:right w:w="108" w:type="dxa"/>
          </w:tblCellMar>
        </w:tblPrEx>
        <w:trPr>
          <w:trHeight w:val="285" w:hRule="atLeast"/>
        </w:trPr>
        <w:tc>
          <w:tcPr>
            <w:tcW w:w="435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355"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单位：湖南省外事侨务办公室出国（境）服务中心</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2021年度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注：本表反映单位本年度国有资本经营预算财政拨款支出情况。</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湖南省外事侨务办公室出国（境）服务中心没有使用国有资本经营预算安排的支出，故本表无数据。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21年度单位决算情况说明</w:t>
      </w:r>
    </w:p>
    <w:p>
      <w:pPr>
        <w:widowControl/>
        <w:jc w:val="left"/>
        <w:rPr>
          <w:rFonts w:ascii="黑体" w:eastAsia="黑体" w:cs="黑体"/>
          <w:color w:val="000000"/>
          <w:kern w:val="0"/>
          <w:sz w:val="70"/>
          <w:szCs w:val="70"/>
        </w:rPr>
      </w:pPr>
      <w:r>
        <w:rPr>
          <w:sz w:val="70"/>
          <w:szCs w:val="70"/>
        </w:rPr>
        <w:br w:type="page"/>
      </w: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2021年度收、支总计380.68万元。与上年相比，增加562.09万元，减少59.62%，主要是一般公共服务支出中的事业运行减少。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仿宋" w:hAnsi="仿宋" w:eastAsia="仿宋" w:cs="仿宋"/>
          <w:sz w:val="32"/>
          <w:szCs w:val="32"/>
        </w:rPr>
        <w:t>本年收入合计380.17万元，其中：财政拨款收入370.28万元，占97.4%；经营收入9.89万元，占2.6%。</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仿宋" w:hAnsi="仿宋" w:eastAsia="仿宋" w:cs="仿宋"/>
          <w:sz w:val="32"/>
          <w:szCs w:val="32"/>
        </w:rPr>
        <w:t>本年支出合计439.58万元，其中：基本支出279.27万元，占63.5%；项目支出0万元；经营支出160.31万元，占36.5%。</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asciiTheme="minorEastAsia" w:hAnsiTheme="minorEastAsia" w:eastAsiaTheme="minorEastAsia"/>
          <w:sz w:val="32"/>
          <w:szCs w:val="32"/>
        </w:rPr>
      </w:pPr>
      <w:r>
        <w:rPr>
          <w:rFonts w:hint="eastAsia" w:ascii="仿宋" w:hAnsi="仿宋" w:eastAsia="仿宋" w:cs="仿宋"/>
          <w:sz w:val="32"/>
          <w:szCs w:val="32"/>
        </w:rPr>
        <w:t>2021年度财政拨款收、支总计380.68万元，与上年相比，减少562.09万元,减少59.62%，主要是一般公共服务支出中的事业运行减少。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3"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2021年度财政拨款支出279.27万元，占本年支出合计的63.53%，与上年相比，财政拨款支出减少251.33万元，减少47.37%，主要是减少了一般公共服务支出中的事业运行支出及其他涉外发展服务支出。</w:t>
      </w:r>
    </w:p>
    <w:p>
      <w:pPr>
        <w:pStyle w:val="11"/>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2021年度财政拨款支出279.27万元，主要用于以下方面：一般公共服务（类）支出165.78万元，占59.36%；社会保障和就业（类）支出41.75万元，占14.95%；卫生健康支出20万元，占7.16%，住房保障（类）支出51.74万元，占18.53%。</w:t>
      </w:r>
    </w:p>
    <w:p>
      <w:pPr>
        <w:pStyle w:val="11"/>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2021年度财政拨款支出年初预算数为370.80万元，支出决算数为279.27万元，完成年初预算的75.32%，其中：</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1、一般公共服务（类）政府办公厅（室）及相关机构事务（款）事业运行（项）。年初预算为221.06万元，支出决算为165.78万元，完成年初预算的75%，决算数小于年初预算数的主要原因是受疫情的影响非税收入短收。</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2、社会保障和就业支出（类）行政事业单位养老支出（款）机关事业单位基本养老保险缴费支出（项）。年初预算为</w:t>
      </w:r>
      <w:r>
        <w:rPr>
          <w:rFonts w:hint="eastAsia" w:ascii="仿宋" w:hAnsi="仿宋" w:eastAsia="仿宋" w:cs="仿宋"/>
          <w:color w:val="auto"/>
          <w:sz w:val="32"/>
          <w:szCs w:val="32"/>
        </w:rPr>
        <w:t>35</w:t>
      </w:r>
      <w:r>
        <w:rPr>
          <w:rFonts w:hint="eastAsia" w:ascii="仿宋" w:hAnsi="仿宋" w:eastAsia="仿宋" w:cs="仿宋"/>
          <w:sz w:val="32"/>
          <w:szCs w:val="32"/>
        </w:rPr>
        <w:t>万元，支出决算为35万元，完成年初预算的</w:t>
      </w:r>
      <w:r>
        <w:rPr>
          <w:rFonts w:hint="eastAsia" w:ascii="仿宋" w:hAnsi="仿宋" w:eastAsia="仿宋" w:cs="仿宋"/>
          <w:color w:val="auto"/>
          <w:sz w:val="32"/>
          <w:szCs w:val="32"/>
        </w:rPr>
        <w:t>100</w:t>
      </w:r>
      <w:r>
        <w:rPr>
          <w:rFonts w:hint="eastAsia" w:ascii="仿宋" w:hAnsi="仿宋" w:eastAsia="仿宋" w:cs="仿宋"/>
          <w:sz w:val="32"/>
          <w:szCs w:val="32"/>
        </w:rPr>
        <w:t>%。</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3、社会保障和就业支出（类）行政事业单位养老支出（款）机关事业单位职业年金缴费支出（项）。年初预算为</w:t>
      </w:r>
      <w:r>
        <w:rPr>
          <w:rFonts w:hint="eastAsia" w:ascii="仿宋" w:hAnsi="仿宋" w:eastAsia="仿宋" w:cs="仿宋"/>
          <w:color w:val="auto"/>
          <w:sz w:val="32"/>
          <w:szCs w:val="32"/>
        </w:rPr>
        <w:t>18</w:t>
      </w:r>
      <w:r>
        <w:rPr>
          <w:rFonts w:hint="eastAsia" w:ascii="仿宋" w:hAnsi="仿宋" w:eastAsia="仿宋" w:cs="仿宋"/>
          <w:sz w:val="32"/>
          <w:szCs w:val="32"/>
        </w:rPr>
        <w:t>万元，支出决算为6.75万元，完成年初预算的</w:t>
      </w:r>
      <w:r>
        <w:rPr>
          <w:rFonts w:hint="eastAsia" w:ascii="仿宋" w:hAnsi="仿宋" w:eastAsia="仿宋" w:cs="仿宋"/>
          <w:color w:val="auto"/>
          <w:sz w:val="32"/>
          <w:szCs w:val="32"/>
        </w:rPr>
        <w:t>37.5</w:t>
      </w:r>
      <w:r>
        <w:rPr>
          <w:rFonts w:hint="eastAsia" w:ascii="仿宋" w:hAnsi="仿宋" w:eastAsia="仿宋" w:cs="仿宋"/>
          <w:sz w:val="32"/>
          <w:szCs w:val="32"/>
        </w:rPr>
        <w:t>%,决算数小于年初预算数的主要原因是受疫情的影响非税收入短收。</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4、卫生健康支出（类）行政事业单位医疗支出（款）事业单位医疗缴费支出（项）。年初预算</w:t>
      </w:r>
      <w:r>
        <w:rPr>
          <w:rFonts w:hint="eastAsia" w:ascii="仿宋" w:hAnsi="仿宋" w:eastAsia="仿宋" w:cs="仿宋"/>
          <w:color w:val="auto"/>
          <w:sz w:val="32"/>
          <w:szCs w:val="32"/>
        </w:rPr>
        <w:t>45</w:t>
      </w:r>
      <w:r>
        <w:rPr>
          <w:rFonts w:hint="eastAsia" w:ascii="仿宋" w:hAnsi="仿宋" w:eastAsia="仿宋" w:cs="仿宋"/>
          <w:sz w:val="32"/>
          <w:szCs w:val="32"/>
        </w:rPr>
        <w:t>万元，支出决算20万，完成年初预算的</w:t>
      </w:r>
      <w:r>
        <w:rPr>
          <w:rFonts w:hint="eastAsia" w:ascii="仿宋" w:hAnsi="仿宋" w:eastAsia="仿宋" w:cs="仿宋"/>
          <w:color w:val="auto"/>
          <w:sz w:val="32"/>
          <w:szCs w:val="32"/>
        </w:rPr>
        <w:t>44.44</w:t>
      </w:r>
      <w:r>
        <w:rPr>
          <w:rFonts w:hint="eastAsia" w:ascii="仿宋" w:hAnsi="仿宋" w:eastAsia="仿宋" w:cs="仿宋"/>
          <w:sz w:val="32"/>
          <w:szCs w:val="32"/>
        </w:rPr>
        <w:t>%,决算数小于年初预算数的主要原因是受疫情的影响非税收入短收。</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5、住房保障支出（类）住房改革支出（款）住房公积金（项）。年初预算</w:t>
      </w:r>
      <w:r>
        <w:rPr>
          <w:rFonts w:hint="eastAsia" w:ascii="仿宋" w:hAnsi="仿宋" w:eastAsia="仿宋" w:cs="仿宋"/>
          <w:color w:val="auto"/>
          <w:sz w:val="32"/>
          <w:szCs w:val="32"/>
        </w:rPr>
        <w:t>51.74</w:t>
      </w:r>
      <w:r>
        <w:rPr>
          <w:rFonts w:hint="eastAsia" w:ascii="仿宋" w:hAnsi="仿宋" w:eastAsia="仿宋" w:cs="仿宋"/>
          <w:sz w:val="32"/>
          <w:szCs w:val="32"/>
        </w:rPr>
        <w:t>万元，支出决算51.74万元，完成年初预算的</w:t>
      </w:r>
      <w:r>
        <w:rPr>
          <w:rFonts w:hint="eastAsia" w:ascii="仿宋" w:hAnsi="仿宋" w:eastAsia="仿宋" w:cs="仿宋"/>
          <w:color w:val="auto"/>
          <w:sz w:val="32"/>
          <w:szCs w:val="32"/>
        </w:rPr>
        <w:t>100</w:t>
      </w:r>
      <w:r>
        <w:rPr>
          <w:rFonts w:hint="eastAsia" w:ascii="仿宋" w:hAnsi="仿宋" w:eastAsia="仿宋" w:cs="仿宋"/>
          <w:sz w:val="32"/>
          <w:szCs w:val="32"/>
        </w:rPr>
        <w:t>%。</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2021年度财政拨款基本支出279.27万元，其中：人员经费275.80万元，占基本支出的98.76%,主要包括基本工资、奖金、绩效工资、机关事业单位基本养老保险缴费、职业年金缴费、住房公积金；公用经费3.47万元，占基本支出的1.24%，主要包括办公费、印刷费、水费、邮电费、差旅费、维护（修）费、公务接待费、委托业务费、其他交通费用、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“三公”经费财政拨款支出预算为1.5万元，支出决算为0.08万元，完成预算的5.33%，其中：</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因公出国（境）费支出预算为0万元，支出决算为0万。</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公务接待费支出预算为1万元，支出决算为0.08万元，完成预算的0.08%，决算数小于预算数的主要原因是受疫情影响来访人数减少，同时厉行节约；与上年相比减少0.09万元，减少53%,减少的主要原因是受疫情影响来访人数减少，同时厉行节约，缩减开支。</w:t>
      </w:r>
    </w:p>
    <w:p>
      <w:pPr>
        <w:pStyle w:val="11"/>
        <w:ind w:firstLine="640" w:firstLineChars="200"/>
        <w:rPr>
          <w:rFonts w:asciiTheme="minorEastAsia" w:hAnsiTheme="minorEastAsia" w:eastAsiaTheme="minorEastAsia"/>
          <w:sz w:val="32"/>
          <w:szCs w:val="32"/>
        </w:rPr>
      </w:pPr>
      <w:r>
        <w:rPr>
          <w:rFonts w:hint="eastAsia" w:ascii="仿宋" w:hAnsi="仿宋" w:eastAsia="仿宋" w:cs="仿宋"/>
          <w:sz w:val="32"/>
          <w:szCs w:val="32"/>
        </w:rPr>
        <w:t>公务用车购置费及运行维护费支出预算为0.5万元，支出决算为0万元，完成预算的0%，决算数小于预算数的主要原因是受疫情影响业务量减少，车辆使用频率降低；与上年相比减少1.24万元，减少100%,减少的主要原因是受疫情影响业务量减少，车辆使用频率降低，同时厉行节约，缩减开支。</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2021年度“三公”经费财政拨款支出决算中，因公出国（境）费支出决算0万元，占0%；公务接待费支出决算0.08万元，占100%；公务用车购置费及运行维护费支出决算0万元，占0%。其中：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仿宋" w:hAnsi="仿宋" w:eastAsia="仿宋" w:cs="仿宋"/>
          <w:sz w:val="32"/>
          <w:szCs w:val="32"/>
        </w:rPr>
      </w:pPr>
      <w:r>
        <w:rPr>
          <w:rFonts w:hint="eastAsia" w:ascii="仿宋" w:hAnsi="仿宋" w:eastAsia="仿宋" w:cs="仿宋"/>
          <w:sz w:val="32"/>
          <w:szCs w:val="32"/>
        </w:rPr>
        <w:t>1、因公出国（境）费支出决算为0万元</w:t>
      </w:r>
      <w:r>
        <w:rPr>
          <w:rFonts w:hint="eastAsia" w:ascii="仿宋" w:hAnsi="仿宋" w:eastAsia="仿宋" w:cs="仿宋"/>
          <w:sz w:val="32"/>
          <w:szCs w:val="32"/>
          <w:lang w:eastAsia="zh-CN"/>
        </w:rPr>
        <w:t>，</w:t>
      </w:r>
      <w:r>
        <w:rPr>
          <w:rFonts w:hint="eastAsia" w:ascii="Times New Roman" w:hAnsi="Times New Roman" w:eastAsia="仿宋_GB2312"/>
          <w:sz w:val="32"/>
          <w:szCs w:val="32"/>
        </w:rPr>
        <w:t>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ind w:firstLine="800" w:firstLineChars="250"/>
        <w:rPr>
          <w:rFonts w:ascii="仿宋" w:hAnsi="仿宋" w:eastAsia="仿宋" w:cs="仿宋"/>
          <w:sz w:val="32"/>
          <w:szCs w:val="32"/>
        </w:rPr>
      </w:pPr>
      <w:r>
        <w:rPr>
          <w:rFonts w:hint="eastAsia" w:ascii="仿宋" w:hAnsi="仿宋" w:eastAsia="仿宋" w:cs="仿宋"/>
          <w:sz w:val="32"/>
          <w:szCs w:val="32"/>
        </w:rPr>
        <w:t>2、公务接待费支出决算为0.08万元，全年共接待来访团组2个、来宾8人次，主要是外事服务综合管理系统建设中和北京软件公司派驻的开发人员进行沟通发生的接待支出。</w:t>
      </w:r>
    </w:p>
    <w:p>
      <w:pPr>
        <w:ind w:firstLine="800" w:firstLineChars="250"/>
        <w:rPr>
          <w:rFonts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3、公务用车购置费及运行维护费支出决算为0万元，其中：公务用车购置</w:t>
      </w:r>
      <w:r>
        <w:rPr>
          <w:rFonts w:hint="eastAsia" w:ascii="仿宋" w:hAnsi="仿宋" w:eastAsia="仿宋" w:cs="仿宋"/>
          <w:sz w:val="32"/>
          <w:szCs w:val="32"/>
          <w:lang w:eastAsia="zh-CN"/>
        </w:rPr>
        <w:t>数为</w:t>
      </w:r>
      <w:r>
        <w:rPr>
          <w:rFonts w:hint="eastAsia" w:ascii="仿宋" w:hAnsi="仿宋" w:eastAsia="仿宋" w:cs="仿宋"/>
          <w:sz w:val="32"/>
          <w:szCs w:val="32"/>
          <w:lang w:val="en-US" w:eastAsia="zh-CN"/>
        </w:rPr>
        <w:t>0台，公务用车购置</w:t>
      </w:r>
      <w:bookmarkStart w:id="2" w:name="_GoBack"/>
      <w:bookmarkEnd w:id="2"/>
      <w:r>
        <w:rPr>
          <w:rFonts w:hint="eastAsia" w:ascii="仿宋" w:hAnsi="仿宋" w:eastAsia="仿宋" w:cs="仿宋"/>
          <w:sz w:val="32"/>
          <w:szCs w:val="32"/>
        </w:rPr>
        <w:t>费0万元；公务用车运行维护费0万元。截止2021年12月31日，我单位开支财政拨款的公务用车保有量为1辆。</w:t>
      </w:r>
    </w:p>
    <w:p>
      <w:pPr>
        <w:pStyle w:val="11"/>
        <w:rPr>
          <w:rFonts w:hAnsi="黑体"/>
          <w:b/>
          <w:sz w:val="32"/>
          <w:szCs w:val="32"/>
        </w:rPr>
      </w:pPr>
      <w:r>
        <w:rPr>
          <w:rFonts w:hint="eastAsia" w:hAnsi="黑体"/>
          <w:b/>
          <w:sz w:val="32"/>
          <w:szCs w:val="32"/>
        </w:rPr>
        <w:t>八、政府性基金预算收入支出决算情况</w:t>
      </w:r>
    </w:p>
    <w:p>
      <w:pPr>
        <w:pStyle w:val="11"/>
        <w:rPr>
          <w:rFonts w:ascii="仿宋" w:hAnsi="仿宋" w:eastAsia="仿宋" w:cs="仿宋"/>
          <w:i/>
          <w:color w:val="FF0000"/>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 xml:space="preserve"> 本单位无政府性基金收支。</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本单位2021年机关运行经费支出3.47万，比年初预算减少91.53万，主要原因是受疫情影响非税收入短收。</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asciiTheme="minorEastAsia" w:hAnsiTheme="minorEastAsia" w:eastAsiaTheme="minorEastAsia"/>
          <w:sz w:val="32"/>
          <w:szCs w:val="32"/>
        </w:rPr>
      </w:pPr>
      <w:r>
        <w:rPr>
          <w:rFonts w:hint="eastAsia" w:ascii="仿宋" w:hAnsi="仿宋" w:eastAsia="仿宋" w:cs="仿宋"/>
          <w:sz w:val="32"/>
          <w:szCs w:val="32"/>
        </w:rPr>
        <w:t>本单位2021年无会议费、培训费支出。</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本单位2021年度政府采购</w:t>
      </w:r>
      <w:r>
        <w:rPr>
          <w:rFonts w:hint="eastAsia" w:ascii="仿宋" w:hAnsi="仿宋" w:eastAsia="仿宋" w:cs="仿宋"/>
          <w:sz w:val="32"/>
          <w:szCs w:val="32"/>
          <w:lang w:eastAsia="zh-CN"/>
        </w:rPr>
        <w:t>预算总额</w:t>
      </w:r>
      <w:r>
        <w:rPr>
          <w:rFonts w:hint="eastAsia" w:ascii="仿宋" w:hAnsi="仿宋" w:eastAsia="仿宋" w:cs="仿宋"/>
          <w:sz w:val="32"/>
          <w:szCs w:val="32"/>
          <w:lang w:val="en-US" w:eastAsia="zh-CN"/>
        </w:rPr>
        <w:t>0万元，其中，货物类采购预算0万元；工程类采购预算0万元；服务类采购预算0万元</w:t>
      </w:r>
      <w:r>
        <w:rPr>
          <w:rFonts w:hint="eastAsia" w:ascii="仿宋" w:hAnsi="仿宋" w:eastAsia="仿宋" w:cs="仿宋"/>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仿宋" w:hAnsi="仿宋" w:eastAsia="仿宋" w:cs="仿宋"/>
          <w:sz w:val="32"/>
          <w:szCs w:val="32"/>
        </w:rPr>
      </w:pPr>
      <w:r>
        <w:rPr>
          <w:rFonts w:hint="eastAsia" w:ascii="仿宋" w:hAnsi="仿宋" w:eastAsia="仿宋" w:cs="仿宋"/>
          <w:sz w:val="32"/>
          <w:szCs w:val="32"/>
        </w:rPr>
        <w:t>截至2021年12月31日，本单位共有车辆1辆，为其他用车，其他用车主要是用于机要通信和应急保障之外公务用途的车辆；单位价值50万元以上通用设备0台（套）；单位价值100万元以上专用设备0台（套）。</w:t>
      </w:r>
    </w:p>
    <w:p>
      <w:pPr>
        <w:pStyle w:val="11"/>
        <w:rPr>
          <w:rFonts w:hAnsi="黑体"/>
          <w:b/>
          <w:sz w:val="32"/>
          <w:szCs w:val="32"/>
        </w:rPr>
      </w:pPr>
      <w:r>
        <w:rPr>
          <w:rFonts w:hint="eastAsia" w:hAnsi="黑体"/>
          <w:b/>
          <w:sz w:val="32"/>
          <w:szCs w:val="32"/>
        </w:rPr>
        <w:t>十三、2021年度预算绩效情况说明</w:t>
      </w:r>
    </w:p>
    <w:p>
      <w:pPr>
        <w:pStyle w:val="7"/>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根据</w:t>
      </w:r>
      <w:r>
        <w:rPr>
          <w:rFonts w:hint="eastAsia" w:ascii="仿宋" w:hAnsi="仿宋" w:eastAsia="仿宋" w:cs="仿宋"/>
          <w:sz w:val="32"/>
          <w:szCs w:val="32"/>
        </w:rPr>
        <w:t>《湖南省财政厅关于开展2021年度部门整体支出绩效自评工作的通知》（湘财绩〔2022〕1号）</w:t>
      </w:r>
      <w:r>
        <w:rPr>
          <w:rFonts w:hint="eastAsia" w:ascii="仿宋" w:hAnsi="仿宋" w:eastAsia="仿宋" w:cs="仿宋"/>
          <w:kern w:val="2"/>
          <w:sz w:val="32"/>
          <w:szCs w:val="32"/>
        </w:rPr>
        <w:t>的文件精神，我单位对2021年度单位整体支出情况进行了绩效自评。</w:t>
      </w:r>
    </w:p>
    <w:p>
      <w:pPr>
        <w:pStyle w:val="7"/>
        <w:spacing w:before="0" w:beforeAutospacing="0" w:after="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kern w:val="2"/>
          <w:sz w:val="32"/>
          <w:szCs w:val="32"/>
        </w:rPr>
        <w:t>绩效评价显示，</w:t>
      </w:r>
      <w:r>
        <w:rPr>
          <w:rFonts w:hint="eastAsia" w:ascii="仿宋" w:hAnsi="仿宋" w:eastAsia="仿宋" w:cs="仿宋"/>
          <w:sz w:val="32"/>
          <w:szCs w:val="32"/>
        </w:rPr>
        <w:t>2021年在省委外事办的精心领导和机关各处室的关心支持下，出国（境）服务中心按照年初计划开展工作，取得了良好效果。虽然受疫情影响，中心各项自收业务受到巨大冲击，但</w:t>
      </w:r>
      <w:r>
        <w:rPr>
          <w:rFonts w:hint="eastAsia" w:ascii="仿宋" w:hAnsi="仿宋" w:eastAsia="仿宋" w:cs="仿宋"/>
          <w:color w:val="000000"/>
          <w:sz w:val="32"/>
          <w:szCs w:val="32"/>
        </w:rPr>
        <w:t>中心支出严格执行财务制度，严控办公费用及“三公经费”的使用，把厉行节约的各项规定落到了实处。</w:t>
      </w:r>
    </w:p>
    <w:p>
      <w:pPr>
        <w:pStyle w:val="7"/>
        <w:spacing w:before="0" w:beforeAutospacing="0" w:after="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《2021年度单位整体支出绩效评价报告》见“第五部分附件”。</w:t>
      </w:r>
    </w:p>
    <w:p>
      <w:pPr>
        <w:pStyle w:val="11"/>
        <w:ind w:firstLine="1440" w:firstLineChars="200"/>
        <w:jc w:val="both"/>
        <w:rPr>
          <w:rFonts w:ascii="宋体" w:hAnsi="宋体" w:eastAsia="宋体" w:cs="宋体"/>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left"/>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一、财政拨款收入：</w:t>
      </w:r>
      <w:r>
        <w:rPr>
          <w:rFonts w:hint="eastAsia" w:ascii="仿宋_GB2312" w:eastAsia="仿宋_GB2312"/>
          <w:sz w:val="32"/>
          <w:szCs w:val="32"/>
        </w:rPr>
        <w:t>指单位从同级财政部门取得的财政预算资金。</w:t>
      </w:r>
    </w:p>
    <w:p>
      <w:pPr>
        <w:ind w:firstLine="643" w:firstLineChars="200"/>
        <w:jc w:val="left"/>
        <w:rPr>
          <w:rFonts w:ascii="仿宋" w:hAnsi="仿宋" w:eastAsia="仿宋" w:cs="仿宋"/>
          <w:b/>
          <w:bCs/>
          <w:color w:val="000000"/>
          <w:kern w:val="0"/>
          <w:sz w:val="32"/>
          <w:szCs w:val="32"/>
        </w:rPr>
      </w:pPr>
      <w:r>
        <w:rPr>
          <w:rFonts w:hint="eastAsia" w:cs="黑体" w:asciiTheme="minorEastAsia" w:hAnsiTheme="minorEastAsia"/>
          <w:b/>
          <w:bCs/>
          <w:color w:val="000000"/>
          <w:kern w:val="0"/>
          <w:sz w:val="32"/>
          <w:szCs w:val="32"/>
        </w:rPr>
        <w:t>二、经营收入：</w:t>
      </w:r>
      <w:r>
        <w:rPr>
          <w:rFonts w:hint="eastAsia" w:ascii="仿宋" w:hAnsi="仿宋" w:eastAsia="仿宋" w:cs="仿宋"/>
          <w:color w:val="000000"/>
          <w:kern w:val="0"/>
          <w:sz w:val="32"/>
          <w:szCs w:val="32"/>
        </w:rPr>
        <w:t>指单位在专业业务活动及辅助活动之外开展非独立核算经营活动取得的收入。</w:t>
      </w:r>
    </w:p>
    <w:p>
      <w:pPr>
        <w:ind w:firstLine="643" w:firstLineChars="200"/>
        <w:jc w:val="left"/>
        <w:rPr>
          <w:rFonts w:ascii="仿宋" w:hAnsi="仿宋" w:eastAsia="仿宋" w:cs="仿宋"/>
          <w:color w:val="000000"/>
          <w:kern w:val="0"/>
          <w:sz w:val="32"/>
          <w:szCs w:val="32"/>
        </w:rPr>
      </w:pPr>
      <w:r>
        <w:rPr>
          <w:rFonts w:hint="eastAsia" w:cs="黑体" w:asciiTheme="minorEastAsia" w:hAnsiTheme="minorEastAsia"/>
          <w:b/>
          <w:bCs/>
          <w:color w:val="000000"/>
          <w:kern w:val="0"/>
          <w:sz w:val="32"/>
          <w:szCs w:val="32"/>
        </w:rPr>
        <w:t>三、年初结转和结余：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ind w:firstLine="643" w:firstLineChars="200"/>
        <w:jc w:val="left"/>
        <w:rPr>
          <w:rFonts w:ascii="仿宋" w:hAnsi="仿宋" w:eastAsia="仿宋" w:cs="仿宋"/>
          <w:color w:val="000000"/>
          <w:kern w:val="0"/>
          <w:sz w:val="32"/>
          <w:szCs w:val="32"/>
        </w:rPr>
      </w:pPr>
      <w:r>
        <w:rPr>
          <w:rFonts w:hint="eastAsia" w:cs="黑体" w:asciiTheme="minorEastAsia" w:hAnsiTheme="minorEastAsia"/>
          <w:b/>
          <w:bCs/>
          <w:color w:val="000000"/>
          <w:kern w:val="0"/>
          <w:sz w:val="32"/>
          <w:szCs w:val="32"/>
        </w:rPr>
        <w:t>四、一般公共服务支出（类）政府办公厅（室）及相关机构事务（款）事业运行（项）：</w:t>
      </w:r>
      <w:r>
        <w:rPr>
          <w:rFonts w:hint="eastAsia" w:ascii="仿宋" w:hAnsi="仿宋" w:eastAsia="仿宋" w:cs="仿宋"/>
          <w:color w:val="000000"/>
          <w:kern w:val="0"/>
          <w:sz w:val="32"/>
          <w:szCs w:val="32"/>
        </w:rPr>
        <w:t>反映事业单位的基本支出，不包括行政单位（包括实行公务员管理的事业单位）后勤服务中心、医务室等附属事业单位。</w:t>
      </w:r>
    </w:p>
    <w:p>
      <w:pPr>
        <w:ind w:firstLine="643" w:firstLineChars="200"/>
        <w:jc w:val="left"/>
        <w:rPr>
          <w:rFonts w:ascii="仿宋" w:hAnsi="仿宋" w:eastAsia="仿宋" w:cs="仿宋"/>
          <w:color w:val="000000"/>
          <w:kern w:val="0"/>
          <w:sz w:val="32"/>
          <w:szCs w:val="32"/>
        </w:rPr>
      </w:pPr>
      <w:r>
        <w:rPr>
          <w:rFonts w:hint="eastAsia" w:cs="黑体" w:asciiTheme="minorEastAsia" w:hAnsiTheme="minorEastAsia"/>
          <w:b/>
          <w:bCs/>
          <w:color w:val="000000"/>
          <w:kern w:val="0"/>
          <w:sz w:val="32"/>
          <w:szCs w:val="32"/>
        </w:rPr>
        <w:t>五、社会保障和就业支出（类）行政事业单位养老支出（款）机关事业单位基本养老保险缴费支出（项）：</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left"/>
        <w:rPr>
          <w:rFonts w:ascii="仿宋" w:hAnsi="仿宋" w:eastAsia="仿宋" w:cs="仿宋"/>
          <w:color w:val="000000"/>
          <w:kern w:val="0"/>
          <w:sz w:val="32"/>
          <w:szCs w:val="32"/>
        </w:rPr>
      </w:pPr>
      <w:r>
        <w:rPr>
          <w:rFonts w:hint="eastAsia" w:ascii="宋体" w:hAnsi="宋体" w:eastAsia="宋体" w:cs="宋体"/>
          <w:b/>
          <w:bCs/>
          <w:color w:val="000000"/>
          <w:kern w:val="0"/>
          <w:sz w:val="32"/>
          <w:szCs w:val="32"/>
        </w:rPr>
        <w:t>六、商业服务业等支出（类）涉外发展服务支出（款）其他涉外发展服务支出（项）：</w:t>
      </w:r>
      <w:r>
        <w:rPr>
          <w:rFonts w:hint="eastAsia" w:ascii="仿宋" w:hAnsi="仿宋" w:eastAsia="仿宋" w:cs="仿宋"/>
          <w:color w:val="000000"/>
          <w:kern w:val="0"/>
          <w:sz w:val="32"/>
          <w:szCs w:val="32"/>
        </w:rPr>
        <w:t>反映其他用于涉外发展服务方面的支出。</w:t>
      </w:r>
    </w:p>
    <w:p>
      <w:pPr>
        <w:ind w:firstLine="643" w:firstLineChars="200"/>
        <w:jc w:val="left"/>
        <w:rPr>
          <w:rFonts w:ascii="仿宋" w:hAnsi="仿宋" w:eastAsia="仿宋" w:cs="仿宋"/>
          <w:color w:val="000000"/>
          <w:kern w:val="0"/>
          <w:sz w:val="32"/>
          <w:szCs w:val="32"/>
        </w:rPr>
      </w:pPr>
      <w:r>
        <w:rPr>
          <w:rFonts w:hint="eastAsia" w:cs="黑体" w:asciiTheme="minorEastAsia" w:hAnsiTheme="minorEastAsia"/>
          <w:b/>
          <w:bCs/>
          <w:color w:val="000000"/>
          <w:kern w:val="0"/>
          <w:sz w:val="32"/>
          <w:szCs w:val="32"/>
        </w:rPr>
        <w:t>七、住房保障支出（类）住房改革支出（款）住房公积金（项）：</w:t>
      </w:r>
      <w:r>
        <w:rPr>
          <w:rFonts w:hint="eastAsia" w:ascii="仿宋" w:hAnsi="仿宋" w:eastAsia="仿宋" w:cs="仿宋"/>
          <w:color w:val="000000"/>
          <w:kern w:val="0"/>
          <w:sz w:val="32"/>
          <w:szCs w:val="32"/>
        </w:rPr>
        <w:t>反映行政事业单位按人力资源和社会保障部、财政部规定的基本工资、绩效工资和津补贴以及规定比例为职工缴纳的住房公积金。</w:t>
      </w:r>
    </w:p>
    <w:p>
      <w:pPr>
        <w:ind w:firstLine="643" w:firstLineChars="200"/>
        <w:jc w:val="left"/>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八、年末结转和结余：</w:t>
      </w:r>
      <w:r>
        <w:rPr>
          <w:rFonts w:hint="eastAsia" w:ascii="仿宋" w:hAnsi="仿宋" w:eastAsia="仿宋" w:cs="仿宋"/>
          <w:color w:val="000000"/>
          <w:kern w:val="0"/>
          <w:sz w:val="32"/>
          <w:szCs w:val="32"/>
        </w:rPr>
        <w:t>指单位按有关规定结转到下年或以后年度继续使用的资金，或项目已经完成等产生的结余资金。</w:t>
      </w:r>
    </w:p>
    <w:p>
      <w:pPr>
        <w:ind w:firstLine="643" w:firstLineChars="200"/>
        <w:jc w:val="left"/>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九、基本支出：</w:t>
      </w:r>
      <w:r>
        <w:rPr>
          <w:rFonts w:hint="eastAsia" w:ascii="仿宋" w:hAnsi="仿宋" w:eastAsia="仿宋" w:cs="仿宋"/>
          <w:color w:val="000000"/>
          <w:kern w:val="0"/>
          <w:sz w:val="32"/>
          <w:szCs w:val="32"/>
        </w:rPr>
        <w:t>指为保障机构正常运转、完成日常工作任务或事业发展目标所发生的支出。</w:t>
      </w:r>
    </w:p>
    <w:p>
      <w:pPr>
        <w:ind w:firstLine="643" w:firstLineChars="200"/>
        <w:jc w:val="left"/>
        <w:rPr>
          <w:rFonts w:ascii="仿宋" w:hAnsi="仿宋" w:eastAsia="仿宋" w:cs="仿宋"/>
          <w:b/>
          <w:bCs/>
          <w:color w:val="000000"/>
          <w:kern w:val="0"/>
          <w:sz w:val="32"/>
          <w:szCs w:val="32"/>
        </w:rPr>
      </w:pPr>
      <w:r>
        <w:rPr>
          <w:rFonts w:hint="eastAsia" w:cs="黑体" w:asciiTheme="minorEastAsia" w:hAnsiTheme="minorEastAsia"/>
          <w:b/>
          <w:bCs/>
          <w:color w:val="000000"/>
          <w:kern w:val="0"/>
          <w:sz w:val="32"/>
          <w:szCs w:val="32"/>
        </w:rPr>
        <w:t>十、项目支出：</w:t>
      </w:r>
      <w:r>
        <w:rPr>
          <w:rFonts w:hint="eastAsia" w:ascii="仿宋" w:hAnsi="仿宋" w:eastAsia="仿宋" w:cs="仿宋"/>
          <w:color w:val="000000"/>
          <w:kern w:val="0"/>
          <w:sz w:val="32"/>
          <w:szCs w:val="32"/>
        </w:rPr>
        <w:t>指在基本支出之外为完成特定行政任务或事业发展目标所发生的支出。</w:t>
      </w:r>
    </w:p>
    <w:p>
      <w:pPr>
        <w:ind w:firstLine="643" w:firstLineChars="200"/>
        <w:jc w:val="left"/>
        <w:rPr>
          <w:rFonts w:cs="黑体" w:asciiTheme="minorEastAsia" w:hAnsiTheme="minorEastAsia"/>
          <w:b/>
          <w:bCs/>
          <w:color w:val="000000"/>
          <w:kern w:val="0"/>
          <w:sz w:val="32"/>
          <w:szCs w:val="32"/>
        </w:rPr>
      </w:pPr>
      <w:r>
        <w:rPr>
          <w:rFonts w:hint="eastAsia" w:cs="黑体" w:asciiTheme="minorEastAsia" w:hAnsiTheme="minorEastAsia"/>
          <w:b/>
          <w:bCs/>
          <w:color w:val="000000"/>
          <w:kern w:val="0"/>
          <w:sz w:val="32"/>
          <w:szCs w:val="32"/>
        </w:rPr>
        <w:t>十一、经营支出：</w:t>
      </w:r>
      <w:r>
        <w:rPr>
          <w:rFonts w:hint="eastAsia" w:ascii="仿宋" w:hAnsi="仿宋" w:eastAsia="仿宋" w:cs="仿宋"/>
          <w:color w:val="000000"/>
          <w:kern w:val="0"/>
          <w:sz w:val="32"/>
          <w:szCs w:val="32"/>
        </w:rPr>
        <w:t>指事业单位在专项业务活动及其辅助活动之外开展非独立核算经营活动发生的支出。</w:t>
      </w:r>
    </w:p>
    <w:p>
      <w:pPr>
        <w:ind w:firstLine="643" w:firstLineChars="200"/>
        <w:jc w:val="left"/>
        <w:rPr>
          <w:rFonts w:ascii="仿宋" w:hAnsi="仿宋" w:eastAsia="仿宋" w:cs="仿宋"/>
          <w:color w:val="000000"/>
          <w:kern w:val="0"/>
          <w:sz w:val="32"/>
          <w:szCs w:val="32"/>
        </w:rPr>
      </w:pPr>
      <w:r>
        <w:rPr>
          <w:rFonts w:hint="eastAsia" w:cs="黑体" w:asciiTheme="minorEastAsia" w:hAnsiTheme="minorEastAsia"/>
          <w:b/>
          <w:bCs/>
          <w:color w:val="000000"/>
          <w:kern w:val="0"/>
          <w:sz w:val="32"/>
          <w:szCs w:val="32"/>
        </w:rPr>
        <w:t>十二、“三公”经费：</w:t>
      </w:r>
      <w:r>
        <w:rPr>
          <w:rFonts w:hint="eastAsia" w:ascii="仿宋" w:hAnsi="仿宋" w:eastAsia="仿宋" w:cs="仿宋"/>
          <w:color w:val="000000"/>
          <w:kern w:val="0"/>
          <w:sz w:val="32"/>
          <w:szCs w:val="32"/>
        </w:rPr>
        <w:t>纳入省级预预决算管理的“三公”经费，是指省级财政拨款安排的因公出国（境）费、公务用车购置及运行费和公务接待费。其中，因公出国（境）费反映单位公务出国（境）的国际差旅费、国际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widowControl/>
        <w:ind w:firstLine="643" w:firstLineChars="200"/>
        <w:jc w:val="left"/>
        <w:rPr>
          <w:rFonts w:ascii="仿宋" w:hAnsi="仿宋" w:eastAsia="仿宋" w:cs="黑体"/>
          <w:color w:val="000000"/>
          <w:kern w:val="0"/>
          <w:sz w:val="32"/>
          <w:szCs w:val="32"/>
        </w:rPr>
      </w:pPr>
      <w:r>
        <w:rPr>
          <w:rFonts w:hint="eastAsia" w:cs="黑体" w:asciiTheme="majorEastAsia" w:hAnsiTheme="majorEastAsia" w:eastAsiaTheme="majorEastAsia"/>
          <w:b/>
          <w:color w:val="000000"/>
          <w:kern w:val="0"/>
          <w:sz w:val="32"/>
          <w:szCs w:val="32"/>
        </w:rPr>
        <w:t>十三、机关运行经费：</w:t>
      </w:r>
      <w:r>
        <w:rPr>
          <w:rFonts w:hint="eastAsia" w:ascii="仿宋" w:hAnsi="仿宋" w:eastAsia="仿宋" w:cs="黑体"/>
          <w:color w:val="000000"/>
          <w:kern w:val="0"/>
          <w:sz w:val="32"/>
          <w:szCs w:val="32"/>
        </w:rPr>
        <w:t>是指各单位的公用经费，包括办公及印刷费、邮电费、差旅费、会议费、福利费日常维修费、专用资料及一般设备购置费、办公用房水电费、办公用房取暖费、办公用房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rPr>
          <w:rFonts w:eastAsia="黑体"/>
          <w:sz w:val="32"/>
          <w:szCs w:val="32"/>
        </w:rPr>
      </w:pPr>
      <w:r>
        <w:rPr>
          <w:rFonts w:ascii="黑体" w:eastAsia="黑体" w:cs="黑体"/>
          <w:color w:val="000000"/>
          <w:kern w:val="0"/>
          <w:sz w:val="70"/>
          <w:szCs w:val="70"/>
        </w:rPr>
        <w:br w:type="page"/>
      </w:r>
    </w:p>
    <w:p>
      <w:pPr>
        <w:ind w:firstLine="1446" w:firstLineChars="450"/>
        <w:rPr>
          <w:rFonts w:asciiTheme="majorEastAsia" w:hAnsiTheme="majorEastAsia" w:eastAsiaTheme="majorEastAsia"/>
          <w:b/>
          <w:sz w:val="32"/>
          <w:szCs w:val="32"/>
        </w:rPr>
      </w:pPr>
      <w:r>
        <w:rPr>
          <w:rFonts w:hint="eastAsia" w:cs="Times New Roman" w:asciiTheme="majorEastAsia" w:hAnsiTheme="majorEastAsia" w:eastAsiaTheme="majorEastAsia"/>
          <w:b/>
          <w:bCs/>
          <w:sz w:val="32"/>
          <w:szCs w:val="32"/>
        </w:rPr>
        <w:t>2021年度单位整体支出绩效自评报告</w:t>
      </w:r>
    </w:p>
    <w:p>
      <w:pPr>
        <w:pStyle w:val="12"/>
        <w:widowControl/>
        <w:spacing w:line="600" w:lineRule="exact"/>
        <w:ind w:firstLine="640"/>
        <w:rPr>
          <w:rFonts w:ascii="Times New Roman" w:hAnsi="Times New Roman" w:eastAsia="仿宋_GB2312"/>
          <w:sz w:val="32"/>
          <w:szCs w:val="32"/>
        </w:rPr>
      </w:pPr>
      <w:r>
        <w:rPr>
          <w:rFonts w:hint="eastAsia" w:ascii="Times New Roman" w:hAnsi="Times New Roman" w:eastAsia="仿宋_GB2312" w:cs="Times New Roman"/>
          <w:sz w:val="32"/>
          <w:szCs w:val="32"/>
        </w:rPr>
        <w:t>根据《中共中央国务院关于全面实施预算绩效管理的意见》和</w:t>
      </w:r>
      <w:r>
        <w:rPr>
          <w:rFonts w:ascii="Times New Roman" w:hAnsi="Times New Roman" w:eastAsia="仿宋" w:cs="Times New Roman"/>
          <w:sz w:val="32"/>
          <w:szCs w:val="32"/>
        </w:rPr>
        <w:t>《湖南省财政厅关于开展20</w:t>
      </w:r>
      <w:r>
        <w:rPr>
          <w:rFonts w:hint="eastAsia" w:ascii="Times New Roman" w:hAnsi="Times New Roman" w:eastAsia="仿宋" w:cs="Times New Roman"/>
          <w:sz w:val="32"/>
          <w:szCs w:val="32"/>
        </w:rPr>
        <w:t>21</w:t>
      </w:r>
      <w:r>
        <w:rPr>
          <w:rFonts w:ascii="Times New Roman" w:hAnsi="Times New Roman" w:eastAsia="仿宋" w:cs="Times New Roman"/>
          <w:sz w:val="32"/>
          <w:szCs w:val="32"/>
        </w:rPr>
        <w:t>年度部门绩效自评工作的通知》（湘财绩〔202</w:t>
      </w: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号）</w:t>
      </w:r>
      <w:r>
        <w:rPr>
          <w:rFonts w:hint="eastAsia" w:ascii="Times New Roman" w:hAnsi="Times New Roman" w:eastAsia="仿宋_GB2312" w:cs="Times New Roman"/>
          <w:sz w:val="32"/>
          <w:szCs w:val="32"/>
        </w:rPr>
        <w:t>的文件精神，我单位对2021年度部门整体支出情况进行了绩效自评，现报告如下：</w:t>
      </w:r>
    </w:p>
    <w:p>
      <w:pPr>
        <w:pStyle w:val="2"/>
        <w:numPr>
          <w:ilvl w:val="0"/>
          <w:numId w:val="2"/>
        </w:numPr>
        <w:rPr>
          <w:bCs/>
          <w:szCs w:val="32"/>
        </w:rPr>
      </w:pPr>
      <w:r>
        <w:rPr>
          <w:bCs/>
          <w:szCs w:val="32"/>
        </w:rPr>
        <w:t>部门</w:t>
      </w:r>
      <w:r>
        <w:rPr>
          <w:rFonts w:hint="eastAsia"/>
          <w:bCs/>
          <w:szCs w:val="32"/>
        </w:rPr>
        <w:t>（</w:t>
      </w:r>
      <w:r>
        <w:rPr>
          <w:bCs/>
          <w:szCs w:val="32"/>
        </w:rPr>
        <w:t>单位</w:t>
      </w:r>
      <w:r>
        <w:rPr>
          <w:rFonts w:hint="eastAsia"/>
          <w:bCs/>
          <w:szCs w:val="32"/>
        </w:rPr>
        <w:t>）</w:t>
      </w:r>
      <w:r>
        <w:rPr>
          <w:bCs/>
          <w:szCs w:val="32"/>
        </w:rPr>
        <w:t>基本情况</w:t>
      </w:r>
    </w:p>
    <w:p>
      <w:pPr>
        <w:pStyle w:val="3"/>
        <w:numPr>
          <w:ilvl w:val="0"/>
          <w:numId w:val="3"/>
        </w:numPr>
        <w:ind w:left="1710"/>
        <w:rPr>
          <w:rFonts w:ascii="楷体" w:hAnsi="楷体" w:eastAsia="楷体" w:cs="楷体"/>
          <w:szCs w:val="32"/>
        </w:rPr>
      </w:pPr>
      <w:r>
        <w:rPr>
          <w:rFonts w:hint="eastAsia" w:ascii="楷体" w:hAnsi="楷体" w:eastAsia="楷体" w:cs="楷体"/>
          <w:szCs w:val="32"/>
        </w:rPr>
        <w:t>单位基本职能</w:t>
      </w:r>
    </w:p>
    <w:p>
      <w:pPr>
        <w:spacing w:line="606" w:lineRule="exact"/>
        <w:ind w:firstLine="640" w:firstLineChars="200"/>
        <w:rPr>
          <w:rFonts w:ascii="仿宋" w:hAnsi="仿宋" w:eastAsia="仿宋"/>
          <w:color w:val="0000FF"/>
          <w:sz w:val="32"/>
          <w:szCs w:val="32"/>
        </w:rPr>
      </w:pPr>
      <w:r>
        <w:rPr>
          <w:rFonts w:hint="eastAsia" w:ascii="仿宋" w:hAnsi="仿宋" w:eastAsia="仿宋"/>
          <w:sz w:val="32"/>
          <w:szCs w:val="32"/>
        </w:rPr>
        <w:t>湖南省外事侨务办出国（境）服务中心是湖南省委外事办下属公益二类事业单位，主要业务范围为因公护照及赴港澳通行证的制作、代办出国签证服务、代办涉外公证文书的领事认证，负责“APEC商务旅行卡”的申办和代办签证服务等涉外服务工作。</w:t>
      </w:r>
    </w:p>
    <w:p>
      <w:pPr>
        <w:pStyle w:val="3"/>
        <w:numPr>
          <w:ilvl w:val="0"/>
          <w:numId w:val="3"/>
        </w:numPr>
        <w:ind w:left="1710"/>
        <w:rPr>
          <w:rFonts w:ascii="楷体" w:hAnsi="楷体" w:eastAsia="楷体" w:cs="楷体"/>
          <w:szCs w:val="32"/>
        </w:rPr>
      </w:pPr>
      <w:r>
        <w:rPr>
          <w:rFonts w:hint="eastAsia" w:ascii="楷体" w:hAnsi="楷体" w:eastAsia="楷体" w:cs="楷体"/>
          <w:szCs w:val="32"/>
        </w:rPr>
        <w:t>机构设置及人员情况</w:t>
      </w:r>
    </w:p>
    <w:p>
      <w:pPr>
        <w:spacing w:line="606" w:lineRule="exact"/>
        <w:ind w:firstLine="640" w:firstLineChars="200"/>
        <w:rPr>
          <w:rFonts w:ascii="仿宋" w:hAnsi="仿宋" w:eastAsia="仿宋"/>
          <w:sz w:val="32"/>
          <w:szCs w:val="32"/>
        </w:rPr>
      </w:pPr>
      <w:r>
        <w:rPr>
          <w:rFonts w:ascii="Times New Roman" w:hAnsi="Times New Roman" w:eastAsia="仿宋_GB2312" w:cs="Times New Roman"/>
          <w:sz w:val="32"/>
          <w:szCs w:val="32"/>
        </w:rPr>
        <w:t>1、</w:t>
      </w:r>
      <w:r>
        <w:rPr>
          <w:rFonts w:hint="eastAsia" w:ascii="仿宋" w:hAnsi="仿宋" w:eastAsia="仿宋"/>
          <w:sz w:val="32"/>
          <w:szCs w:val="32"/>
        </w:rPr>
        <w:t>机构设置：出国（境）服务中心下设办公室、财务部、护照签证部、领事服务部共4个部门。</w:t>
      </w:r>
    </w:p>
    <w:p>
      <w:pPr>
        <w:pStyle w:val="12"/>
        <w:widowControl/>
        <w:spacing w:line="600" w:lineRule="exact"/>
        <w:ind w:firstLine="640"/>
        <w:rPr>
          <w:rFonts w:ascii="Times New Roman" w:hAnsi="Times New Roman" w:eastAsia="仿宋_GB2312"/>
          <w:sz w:val="32"/>
          <w:szCs w:val="32"/>
        </w:rPr>
      </w:pPr>
      <w:r>
        <w:rPr>
          <w:rFonts w:ascii="Times New Roman" w:hAnsi="Times New Roman" w:eastAsia="仿宋_GB2312" w:cs="Times New Roman"/>
          <w:sz w:val="32"/>
          <w:szCs w:val="32"/>
        </w:rPr>
        <w:t>2、人员编制：</w:t>
      </w:r>
    </w:p>
    <w:p>
      <w:pPr>
        <w:spacing w:line="606"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出国（境）服务中心有差额拨款事业编制15名，2021年底实际在编员工15人，退休人员8人，劳务派遣员工1人，其他临聘人员4人。</w:t>
      </w:r>
    </w:p>
    <w:p>
      <w:pPr>
        <w:pStyle w:val="2"/>
        <w:numPr>
          <w:ilvl w:val="0"/>
          <w:numId w:val="2"/>
        </w:numPr>
        <w:rPr>
          <w:szCs w:val="32"/>
        </w:rPr>
      </w:pPr>
      <w:r>
        <w:rPr>
          <w:rFonts w:hint="eastAsia"/>
          <w:bCs/>
          <w:szCs w:val="32"/>
        </w:rPr>
        <w:t>一般公共预算支出情况</w:t>
      </w:r>
    </w:p>
    <w:p>
      <w:pPr>
        <w:pStyle w:val="3"/>
        <w:numPr>
          <w:ilvl w:val="0"/>
          <w:numId w:val="4"/>
        </w:numPr>
        <w:rPr>
          <w:rFonts w:ascii="楷体" w:hAnsi="楷体" w:eastAsia="楷体" w:cs="楷体"/>
          <w:szCs w:val="32"/>
        </w:rPr>
      </w:pPr>
      <w:r>
        <w:rPr>
          <w:rFonts w:hint="eastAsia" w:ascii="楷体" w:hAnsi="楷体" w:eastAsia="楷体" w:cs="楷体"/>
          <w:szCs w:val="32"/>
        </w:rPr>
        <w:t>基本支出情况</w:t>
      </w:r>
    </w:p>
    <w:p>
      <w:pPr>
        <w:ind w:firstLine="640" w:firstLineChars="200"/>
        <w:rPr>
          <w:rFonts w:eastAsia="仿宋_GB2312"/>
          <w:sz w:val="32"/>
          <w:szCs w:val="32"/>
        </w:rPr>
      </w:pPr>
      <w:r>
        <w:rPr>
          <w:rFonts w:hint="eastAsia" w:ascii="Times New Roman" w:hAnsi="Times New Roman" w:eastAsia="仿宋_GB2312" w:cs="Times New Roman"/>
          <w:sz w:val="32"/>
          <w:szCs w:val="32"/>
        </w:rPr>
        <w:t>基本支出系保障我单位机构正常运转、完成日常工作任务而发生的各项支出，包括用于在职和离退休人员基本工资、津贴补贴等人员经费以及办公费、印刷费、水电费、办公设备购置等日常公用经费。</w:t>
      </w:r>
    </w:p>
    <w:p>
      <w:pPr>
        <w:ind w:firstLine="640" w:firstLineChars="200"/>
        <w:rPr>
          <w:rFonts w:eastAsia="仿宋_GB2312"/>
          <w:sz w:val="32"/>
          <w:szCs w:val="32"/>
        </w:rPr>
      </w:pPr>
      <w:r>
        <w:rPr>
          <w:rFonts w:hint="eastAsia" w:eastAsia="仿宋_GB2312" w:cs="Times New Roman"/>
          <w:sz w:val="32"/>
          <w:szCs w:val="32"/>
        </w:rPr>
        <w:t>2021年度基本支出年初结余0.52万元，年初基本支出预算指标下达数370.28万元，2021年度基本支出全年预算数为370.80万元。2021年决算金额为279.27万元，结余91.53万元。具体明细见下表:</w:t>
      </w:r>
    </w:p>
    <w:p>
      <w:pPr>
        <w:ind w:firstLine="2240" w:firstLineChars="700"/>
        <w:rPr>
          <w:rFonts w:eastAsia="仿宋_GB2312"/>
          <w:sz w:val="32"/>
          <w:szCs w:val="32"/>
        </w:rPr>
      </w:pPr>
      <w:r>
        <w:rPr>
          <w:rFonts w:hint="eastAsia" w:eastAsia="仿宋_GB2312" w:cs="Times New Roman"/>
          <w:sz w:val="32"/>
          <w:szCs w:val="32"/>
        </w:rPr>
        <w:t>2021年基本支出明细对比表</w:t>
      </w:r>
    </w:p>
    <w:p>
      <w:pPr>
        <w:ind w:firstLine="640" w:firstLineChars="200"/>
        <w:jc w:val="right"/>
        <w:rPr>
          <w:rFonts w:eastAsia="仿宋_GB2312"/>
          <w:sz w:val="32"/>
          <w:szCs w:val="32"/>
        </w:rPr>
      </w:pPr>
      <w:r>
        <w:rPr>
          <w:rFonts w:hint="eastAsia" w:eastAsia="仿宋_GB2312" w:cs="Times New Roman"/>
          <w:sz w:val="32"/>
          <w:szCs w:val="32"/>
        </w:rPr>
        <w:t>单位：万元</w:t>
      </w:r>
    </w:p>
    <w:tbl>
      <w:tblPr>
        <w:tblStyle w:val="9"/>
        <w:tblpPr w:leftFromText="180" w:rightFromText="180" w:vertAnchor="text" w:horzAnchor="page" w:tblpX="1645" w:tblpY="21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391"/>
        <w:gridCol w:w="1391"/>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5" w:type="pct"/>
            <w:vAlign w:val="center"/>
          </w:tcPr>
          <w:p>
            <w:pPr>
              <w:ind w:firstLine="422" w:firstLineChars="200"/>
              <w:rPr>
                <w:rFonts w:eastAsia="仿宋_GB2312"/>
                <w:b/>
                <w:bCs/>
                <w:szCs w:val="21"/>
              </w:rPr>
            </w:pPr>
            <w:r>
              <w:rPr>
                <w:rFonts w:hint="eastAsia" w:eastAsia="仿宋_GB2312" w:cs="Times New Roman"/>
                <w:b/>
                <w:bCs/>
                <w:szCs w:val="21"/>
              </w:rPr>
              <w:t>科目</w:t>
            </w:r>
          </w:p>
        </w:tc>
        <w:tc>
          <w:tcPr>
            <w:tcW w:w="816" w:type="pct"/>
            <w:vAlign w:val="center"/>
          </w:tcPr>
          <w:p>
            <w:pPr>
              <w:widowControl/>
              <w:jc w:val="center"/>
              <w:textAlignment w:val="center"/>
              <w:rPr>
                <w:rFonts w:eastAsia="仿宋_GB2312"/>
                <w:b/>
                <w:bCs/>
                <w:szCs w:val="21"/>
              </w:rPr>
            </w:pPr>
            <w:r>
              <w:rPr>
                <w:rFonts w:hint="eastAsia" w:ascii="宋体" w:hAnsi="宋体" w:cs="宋体"/>
                <w:b/>
                <w:bCs/>
                <w:color w:val="000000"/>
                <w:kern w:val="0"/>
                <w:szCs w:val="21"/>
              </w:rPr>
              <w:t>2021年</w:t>
            </w:r>
            <w:r>
              <w:rPr>
                <w:rFonts w:hint="eastAsia" w:ascii="宋体" w:hAnsi="宋体" w:eastAsia="宋体" w:cs="宋体"/>
                <w:b/>
                <w:bCs/>
                <w:color w:val="000000"/>
                <w:kern w:val="0"/>
                <w:szCs w:val="21"/>
              </w:rPr>
              <w:t>预算</w:t>
            </w:r>
          </w:p>
        </w:tc>
        <w:tc>
          <w:tcPr>
            <w:tcW w:w="816" w:type="pct"/>
            <w:vAlign w:val="center"/>
          </w:tcPr>
          <w:p>
            <w:pPr>
              <w:widowControl/>
              <w:jc w:val="center"/>
              <w:textAlignment w:val="center"/>
              <w:rPr>
                <w:rFonts w:eastAsia="仿宋_GB2312"/>
                <w:b/>
                <w:bCs/>
                <w:szCs w:val="21"/>
              </w:rPr>
            </w:pPr>
            <w:r>
              <w:rPr>
                <w:rFonts w:hint="eastAsia" w:ascii="宋体" w:hAnsi="宋体" w:cs="宋体"/>
                <w:b/>
                <w:bCs/>
                <w:color w:val="000000"/>
                <w:kern w:val="0"/>
                <w:szCs w:val="21"/>
              </w:rPr>
              <w:t>2021年</w:t>
            </w:r>
            <w:r>
              <w:rPr>
                <w:rFonts w:hint="eastAsia" w:ascii="宋体" w:hAnsi="宋体" w:eastAsia="宋体" w:cs="宋体"/>
                <w:b/>
                <w:bCs/>
                <w:color w:val="000000"/>
                <w:kern w:val="0"/>
                <w:szCs w:val="21"/>
              </w:rPr>
              <w:t>决算</w:t>
            </w:r>
          </w:p>
        </w:tc>
        <w:tc>
          <w:tcPr>
            <w:tcW w:w="816" w:type="pct"/>
            <w:vAlign w:val="center"/>
          </w:tcPr>
          <w:p>
            <w:pPr>
              <w:widowControl/>
              <w:jc w:val="center"/>
              <w:textAlignment w:val="center"/>
              <w:rPr>
                <w:rFonts w:eastAsia="仿宋_GB2312"/>
                <w:b/>
                <w:bCs/>
                <w:szCs w:val="21"/>
              </w:rPr>
            </w:pPr>
            <w:r>
              <w:rPr>
                <w:rFonts w:hint="eastAsia" w:ascii="宋体" w:hAnsi="宋体" w:eastAsia="宋体" w:cs="宋体"/>
                <w:b/>
                <w:bCs/>
                <w:color w:val="000000"/>
                <w:kern w:val="0"/>
                <w:szCs w:val="21"/>
              </w:rPr>
              <w:t>结余数</w:t>
            </w:r>
          </w:p>
        </w:tc>
        <w:tc>
          <w:tcPr>
            <w:tcW w:w="816" w:type="pct"/>
            <w:vAlign w:val="center"/>
          </w:tcPr>
          <w:p>
            <w:pPr>
              <w:widowControl/>
              <w:jc w:val="center"/>
              <w:textAlignment w:val="center"/>
              <w:rPr>
                <w:rFonts w:eastAsia="仿宋_GB2312"/>
                <w:b/>
                <w:bCs/>
                <w:szCs w:val="21"/>
              </w:rPr>
            </w:pPr>
            <w:r>
              <w:rPr>
                <w:rFonts w:hint="eastAsia" w:ascii="宋体" w:hAnsi="宋体" w:eastAsia="宋体" w:cs="宋体"/>
                <w:b/>
                <w:bCs/>
                <w:color w:val="000000"/>
                <w:kern w:val="0"/>
                <w:szCs w:val="21"/>
              </w:rPr>
              <w:t>结余率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5" w:type="pct"/>
            <w:vAlign w:val="center"/>
          </w:tcPr>
          <w:p>
            <w:pPr>
              <w:jc w:val="left"/>
              <w:rPr>
                <w:rFonts w:eastAsia="仿宋_GB2312"/>
                <w:szCs w:val="21"/>
              </w:rPr>
            </w:pPr>
            <w:r>
              <w:rPr>
                <w:rFonts w:hint="eastAsia" w:eastAsia="仿宋_GB2312" w:cs="Times New Roman"/>
                <w:szCs w:val="21"/>
              </w:rPr>
              <w:t>基本支出</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370.8</w:t>
            </w:r>
            <w:r>
              <w:rPr>
                <w:rFonts w:hint="eastAsia" w:cs="Times New Roman"/>
                <w:color w:val="000000"/>
                <w:kern w:val="0"/>
                <w:szCs w:val="21"/>
              </w:rPr>
              <w:t>0</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 xml:space="preserve">279.27 </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 xml:space="preserve">91.53 </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5" w:type="pct"/>
            <w:vAlign w:val="center"/>
          </w:tcPr>
          <w:p>
            <w:pPr>
              <w:ind w:firstLine="420" w:firstLineChars="200"/>
              <w:rPr>
                <w:rFonts w:eastAsia="仿宋_GB2312"/>
                <w:szCs w:val="21"/>
              </w:rPr>
            </w:pPr>
            <w:r>
              <w:rPr>
                <w:rFonts w:hint="eastAsia" w:eastAsia="仿宋_GB2312" w:cs="Times New Roman"/>
                <w:szCs w:val="21"/>
              </w:rPr>
              <w:t>人员经费</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336.26</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 xml:space="preserve">275.80 </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 xml:space="preserve">60.46 </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5" w:type="pct"/>
            <w:vAlign w:val="center"/>
          </w:tcPr>
          <w:p>
            <w:pPr>
              <w:ind w:firstLine="420" w:firstLineChars="200"/>
              <w:rPr>
                <w:rFonts w:eastAsia="仿宋_GB2312"/>
                <w:szCs w:val="21"/>
              </w:rPr>
            </w:pPr>
            <w:r>
              <w:rPr>
                <w:rFonts w:hint="eastAsia" w:eastAsia="仿宋_GB2312" w:cs="Times New Roman"/>
                <w:szCs w:val="21"/>
              </w:rPr>
              <w:t>日常公用经费</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34.54</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 xml:space="preserve">3.47 </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 xml:space="preserve">31.07 </w:t>
            </w:r>
          </w:p>
        </w:tc>
        <w:tc>
          <w:tcPr>
            <w:tcW w:w="816" w:type="pct"/>
            <w:vAlign w:val="center"/>
          </w:tcPr>
          <w:p>
            <w:pPr>
              <w:widowControl/>
              <w:ind w:firstLine="420" w:firstLineChars="200"/>
              <w:jc w:val="center"/>
              <w:textAlignment w:val="center"/>
              <w:rPr>
                <w:rFonts w:eastAsia="仿宋_GB2312"/>
                <w:szCs w:val="21"/>
              </w:rPr>
            </w:pPr>
            <w:r>
              <w:rPr>
                <w:rFonts w:ascii="Times New Roman" w:hAnsi="Times New Roman" w:eastAsia="宋体" w:cs="Times New Roman"/>
                <w:color w:val="000000"/>
                <w:kern w:val="0"/>
                <w:szCs w:val="21"/>
              </w:rPr>
              <w:t>89.95%</w:t>
            </w:r>
          </w:p>
        </w:tc>
      </w:tr>
    </w:tbl>
    <w:p>
      <w:pPr>
        <w:ind w:firstLine="640" w:firstLineChars="200"/>
        <w:rPr>
          <w:rFonts w:eastAsia="仿宋_GB2312"/>
          <w:sz w:val="32"/>
          <w:szCs w:val="32"/>
        </w:rPr>
      </w:pPr>
      <w:r>
        <w:rPr>
          <w:rFonts w:hint="eastAsia" w:ascii="Times New Roman" w:hAnsi="Times New Roman" w:eastAsia="仿宋_GB2312" w:cs="Times New Roman"/>
          <w:sz w:val="32"/>
          <w:szCs w:val="32"/>
        </w:rPr>
        <w:t>人员经费全年预算金额</w:t>
      </w:r>
      <w:r>
        <w:rPr>
          <w:rFonts w:hint="eastAsia" w:eastAsia="仿宋_GB2312" w:cs="Times New Roman"/>
          <w:sz w:val="32"/>
          <w:szCs w:val="32"/>
        </w:rPr>
        <w:t>336.26万</w:t>
      </w:r>
      <w:r>
        <w:rPr>
          <w:rFonts w:hint="eastAsia" w:ascii="Times New Roman" w:hAnsi="Times New Roman" w:eastAsia="仿宋_GB2312" w:cs="Times New Roman"/>
          <w:sz w:val="32"/>
          <w:szCs w:val="32"/>
        </w:rPr>
        <w:t>元，决算金额</w:t>
      </w:r>
      <w:r>
        <w:rPr>
          <w:rFonts w:hint="eastAsia" w:eastAsia="仿宋_GB2312" w:cs="Times New Roman"/>
          <w:sz w:val="32"/>
          <w:szCs w:val="32"/>
        </w:rPr>
        <w:t>275.80万元，结余数60.46万元，日常公用经费全年预算数34.54万元，决算金额3.47万元，结余数31.07万元，结余的主要原因为疫情影响各项业务，年初预计的非税收入目标未实现，导致相应的支出指标结余，其中结余公务接待费0.42万元、公务用车运行维护费1.00万元。</w:t>
      </w:r>
    </w:p>
    <w:p>
      <w:pPr>
        <w:pStyle w:val="3"/>
        <w:numPr>
          <w:ilvl w:val="0"/>
          <w:numId w:val="4"/>
        </w:numPr>
        <w:rPr>
          <w:rFonts w:ascii="楷体" w:hAnsi="楷体" w:eastAsia="楷体" w:cs="楷体"/>
          <w:szCs w:val="32"/>
        </w:rPr>
      </w:pPr>
      <w:r>
        <w:rPr>
          <w:rFonts w:hint="eastAsia" w:ascii="楷体" w:hAnsi="楷体" w:eastAsia="楷体" w:cs="楷体"/>
          <w:szCs w:val="32"/>
        </w:rPr>
        <w:t>项目支出情况</w:t>
      </w:r>
    </w:p>
    <w:p>
      <w:pPr>
        <w:widowControl/>
        <w:spacing w:line="600" w:lineRule="exact"/>
        <w:ind w:left="630"/>
        <w:jc w:val="left"/>
        <w:rPr>
          <w:rFonts w:eastAsia="仿宋_GB2312"/>
          <w:sz w:val="32"/>
          <w:szCs w:val="32"/>
        </w:rPr>
      </w:pPr>
      <w:r>
        <w:rPr>
          <w:rFonts w:hint="eastAsia" w:eastAsia="仿宋_GB2312" w:cs="Times New Roman"/>
          <w:sz w:val="32"/>
          <w:szCs w:val="32"/>
        </w:rPr>
        <w:t>2021年预算安排金额0元。</w:t>
      </w:r>
    </w:p>
    <w:p>
      <w:pPr>
        <w:numPr>
          <w:ilvl w:val="0"/>
          <w:numId w:val="4"/>
        </w:numPr>
        <w:ind w:left="641"/>
        <w:rPr>
          <w:rFonts w:ascii="楷体" w:hAnsi="楷体" w:eastAsia="楷体" w:cs="楷体"/>
          <w:sz w:val="32"/>
          <w:szCs w:val="32"/>
        </w:rPr>
      </w:pPr>
      <w:r>
        <w:rPr>
          <w:rFonts w:hint="eastAsia" w:ascii="楷体" w:hAnsi="楷体" w:eastAsia="楷体" w:cs="楷体"/>
          <w:sz w:val="32"/>
          <w:szCs w:val="32"/>
        </w:rPr>
        <w:t>经营支出情况</w:t>
      </w:r>
    </w:p>
    <w:p>
      <w:pPr>
        <w:ind w:firstLine="640" w:firstLineChars="200"/>
        <w:rPr>
          <w:rFonts w:eastAsia="仿宋_GB2312"/>
          <w:sz w:val="32"/>
          <w:szCs w:val="32"/>
        </w:rPr>
      </w:pPr>
      <w:r>
        <w:rPr>
          <w:rFonts w:hint="eastAsia" w:eastAsia="仿宋_GB2312" w:cs="Times New Roman"/>
          <w:sz w:val="32"/>
          <w:szCs w:val="32"/>
        </w:rPr>
        <w:t>2021年</w:t>
      </w:r>
      <w:r>
        <w:rPr>
          <w:rFonts w:eastAsia="仿宋_GB2312" w:cs="Times New Roman"/>
          <w:sz w:val="32"/>
          <w:szCs w:val="32"/>
        </w:rPr>
        <w:t>度经营支出年初预算数</w:t>
      </w:r>
      <w:r>
        <w:rPr>
          <w:rFonts w:hint="eastAsia" w:eastAsia="仿宋_GB2312" w:cs="Times New Roman"/>
          <w:sz w:val="32"/>
          <w:szCs w:val="32"/>
        </w:rPr>
        <w:t>13.88万</w:t>
      </w:r>
      <w:r>
        <w:rPr>
          <w:rFonts w:eastAsia="仿宋_GB2312" w:cs="Times New Roman"/>
          <w:sz w:val="32"/>
          <w:szCs w:val="32"/>
        </w:rPr>
        <w:t>元，</w:t>
      </w:r>
      <w:r>
        <w:rPr>
          <w:rFonts w:hint="eastAsia" w:eastAsia="仿宋_GB2312" w:cs="Times New Roman"/>
          <w:sz w:val="32"/>
          <w:szCs w:val="32"/>
        </w:rPr>
        <w:t>2021年</w:t>
      </w:r>
      <w:r>
        <w:rPr>
          <w:rFonts w:eastAsia="仿宋_GB2312" w:cs="Times New Roman"/>
          <w:sz w:val="32"/>
          <w:szCs w:val="32"/>
        </w:rPr>
        <w:t>决算实现经营收入</w:t>
      </w:r>
      <w:r>
        <w:rPr>
          <w:rFonts w:hint="eastAsia" w:eastAsia="仿宋_GB2312" w:cs="Times New Roman"/>
          <w:sz w:val="32"/>
          <w:szCs w:val="32"/>
        </w:rPr>
        <w:t>9.88万</w:t>
      </w:r>
      <w:r>
        <w:rPr>
          <w:rFonts w:eastAsia="仿宋_GB2312" w:cs="Times New Roman"/>
          <w:sz w:val="32"/>
          <w:szCs w:val="32"/>
        </w:rPr>
        <w:t>元</w:t>
      </w:r>
      <w:r>
        <w:rPr>
          <w:rFonts w:hint="eastAsia" w:eastAsia="仿宋_GB2312" w:cs="Times New Roman"/>
          <w:sz w:val="32"/>
          <w:szCs w:val="32"/>
        </w:rPr>
        <w:t>。2021年</w:t>
      </w:r>
      <w:r>
        <w:rPr>
          <w:rFonts w:eastAsia="仿宋_GB2312" w:cs="Times New Roman"/>
          <w:sz w:val="32"/>
          <w:szCs w:val="32"/>
        </w:rPr>
        <w:t>经营支出决算数</w:t>
      </w:r>
      <w:r>
        <w:rPr>
          <w:rFonts w:hint="eastAsia" w:eastAsia="仿宋_GB2312" w:cs="Times New Roman"/>
          <w:sz w:val="32"/>
          <w:szCs w:val="32"/>
        </w:rPr>
        <w:t>160.31万</w:t>
      </w:r>
      <w:r>
        <w:rPr>
          <w:rFonts w:eastAsia="仿宋_GB2312" w:cs="Times New Roman"/>
          <w:sz w:val="32"/>
          <w:szCs w:val="32"/>
        </w:rPr>
        <w:t>元</w:t>
      </w:r>
      <w:r>
        <w:rPr>
          <w:rFonts w:hint="eastAsia" w:eastAsia="仿宋_GB2312" w:cs="Times New Roman"/>
          <w:sz w:val="32"/>
          <w:szCs w:val="32"/>
        </w:rPr>
        <w:t>。</w:t>
      </w:r>
    </w:p>
    <w:p>
      <w:pPr>
        <w:pStyle w:val="12"/>
        <w:widowControl/>
        <w:numPr>
          <w:ilvl w:val="0"/>
          <w:numId w:val="2"/>
        </w:numPr>
        <w:spacing w:line="600" w:lineRule="exact"/>
        <w:ind w:firstLineChars="0"/>
        <w:jc w:val="left"/>
        <w:rPr>
          <w:rFonts w:ascii="Times New Roman" w:hAnsi="Times New Roman" w:eastAsia="黑体"/>
          <w:sz w:val="32"/>
          <w:szCs w:val="32"/>
        </w:rPr>
      </w:pPr>
      <w:r>
        <w:rPr>
          <w:rFonts w:ascii="Times New Roman" w:hAnsi="Times New Roman" w:eastAsia="黑体"/>
          <w:sz w:val="32"/>
          <w:szCs w:val="32"/>
        </w:rPr>
        <w:t>政府性基金预算支出情况</w:t>
      </w:r>
    </w:p>
    <w:p>
      <w:pPr>
        <w:pStyle w:val="12"/>
        <w:widowControl/>
        <w:spacing w:line="600" w:lineRule="exact"/>
        <w:ind w:left="640" w:firstLine="0" w:firstLineChars="0"/>
        <w:jc w:val="left"/>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无。</w:t>
      </w:r>
    </w:p>
    <w:p>
      <w:pPr>
        <w:pStyle w:val="12"/>
        <w:widowControl/>
        <w:numPr>
          <w:ilvl w:val="0"/>
          <w:numId w:val="2"/>
        </w:numPr>
        <w:spacing w:line="600" w:lineRule="exact"/>
        <w:ind w:firstLineChars="0"/>
        <w:jc w:val="left"/>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12"/>
        <w:widowControl/>
        <w:spacing w:line="600" w:lineRule="exact"/>
        <w:ind w:left="640" w:firstLine="0" w:firstLineChars="0"/>
        <w:jc w:val="left"/>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无。</w:t>
      </w:r>
    </w:p>
    <w:p>
      <w:pPr>
        <w:pStyle w:val="12"/>
        <w:widowControl/>
        <w:numPr>
          <w:ilvl w:val="0"/>
          <w:numId w:val="2"/>
        </w:numPr>
        <w:spacing w:line="600" w:lineRule="exact"/>
        <w:ind w:firstLineChars="0"/>
        <w:jc w:val="left"/>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12"/>
        <w:widowControl/>
        <w:spacing w:line="600" w:lineRule="exact"/>
        <w:ind w:left="640" w:firstLine="0" w:firstLineChars="0"/>
        <w:jc w:val="left"/>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无。</w:t>
      </w:r>
    </w:p>
    <w:p>
      <w:pPr>
        <w:widowControl/>
        <w:numPr>
          <w:ilvl w:val="0"/>
          <w:numId w:val="2"/>
        </w:numPr>
        <w:spacing w:line="600" w:lineRule="exact"/>
        <w:jc w:val="left"/>
        <w:rPr>
          <w:rFonts w:eastAsia="黑体"/>
          <w:sz w:val="32"/>
          <w:szCs w:val="32"/>
        </w:rPr>
      </w:pPr>
      <w:r>
        <w:rPr>
          <w:rFonts w:eastAsia="黑体"/>
          <w:sz w:val="32"/>
          <w:szCs w:val="32"/>
        </w:rPr>
        <w:t>部门整体支出绩效情况</w:t>
      </w:r>
    </w:p>
    <w:p>
      <w:pPr>
        <w:pStyle w:val="7"/>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2021年在省委外事办的领导和机关各处室的关心支持下，出国（境</w:t>
      </w:r>
      <w:r>
        <w:rPr>
          <w:rFonts w:ascii="仿宋" w:hAnsi="仿宋" w:eastAsia="仿宋"/>
          <w:sz w:val="32"/>
          <w:szCs w:val="32"/>
        </w:rPr>
        <w:t>）</w:t>
      </w:r>
      <w:r>
        <w:rPr>
          <w:rFonts w:hint="eastAsia" w:ascii="仿宋" w:hAnsi="仿宋" w:eastAsia="仿宋"/>
          <w:sz w:val="32"/>
          <w:szCs w:val="32"/>
        </w:rPr>
        <w:t>服务中心深入贯彻落实习近平新时代中国特色社会主义思想和习近平外交思想，坚持以习近平总书记系列重要讲话精神和治国理政新理念新思想新战略为指导，按照年初计划开展工作，取得了良好效果。</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中心财务支出严格执行财务制度，落实厉行节约的各项规定，控制办公费用开支，确保“三公经费”使用合理合规。</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中心部门整体支出绩效评价自评得分为97分。其中预算执行率得分为10分、产出指标类得分为50分、效益指标类得分为27分、满意度指标得分为10分。</w:t>
      </w:r>
    </w:p>
    <w:p>
      <w:pPr>
        <w:widowControl/>
        <w:numPr>
          <w:ilvl w:val="0"/>
          <w:numId w:val="5"/>
        </w:numPr>
        <w:spacing w:line="600" w:lineRule="exact"/>
        <w:ind w:firstLine="645"/>
        <w:jc w:val="left"/>
        <w:rPr>
          <w:rFonts w:ascii="楷体" w:hAnsi="楷体" w:eastAsia="楷体" w:cs="楷体"/>
          <w:color w:val="000000"/>
          <w:sz w:val="32"/>
          <w:szCs w:val="32"/>
        </w:rPr>
      </w:pPr>
      <w:r>
        <w:rPr>
          <w:rFonts w:hint="eastAsia" w:ascii="楷体" w:hAnsi="楷体" w:eastAsia="楷体" w:cs="楷体"/>
          <w:color w:val="000000"/>
          <w:sz w:val="32"/>
          <w:szCs w:val="32"/>
        </w:rPr>
        <w:t>执行率10分，实际得分10分。</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2021年，根据年初的工作思路，结合具体实际，出国（境）服务中心将为人民服务的意识落实到各项工作中，紧紧围绕一切服务于外侨工作大局、服务于全省出国人员这个工作目标，全面加强中心建设，各项工作稳步推进。中心全年预算数为384.68万元，实际执行数为439.58万元，全年执行数为114.27%。该项指标得分10分。</w:t>
      </w:r>
    </w:p>
    <w:p>
      <w:pPr>
        <w:widowControl/>
        <w:spacing w:line="600" w:lineRule="exact"/>
        <w:ind w:firstLine="645"/>
        <w:jc w:val="left"/>
        <w:rPr>
          <w:rFonts w:ascii="楷体" w:hAnsi="楷体" w:eastAsia="楷体" w:cs="楷体"/>
          <w:color w:val="000000"/>
          <w:sz w:val="32"/>
          <w:szCs w:val="32"/>
        </w:rPr>
      </w:pPr>
      <w:r>
        <w:rPr>
          <w:rFonts w:hint="eastAsia" w:ascii="楷体" w:hAnsi="楷体" w:eastAsia="楷体" w:cs="楷体"/>
          <w:color w:val="000000"/>
          <w:sz w:val="32"/>
          <w:szCs w:val="32"/>
        </w:rPr>
        <w:t>（二）产出指标50分，实际得分50分。</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1、数量指标18分，实际得分18分。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（1）审批及证照：继续受疫情影响，因公出国审批数79批次，237人次；护照受理数142批次，324人次；护照新证数189本。通行证新证数160本，签注数205人次。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（2）我省共办理领事认证5127本，其中，代办国家1040本，自办国家4087本，同期相比增长32%。</w:t>
      </w:r>
    </w:p>
    <w:p>
      <w:pPr>
        <w:widowControl/>
        <w:spacing w:line="600" w:lineRule="exact"/>
        <w:ind w:left="630"/>
        <w:jc w:val="left"/>
        <w:rPr>
          <w:rFonts w:eastAsia="仿宋_GB2312"/>
          <w:color w:val="000000"/>
          <w:sz w:val="32"/>
          <w:szCs w:val="32"/>
        </w:rPr>
      </w:pPr>
      <w:r>
        <w:rPr>
          <w:rFonts w:hint="eastAsia" w:eastAsia="仿宋_GB2312"/>
          <w:color w:val="000000"/>
          <w:sz w:val="32"/>
          <w:szCs w:val="32"/>
        </w:rPr>
        <w:t>2、质量指标12分，实际得分12分。</w:t>
      </w:r>
    </w:p>
    <w:p>
      <w:pPr>
        <w:widowControl/>
        <w:spacing w:line="600" w:lineRule="exact"/>
        <w:ind w:firstLine="645"/>
        <w:jc w:val="left"/>
        <w:rPr>
          <w:rFonts w:eastAsia="仿宋_GB2312"/>
          <w:color w:val="000000"/>
          <w:sz w:val="32"/>
          <w:szCs w:val="32"/>
        </w:rPr>
      </w:pPr>
      <w:r>
        <w:rPr>
          <w:rFonts w:hint="eastAsia" w:ascii="仿宋_GB2312" w:hAnsi="仿宋_GB2312" w:eastAsia="仿宋_GB2312" w:cs="仿宋_GB2312"/>
          <w:sz w:val="32"/>
          <w:szCs w:val="32"/>
        </w:rPr>
        <w:t>（1）中心不断推进湖南智慧外事平台二期建设工作，根据二期所需数据信息创建表格模版（友好人士、驻湘机构、多边活动），并向机关各处室收集相关信息后整理导入数据库；经向有关业务处室请示与沟通，二期新增了多边活动、风采展示、香港（澳门）地区等板块。</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（2）进一步完善湖南HERE数据库信息采集，为湖南的“云外事”、“云交往”提供数据服务。</w:t>
      </w:r>
    </w:p>
    <w:p>
      <w:pPr>
        <w:widowControl/>
        <w:spacing w:line="600" w:lineRule="exact"/>
        <w:ind w:firstLine="640"/>
        <w:jc w:val="left"/>
        <w:rPr>
          <w:rFonts w:eastAsia="仿宋_GB2312"/>
          <w:color w:val="000000"/>
          <w:sz w:val="32"/>
          <w:szCs w:val="32"/>
        </w:rPr>
      </w:pPr>
      <w:r>
        <w:rPr>
          <w:rFonts w:hint="eastAsia" w:eastAsia="仿宋_GB2312"/>
          <w:color w:val="000000"/>
          <w:sz w:val="32"/>
          <w:szCs w:val="32"/>
        </w:rPr>
        <w:t>3、时效指标20分，实际得分20分。</w:t>
      </w:r>
    </w:p>
    <w:p>
      <w:pPr>
        <w:ind w:firstLine="640" w:firstLineChars="200"/>
        <w:rPr>
          <w:rFonts w:eastAsia="仿宋_GB2312"/>
          <w:color w:val="000000"/>
          <w:sz w:val="32"/>
          <w:szCs w:val="32"/>
        </w:rPr>
      </w:pPr>
      <w:r>
        <w:rPr>
          <w:rFonts w:hint="eastAsia" w:ascii="仿宋_GB2312" w:eastAsia="仿宋_GB2312"/>
          <w:sz w:val="32"/>
          <w:szCs w:val="32"/>
        </w:rPr>
        <w:t>（1）每月最后一个周三开展现场教学、联系基层等主题党日活动，围绕当月专题进行交流研讨。</w:t>
      </w:r>
    </w:p>
    <w:p>
      <w:pPr>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2）中心严格按照国有企业公司制改革的要求，积极稳妥地完成了原“湖南省出国人员服务中心”的改制工作，成立了“湖南省外事服务中心有限责任公司”，建立了新的企业领导班子，进一步了完善公司制度建设，以改革为契机，培育企业自身成长动力，为进一步发展打下了坚实基础。</w:t>
      </w:r>
    </w:p>
    <w:p>
      <w:pPr>
        <w:widowControl/>
        <w:spacing w:line="60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根据工作需求，完成新版的“湖南智慧外事平台”的文字介绍及大厅屏幕展示的PPT并起草《湖南Here使用管理办法（征求意见稿）》；“湖南智慧外事平台”被外交部评为“优秀外事案例”，荣获“国家（湖南省级）科技成果”，申获“计算机软件著作权”。</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综上所述，产出指标得分50分。</w:t>
      </w:r>
    </w:p>
    <w:p>
      <w:pPr>
        <w:widowControl/>
        <w:spacing w:line="600" w:lineRule="exact"/>
        <w:ind w:firstLine="645"/>
        <w:jc w:val="left"/>
        <w:rPr>
          <w:rFonts w:ascii="楷体" w:hAnsi="楷体" w:eastAsia="楷体" w:cs="楷体"/>
          <w:color w:val="000000"/>
          <w:sz w:val="32"/>
          <w:szCs w:val="32"/>
        </w:rPr>
      </w:pPr>
      <w:r>
        <w:rPr>
          <w:rFonts w:hint="eastAsia" w:ascii="楷体" w:hAnsi="楷体" w:eastAsia="楷体" w:cs="楷体"/>
          <w:color w:val="000000"/>
          <w:sz w:val="32"/>
          <w:szCs w:val="32"/>
        </w:rPr>
        <w:t>（三）效益指标30分，实际得分27分。</w:t>
      </w:r>
    </w:p>
    <w:p>
      <w:pPr>
        <w:widowControl/>
        <w:numPr>
          <w:ilvl w:val="0"/>
          <w:numId w:val="6"/>
        </w:numPr>
        <w:spacing w:line="600" w:lineRule="exact"/>
        <w:ind w:firstLine="645"/>
        <w:jc w:val="left"/>
        <w:rPr>
          <w:rFonts w:eastAsia="仿宋_GB2312"/>
          <w:color w:val="000000"/>
          <w:sz w:val="32"/>
          <w:szCs w:val="32"/>
        </w:rPr>
      </w:pPr>
      <w:r>
        <w:rPr>
          <w:rFonts w:hint="eastAsia" w:eastAsia="仿宋_GB2312"/>
          <w:color w:val="000000"/>
          <w:sz w:val="32"/>
          <w:szCs w:val="32"/>
        </w:rPr>
        <w:t>经济效益指标8分，得分5分。</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由于疫情影响，2021年我中心非税收入74.36万元，未完成年初预算目标。该项指标得分5分。</w:t>
      </w:r>
    </w:p>
    <w:p>
      <w:pPr>
        <w:widowControl/>
        <w:numPr>
          <w:ilvl w:val="0"/>
          <w:numId w:val="6"/>
        </w:numPr>
        <w:spacing w:line="600" w:lineRule="exact"/>
        <w:ind w:firstLine="645"/>
        <w:jc w:val="left"/>
        <w:rPr>
          <w:rFonts w:eastAsia="仿宋_GB2312"/>
          <w:color w:val="000000"/>
          <w:sz w:val="32"/>
          <w:szCs w:val="32"/>
        </w:rPr>
      </w:pPr>
      <w:r>
        <w:rPr>
          <w:rFonts w:hint="eastAsia" w:eastAsia="仿宋_GB2312"/>
          <w:color w:val="000000"/>
          <w:sz w:val="32"/>
          <w:szCs w:val="32"/>
        </w:rPr>
        <w:t>社会效益12分，得分12分。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（1）因公签证，送办签证共17批次/24人次，均为北京送签，且疫情期间全部正常出签。</w:t>
      </w:r>
    </w:p>
    <w:p>
      <w:pPr>
        <w:spacing w:line="560" w:lineRule="exact"/>
        <w:ind w:firstLine="640" w:firstLineChars="200"/>
        <w:rPr>
          <w:rFonts w:eastAsia="仿宋_GB2312"/>
          <w:color w:val="000000"/>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立足于服务“三高四新”战略，赴市州调研，对话市州外事办和企业，了解困难与需求，帮助解决实际问题，并将反馈信息进行整理分析，有针对性的研究切实可行的解决方案。</w:t>
      </w:r>
    </w:p>
    <w:p>
      <w:pPr>
        <w:numPr>
          <w:ilvl w:val="0"/>
          <w:numId w:val="6"/>
        </w:numPr>
        <w:spacing w:line="560" w:lineRule="exact"/>
        <w:ind w:firstLine="645"/>
        <w:rPr>
          <w:rFonts w:ascii="仿宋_GB2312" w:hAnsi="仿宋" w:eastAsia="仿宋_GB2312"/>
          <w:sz w:val="32"/>
          <w:szCs w:val="32"/>
        </w:rPr>
      </w:pPr>
      <w:r>
        <w:rPr>
          <w:rFonts w:hint="eastAsia" w:ascii="仿宋_GB2312" w:hAnsi="仿宋" w:eastAsia="仿宋_GB2312"/>
          <w:sz w:val="32"/>
          <w:szCs w:val="32"/>
        </w:rPr>
        <w:t>可持续影响10分，得分10分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省委组织部、省委编办要求的档案清查、机构编制清查为契机，中心进一步厘清了单位的编制，进一步推动了中心内部机构和人才队伍建设。一是对内设机构及工作岗位进行了科学合理调整，二是对全体干部职工的人事档案进行清理，对档案中查出的问题进行了认定或处理。</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sz w:val="32"/>
          <w:szCs w:val="32"/>
        </w:rPr>
        <w:t>持续优化窗口建设，对办理流程进行优化。</w:t>
      </w:r>
      <w:r>
        <w:rPr>
          <w:rFonts w:hint="eastAsia" w:ascii="仿宋_GB2312" w:eastAsia="仿宋_GB2312"/>
          <w:sz w:val="32"/>
          <w:szCs w:val="32"/>
        </w:rPr>
        <w:t>在三楼大厅窗口推行“首问负责”服务模式，针对新冠疫情全球流行背景下的业务量不平衡现状对办理流程进行优化，减少个别柜台的等候和办事时间。倡导暖心服务，提升员工专业素养和服务意识，并公示监督和投诉途径，自觉接受办事群众的监督。</w:t>
      </w:r>
    </w:p>
    <w:p>
      <w:pPr>
        <w:widowControl/>
        <w:spacing w:line="600" w:lineRule="exact"/>
        <w:ind w:firstLine="645"/>
        <w:jc w:val="left"/>
        <w:rPr>
          <w:rFonts w:ascii="楷体" w:hAnsi="楷体" w:eastAsia="楷体" w:cs="楷体"/>
          <w:color w:val="000000"/>
          <w:sz w:val="32"/>
          <w:szCs w:val="32"/>
        </w:rPr>
      </w:pPr>
      <w:r>
        <w:rPr>
          <w:rFonts w:hint="eastAsia" w:ascii="楷体" w:hAnsi="楷体" w:eastAsia="楷体" w:cs="楷体"/>
          <w:color w:val="000000"/>
          <w:sz w:val="32"/>
          <w:szCs w:val="32"/>
        </w:rPr>
        <w:t>（四）服务对象满意度指标10分，实际得分10分。</w:t>
      </w:r>
    </w:p>
    <w:p>
      <w:pPr>
        <w:widowControl/>
        <w:spacing w:line="600" w:lineRule="exact"/>
        <w:ind w:firstLine="645"/>
        <w:jc w:val="left"/>
        <w:rPr>
          <w:rFonts w:eastAsia="仿宋_GB2312"/>
          <w:color w:val="000000"/>
          <w:sz w:val="32"/>
          <w:szCs w:val="32"/>
        </w:rPr>
      </w:pPr>
      <w:r>
        <w:rPr>
          <w:rFonts w:hint="eastAsia" w:eastAsia="仿宋_GB2312"/>
          <w:color w:val="000000"/>
          <w:sz w:val="32"/>
          <w:szCs w:val="32"/>
        </w:rPr>
        <w:t>2021年中心优化各项服务，以“便民服务为宗旨”，提高员工业务技能，更好地为走出国门的单位和民众服务。一年来，大厅实现了零差错、零投诉。该项指标得分10分。</w:t>
      </w:r>
    </w:p>
    <w:p>
      <w:pPr>
        <w:pStyle w:val="12"/>
        <w:widowControl/>
        <w:numPr>
          <w:ilvl w:val="0"/>
          <w:numId w:val="7"/>
        </w:numPr>
        <w:spacing w:line="600" w:lineRule="exact"/>
        <w:ind w:firstLineChars="0"/>
        <w:jc w:val="left"/>
        <w:rPr>
          <w:rFonts w:ascii="Times New Roman" w:hAnsi="Times New Roman" w:eastAsia="黑体"/>
          <w:sz w:val="32"/>
          <w:szCs w:val="32"/>
        </w:rPr>
      </w:pPr>
      <w:r>
        <w:rPr>
          <w:rFonts w:ascii="Times New Roman" w:hAnsi="Times New Roman" w:eastAsia="黑体"/>
          <w:sz w:val="32"/>
          <w:szCs w:val="32"/>
        </w:rPr>
        <w:t>存在的问题及</w:t>
      </w:r>
      <w:r>
        <w:rPr>
          <w:rFonts w:hint="eastAsia" w:ascii="Times New Roman" w:hAnsi="Times New Roman" w:eastAsia="黑体"/>
          <w:sz w:val="32"/>
          <w:szCs w:val="32"/>
        </w:rPr>
        <w:t>原因分析</w:t>
      </w:r>
    </w:p>
    <w:p>
      <w:pPr>
        <w:widowControl/>
        <w:spacing w:line="600" w:lineRule="exact"/>
        <w:ind w:firstLine="640" w:firstLineChars="200"/>
        <w:jc w:val="left"/>
        <w:rPr>
          <w:rFonts w:eastAsia="仿宋_GB2312"/>
          <w:sz w:val="32"/>
          <w:szCs w:val="32"/>
        </w:rPr>
      </w:pPr>
      <w:r>
        <w:rPr>
          <w:rFonts w:hint="eastAsia" w:eastAsia="仿宋_GB2312"/>
          <w:sz w:val="32"/>
          <w:szCs w:val="32"/>
        </w:rPr>
        <w:t>中心存在的主要问题为</w:t>
      </w:r>
      <w:r>
        <w:rPr>
          <w:rFonts w:hint="eastAsia" w:ascii="仿宋_GB2312" w:eastAsia="仿宋_GB2312"/>
          <w:sz w:val="32"/>
          <w:szCs w:val="32"/>
        </w:rPr>
        <w:t>受疫情影响，各项自收业务受到巨大冲击，非税收入执行情况不理想，资金压力大</w:t>
      </w:r>
      <w:r>
        <w:rPr>
          <w:rFonts w:hint="eastAsia" w:eastAsia="仿宋_GB2312"/>
          <w:sz w:val="32"/>
          <w:szCs w:val="32"/>
        </w:rPr>
        <w:t>。</w:t>
      </w:r>
      <w:r>
        <w:rPr>
          <w:rFonts w:hint="eastAsia" w:ascii="仿宋_GB2312" w:eastAsia="仿宋_GB2312"/>
          <w:sz w:val="32"/>
          <w:szCs w:val="32"/>
        </w:rPr>
        <w:t>根据目前形势，2022年这种冲击将继续延续。</w:t>
      </w:r>
    </w:p>
    <w:p>
      <w:pPr>
        <w:widowControl/>
        <w:numPr>
          <w:ilvl w:val="0"/>
          <w:numId w:val="7"/>
        </w:numPr>
        <w:spacing w:line="600" w:lineRule="exact"/>
        <w:jc w:val="left"/>
        <w:rPr>
          <w:rFonts w:eastAsia="黑体"/>
          <w:sz w:val="32"/>
          <w:szCs w:val="32"/>
        </w:rPr>
      </w:pPr>
      <w:r>
        <w:rPr>
          <w:rFonts w:ascii="黑体" w:hAnsi="黑体" w:eastAsia="黑体"/>
          <w:sz w:val="32"/>
          <w:szCs w:val="32"/>
        </w:rPr>
        <w:t>下一步</w:t>
      </w:r>
      <w:r>
        <w:rPr>
          <w:rFonts w:eastAsia="黑体"/>
          <w:sz w:val="32"/>
          <w:szCs w:val="32"/>
        </w:rPr>
        <w:t>改进措施</w:t>
      </w:r>
    </w:p>
    <w:p>
      <w:pPr>
        <w:spacing w:line="560" w:lineRule="exact"/>
        <w:ind w:firstLine="640" w:firstLineChars="200"/>
        <w:rPr>
          <w:rFonts w:ascii="仿宋_GB2312" w:hAnsi="黑体" w:eastAsia="仿宋_GB2312" w:cs="黑体"/>
          <w:sz w:val="32"/>
          <w:szCs w:val="32"/>
        </w:rPr>
      </w:pPr>
      <w:r>
        <w:rPr>
          <w:rFonts w:hint="eastAsia" w:ascii="仿宋_GB2312" w:eastAsia="仿宋_GB2312"/>
          <w:sz w:val="32"/>
          <w:szCs w:val="32"/>
        </w:rPr>
        <w:t>继续争取办机关和省财政对中心的支持，保障日常涉外服务工作正常开展。同时着力节约其他支出，尽可能减少疫情影响。</w:t>
      </w:r>
    </w:p>
    <w:p>
      <w:pPr>
        <w:widowControl/>
        <w:spacing w:line="600" w:lineRule="exact"/>
        <w:ind w:firstLine="645"/>
        <w:jc w:val="left"/>
        <w:rPr>
          <w:rFonts w:eastAsia="黑体"/>
          <w:sz w:val="32"/>
          <w:szCs w:val="32"/>
        </w:rPr>
      </w:pPr>
      <w:r>
        <w:rPr>
          <w:rFonts w:hint="eastAsia" w:eastAsia="黑体"/>
          <w:sz w:val="32"/>
          <w:szCs w:val="32"/>
        </w:rPr>
        <w:t>九</w:t>
      </w:r>
      <w:r>
        <w:rPr>
          <w:rFonts w:eastAsia="黑体"/>
          <w:sz w:val="32"/>
          <w:szCs w:val="32"/>
        </w:rPr>
        <w:t>、绩效自评结果拟应用和公开情况</w:t>
      </w:r>
    </w:p>
    <w:p>
      <w:pPr>
        <w:widowControl/>
        <w:spacing w:line="600" w:lineRule="exact"/>
        <w:ind w:firstLine="645"/>
        <w:jc w:val="left"/>
        <w:rPr>
          <w:rFonts w:eastAsia="仿宋_GB2312"/>
          <w:color w:val="000000"/>
          <w:sz w:val="32"/>
          <w:szCs w:val="32"/>
        </w:rPr>
      </w:pPr>
      <w:r>
        <w:rPr>
          <w:rFonts w:hint="eastAsia" w:ascii="楷体" w:hAnsi="楷体" w:eastAsia="楷体" w:cs="楷体"/>
          <w:color w:val="000000"/>
          <w:sz w:val="32"/>
          <w:szCs w:val="32"/>
        </w:rPr>
        <w:t>（一）反馈整改。</w:t>
      </w:r>
      <w:r>
        <w:rPr>
          <w:rFonts w:hint="eastAsia" w:eastAsia="仿宋_GB2312"/>
          <w:color w:val="000000"/>
          <w:sz w:val="32"/>
          <w:szCs w:val="32"/>
        </w:rPr>
        <w:t>中心将对评价中发现的问题，及时进行督促整改。各内设机构要加强预算管理意识，严格按照预算编制的相关制度和要求，结合年度收支计划，科学编制预算，遵循预算管理办法。</w:t>
      </w:r>
    </w:p>
    <w:p>
      <w:pPr>
        <w:widowControl/>
        <w:spacing w:line="600" w:lineRule="exact"/>
        <w:ind w:firstLine="645"/>
        <w:jc w:val="left"/>
        <w:rPr>
          <w:rFonts w:eastAsia="仿宋_GB2312"/>
          <w:color w:val="000000"/>
          <w:sz w:val="32"/>
          <w:szCs w:val="32"/>
        </w:rPr>
      </w:pPr>
      <w:r>
        <w:rPr>
          <w:rFonts w:hint="eastAsia" w:ascii="楷体" w:hAnsi="楷体" w:eastAsia="楷体" w:cs="楷体"/>
          <w:color w:val="000000"/>
          <w:sz w:val="32"/>
          <w:szCs w:val="32"/>
        </w:rPr>
        <w:t>（二）考核通报。</w:t>
      </w:r>
      <w:r>
        <w:rPr>
          <w:rFonts w:hint="eastAsia" w:eastAsia="仿宋_GB2312"/>
          <w:color w:val="000000"/>
          <w:sz w:val="32"/>
          <w:szCs w:val="32"/>
        </w:rPr>
        <w:t>中心将绩效自评工作开展情况报省委外事办。</w:t>
      </w:r>
    </w:p>
    <w:p>
      <w:pPr>
        <w:widowControl/>
        <w:spacing w:line="600" w:lineRule="exact"/>
        <w:ind w:firstLine="645"/>
        <w:jc w:val="left"/>
        <w:rPr>
          <w:rFonts w:eastAsia="仿宋_GB2312"/>
          <w:color w:val="000000"/>
          <w:sz w:val="32"/>
          <w:szCs w:val="32"/>
        </w:rPr>
      </w:pPr>
      <w:r>
        <w:rPr>
          <w:rFonts w:hint="eastAsia" w:ascii="楷体" w:hAnsi="楷体" w:eastAsia="楷体" w:cs="楷体"/>
          <w:color w:val="000000"/>
          <w:sz w:val="32"/>
          <w:szCs w:val="32"/>
        </w:rPr>
        <w:t>（三）公开结果。</w:t>
      </w:r>
      <w:r>
        <w:rPr>
          <w:rFonts w:hint="eastAsia" w:eastAsia="仿宋_GB2312"/>
          <w:color w:val="000000"/>
          <w:sz w:val="32"/>
          <w:szCs w:val="32"/>
        </w:rPr>
        <w:t>除涉密信息外，中心于2022年6月20日前在门户网站全面公开2021年度部门支出绩效自评报告，接受社会监督。</w:t>
      </w:r>
    </w:p>
    <w:p>
      <w:pPr>
        <w:widowControl/>
        <w:jc w:val="left"/>
        <w:rPr>
          <w:rFonts w:ascii="黑体" w:eastAsia="黑体" w:cs="黑体"/>
          <w:color w:val="000000"/>
          <w:kern w:val="0"/>
          <w:sz w:val="70"/>
          <w:szCs w:val="7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华文中宋">
    <w:altName w:val="hakuyoxingshu7000"/>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74F8E"/>
    <w:multiLevelType w:val="singleLevel"/>
    <w:tmpl w:val="ABA74F8E"/>
    <w:lvl w:ilvl="0" w:tentative="0">
      <w:start w:val="1"/>
      <w:numFmt w:val="chineseCounting"/>
      <w:suff w:val="nothing"/>
      <w:lvlText w:val="（%1）"/>
      <w:lvlJc w:val="left"/>
      <w:rPr>
        <w:rFonts w:hint="eastAsia"/>
      </w:rPr>
    </w:lvl>
  </w:abstractNum>
  <w:abstractNum w:abstractNumId="1">
    <w:nsid w:val="FA265280"/>
    <w:multiLevelType w:val="singleLevel"/>
    <w:tmpl w:val="FA265280"/>
    <w:lvl w:ilvl="0" w:tentative="0">
      <w:start w:val="1"/>
      <w:numFmt w:val="decimal"/>
      <w:suff w:val="nothing"/>
      <w:lvlText w:val="%1、"/>
      <w:lvlJc w:val="left"/>
    </w:lvl>
  </w:abstractNum>
  <w:abstractNum w:abstractNumId="2">
    <w:nsid w:val="1C953307"/>
    <w:multiLevelType w:val="multilevel"/>
    <w:tmpl w:val="1C953307"/>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18206AD"/>
    <w:multiLevelType w:val="multilevel"/>
    <w:tmpl w:val="318206A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2E12C1"/>
    <w:multiLevelType w:val="singleLevel"/>
    <w:tmpl w:val="652E12C1"/>
    <w:lvl w:ilvl="0" w:tentative="0">
      <w:start w:val="1"/>
      <w:numFmt w:val="chineseCounting"/>
      <w:suff w:val="nothing"/>
      <w:lvlText w:val="（%1）"/>
      <w:lvlJc w:val="left"/>
      <w:rPr>
        <w:rFonts w:hint="eastAsia"/>
      </w:rPr>
    </w:lvl>
  </w:abstractNum>
  <w:abstractNum w:abstractNumId="6">
    <w:nsid w:val="79AC1E24"/>
    <w:multiLevelType w:val="multilevel"/>
    <w:tmpl w:val="79AC1E2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3NWY2NjI0MTlkMjhhMzVhZjMyYWE3NjQyYjk1MzYifQ=="/>
  </w:docVars>
  <w:rsids>
    <w:rsidRoot w:val="00DE74DA"/>
    <w:rsid w:val="000054B2"/>
    <w:rsid w:val="0003054F"/>
    <w:rsid w:val="00116DF0"/>
    <w:rsid w:val="001316C4"/>
    <w:rsid w:val="00141835"/>
    <w:rsid w:val="00144898"/>
    <w:rsid w:val="00157746"/>
    <w:rsid w:val="00173F26"/>
    <w:rsid w:val="001946C4"/>
    <w:rsid w:val="001A0C90"/>
    <w:rsid w:val="002678F7"/>
    <w:rsid w:val="00272684"/>
    <w:rsid w:val="00283781"/>
    <w:rsid w:val="0029076F"/>
    <w:rsid w:val="00297AC1"/>
    <w:rsid w:val="00315831"/>
    <w:rsid w:val="003C0FF2"/>
    <w:rsid w:val="003D2A84"/>
    <w:rsid w:val="00411D66"/>
    <w:rsid w:val="0041661F"/>
    <w:rsid w:val="00441BF3"/>
    <w:rsid w:val="004C272B"/>
    <w:rsid w:val="004D7183"/>
    <w:rsid w:val="004E1A77"/>
    <w:rsid w:val="00507179"/>
    <w:rsid w:val="00541D81"/>
    <w:rsid w:val="00543F36"/>
    <w:rsid w:val="00554D4A"/>
    <w:rsid w:val="00564FDD"/>
    <w:rsid w:val="00591117"/>
    <w:rsid w:val="005C76E6"/>
    <w:rsid w:val="006164E3"/>
    <w:rsid w:val="00682BD1"/>
    <w:rsid w:val="00682DDD"/>
    <w:rsid w:val="00687C48"/>
    <w:rsid w:val="006A463A"/>
    <w:rsid w:val="006C3144"/>
    <w:rsid w:val="00711971"/>
    <w:rsid w:val="007529A0"/>
    <w:rsid w:val="007551E9"/>
    <w:rsid w:val="00777BB2"/>
    <w:rsid w:val="00791707"/>
    <w:rsid w:val="00794344"/>
    <w:rsid w:val="007A6AF3"/>
    <w:rsid w:val="007B6A95"/>
    <w:rsid w:val="007E3B09"/>
    <w:rsid w:val="00852A94"/>
    <w:rsid w:val="00867008"/>
    <w:rsid w:val="008A59DD"/>
    <w:rsid w:val="009032F1"/>
    <w:rsid w:val="00925103"/>
    <w:rsid w:val="009A54C4"/>
    <w:rsid w:val="009A570A"/>
    <w:rsid w:val="00A019D2"/>
    <w:rsid w:val="00A14609"/>
    <w:rsid w:val="00A20B7F"/>
    <w:rsid w:val="00A637D7"/>
    <w:rsid w:val="00AD171B"/>
    <w:rsid w:val="00AE42FD"/>
    <w:rsid w:val="00B1779B"/>
    <w:rsid w:val="00B203EA"/>
    <w:rsid w:val="00B3034F"/>
    <w:rsid w:val="00B558AF"/>
    <w:rsid w:val="00B61920"/>
    <w:rsid w:val="00B70E93"/>
    <w:rsid w:val="00B7459B"/>
    <w:rsid w:val="00B85CDD"/>
    <w:rsid w:val="00BC1ECB"/>
    <w:rsid w:val="00BF435B"/>
    <w:rsid w:val="00C00883"/>
    <w:rsid w:val="00C377C2"/>
    <w:rsid w:val="00CD4D87"/>
    <w:rsid w:val="00CE0B7E"/>
    <w:rsid w:val="00D0007B"/>
    <w:rsid w:val="00D04392"/>
    <w:rsid w:val="00D118D4"/>
    <w:rsid w:val="00D34180"/>
    <w:rsid w:val="00D451E5"/>
    <w:rsid w:val="00D51FD5"/>
    <w:rsid w:val="00D85069"/>
    <w:rsid w:val="00DC6F19"/>
    <w:rsid w:val="00DD1D1F"/>
    <w:rsid w:val="00DE74DA"/>
    <w:rsid w:val="00E03E15"/>
    <w:rsid w:val="00E4364D"/>
    <w:rsid w:val="00E54F8C"/>
    <w:rsid w:val="00E56B57"/>
    <w:rsid w:val="00E708AA"/>
    <w:rsid w:val="00EA6A57"/>
    <w:rsid w:val="00EB5612"/>
    <w:rsid w:val="00EE37ED"/>
    <w:rsid w:val="00EE4D8B"/>
    <w:rsid w:val="00F10519"/>
    <w:rsid w:val="00F27613"/>
    <w:rsid w:val="00F35594"/>
    <w:rsid w:val="00F43BD4"/>
    <w:rsid w:val="00F72C57"/>
    <w:rsid w:val="00F96C28"/>
    <w:rsid w:val="00F96F09"/>
    <w:rsid w:val="00FA0EA5"/>
    <w:rsid w:val="00FD7115"/>
    <w:rsid w:val="02BD4162"/>
    <w:rsid w:val="030925B5"/>
    <w:rsid w:val="030F7D1B"/>
    <w:rsid w:val="048E31A3"/>
    <w:rsid w:val="04995529"/>
    <w:rsid w:val="051E3E59"/>
    <w:rsid w:val="05837CA6"/>
    <w:rsid w:val="05AB64D5"/>
    <w:rsid w:val="071F1C2D"/>
    <w:rsid w:val="07D165CB"/>
    <w:rsid w:val="09726419"/>
    <w:rsid w:val="09EC4323"/>
    <w:rsid w:val="0AEC3153"/>
    <w:rsid w:val="0B364D36"/>
    <w:rsid w:val="0CC0335C"/>
    <w:rsid w:val="0D906DE6"/>
    <w:rsid w:val="0E187E9F"/>
    <w:rsid w:val="0E6B5EC2"/>
    <w:rsid w:val="0F674D1F"/>
    <w:rsid w:val="109850F4"/>
    <w:rsid w:val="11904E0C"/>
    <w:rsid w:val="11AB3EF8"/>
    <w:rsid w:val="12C73587"/>
    <w:rsid w:val="13102BA6"/>
    <w:rsid w:val="145277D1"/>
    <w:rsid w:val="16A375C4"/>
    <w:rsid w:val="188A0A50"/>
    <w:rsid w:val="18E9729A"/>
    <w:rsid w:val="19005176"/>
    <w:rsid w:val="1AAD5706"/>
    <w:rsid w:val="1AEE47AA"/>
    <w:rsid w:val="1AF45685"/>
    <w:rsid w:val="1AF470E2"/>
    <w:rsid w:val="1B1528A5"/>
    <w:rsid w:val="1BA0729D"/>
    <w:rsid w:val="1C8D43DC"/>
    <w:rsid w:val="1D886957"/>
    <w:rsid w:val="1E2335B5"/>
    <w:rsid w:val="1EAA487B"/>
    <w:rsid w:val="1EE37DF4"/>
    <w:rsid w:val="20695199"/>
    <w:rsid w:val="210C07A5"/>
    <w:rsid w:val="21893052"/>
    <w:rsid w:val="21B07F50"/>
    <w:rsid w:val="21D80396"/>
    <w:rsid w:val="21EB1FC1"/>
    <w:rsid w:val="21FE68D8"/>
    <w:rsid w:val="23452E53"/>
    <w:rsid w:val="23D83EFC"/>
    <w:rsid w:val="24534B40"/>
    <w:rsid w:val="247B4ED4"/>
    <w:rsid w:val="24B12173"/>
    <w:rsid w:val="250454D7"/>
    <w:rsid w:val="253626FC"/>
    <w:rsid w:val="25872986"/>
    <w:rsid w:val="260C5F3D"/>
    <w:rsid w:val="26251F83"/>
    <w:rsid w:val="26556FB6"/>
    <w:rsid w:val="27BE2590"/>
    <w:rsid w:val="29F37197"/>
    <w:rsid w:val="2A893195"/>
    <w:rsid w:val="2B0D0B4B"/>
    <w:rsid w:val="2B664F7E"/>
    <w:rsid w:val="2CB17301"/>
    <w:rsid w:val="2D271C31"/>
    <w:rsid w:val="2D8535CB"/>
    <w:rsid w:val="2DE07A16"/>
    <w:rsid w:val="2E3611F6"/>
    <w:rsid w:val="2F260132"/>
    <w:rsid w:val="2FF0101B"/>
    <w:rsid w:val="2FF960B9"/>
    <w:rsid w:val="30140472"/>
    <w:rsid w:val="31DC5C2A"/>
    <w:rsid w:val="326D782B"/>
    <w:rsid w:val="3303602F"/>
    <w:rsid w:val="33284DF7"/>
    <w:rsid w:val="332D462F"/>
    <w:rsid w:val="33714B9C"/>
    <w:rsid w:val="3393311A"/>
    <w:rsid w:val="33A6405C"/>
    <w:rsid w:val="34B84CAA"/>
    <w:rsid w:val="364510C3"/>
    <w:rsid w:val="376F51F7"/>
    <w:rsid w:val="37BC1061"/>
    <w:rsid w:val="37BF742D"/>
    <w:rsid w:val="37E11CA7"/>
    <w:rsid w:val="37F86CAD"/>
    <w:rsid w:val="381A7B65"/>
    <w:rsid w:val="398802F8"/>
    <w:rsid w:val="3A184DFA"/>
    <w:rsid w:val="3A452A46"/>
    <w:rsid w:val="3A6640BD"/>
    <w:rsid w:val="3AF50AB6"/>
    <w:rsid w:val="3B6D156F"/>
    <w:rsid w:val="3C4C50D5"/>
    <w:rsid w:val="3CE02999"/>
    <w:rsid w:val="3F2F7AE2"/>
    <w:rsid w:val="3FB71184"/>
    <w:rsid w:val="40450CC3"/>
    <w:rsid w:val="40AF6F56"/>
    <w:rsid w:val="43382042"/>
    <w:rsid w:val="453129E5"/>
    <w:rsid w:val="45A2407D"/>
    <w:rsid w:val="45CE75EA"/>
    <w:rsid w:val="45E8792A"/>
    <w:rsid w:val="46430CAA"/>
    <w:rsid w:val="47153B91"/>
    <w:rsid w:val="4727050E"/>
    <w:rsid w:val="47D074F2"/>
    <w:rsid w:val="47D473D8"/>
    <w:rsid w:val="48A56BC0"/>
    <w:rsid w:val="48FD75A2"/>
    <w:rsid w:val="4B3C07E9"/>
    <w:rsid w:val="4B465C9A"/>
    <w:rsid w:val="4CE2289D"/>
    <w:rsid w:val="4CF65190"/>
    <w:rsid w:val="4D143075"/>
    <w:rsid w:val="4DCA560B"/>
    <w:rsid w:val="4E022C7E"/>
    <w:rsid w:val="4E4524B5"/>
    <w:rsid w:val="4E6C0E6A"/>
    <w:rsid w:val="4ED63C07"/>
    <w:rsid w:val="4F513069"/>
    <w:rsid w:val="4F890B19"/>
    <w:rsid w:val="4FD70557"/>
    <w:rsid w:val="51F948F2"/>
    <w:rsid w:val="52E2553A"/>
    <w:rsid w:val="534A0A50"/>
    <w:rsid w:val="54545B79"/>
    <w:rsid w:val="549D38B8"/>
    <w:rsid w:val="54AD742D"/>
    <w:rsid w:val="54C12992"/>
    <w:rsid w:val="555757FF"/>
    <w:rsid w:val="558B6697"/>
    <w:rsid w:val="56753FB0"/>
    <w:rsid w:val="57A93E83"/>
    <w:rsid w:val="582B78EC"/>
    <w:rsid w:val="586255FC"/>
    <w:rsid w:val="58F637A8"/>
    <w:rsid w:val="59163B68"/>
    <w:rsid w:val="594B3C0E"/>
    <w:rsid w:val="5A071FE0"/>
    <w:rsid w:val="5A1023FA"/>
    <w:rsid w:val="5AFA7489"/>
    <w:rsid w:val="5B6E166C"/>
    <w:rsid w:val="5BBB7597"/>
    <w:rsid w:val="5BD76C8B"/>
    <w:rsid w:val="5BDD1214"/>
    <w:rsid w:val="5C215D99"/>
    <w:rsid w:val="5C57003C"/>
    <w:rsid w:val="5EB564ED"/>
    <w:rsid w:val="5F924D50"/>
    <w:rsid w:val="5FF82577"/>
    <w:rsid w:val="5FFA67E3"/>
    <w:rsid w:val="6099052B"/>
    <w:rsid w:val="60BE227C"/>
    <w:rsid w:val="614C5011"/>
    <w:rsid w:val="61552404"/>
    <w:rsid w:val="62E257A6"/>
    <w:rsid w:val="63982AA9"/>
    <w:rsid w:val="64D6659B"/>
    <w:rsid w:val="6509385A"/>
    <w:rsid w:val="652745CA"/>
    <w:rsid w:val="657E7E84"/>
    <w:rsid w:val="6585667E"/>
    <w:rsid w:val="65881E93"/>
    <w:rsid w:val="658932AD"/>
    <w:rsid w:val="65C7479A"/>
    <w:rsid w:val="663E04BB"/>
    <w:rsid w:val="66B958FD"/>
    <w:rsid w:val="66BD5323"/>
    <w:rsid w:val="67267958"/>
    <w:rsid w:val="67980EC4"/>
    <w:rsid w:val="67D51944"/>
    <w:rsid w:val="68AA32B7"/>
    <w:rsid w:val="6A8653E1"/>
    <w:rsid w:val="6AF357BD"/>
    <w:rsid w:val="6B2432DC"/>
    <w:rsid w:val="6C2C2DF2"/>
    <w:rsid w:val="6C6431D8"/>
    <w:rsid w:val="6C8460B3"/>
    <w:rsid w:val="6CA2640A"/>
    <w:rsid w:val="6DD8537C"/>
    <w:rsid w:val="6DF442F1"/>
    <w:rsid w:val="6E8F6558"/>
    <w:rsid w:val="6F200DAE"/>
    <w:rsid w:val="6F682D92"/>
    <w:rsid w:val="6F755E91"/>
    <w:rsid w:val="6FD127CB"/>
    <w:rsid w:val="6FE1788B"/>
    <w:rsid w:val="7015397D"/>
    <w:rsid w:val="70B42F49"/>
    <w:rsid w:val="70C01506"/>
    <w:rsid w:val="70CC4734"/>
    <w:rsid w:val="70FB007D"/>
    <w:rsid w:val="714A4482"/>
    <w:rsid w:val="71EA41E4"/>
    <w:rsid w:val="71F9432A"/>
    <w:rsid w:val="722C7A6C"/>
    <w:rsid w:val="72631DA5"/>
    <w:rsid w:val="72793A92"/>
    <w:rsid w:val="72D317BA"/>
    <w:rsid w:val="7416526A"/>
    <w:rsid w:val="746A4015"/>
    <w:rsid w:val="755D6592"/>
    <w:rsid w:val="75B022A3"/>
    <w:rsid w:val="766A76B6"/>
    <w:rsid w:val="76D34931"/>
    <w:rsid w:val="778C7848"/>
    <w:rsid w:val="781550EA"/>
    <w:rsid w:val="7A0A213F"/>
    <w:rsid w:val="7A2D4F85"/>
    <w:rsid w:val="7A310038"/>
    <w:rsid w:val="7A6C37E1"/>
    <w:rsid w:val="7B051831"/>
    <w:rsid w:val="7B650A1E"/>
    <w:rsid w:val="7C310614"/>
    <w:rsid w:val="7C835CA5"/>
    <w:rsid w:val="7D5B7BF6"/>
    <w:rsid w:val="7E064216"/>
    <w:rsid w:val="7EAB075A"/>
    <w:rsid w:val="7EAD72E1"/>
    <w:rsid w:val="7EB53BF7"/>
    <w:rsid w:val="7EDB262A"/>
    <w:rsid w:val="7F8C5060"/>
    <w:rsid w:val="7F96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600" w:lineRule="exact"/>
      <w:ind w:left="641" w:firstLine="720"/>
      <w:outlineLvl w:val="0"/>
    </w:pPr>
    <w:rPr>
      <w:rFonts w:eastAsia="黑体"/>
      <w:kern w:val="44"/>
      <w:sz w:val="32"/>
    </w:rPr>
  </w:style>
  <w:style w:type="paragraph" w:styleId="3">
    <w:name w:val="heading 2"/>
    <w:basedOn w:val="1"/>
    <w:next w:val="1"/>
    <w:unhideWhenUsed/>
    <w:qFormat/>
    <w:uiPriority w:val="0"/>
    <w:pPr>
      <w:keepNext/>
      <w:keepLines/>
      <w:spacing w:line="600" w:lineRule="exact"/>
      <w:ind w:left="641"/>
      <w:outlineLvl w:val="1"/>
    </w:pPr>
    <w:rPr>
      <w:rFonts w:ascii="Arial" w:hAnsi="Arial" w:eastAsia="黑体"/>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页眉 Char"/>
    <w:basedOn w:val="10"/>
    <w:link w:val="6"/>
    <w:uiPriority w:val="0"/>
    <w:rPr>
      <w:rFonts w:asciiTheme="minorHAnsi" w:hAnsiTheme="minorHAnsi" w:eastAsiaTheme="minorEastAsia" w:cstheme="minorBidi"/>
      <w:kern w:val="2"/>
      <w:sz w:val="18"/>
      <w:szCs w:val="18"/>
    </w:rPr>
  </w:style>
  <w:style w:type="character" w:customStyle="1" w:styleId="14">
    <w:name w:val="页脚 Char"/>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2397</Words>
  <Characters>13664</Characters>
  <Lines>113</Lines>
  <Paragraphs>32</Paragraphs>
  <TotalTime>9</TotalTime>
  <ScaleCrop>false</ScaleCrop>
  <LinksUpToDate>false</LinksUpToDate>
  <CharactersWithSpaces>16029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2021-08-16T07:20:00Z</dcterms:created>
  <dc:creator>Administrator</dc:creator>
  <cp:lastModifiedBy>Administrator</cp:lastModifiedBy>
  <dcterms:modified xsi:type="dcterms:W3CDTF">2023-09-25T07:33:43Z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9EDEA5CDC8E845F99755BB13E977E34A</vt:lpwstr>
  </property>
</Properties>
</file>