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eastAsia="方正小标宋_GBK" w:cs="Times New Roman"/>
          <w:bCs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eastAsia="方正小标宋_GBK" w:cs="Times New Roman"/>
          <w:bCs/>
          <w:kern w:val="0"/>
          <w:sz w:val="44"/>
          <w:szCs w:val="44"/>
          <w:lang w:eastAsia="zh-CN"/>
        </w:rPr>
        <w:t>湖南省外事侨务办公室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eastAsia="方正小标宋_GBK" w:cs="Times New Roman"/>
          <w:bCs/>
          <w:kern w:val="0"/>
          <w:sz w:val="44"/>
          <w:szCs w:val="44"/>
          <w:lang w:eastAsia="zh-CN"/>
        </w:rPr>
        <w:t>出（国）境服务中心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both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</w:t>
      </w:r>
      <w:r>
        <w:rPr>
          <w:rFonts w:hint="eastAsia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Times New Roman" w:hAnsi="Times New Roman" w:eastAsia="仿宋_GB2312" w:cs="Times New Roman"/>
          <w:b/>
          <w:bCs w:val="0"/>
          <w:kern w:val="0"/>
          <w:sz w:val="32"/>
          <w:szCs w:val="32"/>
          <w:lang w:val="en-US" w:eastAsia="zh-CN"/>
        </w:rPr>
        <w:sectPr>
          <w:footerReference r:id="rId3" w:type="even"/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2024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湖南省外事侨务办公室出国（境）服务中心（以下简称中心）是中共湖南省委外事工作委员会办公室下属二级机构，属于公益二类事业单位。主要业务范围包括因公护照及赴港澳通行证的制作，代办出国签证服务，代办涉外公证文书的领事认证，负责“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APEC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”商务旅行卡的申办和代办其签证服务等涉外服务工作。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机构设置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中心下设办公室、财务部、护照签证部、领事服务部共四个部门。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二、预算单位构成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湖南省外事侨务办公室出国（境）服务中心</w:t>
      </w:r>
      <w:r>
        <w:rPr>
          <w:rFonts w:hint="eastAsia" w:eastAsia="仿宋_GB2312"/>
          <w:sz w:val="32"/>
          <w:szCs w:val="32"/>
          <w:lang w:val="en-US" w:eastAsia="zh-CN"/>
        </w:rPr>
        <w:t>2024年单位预算</w:t>
      </w:r>
      <w:r>
        <w:rPr>
          <w:rFonts w:eastAsia="仿宋_GB2312"/>
          <w:sz w:val="32"/>
          <w:szCs w:val="32"/>
        </w:rPr>
        <w:t>只有本级，</w:t>
      </w:r>
      <w:r>
        <w:rPr>
          <w:rFonts w:hint="eastAsia" w:eastAsia="仿宋_GB2312"/>
          <w:sz w:val="32"/>
          <w:szCs w:val="32"/>
          <w:lang w:eastAsia="zh-CN"/>
        </w:rPr>
        <w:t>湖南省外事侨务办公室出国（境）服务中心无下属</w:t>
      </w:r>
      <w:r>
        <w:rPr>
          <w:rFonts w:eastAsia="仿宋_GB2312"/>
          <w:sz w:val="32"/>
          <w:szCs w:val="32"/>
        </w:rPr>
        <w:t>预算单位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eastAsia="仿宋_GB2312"/>
          <w:sz w:val="32"/>
          <w:szCs w:val="32"/>
        </w:rPr>
        <w:t>因此本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预算仅含本级预算。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年本单位收入预算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550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515.83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万元，政府性基金预算拨款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万元，国有资本经营预算拨款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万元，纳入专户管理的非税收入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事业单位经营收入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34.17万元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收入较去年增加</w:t>
      </w:r>
      <w:r>
        <w:rPr>
          <w:rFonts w:hint="eastAsia" w:eastAsia="仿宋_GB2312" w:cs="Times New Roman"/>
          <w:b w:val="0"/>
          <w:bCs/>
          <w:color w:val="auto"/>
          <w:sz w:val="32"/>
          <w:szCs w:val="32"/>
          <w:lang w:val="en-US" w:eastAsia="zh-CN"/>
        </w:rPr>
        <w:t>113.08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万元，主要是</w:t>
      </w:r>
      <w:r>
        <w:rPr>
          <w:rFonts w:hint="eastAsia" w:eastAsia="仿宋_GB2312" w:cs="Times New Roman"/>
          <w:b w:val="0"/>
          <w:bCs/>
          <w:color w:val="auto"/>
          <w:sz w:val="32"/>
          <w:szCs w:val="32"/>
          <w:lang w:eastAsia="zh-CN"/>
        </w:rPr>
        <w:t>疫情结束之后，公务护照签证代办及办理领事认证的业务量在回升，所以非税收入预算有所增加。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年本单位支出预算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550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419.26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万元，公共安全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万元，教育</w:t>
      </w:r>
      <w:r>
        <w:rPr>
          <w:rFonts w:hint="eastAsia" w:eastAsia="仿宋_GB2312" w:cs="Times New Roman"/>
          <w:sz w:val="32"/>
          <w:szCs w:val="32"/>
          <w:lang w:eastAsia="zh-CN"/>
        </w:rPr>
        <w:t>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万元，科学技术</w:t>
      </w:r>
      <w:r>
        <w:rPr>
          <w:rFonts w:hint="eastAsia" w:eastAsia="仿宋_GB2312" w:cs="Times New Roman"/>
          <w:sz w:val="32"/>
          <w:szCs w:val="32"/>
          <w:lang w:eastAsia="zh-CN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社会保障和就业支出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45.04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卫生健康支出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37.4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住房保障支出</w:t>
      </w:r>
      <w:r>
        <w:rPr>
          <w:rFonts w:hint="eastAsia" w:eastAsia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48.3</w:t>
      </w:r>
      <w:r>
        <w:rPr>
          <w:rFonts w:eastAsia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万元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支出较去年增加</w:t>
      </w:r>
      <w:r>
        <w:rPr>
          <w:rFonts w:hint="eastAsia" w:eastAsia="仿宋_GB2312" w:cs="Times New Roman"/>
          <w:b w:val="0"/>
          <w:bCs/>
          <w:color w:val="auto"/>
          <w:sz w:val="32"/>
          <w:szCs w:val="32"/>
          <w:lang w:val="en-US" w:eastAsia="zh-CN"/>
        </w:rPr>
        <w:t>113.08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万元，主要</w:t>
      </w:r>
      <w:r>
        <w:rPr>
          <w:rFonts w:hint="eastAsia" w:eastAsia="仿宋_GB2312" w:cs="Times New Roman"/>
          <w:b w:val="0"/>
          <w:bCs/>
          <w:color w:val="auto"/>
          <w:sz w:val="32"/>
          <w:szCs w:val="32"/>
          <w:lang w:eastAsia="zh-CN"/>
        </w:rPr>
        <w:t>是疫情之后随着业务量增加，相应增加了外派人员，增加了预计的劳务费支出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年本单位一般公共预算拨款支出预算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515.83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万元，其中，一般公共服务支出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385.09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74.65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公共安全支出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万元，占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%；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社会保障和就业支出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45.04</w:t>
      </w:r>
      <w:r>
        <w:rPr>
          <w:rFonts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占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8.7%；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卫生健康支出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37.4</w:t>
      </w:r>
      <w:r>
        <w:rPr>
          <w:rFonts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7.25%；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住房保障支出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48.3</w:t>
      </w:r>
      <w:r>
        <w:rPr>
          <w:rFonts w:eastAsia="仿宋_GB2312"/>
          <w:color w:val="auto"/>
          <w:sz w:val="32"/>
          <w:szCs w:val="32"/>
          <w:u w:val="none"/>
        </w:rPr>
        <w:t>万元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，占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9.4%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年本单位基本支出预算数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464.83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</w:t>
      </w:r>
      <w:r>
        <w:rPr>
          <w:rFonts w:hint="eastAsia" w:eastAsia="仿宋_GB2312" w:cs="Times New Roman"/>
          <w:sz w:val="32"/>
          <w:szCs w:val="32"/>
          <w:lang w:eastAsia="zh-CN"/>
        </w:rPr>
        <w:t>共两个项目，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项目支出预算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万元，主要是部门为完成特定行政工作任务或事业发展目标而发生的支出</w:t>
      </w:r>
      <w:r>
        <w:rPr>
          <w:rFonts w:hint="eastAsia" w:eastAsia="仿宋_GB2312" w:cs="Times New Roman"/>
          <w:sz w:val="32"/>
          <w:szCs w:val="32"/>
          <w:lang w:eastAsia="zh-CN"/>
        </w:rPr>
        <w:t>，其中：</w:t>
      </w:r>
      <w:r>
        <w:rPr>
          <w:rFonts w:hint="eastAsia" w:eastAsia="仿宋_GB2312"/>
          <w:sz w:val="32"/>
          <w:szCs w:val="32"/>
          <w:lang w:eastAsia="zh-CN"/>
        </w:rPr>
        <w:t>省外事服务综合管理平台运维及等保测评项目</w:t>
      </w:r>
      <w:r>
        <w:rPr>
          <w:rFonts w:hint="eastAsia" w:eastAsia="仿宋_GB2312"/>
          <w:sz w:val="32"/>
          <w:szCs w:val="32"/>
          <w:lang w:val="en-US" w:eastAsia="zh-CN"/>
        </w:rPr>
        <w:t>26万元，主要用于机房及大厅硬件及系统运维、等级保护三级测评的支出；公务用车购置项目25万元，主要用于公务用车购置。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本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无政府性基金安排的支出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（一）运行经费：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年本单位运行经费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130.42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万元，比上年预算增加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62.4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91.7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eastAsia="仿宋_GB2312" w:cs="Times New Roman"/>
          <w:sz w:val="32"/>
          <w:szCs w:val="32"/>
          <w:lang w:eastAsia="zh-CN"/>
        </w:rPr>
        <w:t>因为疫情结束后公务出国及领事认证的业务回升，随着业务量的增加，疫情三年期间压缩的人员费用及办公经费等都有相应增加。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2024年增加劳务费预算59万元，办公经费增加3.4万元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年本单位“三公”经费预算数为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万元（其中，公务用车购置费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万元，公务用车运行费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年“三公”经费预算较上年增加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</w:t>
      </w:r>
      <w:r>
        <w:rPr>
          <w:rFonts w:hint="eastAsia" w:eastAsia="仿宋_GB2312" w:cs="Times New Roman"/>
          <w:sz w:val="32"/>
          <w:szCs w:val="32"/>
          <w:lang w:eastAsia="zh-CN"/>
        </w:rPr>
        <w:t>我单位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lang w:eastAsia="zh-CN"/>
        </w:rPr>
        <w:t>台公务用车车辆已达到报废年限且无法使用，故增加公务用车购置费预算，我部门“三公”经费预算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eastAsia="zh-CN"/>
        </w:rPr>
        <w:t>与上年度持平。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年本单位会议费预算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未计划举办相关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会议；培训费预算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未计划开展相关培训事项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举办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其他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节庆、晚会、论坛、赛事活动预算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的计划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共有公务用车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年拟新增配置公务用车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550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499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51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ind w:firstLine="1800" w:firstLineChars="500"/>
        <w:jc w:val="both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2024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C1658"/>
    <w:multiLevelType w:val="singleLevel"/>
    <w:tmpl w:val="276C16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NWY2NjI0MTlkMjhhMzVhZjMyYWE3NjQyYjk1MzYifQ=="/>
  </w:docVars>
  <w:rsids>
    <w:rsidRoot w:val="00000000"/>
    <w:rsid w:val="02333ED6"/>
    <w:rsid w:val="029E4497"/>
    <w:rsid w:val="038325D2"/>
    <w:rsid w:val="06986394"/>
    <w:rsid w:val="06EB2968"/>
    <w:rsid w:val="0A767C1F"/>
    <w:rsid w:val="0AE4097E"/>
    <w:rsid w:val="0BBA444F"/>
    <w:rsid w:val="0CB16402"/>
    <w:rsid w:val="0CCC323C"/>
    <w:rsid w:val="0DED6FC6"/>
    <w:rsid w:val="110A60E1"/>
    <w:rsid w:val="12480FE8"/>
    <w:rsid w:val="140F32ED"/>
    <w:rsid w:val="19627D59"/>
    <w:rsid w:val="1A9A2283"/>
    <w:rsid w:val="1BB455C7"/>
    <w:rsid w:val="1BFB1448"/>
    <w:rsid w:val="1D022362"/>
    <w:rsid w:val="1D081299"/>
    <w:rsid w:val="1D1F1166"/>
    <w:rsid w:val="20790B8D"/>
    <w:rsid w:val="24092228"/>
    <w:rsid w:val="25CD1458"/>
    <w:rsid w:val="27051AB1"/>
    <w:rsid w:val="27270873"/>
    <w:rsid w:val="2D5664DE"/>
    <w:rsid w:val="2D954EF4"/>
    <w:rsid w:val="2E341724"/>
    <w:rsid w:val="2ED753FC"/>
    <w:rsid w:val="30A0509E"/>
    <w:rsid w:val="31120AB3"/>
    <w:rsid w:val="323D71D6"/>
    <w:rsid w:val="32432DA9"/>
    <w:rsid w:val="331F55C4"/>
    <w:rsid w:val="35BA7826"/>
    <w:rsid w:val="35D97083"/>
    <w:rsid w:val="36794FEB"/>
    <w:rsid w:val="379E0BB3"/>
    <w:rsid w:val="379F29F3"/>
    <w:rsid w:val="385F7597"/>
    <w:rsid w:val="38F82B3F"/>
    <w:rsid w:val="392D4922"/>
    <w:rsid w:val="3CB94393"/>
    <w:rsid w:val="3DD84CED"/>
    <w:rsid w:val="3ECF4C3A"/>
    <w:rsid w:val="40026051"/>
    <w:rsid w:val="40630463"/>
    <w:rsid w:val="4081166C"/>
    <w:rsid w:val="41BD2B78"/>
    <w:rsid w:val="41C53136"/>
    <w:rsid w:val="41D34149"/>
    <w:rsid w:val="43163BC9"/>
    <w:rsid w:val="440C3A50"/>
    <w:rsid w:val="47374B32"/>
    <w:rsid w:val="48FE03DE"/>
    <w:rsid w:val="4A407EA2"/>
    <w:rsid w:val="4A62155C"/>
    <w:rsid w:val="4C0B2731"/>
    <w:rsid w:val="4D1E7C86"/>
    <w:rsid w:val="4E830CA5"/>
    <w:rsid w:val="4FA964E9"/>
    <w:rsid w:val="52EA30A1"/>
    <w:rsid w:val="544E4EDF"/>
    <w:rsid w:val="55DD5AFE"/>
    <w:rsid w:val="57DD1426"/>
    <w:rsid w:val="5A9D2736"/>
    <w:rsid w:val="5B3C46B5"/>
    <w:rsid w:val="5BCF382F"/>
    <w:rsid w:val="5C1D6295"/>
    <w:rsid w:val="5E0A45F7"/>
    <w:rsid w:val="5E447AB7"/>
    <w:rsid w:val="60EB178E"/>
    <w:rsid w:val="61141E2A"/>
    <w:rsid w:val="64D616D7"/>
    <w:rsid w:val="657102BA"/>
    <w:rsid w:val="67334BBF"/>
    <w:rsid w:val="6BD81C89"/>
    <w:rsid w:val="6D107750"/>
    <w:rsid w:val="6E5A37B3"/>
    <w:rsid w:val="6EA939B8"/>
    <w:rsid w:val="6FA80114"/>
    <w:rsid w:val="7164006A"/>
    <w:rsid w:val="74213FF1"/>
    <w:rsid w:val="747F3106"/>
    <w:rsid w:val="7610431D"/>
    <w:rsid w:val="77471FC0"/>
    <w:rsid w:val="7A9D67A7"/>
    <w:rsid w:val="7DE6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2024-02-06T00:44:00Z</dcterms:created>
  <dc:creator>Administrator</dc:creator>
  <cp:lastModifiedBy>Administrator</cp:lastModifiedBy>
  <cp:lastPrinted>2024-02-26T06:48:00Z</cp:lastPrinted>
  <dcterms:modified xsi:type="dcterms:W3CDTF">2024-03-12T08:47:58Z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5BF002412DE0440D86E320E0A9B3B69C_12</vt:lpwstr>
  </property>
</Properties>
</file>