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中共湖南省委讲师团</w:t>
      </w:r>
    </w:p>
    <w:p>
      <w:pPr>
        <w:widowControl/>
        <w:spacing w:line="240" w:lineRule="auto"/>
        <w:ind w:firstLine="0" w:firstLineChars="0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201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eastAsia="方正小标宋_GBK"/>
          <w:bCs/>
          <w:kern w:val="0"/>
          <w:sz w:val="44"/>
          <w:szCs w:val="44"/>
        </w:rPr>
        <w:t>年度部门决算</w:t>
      </w:r>
    </w:p>
    <w:p>
      <w:pPr>
        <w:widowControl/>
        <w:spacing w:line="240" w:lineRule="auto"/>
        <w:ind w:firstLine="0" w:firstLineChars="0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目录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hint="eastAsia" w:eastAsia="黑体"/>
          <w:bCs/>
          <w:kern w:val="0"/>
          <w:szCs w:val="32"/>
        </w:rPr>
        <w:t>第一部分概况</w:t>
      </w:r>
    </w:p>
    <w:p>
      <w:pPr>
        <w:widowControl/>
        <w:numPr>
          <w:ilvl w:val="0"/>
          <w:numId w:val="1"/>
        </w:numPr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部门职责</w:t>
      </w:r>
    </w:p>
    <w:p>
      <w:pPr>
        <w:widowControl/>
        <w:numPr>
          <w:ilvl w:val="0"/>
          <w:numId w:val="1"/>
        </w:numPr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机构设置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第</w:t>
      </w:r>
      <w:r>
        <w:rPr>
          <w:rFonts w:hint="eastAsia" w:eastAsia="黑体"/>
          <w:bCs/>
          <w:kern w:val="0"/>
          <w:szCs w:val="32"/>
          <w:lang w:eastAsia="zh-CN"/>
        </w:rPr>
        <w:t>二</w:t>
      </w:r>
      <w:r>
        <w:rPr>
          <w:rFonts w:eastAsia="黑体"/>
          <w:bCs/>
          <w:kern w:val="0"/>
          <w:szCs w:val="32"/>
        </w:rPr>
        <w:t>部分201</w:t>
      </w:r>
      <w:r>
        <w:rPr>
          <w:rFonts w:hint="eastAsia" w:eastAsia="黑体"/>
          <w:bCs/>
          <w:kern w:val="0"/>
          <w:szCs w:val="32"/>
          <w:lang w:val="en-US" w:eastAsia="zh-CN"/>
        </w:rPr>
        <w:t>7</w:t>
      </w:r>
      <w:r>
        <w:rPr>
          <w:rFonts w:eastAsia="黑体"/>
          <w:bCs/>
          <w:kern w:val="0"/>
          <w:szCs w:val="32"/>
        </w:rPr>
        <w:t>年度部门决算情况说明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一、收入支出决算总体情况说明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二、收入决算情况说明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三、支出决算情况说明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四、财政拨款收入支出决算总体情况说明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五、一般公共预算财政拨款支出决算情况说明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六、一般公共预算财政拨款基本支出决算情况说明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七、一般公共预算财政拨款“三公”经费支出情况决算情况说明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八、预算绩效情况说明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九、其他重要事项的情况说明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hint="eastAsia" w:eastAsia="黑体"/>
          <w:bCs/>
          <w:kern w:val="0"/>
          <w:szCs w:val="32"/>
        </w:rPr>
        <w:t>第</w:t>
      </w:r>
      <w:r>
        <w:rPr>
          <w:rFonts w:hint="eastAsia" w:eastAsia="黑体"/>
          <w:bCs/>
          <w:kern w:val="0"/>
          <w:szCs w:val="32"/>
          <w:lang w:eastAsia="zh-CN"/>
        </w:rPr>
        <w:t>三</w:t>
      </w:r>
      <w:r>
        <w:rPr>
          <w:rFonts w:hint="eastAsia" w:eastAsia="黑体"/>
          <w:bCs/>
          <w:kern w:val="0"/>
          <w:szCs w:val="32"/>
        </w:rPr>
        <w:t>部分名称解释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第一部分</w:t>
      </w:r>
      <w:r>
        <w:rPr>
          <w:rFonts w:hint="eastAsia" w:eastAsia="黑体"/>
          <w:bCs/>
          <w:kern w:val="0"/>
          <w:szCs w:val="32"/>
          <w:lang w:val="en-US" w:eastAsia="zh-CN"/>
        </w:rPr>
        <w:t xml:space="preserve"> </w:t>
      </w:r>
      <w:r>
        <w:rPr>
          <w:rFonts w:eastAsia="黑体"/>
          <w:bCs/>
          <w:kern w:val="0"/>
          <w:szCs w:val="32"/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bCs/>
          <w:kern w:val="0"/>
          <w:szCs w:val="32"/>
        </w:rPr>
        <w:t>一、部门职责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省委讲师团是省委领导下对干部进行理论教育、参照公务员管理并由财政全额拨款的正厅级事业单位，归口宣传部管理。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bCs/>
          <w:kern w:val="0"/>
          <w:szCs w:val="32"/>
        </w:rPr>
        <w:t>二、机构设置</w:t>
      </w:r>
      <w:r>
        <w:rPr>
          <w:rFonts w:hint="eastAsia"/>
          <w:bCs/>
          <w:kern w:val="0"/>
          <w:szCs w:val="32"/>
        </w:rPr>
        <w:t>及决算单位构成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rFonts w:hint="eastAsia"/>
          <w:bCs/>
          <w:kern w:val="0"/>
          <w:szCs w:val="32"/>
        </w:rPr>
        <w:t>（一）内设机构设置。</w:t>
      </w:r>
      <w:r>
        <w:rPr>
          <w:rFonts w:hint="eastAsia" w:ascii="仿宋_GB2312" w:hAnsi="宋体" w:eastAsia="仿宋_GB2312"/>
          <w:sz w:val="32"/>
          <w:lang w:val="en-US" w:eastAsia="zh-CN"/>
        </w:rPr>
        <w:t>省委讲师团下设综合处、党委中心组学习服务处、干部理论学习辅导处和干部理论教学科研处等四个职能处室。无二级单位。共有参照公务员法管理人员事业编制29人。201</w:t>
      </w:r>
      <w:r>
        <w:rPr>
          <w:rFonts w:hint="eastAsia" w:ascii="仿宋_GB2312" w:hAnsi="宋体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lang w:val="en-US" w:eastAsia="zh-CN"/>
        </w:rPr>
        <w:t>年底实有在职人员2</w:t>
      </w:r>
      <w:r>
        <w:rPr>
          <w:rFonts w:hint="eastAsia" w:ascii="仿宋_GB2312" w:hAnsi="宋体"/>
          <w:sz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lang w:val="en-US" w:eastAsia="zh-CN"/>
        </w:rPr>
        <w:t>人，离休人员1人，共</w:t>
      </w:r>
      <w:r>
        <w:rPr>
          <w:rFonts w:hint="eastAsia" w:ascii="仿宋_GB2312" w:hAnsi="宋体"/>
          <w:sz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rFonts w:hint="eastAsia"/>
          <w:bCs/>
          <w:kern w:val="0"/>
          <w:szCs w:val="32"/>
        </w:rPr>
        <w:t>（二）决算单位构成。</w:t>
      </w:r>
      <w:r>
        <w:rPr>
          <w:rFonts w:hint="eastAsia" w:ascii="仿宋_GB2312" w:hAnsi="宋体" w:eastAsia="仿宋_GB2312"/>
          <w:sz w:val="32"/>
          <w:lang w:val="en-US" w:eastAsia="zh-CN"/>
        </w:rPr>
        <w:t>省委讲师团</w:t>
      </w:r>
      <w:r>
        <w:rPr>
          <w:rFonts w:hint="eastAsia"/>
          <w:bCs/>
          <w:kern w:val="0"/>
          <w:szCs w:val="32"/>
        </w:rPr>
        <w:t>201</w:t>
      </w:r>
      <w:r>
        <w:rPr>
          <w:rFonts w:hint="eastAsia"/>
          <w:bCs/>
          <w:kern w:val="0"/>
          <w:szCs w:val="32"/>
          <w:lang w:val="en-US" w:eastAsia="zh-CN"/>
        </w:rPr>
        <w:t>7</w:t>
      </w:r>
      <w:r>
        <w:rPr>
          <w:rFonts w:hint="eastAsia"/>
          <w:bCs/>
          <w:kern w:val="0"/>
          <w:szCs w:val="32"/>
        </w:rPr>
        <w:t>年部门决算汇总公开单位构成包括：</w:t>
      </w:r>
      <w:r>
        <w:rPr>
          <w:rFonts w:hint="eastAsia" w:ascii="仿宋_GB2312" w:hAnsi="宋体" w:eastAsia="仿宋_GB2312"/>
          <w:sz w:val="32"/>
          <w:lang w:val="en-US" w:eastAsia="zh-CN"/>
        </w:rPr>
        <w:t>省委讲师团</w:t>
      </w:r>
      <w:r>
        <w:rPr>
          <w:rFonts w:hint="eastAsia"/>
          <w:bCs/>
          <w:kern w:val="0"/>
          <w:szCs w:val="32"/>
        </w:rPr>
        <w:t>本级</w:t>
      </w:r>
      <w:r>
        <w:rPr>
          <w:rFonts w:hint="eastAsia"/>
          <w:bCs/>
          <w:kern w:val="0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lang w:val="en-US" w:eastAsia="zh-CN"/>
        </w:rPr>
        <w:t>无二级单位。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第</w:t>
      </w:r>
      <w:r>
        <w:rPr>
          <w:rFonts w:hint="eastAsia" w:eastAsia="黑体"/>
          <w:bCs/>
          <w:kern w:val="0"/>
          <w:szCs w:val="32"/>
          <w:lang w:eastAsia="zh-CN"/>
        </w:rPr>
        <w:t>二</w:t>
      </w:r>
      <w:r>
        <w:rPr>
          <w:rFonts w:eastAsia="黑体"/>
          <w:bCs/>
          <w:kern w:val="0"/>
          <w:szCs w:val="32"/>
        </w:rPr>
        <w:t>部分</w:t>
      </w:r>
      <w:r>
        <w:rPr>
          <w:rFonts w:hint="eastAsia" w:eastAsia="黑体"/>
          <w:bCs/>
          <w:kern w:val="0"/>
          <w:szCs w:val="32"/>
          <w:lang w:val="en-US" w:eastAsia="zh-CN"/>
        </w:rPr>
        <w:t xml:space="preserve"> </w:t>
      </w:r>
      <w:r>
        <w:rPr>
          <w:rFonts w:hint="eastAsia" w:eastAsia="黑体"/>
          <w:bCs/>
          <w:kern w:val="0"/>
          <w:szCs w:val="32"/>
          <w:lang w:eastAsia="zh-CN"/>
        </w:rPr>
        <w:t>省委讲师团</w:t>
      </w:r>
      <w:r>
        <w:rPr>
          <w:rFonts w:eastAsia="黑体"/>
          <w:bCs/>
          <w:kern w:val="0"/>
          <w:szCs w:val="32"/>
        </w:rPr>
        <w:t>201</w:t>
      </w:r>
      <w:r>
        <w:rPr>
          <w:rFonts w:hint="eastAsia" w:eastAsia="黑体"/>
          <w:bCs/>
          <w:kern w:val="0"/>
          <w:szCs w:val="32"/>
          <w:lang w:val="en-US" w:eastAsia="zh-CN"/>
        </w:rPr>
        <w:t>7</w:t>
      </w:r>
      <w:r>
        <w:rPr>
          <w:rFonts w:eastAsia="黑体"/>
          <w:bCs/>
          <w:kern w:val="0"/>
          <w:szCs w:val="32"/>
        </w:rPr>
        <w:t>年度部门决算情况说明</w:t>
      </w:r>
    </w:p>
    <w:p>
      <w:pPr>
        <w:widowControl/>
        <w:ind w:firstLine="480" w:firstLineChars="150"/>
        <w:jc w:val="left"/>
        <w:rPr>
          <w:rFonts w:eastAsia="黑体"/>
          <w:bCs/>
          <w:kern w:val="0"/>
          <w:szCs w:val="32"/>
        </w:rPr>
      </w:pPr>
      <w:r>
        <w:rPr>
          <w:kern w:val="0"/>
          <w:szCs w:val="32"/>
        </w:rPr>
        <w:t>一、收入支出决算总体情况说明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年初结转和结余</w:t>
      </w:r>
      <w:r>
        <w:rPr>
          <w:rFonts w:hint="eastAsia" w:ascii="仿宋_GB2312" w:hAnsi="宋体"/>
          <w:sz w:val="32"/>
          <w:lang w:val="en-US" w:eastAsia="zh-CN"/>
        </w:rPr>
        <w:t>208</w:t>
      </w:r>
      <w:r>
        <w:rPr>
          <w:rFonts w:hint="eastAsia" w:ascii="仿宋_GB2312" w:hAnsi="宋体" w:eastAsia="仿宋_GB2312"/>
          <w:sz w:val="32"/>
          <w:lang w:val="en-US" w:eastAsia="zh-CN"/>
        </w:rPr>
        <w:t>万元。</w:t>
      </w: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rFonts w:hint="eastAsia" w:ascii="仿宋_GB2312" w:hAnsi="宋体" w:eastAsia="仿宋_GB2312"/>
          <w:sz w:val="32"/>
        </w:rPr>
        <w:t>收入为</w:t>
      </w:r>
      <w:r>
        <w:rPr>
          <w:rFonts w:hint="eastAsia" w:ascii="仿宋_GB2312" w:hAnsi="宋体" w:eastAsia="仿宋_GB2312"/>
          <w:sz w:val="32"/>
          <w:lang w:val="en-US" w:eastAsia="zh-CN"/>
        </w:rPr>
        <w:t>1027.81万</w:t>
      </w:r>
      <w:r>
        <w:rPr>
          <w:rFonts w:hint="eastAsia" w:ascii="仿宋_GB2312" w:hAnsi="宋体" w:eastAsia="仿宋_GB2312"/>
          <w:sz w:val="32"/>
        </w:rPr>
        <w:t>元</w:t>
      </w:r>
      <w:r>
        <w:rPr>
          <w:rFonts w:hint="eastAsia" w:ascii="仿宋_GB2312" w:hAnsi="宋体"/>
          <w:sz w:val="32"/>
          <w:lang w:eastAsia="zh-CN"/>
        </w:rPr>
        <w:t>，与</w:t>
      </w:r>
      <w:r>
        <w:rPr>
          <w:rFonts w:hint="eastAsia" w:ascii="仿宋_GB2312" w:hAnsi="宋体"/>
          <w:sz w:val="32"/>
          <w:lang w:val="en-US" w:eastAsia="zh-CN"/>
        </w:rPr>
        <w:t>2016年相比，</w:t>
      </w:r>
      <w:r>
        <w:rPr>
          <w:rFonts w:hint="eastAsia" w:ascii="仿宋_GB2312" w:hAnsi="宋体" w:eastAsia="仿宋_GB2312"/>
          <w:sz w:val="32"/>
          <w:lang w:eastAsia="zh-CN"/>
        </w:rPr>
        <w:t>减少</w:t>
      </w:r>
      <w:r>
        <w:rPr>
          <w:rFonts w:hint="eastAsia" w:ascii="仿宋_GB2312" w:hAnsi="宋体" w:eastAsia="仿宋_GB2312"/>
          <w:sz w:val="32"/>
          <w:lang w:val="en-US" w:eastAsia="zh-CN"/>
        </w:rPr>
        <w:t>134.42</w:t>
      </w:r>
      <w:r>
        <w:rPr>
          <w:rFonts w:hint="eastAsia" w:ascii="仿宋_GB2312" w:hAnsi="宋体"/>
          <w:sz w:val="32"/>
          <w:lang w:val="en-US" w:eastAsia="zh-CN"/>
        </w:rPr>
        <w:t>万元；</w:t>
      </w: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rFonts w:hint="eastAsia" w:ascii="仿宋_GB2312" w:hAnsi="宋体" w:eastAsia="仿宋_GB2312"/>
          <w:sz w:val="32"/>
        </w:rPr>
        <w:t>支出</w:t>
      </w:r>
      <w:r>
        <w:rPr>
          <w:rFonts w:hint="eastAsia" w:ascii="仿宋_GB2312" w:hAnsi="宋体" w:eastAsia="仿宋_GB2312"/>
          <w:sz w:val="32"/>
          <w:lang w:val="en-US" w:eastAsia="zh-CN"/>
        </w:rPr>
        <w:t>1020.81万</w:t>
      </w:r>
      <w:r>
        <w:rPr>
          <w:rFonts w:hint="eastAsia" w:ascii="仿宋_GB2312" w:hAnsi="宋体" w:eastAsia="仿宋_GB2312"/>
          <w:sz w:val="32"/>
        </w:rPr>
        <w:t>元</w:t>
      </w:r>
      <w:r>
        <w:rPr>
          <w:rFonts w:hint="eastAsia" w:ascii="仿宋_GB2312" w:hAnsi="宋体"/>
          <w:sz w:val="32"/>
          <w:lang w:eastAsia="zh-CN"/>
        </w:rPr>
        <w:t>，与</w:t>
      </w:r>
      <w:r>
        <w:rPr>
          <w:rFonts w:hint="eastAsia" w:ascii="仿宋_GB2312" w:hAnsi="宋体"/>
          <w:sz w:val="32"/>
          <w:lang w:val="en-US" w:eastAsia="zh-CN"/>
        </w:rPr>
        <w:t>2016年相比，</w:t>
      </w:r>
      <w:r>
        <w:rPr>
          <w:rFonts w:hint="eastAsia" w:ascii="仿宋_GB2312" w:hAnsi="宋体" w:eastAsia="仿宋_GB2312"/>
          <w:sz w:val="32"/>
          <w:lang w:eastAsia="zh-CN"/>
        </w:rPr>
        <w:t>增加</w:t>
      </w:r>
      <w:r>
        <w:rPr>
          <w:rFonts w:hint="eastAsia" w:ascii="仿宋_GB2312" w:hAnsi="宋体" w:eastAsia="仿宋_GB2312"/>
          <w:sz w:val="32"/>
          <w:lang w:val="en-US" w:eastAsia="zh-CN"/>
        </w:rPr>
        <w:t>154.47</w:t>
      </w:r>
      <w:r>
        <w:rPr>
          <w:rFonts w:hint="eastAsia" w:ascii="仿宋_GB2312" w:hAnsi="宋体"/>
          <w:sz w:val="32"/>
          <w:lang w:val="en-US" w:eastAsia="zh-CN"/>
        </w:rPr>
        <w:t>万元</w:t>
      </w:r>
      <w:r>
        <w:rPr>
          <w:rFonts w:hint="eastAsia" w:ascii="仿宋_GB2312" w:hAnsi="宋体" w:eastAsia="仿宋_GB2312"/>
          <w:sz w:val="32"/>
        </w:rPr>
        <w:t>。</w:t>
      </w:r>
      <w:r>
        <w:rPr>
          <w:rFonts w:hint="eastAsia" w:ascii="仿宋_GB2312" w:hAnsi="宋体" w:eastAsia="仿宋_GB2312"/>
          <w:sz w:val="32"/>
          <w:lang w:eastAsia="zh-CN"/>
        </w:rPr>
        <w:t>年末结转</w:t>
      </w:r>
      <w:r>
        <w:rPr>
          <w:rFonts w:hint="eastAsia" w:ascii="仿宋_GB2312" w:hAnsi="宋体" w:eastAsia="仿宋_GB2312"/>
          <w:sz w:val="32"/>
        </w:rPr>
        <w:t>结余为</w:t>
      </w:r>
      <w:r>
        <w:rPr>
          <w:rFonts w:hint="eastAsia" w:ascii="仿宋_GB2312" w:hAnsi="宋体" w:eastAsia="仿宋_GB2312"/>
          <w:sz w:val="32"/>
          <w:lang w:val="en-US" w:eastAsia="zh-CN"/>
        </w:rPr>
        <w:t>115</w:t>
      </w:r>
      <w:r>
        <w:rPr>
          <w:rFonts w:hint="eastAsia" w:ascii="仿宋_GB2312" w:hAnsi="宋体" w:eastAsia="仿宋_GB2312"/>
          <w:sz w:val="32"/>
        </w:rPr>
        <w:t>万元。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kern w:val="0"/>
          <w:szCs w:val="32"/>
        </w:rPr>
        <w:t>二、收入决算情况说明</w:t>
      </w:r>
    </w:p>
    <w:p>
      <w:pPr>
        <w:widowControl/>
        <w:ind w:firstLine="64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rFonts w:hint="eastAsia" w:ascii="仿宋_GB2312" w:hAnsi="宋体" w:eastAsia="仿宋_GB2312"/>
          <w:sz w:val="32"/>
        </w:rPr>
        <w:t>收入为</w:t>
      </w:r>
      <w:r>
        <w:rPr>
          <w:rFonts w:hint="eastAsia" w:ascii="仿宋_GB2312" w:hAnsi="宋体" w:eastAsia="仿宋_GB2312"/>
          <w:sz w:val="32"/>
          <w:lang w:val="en-US" w:eastAsia="zh-CN"/>
        </w:rPr>
        <w:t>1027.81万</w:t>
      </w:r>
      <w:r>
        <w:rPr>
          <w:rFonts w:hint="eastAsia" w:ascii="仿宋_GB2312" w:hAnsi="宋体" w:eastAsia="仿宋_GB2312"/>
          <w:sz w:val="32"/>
        </w:rPr>
        <w:t>元。其中一般财政拨款</w:t>
      </w:r>
      <w:r>
        <w:rPr>
          <w:rFonts w:hint="eastAsia" w:ascii="仿宋_GB2312" w:hAnsi="宋体" w:eastAsia="仿宋_GB2312"/>
          <w:sz w:val="32"/>
          <w:lang w:val="en-US" w:eastAsia="zh-CN"/>
        </w:rPr>
        <w:t>1027.81万</w:t>
      </w:r>
      <w:r>
        <w:rPr>
          <w:rFonts w:hint="eastAsia" w:ascii="仿宋_GB2312" w:hAnsi="宋体" w:eastAsia="仿宋_GB2312"/>
          <w:sz w:val="32"/>
        </w:rPr>
        <w:t>元，占总收入比重为</w:t>
      </w:r>
      <w:r>
        <w:rPr>
          <w:rFonts w:hint="eastAsia" w:ascii="仿宋_GB2312" w:hAnsi="宋体" w:eastAsia="仿宋_GB2312"/>
          <w:sz w:val="32"/>
          <w:lang w:val="en-US" w:eastAsia="zh-CN"/>
        </w:rPr>
        <w:t>100</w:t>
      </w:r>
      <w:r>
        <w:rPr>
          <w:rFonts w:hint="eastAsia" w:ascii="仿宋_GB2312" w:hAnsi="宋体" w:eastAsia="仿宋_GB2312"/>
          <w:sz w:val="32"/>
        </w:rPr>
        <w:t>%；其他收入0万元为</w:t>
      </w:r>
      <w:r>
        <w:rPr>
          <w:rFonts w:hint="eastAsia" w:ascii="仿宋_GB2312" w:hAnsi="宋体" w:eastAsia="仿宋_GB2312"/>
          <w:sz w:val="32"/>
          <w:lang w:eastAsia="zh-CN"/>
        </w:rPr>
        <w:t>收旧</w:t>
      </w:r>
      <w:r>
        <w:rPr>
          <w:rFonts w:hint="eastAsia" w:ascii="仿宋_GB2312" w:hAnsi="宋体" w:eastAsia="仿宋_GB2312"/>
          <w:sz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</w:rPr>
        <w:t>占总收入比重为</w:t>
      </w:r>
      <w:r>
        <w:rPr>
          <w:rFonts w:hint="eastAsia" w:ascii="仿宋_GB2312" w:hAnsi="宋体" w:eastAsia="仿宋_GB2312"/>
          <w:sz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</w:rPr>
        <w:t>%。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kern w:val="0"/>
          <w:szCs w:val="32"/>
        </w:rPr>
        <w:t>三、支出决算情况说明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rFonts w:hint="eastAsia" w:ascii="仿宋_GB2312" w:hAnsi="宋体" w:eastAsia="仿宋_GB2312"/>
          <w:sz w:val="32"/>
        </w:rPr>
        <w:t>支出</w:t>
      </w:r>
      <w:r>
        <w:rPr>
          <w:rFonts w:hint="eastAsia" w:ascii="仿宋_GB2312" w:hAnsi="宋体" w:eastAsia="仿宋_GB2312"/>
          <w:sz w:val="32"/>
          <w:lang w:val="en-US" w:eastAsia="zh-CN"/>
        </w:rPr>
        <w:t>1020.81万</w:t>
      </w:r>
      <w:r>
        <w:rPr>
          <w:rFonts w:hint="eastAsia" w:ascii="仿宋_GB2312" w:hAnsi="宋体" w:eastAsia="仿宋_GB2312"/>
          <w:sz w:val="32"/>
        </w:rPr>
        <w:t>元。其中基本支出</w:t>
      </w:r>
      <w:r>
        <w:rPr>
          <w:rFonts w:hint="eastAsia" w:ascii="仿宋_GB2312" w:hAnsi="宋体" w:eastAsia="仿宋_GB2312"/>
          <w:sz w:val="32"/>
          <w:lang w:val="en-US" w:eastAsia="zh-CN"/>
        </w:rPr>
        <w:t>786.71万</w:t>
      </w:r>
      <w:r>
        <w:rPr>
          <w:rFonts w:hint="eastAsia" w:ascii="仿宋_GB2312" w:hAnsi="宋体" w:eastAsia="仿宋_GB2312"/>
          <w:sz w:val="32"/>
        </w:rPr>
        <w:t>元，占总支出的比重为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77.07</w:t>
      </w:r>
      <w:r>
        <w:rPr>
          <w:rFonts w:hint="eastAsia" w:ascii="仿宋_GB2312" w:hAnsi="宋体" w:eastAsia="仿宋_GB2312"/>
          <w:sz w:val="32"/>
        </w:rPr>
        <w:t>%；项目支出</w:t>
      </w:r>
      <w:r>
        <w:rPr>
          <w:rFonts w:hint="eastAsia" w:ascii="仿宋_GB2312" w:hAnsi="宋体" w:eastAsia="仿宋_GB2312"/>
          <w:sz w:val="32"/>
          <w:lang w:val="en-US" w:eastAsia="zh-CN"/>
        </w:rPr>
        <w:t>334.10万</w:t>
      </w:r>
      <w:r>
        <w:rPr>
          <w:rFonts w:hint="eastAsia" w:ascii="仿宋_GB2312" w:hAnsi="宋体" w:eastAsia="仿宋_GB2312"/>
          <w:sz w:val="32"/>
        </w:rPr>
        <w:t>元，占总支出的比重为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22.93</w:t>
      </w:r>
      <w:r>
        <w:rPr>
          <w:rFonts w:hint="eastAsia" w:ascii="仿宋_GB2312" w:hAnsi="宋体" w:eastAsia="仿宋_GB2312"/>
          <w:sz w:val="32"/>
        </w:rPr>
        <w:t>%。在基本支出中：工资福利支出</w:t>
      </w:r>
      <w:r>
        <w:rPr>
          <w:rFonts w:hint="eastAsia" w:ascii="仿宋_GB2312" w:hAnsi="宋体" w:eastAsia="仿宋_GB2312"/>
          <w:sz w:val="32"/>
          <w:lang w:val="en-US" w:eastAsia="zh-CN"/>
        </w:rPr>
        <w:t>543.89万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69.13</w:t>
      </w:r>
      <w:r>
        <w:rPr>
          <w:rFonts w:hint="eastAsia" w:ascii="仿宋_GB2312" w:hAnsi="宋体" w:eastAsia="仿宋_GB2312"/>
          <w:sz w:val="32"/>
        </w:rPr>
        <w:t>%；一般商品和服务支出</w:t>
      </w:r>
      <w:r>
        <w:rPr>
          <w:rFonts w:hint="eastAsia" w:ascii="仿宋_GB2312" w:hAnsi="宋体" w:eastAsia="仿宋_GB2312"/>
          <w:sz w:val="32"/>
          <w:lang w:val="en-US" w:eastAsia="zh-CN"/>
        </w:rPr>
        <w:t>138.36万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17.59</w:t>
      </w:r>
      <w:r>
        <w:rPr>
          <w:rFonts w:hint="eastAsia" w:ascii="仿宋_GB2312" w:hAnsi="宋体" w:eastAsia="仿宋_GB2312"/>
          <w:sz w:val="32"/>
        </w:rPr>
        <w:t>%；对个人和家庭的补助支出</w:t>
      </w:r>
      <w:r>
        <w:rPr>
          <w:rFonts w:hint="eastAsia" w:ascii="仿宋_GB2312" w:hAnsi="宋体" w:eastAsia="仿宋_GB2312"/>
          <w:sz w:val="32"/>
          <w:lang w:val="en-US" w:eastAsia="zh-CN"/>
        </w:rPr>
        <w:t>104.45万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13.28%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kern w:val="0"/>
          <w:szCs w:val="32"/>
        </w:rPr>
        <w:t>四、财政拨款收入支出决算总体情况说明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年初</w:t>
      </w:r>
      <w:r>
        <w:rPr>
          <w:kern w:val="0"/>
          <w:szCs w:val="32"/>
        </w:rPr>
        <w:t>财政拨款</w:t>
      </w:r>
      <w:r>
        <w:rPr>
          <w:rFonts w:hint="eastAsia" w:ascii="仿宋_GB2312" w:hAnsi="宋体" w:eastAsia="仿宋_GB2312"/>
          <w:sz w:val="32"/>
          <w:lang w:eastAsia="zh-CN"/>
        </w:rPr>
        <w:t>结转和结余</w:t>
      </w:r>
      <w:r>
        <w:rPr>
          <w:rFonts w:hint="eastAsia" w:ascii="仿宋_GB2312" w:hAnsi="宋体"/>
          <w:sz w:val="32"/>
          <w:lang w:val="en-US" w:eastAsia="zh-CN"/>
        </w:rPr>
        <w:t>208</w:t>
      </w:r>
      <w:r>
        <w:rPr>
          <w:rFonts w:hint="eastAsia" w:ascii="仿宋_GB2312" w:hAnsi="宋体" w:eastAsia="仿宋_GB2312"/>
          <w:sz w:val="32"/>
          <w:lang w:val="en-US" w:eastAsia="zh-CN"/>
        </w:rPr>
        <w:t>万元。</w:t>
      </w: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kern w:val="0"/>
          <w:szCs w:val="32"/>
        </w:rPr>
        <w:t>财政拨款</w:t>
      </w:r>
      <w:r>
        <w:rPr>
          <w:rFonts w:hint="eastAsia" w:ascii="仿宋_GB2312" w:hAnsi="宋体" w:eastAsia="仿宋_GB2312"/>
          <w:sz w:val="32"/>
        </w:rPr>
        <w:t>收入为</w:t>
      </w:r>
      <w:r>
        <w:rPr>
          <w:rFonts w:hint="eastAsia" w:ascii="仿宋_GB2312" w:hAnsi="宋体" w:eastAsia="仿宋_GB2312"/>
          <w:sz w:val="32"/>
          <w:lang w:val="en-US" w:eastAsia="zh-CN"/>
        </w:rPr>
        <w:t>1027.81万</w:t>
      </w:r>
      <w:r>
        <w:rPr>
          <w:rFonts w:hint="eastAsia" w:ascii="仿宋_GB2312" w:hAnsi="宋体" w:eastAsia="仿宋_GB2312"/>
          <w:sz w:val="32"/>
        </w:rPr>
        <w:t>元。</w:t>
      </w: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kern w:val="0"/>
          <w:szCs w:val="32"/>
        </w:rPr>
        <w:t>财政拨款</w:t>
      </w:r>
      <w:r>
        <w:rPr>
          <w:rFonts w:hint="eastAsia" w:ascii="仿宋_GB2312" w:hAnsi="宋体" w:eastAsia="仿宋_GB2312"/>
          <w:sz w:val="32"/>
        </w:rPr>
        <w:t>支出</w:t>
      </w:r>
      <w:r>
        <w:rPr>
          <w:rFonts w:hint="eastAsia" w:ascii="仿宋_GB2312" w:hAnsi="宋体" w:eastAsia="仿宋_GB2312"/>
          <w:sz w:val="32"/>
          <w:lang w:val="en-US" w:eastAsia="zh-CN"/>
        </w:rPr>
        <w:t>1020.81万</w:t>
      </w:r>
      <w:r>
        <w:rPr>
          <w:rFonts w:hint="eastAsia" w:ascii="仿宋_GB2312" w:hAnsi="宋体" w:eastAsia="仿宋_GB2312"/>
          <w:sz w:val="32"/>
        </w:rPr>
        <w:t>元。</w:t>
      </w:r>
      <w:r>
        <w:rPr>
          <w:rFonts w:hint="eastAsia" w:ascii="仿宋_GB2312" w:hAnsi="宋体" w:eastAsia="仿宋_GB2312"/>
          <w:sz w:val="32"/>
          <w:lang w:eastAsia="zh-CN"/>
        </w:rPr>
        <w:t>年末</w:t>
      </w:r>
      <w:r>
        <w:rPr>
          <w:kern w:val="0"/>
          <w:szCs w:val="32"/>
        </w:rPr>
        <w:t>财政拨款</w:t>
      </w:r>
      <w:r>
        <w:rPr>
          <w:rFonts w:hint="eastAsia" w:ascii="仿宋_GB2312" w:hAnsi="宋体" w:eastAsia="仿宋_GB2312"/>
          <w:sz w:val="32"/>
          <w:lang w:eastAsia="zh-CN"/>
        </w:rPr>
        <w:t>结转</w:t>
      </w:r>
      <w:r>
        <w:rPr>
          <w:rFonts w:hint="eastAsia" w:ascii="仿宋_GB2312" w:hAnsi="宋体" w:eastAsia="仿宋_GB2312"/>
          <w:sz w:val="32"/>
        </w:rPr>
        <w:t>结余为</w:t>
      </w:r>
      <w:r>
        <w:rPr>
          <w:rFonts w:hint="eastAsia" w:ascii="仿宋_GB2312" w:hAnsi="宋体" w:eastAsia="仿宋_GB2312"/>
          <w:sz w:val="32"/>
          <w:lang w:val="en-US" w:eastAsia="zh-CN"/>
        </w:rPr>
        <w:t>115</w:t>
      </w:r>
      <w:r>
        <w:rPr>
          <w:rFonts w:hint="eastAsia" w:ascii="仿宋_GB2312" w:hAnsi="宋体" w:eastAsia="仿宋_GB2312"/>
          <w:sz w:val="32"/>
        </w:rPr>
        <w:t>万元。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kern w:val="0"/>
          <w:szCs w:val="32"/>
        </w:rPr>
        <w:t>五、一般公共预算财政拨款支出决算情况说明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201</w:t>
      </w:r>
      <w:r>
        <w:rPr>
          <w:rFonts w:hint="eastAsia" w:ascii="仿宋_GB2312" w:hAnsi="宋体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年度</w:t>
      </w:r>
      <w:r>
        <w:rPr>
          <w:kern w:val="0"/>
          <w:szCs w:val="32"/>
        </w:rPr>
        <w:t>财政拨款支出</w:t>
      </w:r>
      <w:r>
        <w:rPr>
          <w:rFonts w:hint="eastAsia" w:ascii="仿宋_GB2312" w:hAnsi="宋体" w:eastAsia="仿宋_GB2312"/>
          <w:sz w:val="32"/>
        </w:rPr>
        <w:t>为</w:t>
      </w:r>
      <w:r>
        <w:rPr>
          <w:rFonts w:hint="eastAsia" w:ascii="仿宋_GB2312" w:hAnsi="宋体" w:eastAsia="仿宋_GB2312"/>
          <w:sz w:val="32"/>
          <w:lang w:val="en-US" w:eastAsia="zh-CN"/>
        </w:rPr>
        <w:t>1020.81</w:t>
      </w:r>
      <w:r>
        <w:rPr>
          <w:rFonts w:hint="eastAsia" w:ascii="仿宋_GB2312" w:hAnsi="宋体" w:eastAsia="仿宋_GB2312"/>
          <w:sz w:val="32"/>
        </w:rPr>
        <w:t>万元，</w:t>
      </w:r>
      <w:r>
        <w:rPr>
          <w:rFonts w:hint="eastAsia" w:ascii="仿宋_GB2312" w:hAnsi="宋体"/>
          <w:sz w:val="32"/>
          <w:lang w:eastAsia="zh-CN"/>
        </w:rPr>
        <w:t>占总支出</w:t>
      </w:r>
      <w:r>
        <w:rPr>
          <w:rFonts w:hint="eastAsia" w:ascii="仿宋_GB2312" w:hAnsi="宋体"/>
          <w:sz w:val="32"/>
          <w:lang w:val="en-US" w:eastAsia="zh-CN"/>
        </w:rPr>
        <w:t>100%，</w:t>
      </w:r>
      <w:r>
        <w:rPr>
          <w:rFonts w:hint="eastAsia" w:ascii="仿宋_GB2312" w:hAnsi="宋体" w:eastAsia="仿宋_GB2312"/>
          <w:sz w:val="32"/>
        </w:rPr>
        <w:t>比上年度</w:t>
      </w:r>
      <w:r>
        <w:rPr>
          <w:rFonts w:hint="eastAsia" w:ascii="仿宋_GB2312" w:hAnsi="宋体" w:eastAsia="仿宋_GB2312"/>
          <w:sz w:val="32"/>
          <w:lang w:eastAsia="zh-CN"/>
        </w:rPr>
        <w:t>增加</w:t>
      </w:r>
      <w:r>
        <w:rPr>
          <w:rFonts w:hint="eastAsia" w:ascii="仿宋_GB2312" w:hAnsi="宋体" w:eastAsia="仿宋_GB2312"/>
          <w:sz w:val="32"/>
          <w:lang w:val="en-US" w:eastAsia="zh-CN"/>
        </w:rPr>
        <w:t>154.47</w:t>
      </w:r>
      <w:r>
        <w:rPr>
          <w:rFonts w:hint="eastAsia" w:ascii="仿宋_GB2312" w:hAnsi="宋体" w:eastAsia="仿宋_GB2312"/>
          <w:sz w:val="32"/>
        </w:rPr>
        <w:t>万元。</w:t>
      </w:r>
      <w:r>
        <w:rPr>
          <w:rFonts w:hint="eastAsia" w:ascii="仿宋_GB2312" w:hAnsi="宋体"/>
          <w:sz w:val="32"/>
          <w:lang w:eastAsia="zh-CN"/>
        </w:rPr>
        <w:t>主要原因是</w:t>
      </w:r>
      <w:r>
        <w:rPr>
          <w:rFonts w:hint="eastAsia" w:ascii="仿宋_GB2312" w:hAnsi="宋体" w:eastAsia="仿宋_GB2312"/>
          <w:sz w:val="32"/>
          <w:lang w:eastAsia="zh-CN"/>
        </w:rPr>
        <w:t>收入方面</w:t>
      </w:r>
      <w:r>
        <w:rPr>
          <w:rFonts w:hint="eastAsia" w:ascii="仿宋_GB2312" w:hAnsi="宋体" w:eastAsia="仿宋_GB2312"/>
          <w:sz w:val="32"/>
          <w:lang w:val="en-US" w:eastAsia="zh-CN"/>
        </w:rPr>
        <w:t>2017年追加指标没有2016年多；支出方面2017年人员经费和项目经费较上年度多一些。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六、一般公共预算财政拨款基本支出决算情况说明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bCs/>
          <w:kern w:val="0"/>
          <w:szCs w:val="32"/>
        </w:rPr>
        <w:t>一般公共预算财政拨款</w:t>
      </w:r>
      <w:r>
        <w:rPr>
          <w:rFonts w:hint="eastAsia" w:ascii="仿宋_GB2312" w:hAnsi="宋体" w:eastAsia="仿宋_GB2312"/>
          <w:sz w:val="32"/>
        </w:rPr>
        <w:t>基本支出</w:t>
      </w:r>
      <w:r>
        <w:rPr>
          <w:rFonts w:hint="eastAsia" w:ascii="仿宋_GB2312" w:hAnsi="宋体" w:eastAsia="仿宋_GB2312"/>
          <w:sz w:val="32"/>
          <w:lang w:val="en-US" w:eastAsia="zh-CN"/>
        </w:rPr>
        <w:t>786.71万</w:t>
      </w:r>
      <w:r>
        <w:rPr>
          <w:rFonts w:hint="eastAsia" w:ascii="仿宋_GB2312" w:hAnsi="宋体" w:eastAsia="仿宋_GB2312"/>
          <w:sz w:val="32"/>
        </w:rPr>
        <w:t>元，占总支出的比重为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77.07</w:t>
      </w:r>
      <w:r>
        <w:rPr>
          <w:rFonts w:hint="eastAsia" w:ascii="仿宋_GB2312" w:hAnsi="宋体" w:eastAsia="仿宋_GB2312"/>
          <w:sz w:val="32"/>
        </w:rPr>
        <w:t>%</w:t>
      </w:r>
      <w:r>
        <w:rPr>
          <w:rFonts w:hint="eastAsia" w:ascii="仿宋_GB2312" w:hAnsi="宋体"/>
          <w:sz w:val="32"/>
          <w:lang w:eastAsia="zh-CN"/>
        </w:rPr>
        <w:t>，其</w:t>
      </w:r>
      <w:r>
        <w:rPr>
          <w:rFonts w:hint="eastAsia" w:ascii="仿宋_GB2312" w:hAnsi="宋体" w:eastAsia="仿宋_GB2312"/>
          <w:sz w:val="32"/>
        </w:rPr>
        <w:t>中：工资福利支出</w:t>
      </w:r>
      <w:r>
        <w:rPr>
          <w:rFonts w:hint="eastAsia" w:ascii="仿宋_GB2312" w:hAnsi="宋体" w:eastAsia="仿宋_GB2312"/>
          <w:sz w:val="32"/>
          <w:lang w:val="en-US" w:eastAsia="zh-CN"/>
        </w:rPr>
        <w:t>543.89万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69.13</w:t>
      </w:r>
      <w:r>
        <w:rPr>
          <w:rFonts w:hint="eastAsia" w:ascii="仿宋_GB2312" w:hAnsi="宋体" w:eastAsia="仿宋_GB2312"/>
          <w:sz w:val="32"/>
        </w:rPr>
        <w:t>%；一般商品和服务支出</w:t>
      </w:r>
      <w:r>
        <w:rPr>
          <w:rFonts w:hint="eastAsia" w:ascii="仿宋_GB2312" w:hAnsi="宋体" w:eastAsia="仿宋_GB2312"/>
          <w:sz w:val="32"/>
          <w:lang w:val="en-US" w:eastAsia="zh-CN"/>
        </w:rPr>
        <w:t>138.36万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17.59</w:t>
      </w:r>
      <w:r>
        <w:rPr>
          <w:rFonts w:hint="eastAsia" w:ascii="仿宋_GB2312" w:hAnsi="宋体" w:eastAsia="仿宋_GB2312"/>
          <w:sz w:val="32"/>
        </w:rPr>
        <w:t>%；对个人和家庭的补助支出</w:t>
      </w:r>
      <w:r>
        <w:rPr>
          <w:rFonts w:hint="eastAsia" w:ascii="仿宋_GB2312" w:hAnsi="宋体" w:eastAsia="仿宋_GB2312"/>
          <w:sz w:val="32"/>
          <w:lang w:val="en-US" w:eastAsia="zh-CN"/>
        </w:rPr>
        <w:t>104.45万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13.28%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七、一般公共预算财政拨款“三公”经费支出决算情况说明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（一）“三公”经费财政拨款支出决算总体情况说明。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宋体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“三公”经费总额及分项与年初预算数比较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)</w:t>
      </w:r>
    </w:p>
    <w:tbl>
      <w:tblPr>
        <w:tblStyle w:val="4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0"/>
        <w:gridCol w:w="1407"/>
        <w:gridCol w:w="1406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（1）公务用车运行维护费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（1）国内接待费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14.01</w:t>
            </w:r>
          </w:p>
        </w:tc>
      </w:tr>
    </w:tbl>
    <w:p>
      <w:pPr>
        <w:widowControl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“三公”经费与上年决算数比较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)</w:t>
      </w:r>
    </w:p>
    <w:tbl>
      <w:tblPr>
        <w:tblStyle w:val="4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9"/>
        <w:gridCol w:w="1772"/>
        <w:gridCol w:w="1648"/>
        <w:gridCol w:w="1158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-7.01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压缩了开支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）公务用车运行维护费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0.3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7.04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（1）国内接待费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7.04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ind w:firstLine="800" w:firstLineChars="25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（二）“三公”经费财政拨款支出决算具体情况说明。</w:t>
      </w:r>
    </w:p>
    <w:p>
      <w:pPr>
        <w:widowControl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省委讲师团201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年度无因公出国（境）业务，没有经费开支。一般公务用车3辆，公务用车运行维护费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17.7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万元，国内公务接待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批次，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2人次，公务接待费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2.99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万元。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八、政府性基金预算收入支出决算情况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</w:t>
      </w:r>
      <w:r>
        <w:rPr>
          <w:rFonts w:hint="eastAsia"/>
          <w:kern w:val="0"/>
          <w:szCs w:val="32"/>
        </w:rPr>
        <w:t>无政府性基金收支</w:t>
      </w:r>
      <w:r>
        <w:rPr>
          <w:rFonts w:hint="eastAsia"/>
          <w:kern w:val="0"/>
          <w:szCs w:val="32"/>
          <w:lang w:eastAsia="zh-CN"/>
        </w:rPr>
        <w:t>。</w:t>
      </w:r>
    </w:p>
    <w:p>
      <w:pPr>
        <w:widowControl/>
        <w:ind w:firstLine="640"/>
        <w:jc w:val="left"/>
        <w:rPr>
          <w:kern w:val="0"/>
          <w:szCs w:val="32"/>
        </w:rPr>
      </w:pPr>
      <w:r>
        <w:rPr>
          <w:kern w:val="0"/>
          <w:szCs w:val="32"/>
        </w:rPr>
        <w:t>九、关于201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年度预算绩效情况说明</w:t>
      </w:r>
    </w:p>
    <w:p>
      <w:pPr>
        <w:widowControl/>
        <w:ind w:firstLine="640"/>
        <w:jc w:val="left"/>
        <w:rPr>
          <w:kern w:val="0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提高财政资金使用效益，促进事业发展，加强了预算绩效管理。一是合理制定绩效目标，做到准确、客观，与预算同时申报。二是加强对绩效目标运行情况进行跟踪管理和督促检查，发现项目运行与绩效目标发生偏离时，及时采取措施纠正。三是做好评价工作，将实际取得的绩效与绩效目标进行对比，总结经验，改进管理，提高资金使用效益，增强支出责任</w:t>
      </w:r>
    </w:p>
    <w:p>
      <w:pPr>
        <w:widowControl/>
        <w:ind w:firstLine="640"/>
        <w:jc w:val="left"/>
        <w:rPr>
          <w:kern w:val="0"/>
          <w:szCs w:val="32"/>
        </w:rPr>
      </w:pPr>
      <w:r>
        <w:rPr>
          <w:kern w:val="0"/>
          <w:szCs w:val="32"/>
        </w:rPr>
        <w:t>十、其他重要事项</w:t>
      </w:r>
    </w:p>
    <w:p>
      <w:pPr>
        <w:autoSpaceDE w:val="0"/>
        <w:autoSpaceDN w:val="0"/>
        <w:adjustRightInd w:val="0"/>
        <w:ind w:firstLine="640"/>
        <w:jc w:val="left"/>
        <w:rPr>
          <w:kern w:val="0"/>
          <w:szCs w:val="32"/>
        </w:rPr>
      </w:pPr>
      <w:r>
        <w:rPr>
          <w:kern w:val="0"/>
          <w:szCs w:val="32"/>
        </w:rPr>
        <w:t>（一）机关运行经费支出情况。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</w:t>
      </w:r>
      <w:r>
        <w:rPr>
          <w:kern w:val="0"/>
          <w:szCs w:val="32"/>
        </w:rPr>
        <w:t>201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年度机关运行经费支出</w:t>
      </w:r>
      <w:r>
        <w:rPr>
          <w:rFonts w:hint="eastAsia"/>
          <w:kern w:val="0"/>
          <w:szCs w:val="32"/>
          <w:lang w:val="en-US" w:eastAsia="zh-CN"/>
        </w:rPr>
        <w:t>138.36</w:t>
      </w:r>
      <w:r>
        <w:rPr>
          <w:kern w:val="0"/>
          <w:szCs w:val="32"/>
        </w:rPr>
        <w:t>万元，比</w:t>
      </w:r>
      <w:r>
        <w:rPr>
          <w:rFonts w:hint="eastAsia"/>
          <w:kern w:val="0"/>
          <w:szCs w:val="32"/>
          <w:lang w:eastAsia="zh-CN"/>
        </w:rPr>
        <w:t>上</w:t>
      </w:r>
      <w:r>
        <w:rPr>
          <w:rFonts w:hint="eastAsia"/>
          <w:kern w:val="0"/>
          <w:szCs w:val="32"/>
        </w:rPr>
        <w:t>年</w:t>
      </w:r>
      <w:r>
        <w:rPr>
          <w:rFonts w:hint="eastAsia"/>
          <w:kern w:val="0"/>
          <w:szCs w:val="32"/>
          <w:lang w:eastAsia="zh-CN"/>
        </w:rPr>
        <w:t>减少</w:t>
      </w:r>
      <w:r>
        <w:rPr>
          <w:rFonts w:hint="eastAsia"/>
          <w:kern w:val="0"/>
          <w:szCs w:val="32"/>
          <w:lang w:val="en-US" w:eastAsia="zh-CN"/>
        </w:rPr>
        <w:t>15.84</w:t>
      </w:r>
      <w:r>
        <w:rPr>
          <w:kern w:val="0"/>
          <w:szCs w:val="32"/>
        </w:rPr>
        <w:t>万元，</w:t>
      </w:r>
      <w:r>
        <w:rPr>
          <w:rFonts w:hint="eastAsia"/>
          <w:kern w:val="0"/>
          <w:szCs w:val="32"/>
          <w:lang w:eastAsia="zh-CN"/>
        </w:rPr>
        <w:t>减少</w:t>
      </w:r>
      <w:r>
        <w:rPr>
          <w:rFonts w:hint="eastAsia"/>
          <w:kern w:val="0"/>
          <w:szCs w:val="32"/>
          <w:lang w:val="en-US" w:eastAsia="zh-CN"/>
        </w:rPr>
        <w:t>10.27</w:t>
      </w:r>
      <w:r>
        <w:rPr>
          <w:kern w:val="0"/>
          <w:szCs w:val="32"/>
        </w:rPr>
        <w:t>%。主要原因是：</w:t>
      </w:r>
      <w:r>
        <w:rPr>
          <w:rFonts w:hint="eastAsia" w:ascii="仿宋_GB2312" w:hAnsi="宋体"/>
          <w:sz w:val="28"/>
          <w:szCs w:val="28"/>
          <w:lang w:val="en-US" w:eastAsia="zh-CN"/>
        </w:rPr>
        <w:t>压减了机关运行经费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开支</w:t>
      </w:r>
      <w:r>
        <w:rPr>
          <w:rFonts w:hint="eastAsia"/>
          <w:kern w:val="0"/>
          <w:szCs w:val="32"/>
        </w:rPr>
        <w:t>。</w:t>
      </w:r>
    </w:p>
    <w:p>
      <w:pPr>
        <w:autoSpaceDE w:val="0"/>
        <w:autoSpaceDN w:val="0"/>
        <w:adjustRightInd w:val="0"/>
        <w:ind w:firstLine="640"/>
        <w:jc w:val="left"/>
        <w:rPr>
          <w:kern w:val="0"/>
          <w:szCs w:val="32"/>
        </w:rPr>
      </w:pPr>
      <w:r>
        <w:rPr>
          <w:kern w:val="0"/>
          <w:szCs w:val="32"/>
        </w:rPr>
        <w:t>（二）政府采购支出情况。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</w:t>
      </w:r>
      <w:r>
        <w:rPr>
          <w:kern w:val="0"/>
          <w:szCs w:val="32"/>
        </w:rPr>
        <w:t>201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年度政府采购支出总额</w:t>
      </w:r>
      <w:r>
        <w:rPr>
          <w:rFonts w:hint="eastAsia"/>
          <w:kern w:val="0"/>
          <w:szCs w:val="32"/>
          <w:lang w:val="en-US" w:eastAsia="zh-CN"/>
        </w:rPr>
        <w:t>5.11</w:t>
      </w:r>
      <w:r>
        <w:rPr>
          <w:kern w:val="0"/>
          <w:szCs w:val="32"/>
        </w:rPr>
        <w:t>万元，其中：政府采购货物支出</w:t>
      </w:r>
      <w:r>
        <w:rPr>
          <w:rFonts w:hint="eastAsia"/>
          <w:kern w:val="0"/>
          <w:szCs w:val="32"/>
          <w:lang w:val="en-US" w:eastAsia="zh-CN"/>
        </w:rPr>
        <w:t>5.11</w:t>
      </w:r>
      <w:r>
        <w:rPr>
          <w:kern w:val="0"/>
          <w:szCs w:val="32"/>
        </w:rPr>
        <w:t>万元、政府采购工程支出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万元、政府采购服务支出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万元。授予中小企业合同金额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万元，其中：授予小微企业合同金额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万元，占政府采购支出金额的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%。</w:t>
      </w:r>
    </w:p>
    <w:p>
      <w:pPr>
        <w:autoSpaceDE w:val="0"/>
        <w:autoSpaceDN w:val="0"/>
        <w:adjustRightInd w:val="0"/>
        <w:ind w:firstLine="800" w:firstLineChars="250"/>
        <w:jc w:val="left"/>
        <w:rPr>
          <w:kern w:val="0"/>
          <w:szCs w:val="32"/>
        </w:rPr>
      </w:pPr>
      <w:r>
        <w:rPr>
          <w:kern w:val="0"/>
          <w:szCs w:val="32"/>
        </w:rPr>
        <w:t>（三）国有资产占用情况。截至201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年12月31日，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</w:t>
      </w:r>
      <w:r>
        <w:rPr>
          <w:kern w:val="0"/>
          <w:szCs w:val="32"/>
        </w:rPr>
        <w:t>共有车辆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辆，其中，部级领导干部用车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辆、一般公务用车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辆、一般执法执勤用车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辆、特种专业技术用车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辆、其他用车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辆，；单位价值50万元以上通用设备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台（套），单价100万元以上专用设备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台（套）。</w:t>
      </w:r>
    </w:p>
    <w:p>
      <w:pPr>
        <w:widowControl/>
        <w:ind w:firstLine="0" w:firstLineChars="0"/>
        <w:jc w:val="left"/>
        <w:rPr>
          <w:rFonts w:hint="eastAsia" w:eastAsia="黑体"/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rFonts w:ascii="仿宋_GB2312"/>
          <w:szCs w:val="32"/>
        </w:rPr>
      </w:pPr>
      <w:r>
        <w:rPr>
          <w:rFonts w:hint="eastAsia" w:eastAsia="黑体"/>
          <w:bCs/>
          <w:kern w:val="0"/>
          <w:szCs w:val="32"/>
        </w:rPr>
        <w:t>第</w:t>
      </w:r>
      <w:r>
        <w:rPr>
          <w:rFonts w:hint="eastAsia" w:eastAsia="黑体"/>
          <w:bCs/>
          <w:kern w:val="0"/>
          <w:szCs w:val="32"/>
          <w:lang w:eastAsia="zh-CN"/>
        </w:rPr>
        <w:t>三</w:t>
      </w:r>
      <w:r>
        <w:rPr>
          <w:rFonts w:hint="eastAsia" w:eastAsia="黑体"/>
          <w:bCs/>
          <w:kern w:val="0"/>
          <w:szCs w:val="32"/>
        </w:rPr>
        <w:t>部分</w:t>
      </w:r>
      <w:r>
        <w:rPr>
          <w:rFonts w:hint="eastAsia" w:eastAsia="黑体"/>
          <w:bCs/>
          <w:kern w:val="0"/>
          <w:szCs w:val="32"/>
          <w:lang w:val="en-US" w:eastAsia="zh-CN"/>
        </w:rPr>
        <w:t xml:space="preserve">  </w:t>
      </w:r>
      <w:r>
        <w:rPr>
          <w:rFonts w:hint="eastAsia" w:eastAsia="黑体"/>
          <w:bCs/>
          <w:kern w:val="0"/>
          <w:szCs w:val="32"/>
        </w:rPr>
        <w:t>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/>
        </w:rPr>
        <w:t>“</w:t>
      </w:r>
      <w:r>
        <w:rPr>
          <w:rFonts w:hint="eastAsia" w:ascii="仿宋_GB2312" w:hAnsi="宋体" w:eastAsia="仿宋_GB2312"/>
          <w:kern w:val="0"/>
          <w:sz w:val="32"/>
          <w:szCs w:val="32"/>
        </w:rPr>
        <w:t>三公</w:t>
      </w:r>
      <w:r>
        <w:rPr>
          <w:rFonts w:hint="eastAsia" w:ascii="仿宋_GB2312" w:hAnsi="宋体" w:eastAsia="仿宋_GB2312"/>
          <w:kern w:val="0"/>
          <w:sz w:val="32"/>
          <w:szCs w:val="32"/>
          <w:lang w:val="en-US"/>
        </w:rPr>
        <w:t>”</w:t>
      </w:r>
      <w:r>
        <w:rPr>
          <w:rFonts w:hint="eastAsia" w:ascii="仿宋_GB2312" w:hAnsi="宋体" w:eastAsia="仿宋_GB2312"/>
          <w:kern w:val="0"/>
          <w:sz w:val="32"/>
          <w:szCs w:val="32"/>
        </w:rPr>
        <w:t>经费：纳入省财政预算管理的</w:t>
      </w:r>
      <w:r>
        <w:rPr>
          <w:rFonts w:hint="eastAsia" w:ascii="仿宋_GB2312" w:hAnsi="宋体" w:eastAsia="仿宋_GB2312"/>
          <w:kern w:val="0"/>
          <w:sz w:val="32"/>
          <w:szCs w:val="32"/>
          <w:lang w:val="en-US"/>
        </w:rPr>
        <w:t>“</w:t>
      </w:r>
      <w:r>
        <w:rPr>
          <w:rFonts w:hint="eastAsia" w:ascii="仿宋_GB2312" w:hAnsi="宋体" w:eastAsia="仿宋_GB2312"/>
          <w:kern w:val="0"/>
          <w:sz w:val="32"/>
          <w:szCs w:val="32"/>
        </w:rPr>
        <w:t>三公</w:t>
      </w:r>
      <w:r>
        <w:rPr>
          <w:rFonts w:hint="eastAsia" w:ascii="仿宋_GB2312" w:hAnsi="宋体" w:eastAsia="仿宋_GB2312"/>
          <w:kern w:val="0"/>
          <w:sz w:val="32"/>
          <w:szCs w:val="32"/>
          <w:lang w:val="en-US"/>
        </w:rPr>
        <w:t>“</w:t>
      </w:r>
      <w:r>
        <w:rPr>
          <w:rFonts w:hint="eastAsia" w:ascii="仿宋_GB2312" w:hAnsi="宋体" w:eastAsia="仿宋_GB2312"/>
          <w:kern w:val="0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580" w:lineRule="exact"/>
        <w:ind w:firstLine="600"/>
        <w:jc w:val="left"/>
        <w:rPr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2"/>
      <w:jc w:val="center"/>
    </w:pPr>
    <w:r>
      <w:rPr>
        <w:rFonts w:hint="eastAsia"/>
        <w:b/>
        <w:sz w:val="24"/>
        <w:szCs w:val="24"/>
      </w:rPr>
      <w:t>－</w:t>
    </w: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PAGE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13</w:t>
    </w:r>
    <w:r>
      <w:rPr>
        <w:rFonts w:ascii="Arial" w:hAnsi="Arial" w:cs="Arial"/>
        <w:b/>
        <w:sz w:val="21"/>
        <w:szCs w:val="21"/>
      </w:rPr>
      <w:fldChar w:fldCharType="end"/>
    </w:r>
    <w:r>
      <w:rPr>
        <w:rFonts w:hint="eastAsia"/>
        <w:b/>
        <w:sz w:val="24"/>
        <w:szCs w:val="24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6462"/>
    <w:multiLevelType w:val="singleLevel"/>
    <w:tmpl w:val="5D6F64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41B5D"/>
    <w:rsid w:val="0A7F4ED7"/>
    <w:rsid w:val="141111EC"/>
    <w:rsid w:val="1B9432C1"/>
    <w:rsid w:val="2B900A6C"/>
    <w:rsid w:val="380B0F51"/>
    <w:rsid w:val="3AE37606"/>
    <w:rsid w:val="48CA4B12"/>
    <w:rsid w:val="4E141B5D"/>
    <w:rsid w:val="6E3C4037"/>
    <w:rsid w:val="7B4A2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2019-09-04T03:32:00Z</dcterms:created>
  <dc:creator>Administrator</dc:creator>
  <cp:lastModifiedBy>lenovo</cp:lastModifiedBy>
  <dcterms:modified xsi:type="dcterms:W3CDTF">2021-07-02T05:25:44Z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