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ind w:firstLine="880"/>
        <w:rPr>
          <w:rFonts w:hint="eastAsia" w:ascii="方正小标宋简体" w:hAnsi="方正小标宋简体" w:eastAsia="方正小标宋简体" w:cs="方正小标宋简体"/>
          <w:b w:val="0"/>
          <w:bCs w:val="0"/>
          <w:sz w:val="44"/>
          <w:szCs w:val="44"/>
        </w:rPr>
      </w:pPr>
    </w:p>
    <w:p>
      <w:pPr>
        <w:rPr>
          <w:rFonts w:hint="eastAsia"/>
        </w:rPr>
      </w:pPr>
    </w:p>
    <w:p>
      <w:pPr>
        <w:pStyle w:val="11"/>
        <w:ind w:firstLine="880"/>
        <w:rPr>
          <w:rFonts w:hint="eastAsia" w:ascii="方正小标宋简体" w:hAnsi="方正小标宋简体" w:eastAsia="方正小标宋简体" w:cs="方正小标宋简体"/>
          <w:b w:val="0"/>
          <w:bCs w:val="0"/>
          <w:sz w:val="44"/>
          <w:szCs w:val="44"/>
        </w:rPr>
      </w:pPr>
    </w:p>
    <w:p>
      <w:pPr>
        <w:pStyle w:val="11"/>
        <w:ind w:firstLine="880"/>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2015-2017年度湖南省粮油千亿产业</w:t>
      </w:r>
    </w:p>
    <w:p>
      <w:pPr>
        <w:pStyle w:val="11"/>
        <w:ind w:firstLine="880"/>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专项资金绩效评价报告</w:t>
      </w:r>
    </w:p>
    <w:p>
      <w:pPr>
        <w:spacing w:before="312" w:beforeLines="100"/>
        <w:ind w:firstLine="640"/>
        <w:outlineLvl w:val="0"/>
        <w:rPr>
          <w:szCs w:val="32"/>
        </w:rPr>
      </w:pPr>
    </w:p>
    <w:p>
      <w:pPr>
        <w:ind w:firstLine="640"/>
      </w:pPr>
      <w:r>
        <w:t>为全面掌握2015-2017年粮油千亿产业专项资金使用情况及取得的效果，进一步规范和加强专项资金使用管理，切实提高财政资金使用效益，根据《湖南省人民政府关于深化预算管理制度改革的实施意见》（湘政发〔2015〕8号）、《湖南省财政厅关于深度整合规范省级专项资金的通知》（湘财预〔2016〕87号）和《湖南省财政厅关于开展2015—2017年度省级专项资金三年整体绩效评价工作的通知》（湘财绩〔2018〕10号）等文件规定，湖南湘楚会计师事务所有限责任公司（以下简称“我所”）派出评价组于2018年05月10日至2018年0</w:t>
      </w:r>
      <w:r>
        <w:rPr>
          <w:rFonts w:hint="eastAsia"/>
        </w:rPr>
        <w:t>6</w:t>
      </w:r>
      <w:r>
        <w:t>月</w:t>
      </w:r>
      <w:r>
        <w:rPr>
          <w:rFonts w:hint="eastAsia"/>
        </w:rPr>
        <w:t>3</w:t>
      </w:r>
      <w:r>
        <w:t>0日对2015-2017年度湖南省粮油千亿产业专项资金进行了绩效评价。评价从预算决策、预算执行、预算监督、项目决策、资金使用、财务管理、项目管理和项目绩效完成等方面对项目进行了综合评价。现将项目绩效评价情况报告如下：</w:t>
      </w:r>
    </w:p>
    <w:p>
      <w:pPr>
        <w:pStyle w:val="2"/>
        <w:numPr>
          <w:ilvl w:val="0"/>
          <w:numId w:val="1"/>
        </w:numPr>
        <w:ind w:firstLine="643"/>
        <w:sectPr>
          <w:headerReference r:id="rId7" w:type="first"/>
          <w:footerReference r:id="rId10" w:type="first"/>
          <w:headerReference r:id="rId5" w:type="default"/>
          <w:footerReference r:id="rId8" w:type="default"/>
          <w:headerReference r:id="rId6" w:type="even"/>
          <w:footerReference r:id="rId9" w:type="even"/>
          <w:pgSz w:w="11906" w:h="16838"/>
          <w:pgMar w:top="1440" w:right="1474" w:bottom="1440" w:left="1332" w:header="851" w:footer="992" w:gutter="0"/>
          <w:cols w:space="720" w:num="1"/>
          <w:docGrid w:type="lines" w:linePitch="312" w:charSpace="0"/>
        </w:sectPr>
      </w:pPr>
    </w:p>
    <w:p>
      <w:pPr>
        <w:pStyle w:val="2"/>
        <w:numPr>
          <w:ilvl w:val="0"/>
          <w:numId w:val="1"/>
        </w:numPr>
        <w:ind w:firstLine="643"/>
      </w:pPr>
      <w:r>
        <w:rPr>
          <w:rFonts w:hint="eastAsia"/>
        </w:rPr>
        <w:t>绩效评价组织实施</w:t>
      </w:r>
    </w:p>
    <w:p>
      <w:pPr>
        <w:pStyle w:val="3"/>
        <w:numPr>
          <w:ilvl w:val="0"/>
          <w:numId w:val="2"/>
        </w:numPr>
        <w:ind w:firstLine="643"/>
      </w:pPr>
      <w:r>
        <w:rPr>
          <w:rFonts w:hint="eastAsia"/>
        </w:rPr>
        <w:t>、</w:t>
      </w:r>
      <w:r>
        <w:t>组织评价小组</w:t>
      </w:r>
    </w:p>
    <w:p>
      <w:pPr>
        <w:ind w:firstLine="640"/>
        <w:rPr>
          <w:szCs w:val="32"/>
        </w:rPr>
      </w:pPr>
      <w:r>
        <w:rPr>
          <w:rFonts w:hint="eastAsia" w:ascii="仿宋_GB2312" w:hAnsi="仿宋_GB2312" w:cs="仿宋_GB2312"/>
        </w:rPr>
        <w:t>依据湖南省财政厅要求，我所成立项目评价小组，全程参与并做好绩效前期工作准备和项目现场</w:t>
      </w:r>
      <w:r>
        <w:rPr>
          <w:rFonts w:hint="eastAsia" w:ascii="仿宋_GB2312" w:hAnsi="仿宋_GB2312" w:cs="仿宋_GB2312"/>
          <w:lang w:val="en-US" w:eastAsia="zh-CN"/>
        </w:rPr>
        <w:t>评价</w:t>
      </w:r>
      <w:r>
        <w:rPr>
          <w:rFonts w:hint="eastAsia" w:ascii="仿宋_GB2312" w:hAnsi="仿宋_GB2312" w:cs="仿宋_GB2312"/>
        </w:rPr>
        <w:t>，主要包</w:t>
      </w:r>
      <w:r>
        <w:rPr>
          <w:rFonts w:hint="eastAsia" w:ascii="仿宋_GB2312" w:hAnsi="仿宋_GB2312" w:cs="仿宋_GB2312"/>
          <w:u w:val="none"/>
        </w:rPr>
        <w:t>括</w:t>
      </w:r>
      <w:r>
        <w:rPr>
          <w:rFonts w:hint="eastAsia" w:ascii="仿宋_GB2312" w:hAnsi="仿宋_GB2312" w:cs="仿宋_GB2312"/>
          <w:u w:val="none" w:color="auto"/>
        </w:rPr>
        <w:t>:</w:t>
      </w:r>
      <w:r>
        <w:rPr>
          <w:rFonts w:hint="eastAsia" w:ascii="仿宋_GB2312" w:hAnsi="仿宋_GB2312" w:cs="仿宋_GB2312"/>
        </w:rPr>
        <w:t>拟定专项资金支出绩效评价方案、选取合适的绩效评价方式，设立绩效评价指标体系、抽样进行现场评价、出具绩效评价工作报告等。</w:t>
      </w:r>
    </w:p>
    <w:p>
      <w:pPr>
        <w:pStyle w:val="3"/>
        <w:numPr>
          <w:ilvl w:val="0"/>
          <w:numId w:val="2"/>
        </w:numPr>
        <w:ind w:firstLine="643"/>
      </w:pPr>
      <w:r>
        <w:rPr>
          <w:rFonts w:hint="eastAsia"/>
        </w:rPr>
        <w:t>、</w:t>
      </w:r>
      <w:r>
        <w:t>评价程序</w:t>
      </w:r>
    </w:p>
    <w:p>
      <w:pPr>
        <w:ind w:firstLine="640"/>
        <w:rPr>
          <w:szCs w:val="32"/>
        </w:rPr>
      </w:pPr>
      <w:r>
        <w:t>根据湖南省财政厅《湖南省财政厅关于开展2015—2017年度省级专项资金三年整体绩效评价工作的通知》（湘财绩〔2018〕10号）对专项资金政策情况、专项资金管理情况、专项资金安排情况、专项资金使用情况及专项资金绩效情况，严格按照工作程序、时间和要求，客观公正地进行评价。</w:t>
      </w:r>
    </w:p>
    <w:p>
      <w:pPr>
        <w:pStyle w:val="3"/>
        <w:numPr>
          <w:ilvl w:val="0"/>
          <w:numId w:val="2"/>
        </w:numPr>
        <w:ind w:firstLine="643"/>
      </w:pPr>
      <w:r>
        <w:rPr>
          <w:rFonts w:hint="eastAsia"/>
        </w:rPr>
        <w:t>、评价方法</w:t>
      </w:r>
    </w:p>
    <w:p>
      <w:pPr>
        <w:ind w:firstLine="640"/>
      </w:pPr>
      <w:r>
        <w:t>2015-2017年度湖南省粮油千亿产业专项资金绩效评价项目（以下简称“本项目”）采用从主管部门查看项目申报、评审、公示等资料和抽查项目单位现场评价相结合的方式进行。本次重点绩效评价抽查评价项目125个，占项目总金额的31.02%；抽查专项资金共计12,202.08万元，占项目总金额的41.88%，详见下表：</w:t>
      </w:r>
    </w:p>
    <w:p>
      <w:pPr>
        <w:pStyle w:val="35"/>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0"/>
        <w:rPr>
          <w:b/>
          <w:bCs/>
          <w:szCs w:val="32"/>
        </w:rPr>
      </w:pPr>
    </w:p>
    <w:p>
      <w:pPr>
        <w:pStyle w:val="35"/>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0"/>
        <w:rPr>
          <w:b/>
          <w:bCs/>
          <w:szCs w:val="32"/>
        </w:rPr>
      </w:pPr>
    </w:p>
    <w:p>
      <w:pPr>
        <w:pStyle w:val="35"/>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0"/>
        <w:rPr>
          <w:b/>
          <w:bCs/>
          <w:szCs w:val="32"/>
        </w:rPr>
      </w:pPr>
    </w:p>
    <w:p>
      <w:pPr>
        <w:pStyle w:val="35"/>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0"/>
        <w:rPr>
          <w:b/>
          <w:bCs/>
          <w:szCs w:val="32"/>
        </w:rPr>
      </w:pPr>
      <w:r>
        <w:rPr>
          <w:b/>
          <w:bCs/>
          <w:szCs w:val="32"/>
        </w:rPr>
        <w:t>2015-2017年粮油千亿产业现场抽查情况表</w:t>
      </w:r>
    </w:p>
    <w:p>
      <w:pPr>
        <w:pStyle w:val="35"/>
        <w:keepNext w:val="0"/>
        <w:keepLines w:val="0"/>
        <w:pageBreakBefore w:val="0"/>
        <w:widowControl w:val="0"/>
        <w:kinsoku/>
        <w:wordWrap/>
        <w:overflowPunct/>
        <w:topLinePunct w:val="0"/>
        <w:autoSpaceDE/>
        <w:autoSpaceDN/>
        <w:bidi w:val="0"/>
        <w:adjustRightInd/>
        <w:snapToGrid/>
        <w:spacing w:line="620" w:lineRule="exact"/>
        <w:ind w:firstLine="0" w:firstLineChars="0"/>
        <w:jc w:val="right"/>
        <w:textAlignment w:val="auto"/>
        <w:outlineLvl w:val="0"/>
        <w:rPr>
          <w:rFonts w:hint="eastAsia"/>
          <w:szCs w:val="32"/>
        </w:rPr>
      </w:pPr>
      <w:r>
        <w:rPr>
          <w:rFonts w:hint="eastAsia"/>
          <w:szCs w:val="32"/>
        </w:rPr>
        <w:t>单位：金额/万元；数量/个</w:t>
      </w:r>
    </w:p>
    <w:tbl>
      <w:tblPr>
        <w:tblStyle w:val="13"/>
        <w:tblW w:w="9354"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77"/>
        <w:gridCol w:w="871"/>
        <w:gridCol w:w="554"/>
        <w:gridCol w:w="775"/>
        <w:gridCol w:w="553"/>
        <w:gridCol w:w="871"/>
        <w:gridCol w:w="554"/>
        <w:gridCol w:w="871"/>
        <w:gridCol w:w="553"/>
        <w:gridCol w:w="870"/>
        <w:gridCol w:w="554"/>
        <w:gridCol w:w="935"/>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25" w:hRule="atLeast"/>
        </w:trPr>
        <w:tc>
          <w:tcPr>
            <w:tcW w:w="77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lang w:val="en-US" w:eastAsia="zh-CN"/>
              </w:rPr>
            </w:pPr>
            <w:r>
              <w:rPr>
                <w:rFonts w:hint="default" w:ascii="Times New Roman" w:hAnsi="Times New Roman" w:cs="Times New Roman"/>
                <w:i w:val="0"/>
                <w:color w:val="000000"/>
                <w:sz w:val="18"/>
                <w:szCs w:val="18"/>
                <w:u w:val="none"/>
                <w:lang w:val="en-US" w:eastAsia="zh-CN"/>
              </w:rPr>
              <w:t>市州</w:t>
            </w:r>
          </w:p>
        </w:tc>
        <w:tc>
          <w:tcPr>
            <w:tcW w:w="14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湘财建指   〔2015〕252号</w:t>
            </w:r>
          </w:p>
        </w:tc>
        <w:tc>
          <w:tcPr>
            <w:tcW w:w="1328"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湘财建指 〔2015〕503号</w:t>
            </w:r>
          </w:p>
        </w:tc>
        <w:tc>
          <w:tcPr>
            <w:tcW w:w="142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湘财建指  〔2016〕130号</w:t>
            </w:r>
          </w:p>
        </w:tc>
        <w:tc>
          <w:tcPr>
            <w:tcW w:w="142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湘财建指  〔2017〕27号</w:t>
            </w:r>
          </w:p>
        </w:tc>
        <w:tc>
          <w:tcPr>
            <w:tcW w:w="1424"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湘财建指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 〔2017〕303号</w:t>
            </w:r>
          </w:p>
        </w:tc>
        <w:tc>
          <w:tcPr>
            <w:tcW w:w="155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77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金额</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数量</w:t>
            </w:r>
          </w:p>
        </w:tc>
        <w:tc>
          <w:tcPr>
            <w:tcW w:w="7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金额</w:t>
            </w:r>
          </w:p>
        </w:tc>
        <w:tc>
          <w:tcPr>
            <w:tcW w:w="5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数量</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金额</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数量</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金额</w:t>
            </w:r>
          </w:p>
        </w:tc>
        <w:tc>
          <w:tcPr>
            <w:tcW w:w="5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数量</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金额</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数量</w:t>
            </w:r>
          </w:p>
        </w:tc>
        <w:tc>
          <w:tcPr>
            <w:tcW w:w="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金额</w:t>
            </w:r>
          </w:p>
        </w:tc>
        <w:tc>
          <w:tcPr>
            <w:tcW w:w="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7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省 直</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1,860.00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12</w:t>
            </w:r>
          </w:p>
        </w:tc>
        <w:tc>
          <w:tcPr>
            <w:tcW w:w="7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214.00 </w:t>
            </w:r>
          </w:p>
        </w:tc>
        <w:tc>
          <w:tcPr>
            <w:tcW w:w="5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1,480.00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12</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715.00 </w:t>
            </w:r>
          </w:p>
        </w:tc>
        <w:tc>
          <w:tcPr>
            <w:tcW w:w="5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905.00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8</w:t>
            </w:r>
          </w:p>
        </w:tc>
        <w:tc>
          <w:tcPr>
            <w:tcW w:w="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5,174.00 </w:t>
            </w:r>
          </w:p>
        </w:tc>
        <w:tc>
          <w:tcPr>
            <w:tcW w:w="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7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长沙市</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470.00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4</w:t>
            </w:r>
          </w:p>
        </w:tc>
        <w:tc>
          <w:tcPr>
            <w:tcW w:w="7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200.00 </w:t>
            </w:r>
          </w:p>
        </w:tc>
        <w:tc>
          <w:tcPr>
            <w:tcW w:w="5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255.00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w:t>
            </w:r>
          </w:p>
        </w:tc>
        <w:tc>
          <w:tcPr>
            <w:tcW w:w="8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5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97.00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w:t>
            </w:r>
          </w:p>
        </w:tc>
        <w:tc>
          <w:tcPr>
            <w:tcW w:w="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1,022.00 </w:t>
            </w:r>
          </w:p>
        </w:tc>
        <w:tc>
          <w:tcPr>
            <w:tcW w:w="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7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湘潭市</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340.00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4</w:t>
            </w:r>
          </w:p>
        </w:tc>
        <w:tc>
          <w:tcPr>
            <w:tcW w:w="7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5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420.00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60.00 </w:t>
            </w:r>
          </w:p>
        </w:tc>
        <w:tc>
          <w:tcPr>
            <w:tcW w:w="5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89.00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w:t>
            </w:r>
          </w:p>
        </w:tc>
        <w:tc>
          <w:tcPr>
            <w:tcW w:w="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909.00 </w:t>
            </w:r>
          </w:p>
        </w:tc>
        <w:tc>
          <w:tcPr>
            <w:tcW w:w="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7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衡阳市</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487.00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5</w:t>
            </w:r>
          </w:p>
        </w:tc>
        <w:tc>
          <w:tcPr>
            <w:tcW w:w="7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5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330.00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4</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248.00 </w:t>
            </w:r>
          </w:p>
        </w:tc>
        <w:tc>
          <w:tcPr>
            <w:tcW w:w="5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130.00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w:t>
            </w:r>
          </w:p>
        </w:tc>
        <w:tc>
          <w:tcPr>
            <w:tcW w:w="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1,195.00 </w:t>
            </w:r>
          </w:p>
        </w:tc>
        <w:tc>
          <w:tcPr>
            <w:tcW w:w="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7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邵阳市</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260.00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w:t>
            </w:r>
          </w:p>
        </w:tc>
        <w:tc>
          <w:tcPr>
            <w:tcW w:w="7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5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380.00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70.00 </w:t>
            </w:r>
          </w:p>
        </w:tc>
        <w:tc>
          <w:tcPr>
            <w:tcW w:w="5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138.00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w:t>
            </w:r>
          </w:p>
        </w:tc>
        <w:tc>
          <w:tcPr>
            <w:tcW w:w="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848.00 </w:t>
            </w:r>
          </w:p>
        </w:tc>
        <w:tc>
          <w:tcPr>
            <w:tcW w:w="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7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岳阳市</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120.00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w:t>
            </w:r>
          </w:p>
        </w:tc>
        <w:tc>
          <w:tcPr>
            <w:tcW w:w="7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5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8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5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420.00 </w:t>
            </w:r>
          </w:p>
        </w:tc>
        <w:tc>
          <w:tcPr>
            <w:tcW w:w="5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4</w:t>
            </w:r>
          </w:p>
        </w:tc>
        <w:tc>
          <w:tcPr>
            <w:tcW w:w="8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5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540.00 </w:t>
            </w:r>
          </w:p>
        </w:tc>
        <w:tc>
          <w:tcPr>
            <w:tcW w:w="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7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常德市</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235.00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w:t>
            </w:r>
          </w:p>
        </w:tc>
        <w:tc>
          <w:tcPr>
            <w:tcW w:w="7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5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130.00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155.00 </w:t>
            </w:r>
          </w:p>
        </w:tc>
        <w:tc>
          <w:tcPr>
            <w:tcW w:w="5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70.00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w:t>
            </w:r>
          </w:p>
        </w:tc>
        <w:tc>
          <w:tcPr>
            <w:tcW w:w="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590.00 </w:t>
            </w:r>
          </w:p>
        </w:tc>
        <w:tc>
          <w:tcPr>
            <w:tcW w:w="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7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益阳市</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222.08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w:t>
            </w:r>
          </w:p>
        </w:tc>
        <w:tc>
          <w:tcPr>
            <w:tcW w:w="7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5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237.00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249.00 </w:t>
            </w:r>
          </w:p>
        </w:tc>
        <w:tc>
          <w:tcPr>
            <w:tcW w:w="5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w:t>
            </w:r>
          </w:p>
        </w:tc>
        <w:tc>
          <w:tcPr>
            <w:tcW w:w="8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5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708.08 </w:t>
            </w:r>
          </w:p>
        </w:tc>
        <w:tc>
          <w:tcPr>
            <w:tcW w:w="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7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郴州市</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101.00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w:t>
            </w:r>
          </w:p>
        </w:tc>
        <w:tc>
          <w:tcPr>
            <w:tcW w:w="7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5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50.00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w:t>
            </w:r>
          </w:p>
        </w:tc>
        <w:tc>
          <w:tcPr>
            <w:tcW w:w="8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5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60.00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w:t>
            </w:r>
          </w:p>
        </w:tc>
        <w:tc>
          <w:tcPr>
            <w:tcW w:w="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211.00 </w:t>
            </w:r>
          </w:p>
        </w:tc>
        <w:tc>
          <w:tcPr>
            <w:tcW w:w="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7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娄底市</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350.00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4</w:t>
            </w:r>
          </w:p>
        </w:tc>
        <w:tc>
          <w:tcPr>
            <w:tcW w:w="7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5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290.00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80.00 </w:t>
            </w:r>
          </w:p>
        </w:tc>
        <w:tc>
          <w:tcPr>
            <w:tcW w:w="5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60.00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w:t>
            </w:r>
          </w:p>
        </w:tc>
        <w:tc>
          <w:tcPr>
            <w:tcW w:w="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780.00 </w:t>
            </w:r>
          </w:p>
        </w:tc>
        <w:tc>
          <w:tcPr>
            <w:tcW w:w="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7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怀化市</w:t>
            </w:r>
          </w:p>
        </w:tc>
        <w:tc>
          <w:tcPr>
            <w:tcW w:w="8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5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7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5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18"/>
                <w:szCs w:val="18"/>
                <w:u w:val="none"/>
              </w:rPr>
            </w:pP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60.00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50.00 </w:t>
            </w:r>
          </w:p>
        </w:tc>
        <w:tc>
          <w:tcPr>
            <w:tcW w:w="5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115.00 </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w:t>
            </w:r>
          </w:p>
        </w:tc>
        <w:tc>
          <w:tcPr>
            <w:tcW w:w="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 xml:space="preserve">225.00 </w:t>
            </w:r>
          </w:p>
        </w:tc>
        <w:tc>
          <w:tcPr>
            <w:tcW w:w="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7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合计</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4,445.08</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40</w:t>
            </w:r>
          </w:p>
        </w:tc>
        <w:tc>
          <w:tcPr>
            <w:tcW w:w="7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414.00</w:t>
            </w:r>
          </w:p>
        </w:tc>
        <w:tc>
          <w:tcPr>
            <w:tcW w:w="5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4</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3,632.00</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33</w:t>
            </w:r>
          </w:p>
        </w:tc>
        <w:tc>
          <w:tcPr>
            <w:tcW w:w="8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2,047.00</w:t>
            </w:r>
          </w:p>
        </w:tc>
        <w:tc>
          <w:tcPr>
            <w:tcW w:w="5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24</w:t>
            </w:r>
          </w:p>
        </w:tc>
        <w:tc>
          <w:tcPr>
            <w:tcW w:w="8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1,664.00</w:t>
            </w:r>
          </w:p>
        </w:tc>
        <w:tc>
          <w:tcPr>
            <w:tcW w:w="5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24</w:t>
            </w:r>
          </w:p>
        </w:tc>
        <w:tc>
          <w:tcPr>
            <w:tcW w:w="9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12,202.08</w:t>
            </w:r>
          </w:p>
        </w:tc>
        <w:tc>
          <w:tcPr>
            <w:tcW w:w="6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125</w:t>
            </w:r>
          </w:p>
        </w:tc>
      </w:tr>
    </w:tbl>
    <w:p>
      <w:pPr>
        <w:pStyle w:val="2"/>
        <w:numPr>
          <w:ilvl w:val="0"/>
          <w:numId w:val="1"/>
        </w:numPr>
        <w:ind w:firstLine="643"/>
        <w:rPr>
          <w:szCs w:val="32"/>
        </w:rPr>
      </w:pPr>
      <w:r>
        <w:rPr>
          <w:szCs w:val="32"/>
        </w:rPr>
        <w:t>项目基本情况</w:t>
      </w:r>
    </w:p>
    <w:p>
      <w:pPr>
        <w:ind w:firstLine="640"/>
        <w:rPr>
          <w:szCs w:val="32"/>
        </w:rPr>
      </w:pPr>
      <w:r>
        <w:rPr>
          <w:rFonts w:hint="eastAsia"/>
        </w:rPr>
        <w:t>2015-2017年度湖南省粮油千亿产业专项资金涉及省直及14个市州403个项目，累计专项资金29,137.00万元，其中财政贴息专项资金20,620.00万元，财政补助专项资金8,517.00万元。2015-2017年粮油千亿产业专项资金分类明细如下表所示：</w:t>
      </w:r>
    </w:p>
    <w:p>
      <w:pPr>
        <w:spacing w:line="620" w:lineRule="exact"/>
        <w:ind w:firstLine="640"/>
        <w:rPr>
          <w:szCs w:val="32"/>
        </w:rPr>
      </w:pPr>
    </w:p>
    <w:p>
      <w:pPr>
        <w:spacing w:line="620" w:lineRule="exact"/>
        <w:ind w:firstLine="0" w:firstLineChars="0"/>
        <w:rPr>
          <w:szCs w:val="32"/>
        </w:rPr>
      </w:pPr>
    </w:p>
    <w:p>
      <w:pPr>
        <w:spacing w:line="620" w:lineRule="exact"/>
        <w:ind w:firstLine="640"/>
        <w:rPr>
          <w:szCs w:val="32"/>
        </w:rPr>
        <w:sectPr>
          <w:footerReference r:id="rId11" w:type="default"/>
          <w:pgSz w:w="11906" w:h="16838"/>
          <w:pgMar w:top="1440" w:right="1474" w:bottom="1440" w:left="1332" w:header="851" w:footer="992" w:gutter="0"/>
          <w:pgNumType w:start="2"/>
          <w:cols w:space="720" w:num="1"/>
          <w:docGrid w:type="lines" w:linePitch="312" w:charSpace="0"/>
        </w:sectPr>
      </w:pPr>
    </w:p>
    <w:p>
      <w:pPr>
        <w:spacing w:line="240" w:lineRule="auto"/>
        <w:ind w:firstLine="0" w:firstLineChars="0"/>
        <w:jc w:val="center"/>
        <w:rPr>
          <w:rFonts w:ascii="仿宋_GB2312" w:hAnsi="仿宋_GB2312" w:cs="仿宋_GB2312"/>
          <w:b/>
          <w:bCs/>
          <w:szCs w:val="32"/>
        </w:rPr>
      </w:pPr>
      <w:r>
        <w:rPr>
          <w:rFonts w:hint="eastAsia" w:ascii="仿宋_GB2312" w:hAnsi="仿宋_GB2312" w:cs="仿宋_GB2312"/>
          <w:b/>
          <w:bCs/>
          <w:szCs w:val="32"/>
        </w:rPr>
        <w:t>2015-2017年粮油千亿产业专项资金分类明细</w:t>
      </w:r>
    </w:p>
    <w:p>
      <w:pPr>
        <w:keepNext w:val="0"/>
        <w:keepLines w:val="0"/>
        <w:pageBreakBefore w:val="0"/>
        <w:widowControl w:val="0"/>
        <w:kinsoku/>
        <w:wordWrap/>
        <w:overflowPunct/>
        <w:topLinePunct w:val="0"/>
        <w:autoSpaceDE/>
        <w:autoSpaceDN/>
        <w:bidi w:val="0"/>
        <w:adjustRightInd/>
        <w:snapToGrid/>
        <w:spacing w:line="240" w:lineRule="auto"/>
        <w:ind w:right="-800" w:rightChars="-250" w:firstLine="0" w:firstLineChars="0"/>
        <w:jc w:val="right"/>
        <w:textAlignment w:val="auto"/>
        <w:outlineLvl w:val="9"/>
        <w:rPr>
          <w:rFonts w:ascii="仿宋_GB2312" w:hAnsi="仿宋_GB2312" w:cs="仿宋_GB2312"/>
          <w:sz w:val="24"/>
          <w:szCs w:val="24"/>
        </w:rPr>
      </w:pPr>
      <w:r>
        <w:rPr>
          <w:rFonts w:hint="eastAsia" w:ascii="仿宋_GB2312" w:hAnsi="仿宋_GB2312" w:cs="仿宋_GB2312"/>
          <w:sz w:val="24"/>
          <w:szCs w:val="24"/>
        </w:rPr>
        <w:t>单位：万元</w:t>
      </w:r>
    </w:p>
    <w:tbl>
      <w:tblPr>
        <w:tblStyle w:val="13"/>
        <w:tblW w:w="15708" w:type="dxa"/>
        <w:jc w:val="center"/>
        <w:tblLayout w:type="fixed"/>
        <w:tblCellMar>
          <w:top w:w="0" w:type="dxa"/>
          <w:left w:w="108" w:type="dxa"/>
          <w:bottom w:w="0" w:type="dxa"/>
          <w:right w:w="108" w:type="dxa"/>
        </w:tblCellMar>
      </w:tblPr>
      <w:tblGrid>
        <w:gridCol w:w="2019"/>
        <w:gridCol w:w="870"/>
        <w:gridCol w:w="870"/>
        <w:gridCol w:w="780"/>
        <w:gridCol w:w="851"/>
        <w:gridCol w:w="840"/>
        <w:gridCol w:w="840"/>
        <w:gridCol w:w="840"/>
        <w:gridCol w:w="840"/>
        <w:gridCol w:w="945"/>
        <w:gridCol w:w="840"/>
        <w:gridCol w:w="840"/>
        <w:gridCol w:w="840"/>
        <w:gridCol w:w="840"/>
        <w:gridCol w:w="840"/>
        <w:gridCol w:w="840"/>
        <w:gridCol w:w="973"/>
      </w:tblGrid>
      <w:tr>
        <w:tblPrEx>
          <w:tblCellMar>
            <w:top w:w="0" w:type="dxa"/>
            <w:left w:w="108" w:type="dxa"/>
            <w:bottom w:w="0" w:type="dxa"/>
            <w:right w:w="108" w:type="dxa"/>
          </w:tblCellMar>
        </w:tblPrEx>
        <w:trPr>
          <w:trHeight w:val="540" w:hRule="atLeast"/>
          <w:jc w:val="center"/>
        </w:trPr>
        <w:tc>
          <w:tcPr>
            <w:tcW w:w="201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项目类别</w:t>
            </w:r>
          </w:p>
        </w:tc>
        <w:tc>
          <w:tcPr>
            <w:tcW w:w="87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省直</w:t>
            </w:r>
          </w:p>
        </w:tc>
        <w:tc>
          <w:tcPr>
            <w:tcW w:w="87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长沙市</w:t>
            </w:r>
          </w:p>
        </w:tc>
        <w:tc>
          <w:tcPr>
            <w:tcW w:w="78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株洲市</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湘潭市</w:t>
            </w:r>
          </w:p>
        </w:tc>
        <w:tc>
          <w:tcPr>
            <w:tcW w:w="84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衡阳市</w:t>
            </w:r>
          </w:p>
        </w:tc>
        <w:tc>
          <w:tcPr>
            <w:tcW w:w="84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邵阳市</w:t>
            </w:r>
          </w:p>
        </w:tc>
        <w:tc>
          <w:tcPr>
            <w:tcW w:w="84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岳阳市</w:t>
            </w:r>
          </w:p>
        </w:tc>
        <w:tc>
          <w:tcPr>
            <w:tcW w:w="84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常德市</w:t>
            </w:r>
          </w:p>
        </w:tc>
        <w:tc>
          <w:tcPr>
            <w:tcW w:w="94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张家界市</w:t>
            </w:r>
          </w:p>
        </w:tc>
        <w:tc>
          <w:tcPr>
            <w:tcW w:w="84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益阳市</w:t>
            </w:r>
          </w:p>
        </w:tc>
        <w:tc>
          <w:tcPr>
            <w:tcW w:w="84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郴州市</w:t>
            </w:r>
          </w:p>
        </w:tc>
        <w:tc>
          <w:tcPr>
            <w:tcW w:w="84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永州市</w:t>
            </w:r>
          </w:p>
        </w:tc>
        <w:tc>
          <w:tcPr>
            <w:tcW w:w="84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娄底市</w:t>
            </w:r>
          </w:p>
        </w:tc>
        <w:tc>
          <w:tcPr>
            <w:tcW w:w="84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怀化市</w:t>
            </w:r>
          </w:p>
        </w:tc>
        <w:tc>
          <w:tcPr>
            <w:tcW w:w="84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湘西</w:t>
            </w:r>
            <w:r>
              <w:rPr>
                <w:rFonts w:hint="eastAsia"/>
                <w:color w:val="000000"/>
                <w:kern w:val="0"/>
                <w:sz w:val="18"/>
                <w:szCs w:val="18"/>
                <w:lang w:val="en-US" w:eastAsia="zh-CN" w:bidi="ar"/>
              </w:rPr>
              <w:t xml:space="preserve"> </w:t>
            </w:r>
            <w:r>
              <w:rPr>
                <w:color w:val="000000"/>
                <w:kern w:val="0"/>
                <w:sz w:val="18"/>
                <w:szCs w:val="18"/>
                <w:lang w:bidi="ar"/>
              </w:rPr>
              <w:t>自治州</w:t>
            </w:r>
          </w:p>
        </w:tc>
        <w:tc>
          <w:tcPr>
            <w:tcW w:w="973" w:type="dxa"/>
            <w:tcBorders>
              <w:top w:val="single" w:color="auto" w:sz="4" w:space="0"/>
              <w:left w:val="nil"/>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b/>
                <w:bCs/>
                <w:color w:val="000000"/>
                <w:sz w:val="18"/>
                <w:szCs w:val="18"/>
                <w:highlight w:val="yellow"/>
              </w:rPr>
            </w:pPr>
            <w:r>
              <w:rPr>
                <w:rFonts w:hint="eastAsia" w:ascii="仿宋_GB2312" w:hAnsi="仿宋_GB2312" w:cs="仿宋_GB2312"/>
                <w:b/>
                <w:bCs/>
                <w:color w:val="000000"/>
                <w:sz w:val="18"/>
                <w:szCs w:val="18"/>
              </w:rPr>
              <w:t>总计</w:t>
            </w:r>
          </w:p>
        </w:tc>
      </w:tr>
      <w:tr>
        <w:tblPrEx>
          <w:tblCellMar>
            <w:top w:w="0" w:type="dxa"/>
            <w:left w:w="108" w:type="dxa"/>
            <w:bottom w:w="0" w:type="dxa"/>
            <w:right w:w="108" w:type="dxa"/>
          </w:tblCellMar>
        </w:tblPrEx>
        <w:trPr>
          <w:trHeight w:val="460" w:hRule="atLeast"/>
          <w:jc w:val="center"/>
        </w:trPr>
        <w:tc>
          <w:tcPr>
            <w:tcW w:w="2019" w:type="dxa"/>
            <w:tcBorders>
              <w:top w:val="nil"/>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“五扶工程”项目</w:t>
            </w:r>
          </w:p>
        </w:tc>
        <w:tc>
          <w:tcPr>
            <w:tcW w:w="87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2900.00 </w:t>
            </w:r>
          </w:p>
        </w:tc>
        <w:tc>
          <w:tcPr>
            <w:tcW w:w="87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607.00 </w:t>
            </w:r>
          </w:p>
        </w:tc>
        <w:tc>
          <w:tcPr>
            <w:tcW w:w="78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260.00 </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620.00 </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975.00 </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563.00 </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1000.00 </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590.00 </w:t>
            </w:r>
          </w:p>
        </w:tc>
        <w:tc>
          <w:tcPr>
            <w:tcW w:w="945"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420.00 </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650.00 </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210.00 </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780.00 </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nil"/>
              <w:left w:val="nil"/>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9,575.00</w:t>
            </w:r>
          </w:p>
        </w:tc>
      </w:tr>
      <w:tr>
        <w:tblPrEx>
          <w:tblCellMar>
            <w:top w:w="0" w:type="dxa"/>
            <w:left w:w="108" w:type="dxa"/>
            <w:bottom w:w="0" w:type="dxa"/>
            <w:right w:w="108" w:type="dxa"/>
          </w:tblCellMar>
        </w:tblPrEx>
        <w:trPr>
          <w:trHeight w:val="439" w:hRule="atLeast"/>
          <w:jc w:val="center"/>
        </w:trPr>
        <w:tc>
          <w:tcPr>
            <w:tcW w:w="2019" w:type="dxa"/>
            <w:tcBorders>
              <w:top w:val="nil"/>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“优质粮油”工程项目</w:t>
            </w:r>
          </w:p>
        </w:tc>
        <w:tc>
          <w:tcPr>
            <w:tcW w:w="87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30.00 </w:t>
            </w:r>
          </w:p>
        </w:tc>
        <w:tc>
          <w:tcPr>
            <w:tcW w:w="87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nil"/>
              <w:left w:val="nil"/>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30.00</w:t>
            </w:r>
          </w:p>
        </w:tc>
      </w:tr>
      <w:tr>
        <w:tblPrEx>
          <w:tblCellMar>
            <w:top w:w="0" w:type="dxa"/>
            <w:left w:w="108" w:type="dxa"/>
            <w:bottom w:w="0" w:type="dxa"/>
            <w:right w:w="108" w:type="dxa"/>
          </w:tblCellMar>
        </w:tblPrEx>
        <w:trPr>
          <w:trHeight w:val="473" w:hRule="atLeast"/>
          <w:jc w:val="center"/>
        </w:trPr>
        <w:tc>
          <w:tcPr>
            <w:tcW w:w="2019" w:type="dxa"/>
            <w:tcBorders>
              <w:top w:val="nil"/>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茶油基地、品牌建设和市场拓展</w:t>
            </w:r>
          </w:p>
        </w:tc>
        <w:tc>
          <w:tcPr>
            <w:tcW w:w="87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7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100.00 </w:t>
            </w:r>
          </w:p>
        </w:tc>
        <w:tc>
          <w:tcPr>
            <w:tcW w:w="78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nil"/>
              <w:left w:val="nil"/>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100.00</w:t>
            </w:r>
          </w:p>
        </w:tc>
      </w:tr>
      <w:tr>
        <w:tblPrEx>
          <w:tblCellMar>
            <w:top w:w="0" w:type="dxa"/>
            <w:left w:w="108" w:type="dxa"/>
            <w:bottom w:w="0" w:type="dxa"/>
            <w:right w:w="108" w:type="dxa"/>
          </w:tblCellMar>
        </w:tblPrEx>
        <w:trPr>
          <w:trHeight w:val="453" w:hRule="atLeast"/>
          <w:jc w:val="center"/>
        </w:trPr>
        <w:tc>
          <w:tcPr>
            <w:tcW w:w="2019" w:type="dxa"/>
            <w:tcBorders>
              <w:top w:val="nil"/>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产销衔接、展示展销及品牌建设项目</w:t>
            </w:r>
          </w:p>
        </w:tc>
        <w:tc>
          <w:tcPr>
            <w:tcW w:w="87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800.00 </w:t>
            </w:r>
          </w:p>
        </w:tc>
        <w:tc>
          <w:tcPr>
            <w:tcW w:w="87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40.00 </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40.00 </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120.00 </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40.00 </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60.00 </w:t>
            </w:r>
          </w:p>
        </w:tc>
        <w:tc>
          <w:tcPr>
            <w:tcW w:w="973" w:type="dxa"/>
            <w:tcBorders>
              <w:top w:val="nil"/>
              <w:left w:val="nil"/>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1,100.00</w:t>
            </w:r>
          </w:p>
        </w:tc>
      </w:tr>
      <w:tr>
        <w:tblPrEx>
          <w:tblCellMar>
            <w:top w:w="0" w:type="dxa"/>
            <w:left w:w="108" w:type="dxa"/>
            <w:bottom w:w="0" w:type="dxa"/>
            <w:right w:w="108" w:type="dxa"/>
          </w:tblCellMar>
        </w:tblPrEx>
        <w:trPr>
          <w:trHeight w:val="447" w:hRule="atLeast"/>
          <w:jc w:val="center"/>
        </w:trPr>
        <w:tc>
          <w:tcPr>
            <w:tcW w:w="2019" w:type="dxa"/>
            <w:tcBorders>
              <w:top w:val="nil"/>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产业发展突出贡献项目</w:t>
            </w:r>
          </w:p>
        </w:tc>
        <w:tc>
          <w:tcPr>
            <w:tcW w:w="87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7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249.00 </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249.00 </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nil"/>
              <w:left w:val="nil"/>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498.00</w:t>
            </w:r>
          </w:p>
        </w:tc>
      </w:tr>
      <w:tr>
        <w:tblPrEx>
          <w:tblCellMar>
            <w:top w:w="0" w:type="dxa"/>
            <w:left w:w="108" w:type="dxa"/>
            <w:bottom w:w="0" w:type="dxa"/>
            <w:right w:w="108" w:type="dxa"/>
          </w:tblCellMar>
        </w:tblPrEx>
        <w:trPr>
          <w:trHeight w:val="467" w:hRule="atLeast"/>
          <w:jc w:val="center"/>
        </w:trPr>
        <w:tc>
          <w:tcPr>
            <w:tcW w:w="2019" w:type="dxa"/>
            <w:tcBorders>
              <w:top w:val="nil"/>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电子商务新型服务业态项目</w:t>
            </w:r>
          </w:p>
        </w:tc>
        <w:tc>
          <w:tcPr>
            <w:tcW w:w="87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100.00 </w:t>
            </w:r>
          </w:p>
        </w:tc>
        <w:tc>
          <w:tcPr>
            <w:tcW w:w="87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100.00 </w:t>
            </w:r>
          </w:p>
        </w:tc>
        <w:tc>
          <w:tcPr>
            <w:tcW w:w="78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40.00 </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40.00 </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40.00 </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nil"/>
              <w:left w:val="nil"/>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320.00</w:t>
            </w:r>
          </w:p>
        </w:tc>
      </w:tr>
      <w:tr>
        <w:tblPrEx>
          <w:tblCellMar>
            <w:top w:w="0" w:type="dxa"/>
            <w:left w:w="108" w:type="dxa"/>
            <w:bottom w:w="0" w:type="dxa"/>
            <w:right w:w="108" w:type="dxa"/>
          </w:tblCellMar>
        </w:tblPrEx>
        <w:trPr>
          <w:trHeight w:val="445"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放心粮油全产业链项目</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320.00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60.00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380.00</w:t>
            </w:r>
          </w:p>
        </w:tc>
      </w:tr>
      <w:tr>
        <w:tblPrEx>
          <w:tblCellMar>
            <w:top w:w="0" w:type="dxa"/>
            <w:left w:w="108" w:type="dxa"/>
            <w:bottom w:w="0" w:type="dxa"/>
            <w:right w:w="108" w:type="dxa"/>
          </w:tblCellMar>
        </w:tblPrEx>
        <w:trPr>
          <w:trHeight w:val="451"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科研基地建设及教育培训项目</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460.00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460.00</w:t>
            </w:r>
          </w:p>
        </w:tc>
      </w:tr>
      <w:tr>
        <w:tblPrEx>
          <w:tblCellMar>
            <w:top w:w="0" w:type="dxa"/>
            <w:left w:w="108" w:type="dxa"/>
            <w:bottom w:w="0" w:type="dxa"/>
            <w:right w:w="108" w:type="dxa"/>
          </w:tblCellMar>
        </w:tblPrEx>
        <w:trPr>
          <w:trHeight w:val="445"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粮食购销公司1万吨粮食仓库维修项目</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120.00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120.00</w:t>
            </w:r>
          </w:p>
        </w:tc>
      </w:tr>
      <w:tr>
        <w:tblPrEx>
          <w:tblCellMar>
            <w:top w:w="0" w:type="dxa"/>
            <w:left w:w="108" w:type="dxa"/>
            <w:bottom w:w="0" w:type="dxa"/>
            <w:right w:w="108" w:type="dxa"/>
          </w:tblCellMar>
        </w:tblPrEx>
        <w:trPr>
          <w:trHeight w:val="439"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粮食流通基础设施建设项目</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525.00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29.00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43.00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72.00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44.00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713.00</w:t>
            </w:r>
          </w:p>
        </w:tc>
      </w:tr>
      <w:tr>
        <w:tblPrEx>
          <w:tblCellMar>
            <w:top w:w="0" w:type="dxa"/>
            <w:left w:w="108" w:type="dxa"/>
            <w:bottom w:w="0" w:type="dxa"/>
            <w:right w:w="108" w:type="dxa"/>
          </w:tblCellMar>
        </w:tblPrEx>
        <w:trPr>
          <w:trHeight w:val="459"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粮食物流及产业园区建设项目</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230.00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80.00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80.00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100.00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50.00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50.00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590.00</w:t>
            </w:r>
          </w:p>
        </w:tc>
      </w:tr>
      <w:tr>
        <w:tblPrEx>
          <w:tblCellMar>
            <w:top w:w="0" w:type="dxa"/>
            <w:left w:w="108" w:type="dxa"/>
            <w:bottom w:w="0" w:type="dxa"/>
            <w:right w:w="108" w:type="dxa"/>
          </w:tblCellMar>
        </w:tblPrEx>
        <w:trPr>
          <w:trHeight w:val="609"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hint="eastAsia" w:ascii="仿宋_GB2312" w:hAnsi="仿宋_GB2312" w:cs="仿宋_GB2312"/>
                <w:color w:val="000000"/>
                <w:sz w:val="18"/>
                <w:szCs w:val="18"/>
              </w:rPr>
            </w:pPr>
            <w:r>
              <w:rPr>
                <w:rFonts w:hint="eastAsia" w:ascii="仿宋_GB2312" w:hAnsi="仿宋_GB2312" w:cs="仿宋_GB2312"/>
                <w:color w:val="000000"/>
                <w:sz w:val="18"/>
                <w:szCs w:val="18"/>
              </w:rPr>
              <w:t>项目类别</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省直</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长沙市</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株洲市</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湘潭市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衡阳市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邵阳市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岳阳市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常德市</w:t>
            </w: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张家界市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益阳市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郴州市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永州市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娄底市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怀化市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湘西</w:t>
            </w:r>
            <w:r>
              <w:rPr>
                <w:rFonts w:hint="eastAsia"/>
                <w:color w:val="000000"/>
                <w:kern w:val="0"/>
                <w:sz w:val="18"/>
                <w:szCs w:val="18"/>
                <w:lang w:val="en-US" w:eastAsia="zh-CN" w:bidi="ar"/>
              </w:rPr>
              <w:t xml:space="preserve"> </w:t>
            </w:r>
            <w:r>
              <w:rPr>
                <w:color w:val="000000"/>
                <w:kern w:val="0"/>
                <w:sz w:val="18"/>
                <w:szCs w:val="18"/>
                <w:lang w:bidi="ar"/>
              </w:rPr>
              <w:t>自治州</w:t>
            </w: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rFonts w:hint="eastAsia" w:ascii="仿宋_GB2312" w:hAnsi="仿宋_GB2312" w:cs="仿宋_GB2312"/>
                <w:b/>
                <w:bCs/>
                <w:color w:val="000000"/>
                <w:sz w:val="18"/>
                <w:szCs w:val="18"/>
              </w:rPr>
              <w:t>总计</w:t>
            </w:r>
          </w:p>
        </w:tc>
      </w:tr>
      <w:tr>
        <w:tblPrEx>
          <w:tblCellMar>
            <w:top w:w="0" w:type="dxa"/>
            <w:left w:w="108" w:type="dxa"/>
            <w:bottom w:w="0" w:type="dxa"/>
            <w:right w:w="108" w:type="dxa"/>
          </w:tblCellMar>
        </w:tblPrEx>
        <w:trPr>
          <w:trHeight w:val="609"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粮油产业科技、人才与质检支撑项目</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570.00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30.00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110.00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30.00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60.00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30.00 </w:t>
            </w: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830.00</w:t>
            </w:r>
          </w:p>
        </w:tc>
      </w:tr>
      <w:tr>
        <w:tblPrEx>
          <w:tblCellMar>
            <w:top w:w="0" w:type="dxa"/>
            <w:left w:w="108" w:type="dxa"/>
            <w:bottom w:w="0" w:type="dxa"/>
            <w:right w:w="108" w:type="dxa"/>
          </w:tblCellMar>
        </w:tblPrEx>
        <w:trPr>
          <w:trHeight w:val="310"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粮油产业园区及物流建设项目</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300.00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50.00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80.00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430.00</w:t>
            </w:r>
          </w:p>
        </w:tc>
      </w:tr>
      <w:tr>
        <w:tblPrEx>
          <w:tblCellMar>
            <w:top w:w="0" w:type="dxa"/>
            <w:left w:w="108" w:type="dxa"/>
            <w:bottom w:w="0" w:type="dxa"/>
            <w:right w:w="108" w:type="dxa"/>
          </w:tblCellMar>
        </w:tblPrEx>
        <w:trPr>
          <w:trHeight w:val="455"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粮油科技项目</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270.00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30.00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120.00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420.00</w:t>
            </w:r>
          </w:p>
        </w:tc>
      </w:tr>
      <w:tr>
        <w:tblPrEx>
          <w:tblCellMar>
            <w:top w:w="0" w:type="dxa"/>
            <w:left w:w="108" w:type="dxa"/>
            <w:bottom w:w="0" w:type="dxa"/>
            <w:right w:w="108" w:type="dxa"/>
          </w:tblCellMar>
        </w:tblPrEx>
        <w:trPr>
          <w:trHeight w:val="461"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品牌建设及粮油精品展示展销</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200.00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200.00</w:t>
            </w:r>
          </w:p>
        </w:tc>
      </w:tr>
      <w:tr>
        <w:tblPrEx>
          <w:tblCellMar>
            <w:top w:w="0" w:type="dxa"/>
            <w:left w:w="108" w:type="dxa"/>
            <w:bottom w:w="0" w:type="dxa"/>
            <w:right w:w="108" w:type="dxa"/>
          </w:tblCellMar>
        </w:tblPrEx>
        <w:trPr>
          <w:trHeight w:val="611"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荞麦面条加工生产线优化及干燥系统改造</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100.00 </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100.00</w:t>
            </w:r>
          </w:p>
        </w:tc>
      </w:tr>
      <w:tr>
        <w:tblPrEx>
          <w:tblCellMar>
            <w:top w:w="0" w:type="dxa"/>
            <w:left w:w="108" w:type="dxa"/>
            <w:bottom w:w="0" w:type="dxa"/>
            <w:right w:w="108" w:type="dxa"/>
          </w:tblCellMar>
        </w:tblPrEx>
        <w:trPr>
          <w:trHeight w:val="570"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省级质量安全检验监测能力建设项目</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200.00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200.00</w:t>
            </w:r>
          </w:p>
        </w:tc>
      </w:tr>
      <w:tr>
        <w:tblPrEx>
          <w:tblCellMar>
            <w:top w:w="0" w:type="dxa"/>
            <w:left w:w="108" w:type="dxa"/>
            <w:bottom w:w="0" w:type="dxa"/>
            <w:right w:w="108" w:type="dxa"/>
          </w:tblCellMar>
        </w:tblPrEx>
        <w:trPr>
          <w:trHeight w:val="585"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特色县域经济重点支持县粮食项目</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200.00 </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500.00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200.00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900.00</w:t>
            </w:r>
          </w:p>
        </w:tc>
      </w:tr>
      <w:tr>
        <w:tblPrEx>
          <w:tblCellMar>
            <w:top w:w="0" w:type="dxa"/>
            <w:left w:w="108" w:type="dxa"/>
            <w:bottom w:w="0" w:type="dxa"/>
            <w:right w:w="108" w:type="dxa"/>
          </w:tblCellMar>
        </w:tblPrEx>
        <w:trPr>
          <w:trHeight w:val="423"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万华生态板业循环利用项目</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120.00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120.00</w:t>
            </w:r>
          </w:p>
        </w:tc>
      </w:tr>
      <w:tr>
        <w:tblPrEx>
          <w:tblCellMar>
            <w:top w:w="0" w:type="dxa"/>
            <w:left w:w="108" w:type="dxa"/>
            <w:bottom w:w="0" w:type="dxa"/>
            <w:right w:w="108" w:type="dxa"/>
          </w:tblCellMar>
        </w:tblPrEx>
        <w:trPr>
          <w:trHeight w:val="443"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西岩收纳库设施建设项目</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70.00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70.00</w:t>
            </w:r>
          </w:p>
        </w:tc>
      </w:tr>
      <w:tr>
        <w:tblPrEx>
          <w:tblCellMar>
            <w:top w:w="0" w:type="dxa"/>
            <w:left w:w="108" w:type="dxa"/>
            <w:bottom w:w="0" w:type="dxa"/>
            <w:right w:w="108" w:type="dxa"/>
          </w:tblCellMar>
        </w:tblPrEx>
        <w:trPr>
          <w:trHeight w:val="570"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县粮食局新建2000吨粮食仓库建设项目</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70.00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70.00</w:t>
            </w:r>
          </w:p>
        </w:tc>
      </w:tr>
      <w:tr>
        <w:tblPrEx>
          <w:tblCellMar>
            <w:top w:w="0" w:type="dxa"/>
            <w:left w:w="108" w:type="dxa"/>
            <w:bottom w:w="0" w:type="dxa"/>
            <w:right w:w="108" w:type="dxa"/>
          </w:tblCellMar>
        </w:tblPrEx>
        <w:trPr>
          <w:trHeight w:val="570"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现代粮油产业发展体系建设重点支持县</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200.00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200.00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200.00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600.00</w:t>
            </w:r>
          </w:p>
        </w:tc>
      </w:tr>
      <w:tr>
        <w:tblPrEx>
          <w:tblCellMar>
            <w:top w:w="0" w:type="dxa"/>
            <w:left w:w="108" w:type="dxa"/>
            <w:bottom w:w="0" w:type="dxa"/>
            <w:right w:w="108" w:type="dxa"/>
          </w:tblCellMar>
        </w:tblPrEx>
        <w:trPr>
          <w:trHeight w:val="437"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新型粮油加工项目</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180.00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205.00 </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220.00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170.00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187.00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330.00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154.00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117.00 </w:t>
            </w: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115.00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104.00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204.00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238.00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55.00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231.00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154.00 </w:t>
            </w: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2,664.00</w:t>
            </w:r>
          </w:p>
        </w:tc>
      </w:tr>
      <w:tr>
        <w:tblPrEx>
          <w:tblCellMar>
            <w:top w:w="0" w:type="dxa"/>
            <w:left w:w="108" w:type="dxa"/>
            <w:bottom w:w="0" w:type="dxa"/>
            <w:right w:w="108" w:type="dxa"/>
          </w:tblCellMar>
        </w:tblPrEx>
        <w:trPr>
          <w:trHeight w:val="456"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hint="eastAsia" w:ascii="仿宋_GB2312" w:hAnsi="仿宋_GB2312" w:cs="仿宋_GB2312"/>
                <w:color w:val="000000"/>
                <w:sz w:val="18"/>
                <w:szCs w:val="18"/>
              </w:rPr>
            </w:pPr>
            <w:r>
              <w:rPr>
                <w:rFonts w:hint="eastAsia" w:ascii="仿宋_GB2312" w:hAnsi="仿宋_GB2312" w:cs="仿宋_GB2312"/>
                <w:color w:val="000000"/>
                <w:sz w:val="18"/>
                <w:szCs w:val="18"/>
              </w:rPr>
              <w:t>项目类别</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省直</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长沙市</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株洲市</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湘潭市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衡阳市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邵阳市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岳阳市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常德市</w:t>
            </w: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张家界市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益阳市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郴州市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永州市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娄底市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怀化市</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kern w:val="0"/>
                <w:sz w:val="18"/>
                <w:szCs w:val="18"/>
                <w:lang w:bidi="ar"/>
              </w:rPr>
            </w:pPr>
            <w:r>
              <w:rPr>
                <w:color w:val="000000"/>
                <w:kern w:val="0"/>
                <w:sz w:val="18"/>
                <w:szCs w:val="18"/>
                <w:lang w:bidi="ar"/>
              </w:rPr>
              <w:t>湘西</w:t>
            </w:r>
            <w:r>
              <w:rPr>
                <w:rFonts w:hint="eastAsia"/>
                <w:color w:val="000000"/>
                <w:kern w:val="0"/>
                <w:sz w:val="18"/>
                <w:szCs w:val="18"/>
                <w:lang w:val="en-US" w:eastAsia="zh-CN" w:bidi="ar"/>
              </w:rPr>
              <w:t xml:space="preserve"> </w:t>
            </w:r>
            <w:r>
              <w:rPr>
                <w:color w:val="000000"/>
                <w:kern w:val="0"/>
                <w:sz w:val="18"/>
                <w:szCs w:val="18"/>
                <w:lang w:bidi="ar"/>
              </w:rPr>
              <w:t>自治州</w:t>
            </w: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rFonts w:hint="eastAsia" w:ascii="仿宋_GB2312" w:hAnsi="仿宋_GB2312" w:cs="仿宋_GB2312"/>
                <w:b/>
                <w:bCs/>
                <w:color w:val="000000"/>
                <w:sz w:val="18"/>
                <w:szCs w:val="18"/>
              </w:rPr>
              <w:t>总计</w:t>
            </w:r>
          </w:p>
        </w:tc>
      </w:tr>
      <w:tr>
        <w:tblPrEx>
          <w:tblCellMar>
            <w:top w:w="0" w:type="dxa"/>
            <w:left w:w="108" w:type="dxa"/>
            <w:bottom w:w="0" w:type="dxa"/>
            <w:right w:w="108" w:type="dxa"/>
          </w:tblCellMar>
        </w:tblPrEx>
        <w:trPr>
          <w:trHeight w:val="456"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一般粮油加工项目</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395.00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430.90 </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368.30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583.00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692.40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648.00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540.00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907.00 </w:t>
            </w: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170.00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219.96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612.00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706.44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221.00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627.00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237.00 </w:t>
            </w: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7,358.00</w:t>
            </w:r>
          </w:p>
        </w:tc>
      </w:tr>
      <w:tr>
        <w:tblPrEx>
          <w:tblCellMar>
            <w:top w:w="0" w:type="dxa"/>
            <w:left w:w="108" w:type="dxa"/>
            <w:bottom w:w="0" w:type="dxa"/>
            <w:right w:w="108" w:type="dxa"/>
          </w:tblCellMar>
        </w:tblPrEx>
        <w:trPr>
          <w:trHeight w:val="463"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u w:val="none" w:color="008080"/>
                <w:lang w:eastAsia="zh-CN"/>
              </w:rPr>
              <w:t>“一带一路”</w:t>
            </w:r>
            <w:r>
              <w:rPr>
                <w:rFonts w:hint="eastAsia" w:ascii="仿宋_GB2312" w:hAnsi="仿宋_GB2312" w:cs="仿宋_GB2312"/>
                <w:color w:val="000000"/>
                <w:sz w:val="18"/>
                <w:szCs w:val="18"/>
              </w:rPr>
              <w:t>泰国大米产业基地</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94.00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94.00</w:t>
            </w:r>
          </w:p>
        </w:tc>
      </w:tr>
      <w:tr>
        <w:tblPrEx>
          <w:tblCellMar>
            <w:top w:w="0" w:type="dxa"/>
            <w:left w:w="108" w:type="dxa"/>
            <w:bottom w:w="0" w:type="dxa"/>
            <w:right w:w="108" w:type="dxa"/>
          </w:tblCellMar>
        </w:tblPrEx>
        <w:trPr>
          <w:trHeight w:val="454"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重要粮食应急供应能力建设项目</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200.00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15.00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15.00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40.00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25.00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25.00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30.00 </w:t>
            </w: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55.00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25.00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15.00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50.00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10.00 </w:t>
            </w: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515.00</w:t>
            </w:r>
          </w:p>
        </w:tc>
      </w:tr>
      <w:tr>
        <w:tblPrEx>
          <w:tblCellMar>
            <w:top w:w="0" w:type="dxa"/>
            <w:left w:w="108" w:type="dxa"/>
            <w:bottom w:w="0" w:type="dxa"/>
            <w:right w:w="108" w:type="dxa"/>
          </w:tblCellMar>
        </w:tblPrEx>
        <w:trPr>
          <w:trHeight w:val="570"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重要资产重组与品牌建设项目</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80.00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60.00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60.00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50.00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50.00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300.00</w:t>
            </w:r>
          </w:p>
        </w:tc>
      </w:tr>
      <w:tr>
        <w:tblPrEx>
          <w:tblCellMar>
            <w:top w:w="0" w:type="dxa"/>
            <w:left w:w="108" w:type="dxa"/>
            <w:bottom w:w="0" w:type="dxa"/>
            <w:right w:w="108" w:type="dxa"/>
          </w:tblCellMar>
        </w:tblPrEx>
        <w:trPr>
          <w:trHeight w:val="428"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color w:val="000000"/>
                <w:sz w:val="18"/>
                <w:szCs w:val="18"/>
              </w:rPr>
            </w:pPr>
            <w:r>
              <w:rPr>
                <w:rFonts w:hint="eastAsia" w:ascii="仿宋_GB2312" w:hAnsi="仿宋_GB2312" w:cs="仿宋_GB2312"/>
                <w:color w:val="000000"/>
                <w:sz w:val="18"/>
                <w:szCs w:val="18"/>
              </w:rPr>
              <w:t>资产并购重组项目</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300.00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color w:val="000000"/>
                <w:sz w:val="18"/>
                <w:szCs w:val="18"/>
              </w:rPr>
            </w:pPr>
            <w:r>
              <w:rPr>
                <w:color w:val="000000"/>
                <w:kern w:val="0"/>
                <w:sz w:val="18"/>
                <w:szCs w:val="18"/>
                <w:lang w:bidi="ar"/>
              </w:rPr>
              <w:t xml:space="preserve">80.00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color w:val="000000"/>
                <w:sz w:val="18"/>
                <w:szCs w:val="18"/>
              </w:rPr>
            </w:pP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380.00</w:t>
            </w:r>
          </w:p>
        </w:tc>
      </w:tr>
      <w:tr>
        <w:tblPrEx>
          <w:tblCellMar>
            <w:top w:w="0" w:type="dxa"/>
            <w:left w:w="108" w:type="dxa"/>
            <w:bottom w:w="0" w:type="dxa"/>
            <w:right w:w="108" w:type="dxa"/>
          </w:tblCellMar>
        </w:tblPrEx>
        <w:trPr>
          <w:trHeight w:val="582" w:hRule="atLeast"/>
          <w:jc w:val="center"/>
        </w:trPr>
        <w:tc>
          <w:tcPr>
            <w:tcW w:w="2019"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rFonts w:ascii="仿宋_GB2312" w:hAnsi="仿宋_GB2312" w:cs="仿宋_GB2312"/>
                <w:b/>
                <w:bCs/>
                <w:color w:val="000000"/>
                <w:sz w:val="18"/>
                <w:szCs w:val="18"/>
              </w:rPr>
            </w:pPr>
            <w:r>
              <w:rPr>
                <w:rFonts w:hint="eastAsia" w:ascii="仿宋_GB2312" w:hAnsi="仿宋_GB2312" w:cs="仿宋_GB2312"/>
                <w:b/>
                <w:bCs/>
                <w:color w:val="000000"/>
                <w:sz w:val="18"/>
                <w:szCs w:val="18"/>
              </w:rPr>
              <w:t>总计</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b/>
                <w:bCs/>
                <w:color w:val="000000"/>
                <w:sz w:val="18"/>
                <w:szCs w:val="18"/>
              </w:rPr>
            </w:pPr>
            <w:r>
              <w:rPr>
                <w:b/>
                <w:bCs/>
                <w:color w:val="000000"/>
                <w:kern w:val="0"/>
                <w:sz w:val="18"/>
                <w:szCs w:val="18"/>
                <w:lang w:bidi="ar"/>
              </w:rPr>
              <w:t xml:space="preserve">8274.00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b/>
                <w:bCs/>
                <w:color w:val="000000"/>
                <w:sz w:val="18"/>
                <w:szCs w:val="18"/>
              </w:rPr>
            </w:pPr>
            <w:r>
              <w:rPr>
                <w:b/>
                <w:bCs/>
                <w:color w:val="000000"/>
                <w:kern w:val="0"/>
                <w:sz w:val="18"/>
                <w:szCs w:val="18"/>
                <w:lang w:bidi="ar"/>
              </w:rPr>
              <w:t xml:space="preserve">1742.90 </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b/>
                <w:bCs/>
                <w:color w:val="000000"/>
                <w:sz w:val="18"/>
                <w:szCs w:val="18"/>
              </w:rPr>
            </w:pPr>
            <w:r>
              <w:rPr>
                <w:b/>
                <w:bCs/>
                <w:color w:val="000000"/>
                <w:kern w:val="0"/>
                <w:sz w:val="18"/>
                <w:szCs w:val="18"/>
                <w:lang w:bidi="ar"/>
              </w:rPr>
              <w:t xml:space="preserve">903.30 </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b/>
                <w:bCs/>
                <w:color w:val="000000"/>
                <w:sz w:val="18"/>
                <w:szCs w:val="18"/>
              </w:rPr>
            </w:pPr>
            <w:r>
              <w:rPr>
                <w:b/>
                <w:bCs/>
                <w:color w:val="000000"/>
                <w:kern w:val="0"/>
                <w:sz w:val="18"/>
                <w:szCs w:val="18"/>
                <w:lang w:bidi="ar"/>
              </w:rPr>
              <w:t xml:space="preserve">2087.00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b/>
                <w:bCs/>
                <w:color w:val="000000"/>
                <w:sz w:val="18"/>
                <w:szCs w:val="18"/>
              </w:rPr>
            </w:pPr>
            <w:r>
              <w:rPr>
                <w:b/>
                <w:bCs/>
                <w:color w:val="000000"/>
                <w:kern w:val="0"/>
                <w:sz w:val="18"/>
                <w:szCs w:val="18"/>
                <w:lang w:bidi="ar"/>
              </w:rPr>
              <w:t xml:space="preserve">2357.40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b/>
                <w:bCs/>
                <w:color w:val="000000"/>
                <w:sz w:val="18"/>
                <w:szCs w:val="18"/>
              </w:rPr>
            </w:pPr>
            <w:r>
              <w:rPr>
                <w:b/>
                <w:bCs/>
                <w:color w:val="000000"/>
                <w:kern w:val="0"/>
                <w:sz w:val="18"/>
                <w:szCs w:val="18"/>
                <w:lang w:bidi="ar"/>
              </w:rPr>
              <w:t xml:space="preserve">1816.00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b/>
                <w:bCs/>
                <w:color w:val="000000"/>
                <w:sz w:val="18"/>
                <w:szCs w:val="18"/>
              </w:rPr>
            </w:pPr>
            <w:r>
              <w:rPr>
                <w:b/>
                <w:bCs/>
                <w:color w:val="000000"/>
                <w:kern w:val="0"/>
                <w:sz w:val="18"/>
                <w:szCs w:val="18"/>
                <w:lang w:bidi="ar"/>
              </w:rPr>
              <w:t xml:space="preserve">2370.00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b/>
                <w:bCs/>
                <w:color w:val="000000"/>
                <w:sz w:val="18"/>
                <w:szCs w:val="18"/>
              </w:rPr>
            </w:pPr>
            <w:r>
              <w:rPr>
                <w:b/>
                <w:bCs/>
                <w:color w:val="000000"/>
                <w:kern w:val="0"/>
                <w:sz w:val="18"/>
                <w:szCs w:val="18"/>
                <w:lang w:bidi="ar"/>
              </w:rPr>
              <w:t xml:space="preserve">1644.00 </w:t>
            </w:r>
          </w:p>
        </w:tc>
        <w:tc>
          <w:tcPr>
            <w:tcW w:w="9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b/>
                <w:bCs/>
                <w:color w:val="000000"/>
                <w:sz w:val="18"/>
                <w:szCs w:val="18"/>
              </w:rPr>
            </w:pPr>
            <w:r>
              <w:rPr>
                <w:b/>
                <w:bCs/>
                <w:color w:val="000000"/>
                <w:kern w:val="0"/>
                <w:sz w:val="18"/>
                <w:szCs w:val="18"/>
                <w:lang w:bidi="ar"/>
              </w:rPr>
              <w:t xml:space="preserve">640.00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b/>
                <w:bCs/>
                <w:color w:val="000000"/>
                <w:sz w:val="18"/>
                <w:szCs w:val="18"/>
              </w:rPr>
            </w:pPr>
            <w:r>
              <w:rPr>
                <w:b/>
                <w:bCs/>
                <w:color w:val="000000"/>
                <w:kern w:val="0"/>
                <w:sz w:val="18"/>
                <w:szCs w:val="18"/>
                <w:lang w:bidi="ar"/>
              </w:rPr>
              <w:t xml:space="preserve">1017.96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b/>
                <w:bCs/>
                <w:color w:val="000000"/>
                <w:sz w:val="18"/>
                <w:szCs w:val="18"/>
              </w:rPr>
            </w:pPr>
            <w:r>
              <w:rPr>
                <w:b/>
                <w:bCs/>
                <w:color w:val="000000"/>
                <w:kern w:val="0"/>
                <w:sz w:val="18"/>
                <w:szCs w:val="18"/>
                <w:lang w:bidi="ar"/>
              </w:rPr>
              <w:t xml:space="preserve">1526.00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b/>
                <w:bCs/>
                <w:color w:val="000000"/>
                <w:sz w:val="18"/>
                <w:szCs w:val="18"/>
              </w:rPr>
            </w:pPr>
            <w:r>
              <w:rPr>
                <w:b/>
                <w:bCs/>
                <w:color w:val="000000"/>
                <w:kern w:val="0"/>
                <w:sz w:val="18"/>
                <w:szCs w:val="18"/>
                <w:lang w:bidi="ar"/>
              </w:rPr>
              <w:t xml:space="preserve">1564.44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b/>
                <w:bCs/>
                <w:color w:val="000000"/>
                <w:sz w:val="18"/>
                <w:szCs w:val="18"/>
              </w:rPr>
            </w:pPr>
            <w:r>
              <w:rPr>
                <w:b/>
                <w:bCs/>
                <w:color w:val="000000"/>
                <w:kern w:val="0"/>
                <w:sz w:val="18"/>
                <w:szCs w:val="18"/>
                <w:lang w:bidi="ar"/>
              </w:rPr>
              <w:t xml:space="preserve">1281.00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b/>
                <w:bCs/>
                <w:color w:val="000000"/>
                <w:sz w:val="18"/>
                <w:szCs w:val="18"/>
              </w:rPr>
            </w:pPr>
            <w:r>
              <w:rPr>
                <w:b/>
                <w:bCs/>
                <w:color w:val="000000"/>
                <w:kern w:val="0"/>
                <w:sz w:val="18"/>
                <w:szCs w:val="18"/>
                <w:lang w:bidi="ar"/>
              </w:rPr>
              <w:t xml:space="preserve">1422.00 </w:t>
            </w: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textAlignment w:val="center"/>
              <w:rPr>
                <w:b/>
                <w:bCs/>
                <w:color w:val="000000"/>
                <w:sz w:val="18"/>
                <w:szCs w:val="18"/>
              </w:rPr>
            </w:pPr>
            <w:r>
              <w:rPr>
                <w:b/>
                <w:bCs/>
                <w:color w:val="000000"/>
                <w:kern w:val="0"/>
                <w:sz w:val="18"/>
                <w:szCs w:val="18"/>
                <w:lang w:bidi="ar"/>
              </w:rPr>
              <w:t xml:space="preserve">491.00 </w:t>
            </w:r>
          </w:p>
        </w:tc>
        <w:tc>
          <w:tcPr>
            <w:tcW w:w="973" w:type="dxa"/>
            <w:tcBorders>
              <w:top w:val="single" w:color="auto" w:sz="4" w:space="0"/>
              <w:left w:val="single" w:color="auto" w:sz="4" w:space="0"/>
              <w:bottom w:val="single" w:color="auto" w:sz="4" w:space="0"/>
              <w:right w:val="single" w:color="auto" w:sz="4" w:space="0"/>
            </w:tcBorders>
            <w:shd w:val="clear" w:color="DCE6F1" w:fill="FFFFFF"/>
            <w:vAlign w:val="center"/>
          </w:tcPr>
          <w:p>
            <w:pPr>
              <w:spacing w:line="240" w:lineRule="auto"/>
              <w:ind w:firstLine="0" w:firstLineChars="0"/>
              <w:jc w:val="center"/>
              <w:rPr>
                <w:b/>
                <w:bCs/>
                <w:color w:val="000000"/>
                <w:sz w:val="18"/>
                <w:szCs w:val="18"/>
              </w:rPr>
            </w:pPr>
            <w:r>
              <w:rPr>
                <w:b/>
                <w:bCs/>
                <w:color w:val="000000"/>
                <w:sz w:val="18"/>
                <w:szCs w:val="18"/>
              </w:rPr>
              <w:t>29,137.00</w:t>
            </w:r>
          </w:p>
        </w:tc>
      </w:tr>
    </w:tbl>
    <w:p>
      <w:pPr>
        <w:spacing w:line="620" w:lineRule="exact"/>
        <w:ind w:firstLine="640"/>
        <w:rPr>
          <w:szCs w:val="32"/>
        </w:rPr>
        <w:sectPr>
          <w:pgSz w:w="16838" w:h="11906" w:orient="landscape"/>
          <w:pgMar w:top="1474" w:right="1440" w:bottom="1332" w:left="1440" w:header="851" w:footer="992" w:gutter="0"/>
          <w:cols w:space="720" w:num="1"/>
          <w:docGrid w:type="lines" w:linePitch="312" w:charSpace="0"/>
        </w:sectPr>
      </w:pPr>
    </w:p>
    <w:p>
      <w:pPr>
        <w:pStyle w:val="35"/>
        <w:spacing w:line="620" w:lineRule="exact"/>
        <w:ind w:firstLineChars="0"/>
        <w:outlineLvl w:val="0"/>
        <w:rPr>
          <w:rFonts w:eastAsia="楷体_GB2312"/>
          <w:b/>
          <w:szCs w:val="32"/>
        </w:rPr>
      </w:pPr>
      <w:r>
        <w:rPr>
          <w:rFonts w:hint="eastAsia" w:eastAsia="楷体_GB2312"/>
          <w:b/>
          <w:szCs w:val="32"/>
        </w:rPr>
        <w:t>（一）、</w:t>
      </w:r>
      <w:r>
        <w:rPr>
          <w:rStyle w:val="100"/>
          <w:szCs w:val="32"/>
        </w:rPr>
        <w:t>项目</w:t>
      </w:r>
      <w:r>
        <w:rPr>
          <w:rStyle w:val="100"/>
          <w:rFonts w:hint="eastAsia"/>
          <w:szCs w:val="32"/>
        </w:rPr>
        <w:t>概况及立项依据</w:t>
      </w:r>
    </w:p>
    <w:p>
      <w:pPr>
        <w:ind w:firstLine="640"/>
      </w:pPr>
      <w:r>
        <w:t>为充分发挥湖南省粮油资源优势，加快湖南省粮油产业转型发展，推进粮</w:t>
      </w:r>
      <w:r>
        <w:rPr>
          <w:u w:val="none"/>
        </w:rPr>
        <w:t>食</w:t>
      </w:r>
      <w:r>
        <w:rPr>
          <w:rFonts w:hint="eastAsia"/>
          <w:u w:val="none" w:color="008080"/>
          <w:lang w:eastAsia="zh-CN"/>
        </w:rPr>
        <w:t>供给侧结构性改革</w:t>
      </w:r>
      <w:r>
        <w:t>，提升粮食产业整体实力和核心竞争力，实现粮食产业可持续发展，加快实现由粮油生产大省向粮油经济强省转变，2010年省政府下发了《关于实施粮油深加工及物流千亿产业工程的意见》（湘政发[2010]33号），决定在全省实施粮油深加工及物流“千亿产业”工程，并设立专项资金，重点支持粮油加工及副产品循环利用项目、粮食流通基础设施建设项目、粮油科技与省级质量安全检验监测能力项目、产销衔接展示展销及重要资产重组与品牌建设项目、重要粮食应急供应能力建设项目、产业发展突出贡献项目、现代粮油产业发展体系建设重点支持县等。专项资金主要采取银行贷款财政贴息、财政补助等支出方式。</w:t>
      </w:r>
    </w:p>
    <w:p>
      <w:pPr>
        <w:pStyle w:val="3"/>
        <w:ind w:firstLine="643"/>
      </w:pPr>
      <w:r>
        <w:rPr>
          <w:rFonts w:hint="eastAsia"/>
        </w:rPr>
        <w:t>（二）、</w:t>
      </w:r>
      <w:r>
        <w:t>项目绩效目标</w:t>
      </w:r>
    </w:p>
    <w:p>
      <w:pPr>
        <w:pStyle w:val="4"/>
        <w:ind w:firstLine="643"/>
        <w:rPr>
          <w:rFonts w:ascii="仿宋_GB2312" w:hAnsi="仿宋_GB2312" w:cs="仿宋_GB2312"/>
        </w:rPr>
      </w:pPr>
      <w:r>
        <w:rPr>
          <w:rFonts w:hint="eastAsia" w:ascii="仿宋_GB2312" w:hAnsi="仿宋_GB2312" w:cs="仿宋_GB2312"/>
        </w:rPr>
        <w:t>1、长期绩效目标</w:t>
      </w:r>
    </w:p>
    <w:p>
      <w:pPr>
        <w:ind w:firstLine="640"/>
      </w:pPr>
      <w:r>
        <w:t>实施粮油产业发展158工</w:t>
      </w:r>
      <w:r>
        <w:rPr>
          <w:u w:val="none"/>
        </w:rPr>
        <w:t>程</w:t>
      </w:r>
      <w:r>
        <w:rPr>
          <w:u w:val="none" w:color="auto"/>
        </w:rPr>
        <w:t>:</w:t>
      </w:r>
      <w:r>
        <w:t>全省重点培育100家左右特色粮油加工企业;通过兼并、重组、收购、置换、联盟等方式，整合各类优势资源，重点培育5家左右资本雄厚、竞争实力强、发展后劲足、在全国有影响力、产值超过50亿元的标志性大型米、面、油、食品粮油企业集团;整合交通、区位、资源等优势，以精深加工、副产品综合利用、主食产业化</w:t>
      </w:r>
      <w:bookmarkStart w:id="0" w:name="_GoBack"/>
      <w:bookmarkEnd w:id="0"/>
      <w:r>
        <w:t>为支撑，配套物流配送、电子商务</w:t>
      </w:r>
      <w:r>
        <w:rPr>
          <w:u w:val="none"/>
        </w:rPr>
        <w:t>等</w:t>
      </w:r>
      <w:r>
        <w:rPr>
          <w:rFonts w:hint="eastAsia"/>
          <w:u w:val="none" w:color="800080"/>
          <w:lang w:eastAsia="zh-CN"/>
        </w:rPr>
        <w:t>新兴业态</w:t>
      </w:r>
      <w:r>
        <w:t>，全省重点培育8个左右产值过20亿元的粮油产业园区。</w:t>
      </w:r>
    </w:p>
    <w:p>
      <w:pPr>
        <w:pStyle w:val="4"/>
        <w:ind w:firstLine="643"/>
        <w:rPr>
          <w:rFonts w:ascii="仿宋_GB2312" w:hAnsi="仿宋_GB2312" w:cs="仿宋_GB2312"/>
        </w:rPr>
      </w:pPr>
      <w:r>
        <w:rPr>
          <w:rFonts w:hint="eastAsia" w:ascii="仿宋_GB2312" w:hAnsi="仿宋_GB2312" w:cs="仿宋_GB2312"/>
        </w:rPr>
        <w:t>2、年度绩效目标</w:t>
      </w:r>
    </w:p>
    <w:p>
      <w:pPr>
        <w:ind w:left="640" w:leftChars="200" w:firstLine="0" w:firstLineChars="0"/>
      </w:pPr>
      <w:r>
        <w:t>2015年：全省粮油加工产业总产值1254亿元。</w:t>
      </w:r>
      <w:r>
        <w:cr/>
      </w:r>
      <w:r>
        <w:t>2016年：全省粮油加工产业总产值1280亿元。</w:t>
      </w:r>
    </w:p>
    <w:p>
      <w:pPr>
        <w:ind w:firstLine="640"/>
      </w:pPr>
      <w:r>
        <w:t>2017年：全省粮油加工产业总产值1300亿元。</w:t>
      </w:r>
    </w:p>
    <w:p>
      <w:pPr>
        <w:pStyle w:val="2"/>
        <w:numPr>
          <w:ilvl w:val="0"/>
          <w:numId w:val="1"/>
        </w:numPr>
        <w:ind w:firstLine="643"/>
      </w:pPr>
      <w:r>
        <w:t>专项资金情况</w:t>
      </w:r>
    </w:p>
    <w:p>
      <w:pPr>
        <w:pStyle w:val="3"/>
        <w:ind w:firstLine="643"/>
      </w:pPr>
      <w:r>
        <w:t>（一）</w:t>
      </w:r>
      <w:r>
        <w:rPr>
          <w:rFonts w:hint="eastAsia"/>
        </w:rPr>
        <w:t>、</w:t>
      </w:r>
      <w:r>
        <w:t>专项资金</w:t>
      </w:r>
      <w:r>
        <w:rPr>
          <w:rFonts w:hint="eastAsia"/>
        </w:rPr>
        <w:t>分配情况</w:t>
      </w:r>
    </w:p>
    <w:p>
      <w:pPr>
        <w:ind w:firstLine="640"/>
      </w:pPr>
      <w:r>
        <w:t>从专项资金分配方式来看，2015-2017年度粮油千亿产业工程专项资金侧重于贷款贴息方式，资金额分别占年度专项资金总额的67.86%、74.75%和70.34%，项目数量分别占年度专项数量的72.81%、78.50%和71.98%，详见以下明细表：</w:t>
      </w:r>
    </w:p>
    <w:p>
      <w:pPr>
        <w:ind w:firstLine="640"/>
        <w:jc w:val="center"/>
        <w:rPr>
          <w:b/>
          <w:bCs/>
        </w:rPr>
      </w:pPr>
      <w:r>
        <w:rPr>
          <w:b/>
          <w:bCs/>
        </w:rPr>
        <w:t>2015-2017年度粮油千亿产业工程专项资金分配表</w:t>
      </w:r>
    </w:p>
    <w:p>
      <w:pPr>
        <w:ind w:firstLine="640"/>
        <w:jc w:val="right"/>
      </w:pPr>
      <w:r>
        <w:t>单位：金额/万元；数量/个</w:t>
      </w:r>
    </w:p>
    <w:tbl>
      <w:tblPr>
        <w:tblStyle w:val="13"/>
        <w:tblW w:w="9316" w:type="dxa"/>
        <w:jc w:val="center"/>
        <w:tblLayout w:type="fixed"/>
        <w:tblCellMar>
          <w:top w:w="0" w:type="dxa"/>
          <w:left w:w="108" w:type="dxa"/>
          <w:bottom w:w="0" w:type="dxa"/>
          <w:right w:w="108" w:type="dxa"/>
        </w:tblCellMar>
      </w:tblPr>
      <w:tblGrid>
        <w:gridCol w:w="1181"/>
        <w:gridCol w:w="1601"/>
        <w:gridCol w:w="1116"/>
        <w:gridCol w:w="1526"/>
        <w:gridCol w:w="1209"/>
        <w:gridCol w:w="1548"/>
        <w:gridCol w:w="1135"/>
      </w:tblGrid>
      <w:tr>
        <w:tblPrEx>
          <w:tblCellMar>
            <w:top w:w="0" w:type="dxa"/>
            <w:left w:w="108" w:type="dxa"/>
            <w:bottom w:w="0" w:type="dxa"/>
            <w:right w:w="108" w:type="dxa"/>
          </w:tblCellMar>
        </w:tblPrEx>
        <w:trPr>
          <w:trHeight w:val="450" w:hRule="atLeast"/>
          <w:jc w:val="center"/>
        </w:trPr>
        <w:tc>
          <w:tcPr>
            <w:tcW w:w="11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年度</w:t>
            </w:r>
          </w:p>
        </w:tc>
        <w:tc>
          <w:tcPr>
            <w:tcW w:w="271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财政贴息</w:t>
            </w:r>
          </w:p>
        </w:tc>
        <w:tc>
          <w:tcPr>
            <w:tcW w:w="273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财政补贴</w:t>
            </w:r>
          </w:p>
        </w:tc>
        <w:tc>
          <w:tcPr>
            <w:tcW w:w="268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合计</w:t>
            </w:r>
          </w:p>
        </w:tc>
      </w:tr>
      <w:tr>
        <w:tblPrEx>
          <w:tblCellMar>
            <w:top w:w="0" w:type="dxa"/>
            <w:left w:w="108" w:type="dxa"/>
            <w:bottom w:w="0" w:type="dxa"/>
            <w:right w:w="108" w:type="dxa"/>
          </w:tblCellMar>
        </w:tblPrEx>
        <w:trPr>
          <w:trHeight w:val="420" w:hRule="atLeast"/>
          <w:jc w:val="center"/>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p>
        </w:tc>
        <w:tc>
          <w:tcPr>
            <w:tcW w:w="1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金额</w:t>
            </w:r>
          </w:p>
        </w:tc>
        <w:tc>
          <w:tcPr>
            <w:tcW w:w="11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数量</w:t>
            </w:r>
          </w:p>
        </w:tc>
        <w:tc>
          <w:tcPr>
            <w:tcW w:w="15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金额</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数量</w:t>
            </w:r>
          </w:p>
        </w:tc>
        <w:tc>
          <w:tcPr>
            <w:tcW w:w="15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金额</w:t>
            </w:r>
          </w:p>
        </w:tc>
        <w:tc>
          <w:tcPr>
            <w:tcW w:w="113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数量</w:t>
            </w:r>
          </w:p>
        </w:tc>
      </w:tr>
      <w:tr>
        <w:tblPrEx>
          <w:tblCellMar>
            <w:top w:w="0" w:type="dxa"/>
            <w:left w:w="108" w:type="dxa"/>
            <w:bottom w:w="0" w:type="dxa"/>
            <w:right w:w="108" w:type="dxa"/>
          </w:tblCellMar>
        </w:tblPrEx>
        <w:trPr>
          <w:trHeight w:val="522" w:hRule="atLeast"/>
          <w:jc w:val="center"/>
        </w:trPr>
        <w:tc>
          <w:tcPr>
            <w:tcW w:w="118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2015</w:t>
            </w:r>
          </w:p>
        </w:tc>
        <w:tc>
          <w:tcPr>
            <w:tcW w:w="1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6,786.00</w:t>
            </w:r>
          </w:p>
        </w:tc>
        <w:tc>
          <w:tcPr>
            <w:tcW w:w="11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83</w:t>
            </w:r>
          </w:p>
        </w:tc>
        <w:tc>
          <w:tcPr>
            <w:tcW w:w="15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3,214.00</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31</w:t>
            </w:r>
          </w:p>
        </w:tc>
        <w:tc>
          <w:tcPr>
            <w:tcW w:w="15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10,000.00</w:t>
            </w:r>
          </w:p>
        </w:tc>
        <w:tc>
          <w:tcPr>
            <w:tcW w:w="113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114</w:t>
            </w:r>
          </w:p>
        </w:tc>
      </w:tr>
      <w:tr>
        <w:tblPrEx>
          <w:tblCellMar>
            <w:top w:w="0" w:type="dxa"/>
            <w:left w:w="108" w:type="dxa"/>
            <w:bottom w:w="0" w:type="dxa"/>
            <w:right w:w="108" w:type="dxa"/>
          </w:tblCellMar>
        </w:tblPrEx>
        <w:trPr>
          <w:trHeight w:val="439" w:hRule="atLeast"/>
          <w:jc w:val="center"/>
        </w:trPr>
        <w:tc>
          <w:tcPr>
            <w:tcW w:w="118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2016</w:t>
            </w:r>
          </w:p>
        </w:tc>
        <w:tc>
          <w:tcPr>
            <w:tcW w:w="1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6,334.00</w:t>
            </w:r>
          </w:p>
        </w:tc>
        <w:tc>
          <w:tcPr>
            <w:tcW w:w="11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84</w:t>
            </w:r>
          </w:p>
        </w:tc>
        <w:tc>
          <w:tcPr>
            <w:tcW w:w="15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2,140.00</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23</w:t>
            </w:r>
          </w:p>
        </w:tc>
        <w:tc>
          <w:tcPr>
            <w:tcW w:w="15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8,474.00</w:t>
            </w:r>
          </w:p>
        </w:tc>
        <w:tc>
          <w:tcPr>
            <w:tcW w:w="113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107</w:t>
            </w:r>
          </w:p>
        </w:tc>
      </w:tr>
      <w:tr>
        <w:tblPrEx>
          <w:tblCellMar>
            <w:top w:w="0" w:type="dxa"/>
            <w:left w:w="108" w:type="dxa"/>
            <w:bottom w:w="0" w:type="dxa"/>
            <w:right w:w="108" w:type="dxa"/>
          </w:tblCellMar>
        </w:tblPrEx>
        <w:trPr>
          <w:trHeight w:val="499" w:hRule="atLeast"/>
          <w:jc w:val="center"/>
        </w:trPr>
        <w:tc>
          <w:tcPr>
            <w:tcW w:w="118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2017</w:t>
            </w:r>
          </w:p>
        </w:tc>
        <w:tc>
          <w:tcPr>
            <w:tcW w:w="16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7,500.00</w:t>
            </w:r>
          </w:p>
        </w:tc>
        <w:tc>
          <w:tcPr>
            <w:tcW w:w="11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131</w:t>
            </w:r>
          </w:p>
        </w:tc>
        <w:tc>
          <w:tcPr>
            <w:tcW w:w="152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3,163.00</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51</w:t>
            </w:r>
          </w:p>
        </w:tc>
        <w:tc>
          <w:tcPr>
            <w:tcW w:w="15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10,663.00</w:t>
            </w:r>
          </w:p>
        </w:tc>
        <w:tc>
          <w:tcPr>
            <w:tcW w:w="113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182</w:t>
            </w:r>
          </w:p>
        </w:tc>
      </w:tr>
      <w:tr>
        <w:tblPrEx>
          <w:tblCellMar>
            <w:top w:w="0" w:type="dxa"/>
            <w:left w:w="108" w:type="dxa"/>
            <w:bottom w:w="0" w:type="dxa"/>
            <w:right w:w="108" w:type="dxa"/>
          </w:tblCellMar>
        </w:tblPrEx>
        <w:trPr>
          <w:trHeight w:val="585" w:hRule="atLeast"/>
          <w:jc w:val="center"/>
        </w:trPr>
        <w:tc>
          <w:tcPr>
            <w:tcW w:w="663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总计</w:t>
            </w:r>
          </w:p>
        </w:tc>
        <w:tc>
          <w:tcPr>
            <w:tcW w:w="154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29,137.00</w:t>
            </w:r>
          </w:p>
        </w:tc>
        <w:tc>
          <w:tcPr>
            <w:tcW w:w="113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403</w:t>
            </w:r>
          </w:p>
        </w:tc>
      </w:tr>
    </w:tbl>
    <w:p>
      <w:pPr>
        <w:ind w:firstLine="640"/>
      </w:pPr>
      <w:r>
        <w:t>从专项资金分配地域来看，粮油千亿产业工程专项资金侧重于安排省直单位及产粮大区，其中2015年度粮油千亿产业工程专项资金分配侧重省直单位、湘潭地区、长沙地区及衡阳地区，资金安排5,375.30万元，占比53.75%；2016年度粮油千亿产业工程专项资金分配侧重省直单位、衡阳地区、邵阳地区及湘潭地区，资金安排4,487.00万元，占比52.95%；2017年度粮油千亿产业工程专项资金分配侧重省直单位、岳阳地区、衡阳地区及怀化地区，资金安排5,805.00万元，占比54.44%，具体地区专项资金安排情况详见以下明细表：</w:t>
      </w:r>
    </w:p>
    <w:p>
      <w:pPr>
        <w:ind w:firstLine="640"/>
        <w:jc w:val="right"/>
      </w:pPr>
      <w:r>
        <w:rPr>
          <w:rFonts w:hint="eastAsia"/>
        </w:rPr>
        <w:t>单位：金额/万元；数量/个</w:t>
      </w:r>
    </w:p>
    <w:tbl>
      <w:tblPr>
        <w:tblStyle w:val="13"/>
        <w:tblW w:w="9469" w:type="dxa"/>
        <w:jc w:val="center"/>
        <w:tblLayout w:type="fixed"/>
        <w:tblCellMar>
          <w:top w:w="0" w:type="dxa"/>
          <w:left w:w="108" w:type="dxa"/>
          <w:bottom w:w="0" w:type="dxa"/>
          <w:right w:w="108" w:type="dxa"/>
        </w:tblCellMar>
      </w:tblPr>
      <w:tblGrid>
        <w:gridCol w:w="1332"/>
        <w:gridCol w:w="1318"/>
        <w:gridCol w:w="753"/>
        <w:gridCol w:w="1301"/>
        <w:gridCol w:w="760"/>
        <w:gridCol w:w="1217"/>
        <w:gridCol w:w="793"/>
        <w:gridCol w:w="1212"/>
        <w:gridCol w:w="783"/>
      </w:tblGrid>
      <w:tr>
        <w:tblPrEx>
          <w:tblCellMar>
            <w:top w:w="0" w:type="dxa"/>
            <w:left w:w="108" w:type="dxa"/>
            <w:bottom w:w="0" w:type="dxa"/>
            <w:right w:w="108" w:type="dxa"/>
          </w:tblCellMar>
        </w:tblPrEx>
        <w:trPr>
          <w:trHeight w:val="315" w:hRule="atLeast"/>
          <w:jc w:val="center"/>
        </w:trPr>
        <w:tc>
          <w:tcPr>
            <w:tcW w:w="13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市州、单位</w:t>
            </w:r>
          </w:p>
        </w:tc>
        <w:tc>
          <w:tcPr>
            <w:tcW w:w="2071"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2015年</w:t>
            </w:r>
          </w:p>
        </w:tc>
        <w:tc>
          <w:tcPr>
            <w:tcW w:w="2061"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2016年</w:t>
            </w:r>
          </w:p>
        </w:tc>
        <w:tc>
          <w:tcPr>
            <w:tcW w:w="201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2017年</w:t>
            </w:r>
          </w:p>
        </w:tc>
        <w:tc>
          <w:tcPr>
            <w:tcW w:w="1995"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合计</w:t>
            </w:r>
          </w:p>
        </w:tc>
      </w:tr>
      <w:tr>
        <w:tblPrEx>
          <w:tblCellMar>
            <w:top w:w="0" w:type="dxa"/>
            <w:left w:w="108" w:type="dxa"/>
            <w:bottom w:w="0" w:type="dxa"/>
            <w:right w:w="108" w:type="dxa"/>
          </w:tblCellMar>
        </w:tblPrEx>
        <w:trPr>
          <w:trHeight w:val="315" w:hRule="atLeast"/>
          <w:jc w:val="center"/>
        </w:trPr>
        <w:tc>
          <w:tcPr>
            <w:tcW w:w="13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仿宋_GB2312" w:cs="Times New Roman"/>
                <w:sz w:val="24"/>
                <w:szCs w:val="24"/>
              </w:rPr>
            </w:pPr>
          </w:p>
        </w:tc>
        <w:tc>
          <w:tcPr>
            <w:tcW w:w="1318"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金额</w:t>
            </w:r>
          </w:p>
        </w:tc>
        <w:tc>
          <w:tcPr>
            <w:tcW w:w="75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数量</w:t>
            </w:r>
          </w:p>
        </w:tc>
        <w:tc>
          <w:tcPr>
            <w:tcW w:w="130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金额</w:t>
            </w:r>
          </w:p>
        </w:tc>
        <w:tc>
          <w:tcPr>
            <w:tcW w:w="760"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数量</w:t>
            </w:r>
          </w:p>
        </w:tc>
        <w:tc>
          <w:tcPr>
            <w:tcW w:w="1217"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金额</w:t>
            </w:r>
          </w:p>
        </w:tc>
        <w:tc>
          <w:tcPr>
            <w:tcW w:w="79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数量</w:t>
            </w:r>
          </w:p>
        </w:tc>
        <w:tc>
          <w:tcPr>
            <w:tcW w:w="121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金额</w:t>
            </w:r>
          </w:p>
        </w:tc>
        <w:tc>
          <w:tcPr>
            <w:tcW w:w="78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数量</w:t>
            </w:r>
          </w:p>
        </w:tc>
      </w:tr>
      <w:tr>
        <w:tblPrEx>
          <w:tblCellMar>
            <w:top w:w="0" w:type="dxa"/>
            <w:left w:w="108" w:type="dxa"/>
            <w:bottom w:w="0" w:type="dxa"/>
            <w:right w:w="108" w:type="dxa"/>
          </w:tblCellMar>
        </w:tblPrEx>
        <w:trPr>
          <w:trHeight w:val="375" w:hRule="atLeast"/>
          <w:jc w:val="center"/>
        </w:trPr>
        <w:tc>
          <w:tcPr>
            <w:tcW w:w="133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常德市</w:t>
            </w:r>
          </w:p>
        </w:tc>
        <w:tc>
          <w:tcPr>
            <w:tcW w:w="1318"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504.00 </w:t>
            </w:r>
          </w:p>
        </w:tc>
        <w:tc>
          <w:tcPr>
            <w:tcW w:w="75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30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477.00 </w:t>
            </w:r>
          </w:p>
        </w:tc>
        <w:tc>
          <w:tcPr>
            <w:tcW w:w="760"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217"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663.00 </w:t>
            </w:r>
          </w:p>
        </w:tc>
        <w:tc>
          <w:tcPr>
            <w:tcW w:w="79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121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1,644.00 </w:t>
            </w:r>
          </w:p>
        </w:tc>
        <w:tc>
          <w:tcPr>
            <w:tcW w:w="78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27</w:t>
            </w:r>
          </w:p>
        </w:tc>
      </w:tr>
      <w:tr>
        <w:tblPrEx>
          <w:tblCellMar>
            <w:top w:w="0" w:type="dxa"/>
            <w:left w:w="108" w:type="dxa"/>
            <w:bottom w:w="0" w:type="dxa"/>
            <w:right w:w="108" w:type="dxa"/>
          </w:tblCellMar>
        </w:tblPrEx>
        <w:trPr>
          <w:trHeight w:val="375" w:hRule="atLeast"/>
          <w:jc w:val="center"/>
        </w:trPr>
        <w:tc>
          <w:tcPr>
            <w:tcW w:w="133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郴州市</w:t>
            </w:r>
          </w:p>
        </w:tc>
        <w:tc>
          <w:tcPr>
            <w:tcW w:w="1318"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484.00 </w:t>
            </w:r>
          </w:p>
        </w:tc>
        <w:tc>
          <w:tcPr>
            <w:tcW w:w="75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30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494.00 </w:t>
            </w:r>
          </w:p>
        </w:tc>
        <w:tc>
          <w:tcPr>
            <w:tcW w:w="760"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217"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548.00 </w:t>
            </w:r>
          </w:p>
        </w:tc>
        <w:tc>
          <w:tcPr>
            <w:tcW w:w="79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121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1,526.00 </w:t>
            </w:r>
          </w:p>
        </w:tc>
        <w:tc>
          <w:tcPr>
            <w:tcW w:w="78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w:t>
            </w:r>
          </w:p>
        </w:tc>
      </w:tr>
      <w:tr>
        <w:tblPrEx>
          <w:tblCellMar>
            <w:top w:w="0" w:type="dxa"/>
            <w:left w:w="108" w:type="dxa"/>
            <w:bottom w:w="0" w:type="dxa"/>
            <w:right w:w="108" w:type="dxa"/>
          </w:tblCellMar>
        </w:tblPrEx>
        <w:trPr>
          <w:trHeight w:val="375" w:hRule="atLeast"/>
          <w:jc w:val="center"/>
        </w:trPr>
        <w:tc>
          <w:tcPr>
            <w:tcW w:w="133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衡阳市</w:t>
            </w:r>
          </w:p>
        </w:tc>
        <w:tc>
          <w:tcPr>
            <w:tcW w:w="1318"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808.40 </w:t>
            </w:r>
          </w:p>
        </w:tc>
        <w:tc>
          <w:tcPr>
            <w:tcW w:w="75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130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667.00 </w:t>
            </w:r>
          </w:p>
        </w:tc>
        <w:tc>
          <w:tcPr>
            <w:tcW w:w="760"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217"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882.00 </w:t>
            </w:r>
          </w:p>
        </w:tc>
        <w:tc>
          <w:tcPr>
            <w:tcW w:w="79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w:t>
            </w:r>
          </w:p>
        </w:tc>
        <w:tc>
          <w:tcPr>
            <w:tcW w:w="121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2,357.40 </w:t>
            </w:r>
          </w:p>
        </w:tc>
        <w:tc>
          <w:tcPr>
            <w:tcW w:w="78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w:t>
            </w:r>
          </w:p>
        </w:tc>
      </w:tr>
      <w:tr>
        <w:tblPrEx>
          <w:tblCellMar>
            <w:top w:w="0" w:type="dxa"/>
            <w:left w:w="108" w:type="dxa"/>
            <w:bottom w:w="0" w:type="dxa"/>
            <w:right w:w="108" w:type="dxa"/>
          </w:tblCellMar>
        </w:tblPrEx>
        <w:trPr>
          <w:trHeight w:val="375" w:hRule="atLeast"/>
          <w:jc w:val="center"/>
        </w:trPr>
        <w:tc>
          <w:tcPr>
            <w:tcW w:w="133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怀化市</w:t>
            </w:r>
          </w:p>
        </w:tc>
        <w:tc>
          <w:tcPr>
            <w:tcW w:w="1318"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463.00 </w:t>
            </w:r>
          </w:p>
        </w:tc>
        <w:tc>
          <w:tcPr>
            <w:tcW w:w="75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30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291.00 </w:t>
            </w:r>
          </w:p>
        </w:tc>
        <w:tc>
          <w:tcPr>
            <w:tcW w:w="760"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217"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668.00 </w:t>
            </w:r>
          </w:p>
        </w:tc>
        <w:tc>
          <w:tcPr>
            <w:tcW w:w="79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121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1,422.00 </w:t>
            </w:r>
          </w:p>
        </w:tc>
        <w:tc>
          <w:tcPr>
            <w:tcW w:w="78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w:t>
            </w:r>
          </w:p>
        </w:tc>
      </w:tr>
      <w:tr>
        <w:tblPrEx>
          <w:tblCellMar>
            <w:top w:w="0" w:type="dxa"/>
            <w:left w:w="108" w:type="dxa"/>
            <w:bottom w:w="0" w:type="dxa"/>
            <w:right w:w="108" w:type="dxa"/>
          </w:tblCellMar>
        </w:tblPrEx>
        <w:trPr>
          <w:trHeight w:val="375" w:hRule="atLeast"/>
          <w:jc w:val="center"/>
        </w:trPr>
        <w:tc>
          <w:tcPr>
            <w:tcW w:w="133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娄底市</w:t>
            </w:r>
          </w:p>
        </w:tc>
        <w:tc>
          <w:tcPr>
            <w:tcW w:w="1318"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531.00 </w:t>
            </w:r>
          </w:p>
        </w:tc>
        <w:tc>
          <w:tcPr>
            <w:tcW w:w="75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30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505.00 </w:t>
            </w:r>
          </w:p>
        </w:tc>
        <w:tc>
          <w:tcPr>
            <w:tcW w:w="760"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217"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245.00 </w:t>
            </w:r>
          </w:p>
        </w:tc>
        <w:tc>
          <w:tcPr>
            <w:tcW w:w="79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21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1,281.00 </w:t>
            </w:r>
          </w:p>
        </w:tc>
        <w:tc>
          <w:tcPr>
            <w:tcW w:w="78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r>
      <w:tr>
        <w:tblPrEx>
          <w:tblCellMar>
            <w:top w:w="0" w:type="dxa"/>
            <w:left w:w="108" w:type="dxa"/>
            <w:bottom w:w="0" w:type="dxa"/>
            <w:right w:w="108" w:type="dxa"/>
          </w:tblCellMar>
        </w:tblPrEx>
        <w:trPr>
          <w:trHeight w:val="375" w:hRule="atLeast"/>
          <w:jc w:val="center"/>
        </w:trPr>
        <w:tc>
          <w:tcPr>
            <w:tcW w:w="133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邵阳市</w:t>
            </w:r>
          </w:p>
        </w:tc>
        <w:tc>
          <w:tcPr>
            <w:tcW w:w="1318"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546.00 </w:t>
            </w:r>
          </w:p>
        </w:tc>
        <w:tc>
          <w:tcPr>
            <w:tcW w:w="75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30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630.00 </w:t>
            </w:r>
          </w:p>
        </w:tc>
        <w:tc>
          <w:tcPr>
            <w:tcW w:w="760"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217"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640.00 </w:t>
            </w:r>
          </w:p>
        </w:tc>
        <w:tc>
          <w:tcPr>
            <w:tcW w:w="79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121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1,816.00 </w:t>
            </w:r>
          </w:p>
        </w:tc>
        <w:tc>
          <w:tcPr>
            <w:tcW w:w="78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w:t>
            </w:r>
          </w:p>
        </w:tc>
      </w:tr>
      <w:tr>
        <w:tblPrEx>
          <w:tblCellMar>
            <w:top w:w="0" w:type="dxa"/>
            <w:left w:w="108" w:type="dxa"/>
            <w:bottom w:w="0" w:type="dxa"/>
            <w:right w:w="108" w:type="dxa"/>
          </w:tblCellMar>
        </w:tblPrEx>
        <w:trPr>
          <w:trHeight w:val="375" w:hRule="atLeast"/>
          <w:jc w:val="center"/>
        </w:trPr>
        <w:tc>
          <w:tcPr>
            <w:tcW w:w="133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省直</w:t>
            </w:r>
          </w:p>
        </w:tc>
        <w:tc>
          <w:tcPr>
            <w:tcW w:w="1318"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2,724.00 </w:t>
            </w:r>
          </w:p>
        </w:tc>
        <w:tc>
          <w:tcPr>
            <w:tcW w:w="75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w:t>
            </w:r>
          </w:p>
        </w:tc>
        <w:tc>
          <w:tcPr>
            <w:tcW w:w="130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2,570.00 </w:t>
            </w:r>
          </w:p>
        </w:tc>
        <w:tc>
          <w:tcPr>
            <w:tcW w:w="760"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1217"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2,980.00 </w:t>
            </w:r>
          </w:p>
        </w:tc>
        <w:tc>
          <w:tcPr>
            <w:tcW w:w="79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26</w:t>
            </w:r>
          </w:p>
        </w:tc>
        <w:tc>
          <w:tcPr>
            <w:tcW w:w="121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8,274.00 </w:t>
            </w:r>
          </w:p>
        </w:tc>
        <w:tc>
          <w:tcPr>
            <w:tcW w:w="78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64</w:t>
            </w:r>
          </w:p>
        </w:tc>
      </w:tr>
      <w:tr>
        <w:tblPrEx>
          <w:tblCellMar>
            <w:top w:w="0" w:type="dxa"/>
            <w:left w:w="108" w:type="dxa"/>
            <w:bottom w:w="0" w:type="dxa"/>
            <w:right w:w="108" w:type="dxa"/>
          </w:tblCellMar>
        </w:tblPrEx>
        <w:trPr>
          <w:trHeight w:val="375" w:hRule="atLeast"/>
          <w:jc w:val="center"/>
        </w:trPr>
        <w:tc>
          <w:tcPr>
            <w:tcW w:w="133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湘潭市</w:t>
            </w:r>
          </w:p>
        </w:tc>
        <w:tc>
          <w:tcPr>
            <w:tcW w:w="1318"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948.00 </w:t>
            </w:r>
          </w:p>
        </w:tc>
        <w:tc>
          <w:tcPr>
            <w:tcW w:w="75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30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620.00 </w:t>
            </w:r>
          </w:p>
        </w:tc>
        <w:tc>
          <w:tcPr>
            <w:tcW w:w="760"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217"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519.00 </w:t>
            </w:r>
          </w:p>
        </w:tc>
        <w:tc>
          <w:tcPr>
            <w:tcW w:w="79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121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2,087.00 </w:t>
            </w:r>
          </w:p>
        </w:tc>
        <w:tc>
          <w:tcPr>
            <w:tcW w:w="78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29</w:t>
            </w:r>
          </w:p>
        </w:tc>
      </w:tr>
      <w:tr>
        <w:tblPrEx>
          <w:tblCellMar>
            <w:top w:w="0" w:type="dxa"/>
            <w:left w:w="108" w:type="dxa"/>
            <w:bottom w:w="0" w:type="dxa"/>
            <w:right w:w="108" w:type="dxa"/>
          </w:tblCellMar>
        </w:tblPrEx>
        <w:trPr>
          <w:trHeight w:val="375" w:hRule="atLeast"/>
          <w:jc w:val="center"/>
        </w:trPr>
        <w:tc>
          <w:tcPr>
            <w:tcW w:w="133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湘西自治州</w:t>
            </w:r>
          </w:p>
        </w:tc>
        <w:tc>
          <w:tcPr>
            <w:tcW w:w="1318"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51.00 </w:t>
            </w:r>
          </w:p>
        </w:tc>
        <w:tc>
          <w:tcPr>
            <w:tcW w:w="75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30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184.00 </w:t>
            </w:r>
          </w:p>
        </w:tc>
        <w:tc>
          <w:tcPr>
            <w:tcW w:w="760"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217"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256.00 </w:t>
            </w:r>
          </w:p>
        </w:tc>
        <w:tc>
          <w:tcPr>
            <w:tcW w:w="79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21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491.00 </w:t>
            </w:r>
          </w:p>
        </w:tc>
        <w:tc>
          <w:tcPr>
            <w:tcW w:w="78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r>
      <w:tr>
        <w:tblPrEx>
          <w:tblCellMar>
            <w:top w:w="0" w:type="dxa"/>
            <w:left w:w="108" w:type="dxa"/>
            <w:bottom w:w="0" w:type="dxa"/>
            <w:right w:w="108" w:type="dxa"/>
          </w:tblCellMar>
        </w:tblPrEx>
        <w:trPr>
          <w:trHeight w:val="375" w:hRule="atLeast"/>
          <w:jc w:val="center"/>
        </w:trPr>
        <w:tc>
          <w:tcPr>
            <w:tcW w:w="133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益阳市</w:t>
            </w:r>
          </w:p>
        </w:tc>
        <w:tc>
          <w:tcPr>
            <w:tcW w:w="1318"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291.96 </w:t>
            </w:r>
          </w:p>
        </w:tc>
        <w:tc>
          <w:tcPr>
            <w:tcW w:w="75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30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324.00 </w:t>
            </w:r>
          </w:p>
        </w:tc>
        <w:tc>
          <w:tcPr>
            <w:tcW w:w="760"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217"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402.00 </w:t>
            </w:r>
          </w:p>
        </w:tc>
        <w:tc>
          <w:tcPr>
            <w:tcW w:w="79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21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1,017.96 </w:t>
            </w:r>
          </w:p>
        </w:tc>
        <w:tc>
          <w:tcPr>
            <w:tcW w:w="78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r>
      <w:tr>
        <w:tblPrEx>
          <w:tblCellMar>
            <w:top w:w="0" w:type="dxa"/>
            <w:left w:w="108" w:type="dxa"/>
            <w:bottom w:w="0" w:type="dxa"/>
            <w:right w:w="108" w:type="dxa"/>
          </w:tblCellMar>
        </w:tblPrEx>
        <w:trPr>
          <w:trHeight w:val="375" w:hRule="atLeast"/>
          <w:jc w:val="center"/>
        </w:trPr>
        <w:tc>
          <w:tcPr>
            <w:tcW w:w="133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永州市</w:t>
            </w:r>
          </w:p>
        </w:tc>
        <w:tc>
          <w:tcPr>
            <w:tcW w:w="1318"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716.44 </w:t>
            </w:r>
          </w:p>
        </w:tc>
        <w:tc>
          <w:tcPr>
            <w:tcW w:w="75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130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388.00 </w:t>
            </w:r>
          </w:p>
        </w:tc>
        <w:tc>
          <w:tcPr>
            <w:tcW w:w="760"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217"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460.00 </w:t>
            </w:r>
          </w:p>
        </w:tc>
        <w:tc>
          <w:tcPr>
            <w:tcW w:w="79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121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1,564.44 </w:t>
            </w:r>
          </w:p>
        </w:tc>
        <w:tc>
          <w:tcPr>
            <w:tcW w:w="78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29</w:t>
            </w:r>
          </w:p>
        </w:tc>
      </w:tr>
      <w:tr>
        <w:tblPrEx>
          <w:tblCellMar>
            <w:top w:w="0" w:type="dxa"/>
            <w:left w:w="108" w:type="dxa"/>
            <w:bottom w:w="0" w:type="dxa"/>
            <w:right w:w="108" w:type="dxa"/>
          </w:tblCellMar>
        </w:tblPrEx>
        <w:trPr>
          <w:trHeight w:val="375" w:hRule="atLeast"/>
          <w:jc w:val="center"/>
        </w:trPr>
        <w:tc>
          <w:tcPr>
            <w:tcW w:w="133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岳阳市</w:t>
            </w:r>
          </w:p>
        </w:tc>
        <w:tc>
          <w:tcPr>
            <w:tcW w:w="1318"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641.00 </w:t>
            </w:r>
          </w:p>
        </w:tc>
        <w:tc>
          <w:tcPr>
            <w:tcW w:w="75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30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454.00 </w:t>
            </w:r>
          </w:p>
        </w:tc>
        <w:tc>
          <w:tcPr>
            <w:tcW w:w="760"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217"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1,275.00 </w:t>
            </w:r>
          </w:p>
        </w:tc>
        <w:tc>
          <w:tcPr>
            <w:tcW w:w="79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121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2,370.00 </w:t>
            </w:r>
          </w:p>
        </w:tc>
        <w:tc>
          <w:tcPr>
            <w:tcW w:w="78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33</w:t>
            </w:r>
          </w:p>
        </w:tc>
      </w:tr>
      <w:tr>
        <w:tblPrEx>
          <w:tblCellMar>
            <w:top w:w="0" w:type="dxa"/>
            <w:left w:w="108" w:type="dxa"/>
            <w:bottom w:w="0" w:type="dxa"/>
            <w:right w:w="108" w:type="dxa"/>
          </w:tblCellMar>
        </w:tblPrEx>
        <w:trPr>
          <w:trHeight w:val="375" w:hRule="atLeast"/>
          <w:jc w:val="center"/>
        </w:trPr>
        <w:tc>
          <w:tcPr>
            <w:tcW w:w="133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张家界市</w:t>
            </w:r>
          </w:p>
        </w:tc>
        <w:tc>
          <w:tcPr>
            <w:tcW w:w="1318"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100.00 </w:t>
            </w:r>
          </w:p>
        </w:tc>
        <w:tc>
          <w:tcPr>
            <w:tcW w:w="75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30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115.00 </w:t>
            </w:r>
          </w:p>
        </w:tc>
        <w:tc>
          <w:tcPr>
            <w:tcW w:w="760"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217"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425.00 </w:t>
            </w:r>
          </w:p>
        </w:tc>
        <w:tc>
          <w:tcPr>
            <w:tcW w:w="79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21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640.00 </w:t>
            </w:r>
          </w:p>
        </w:tc>
        <w:tc>
          <w:tcPr>
            <w:tcW w:w="78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r>
      <w:tr>
        <w:tblPrEx>
          <w:tblCellMar>
            <w:top w:w="0" w:type="dxa"/>
            <w:left w:w="108" w:type="dxa"/>
            <w:bottom w:w="0" w:type="dxa"/>
            <w:right w:w="108" w:type="dxa"/>
          </w:tblCellMar>
        </w:tblPrEx>
        <w:trPr>
          <w:trHeight w:val="375" w:hRule="atLeast"/>
          <w:jc w:val="center"/>
        </w:trPr>
        <w:tc>
          <w:tcPr>
            <w:tcW w:w="133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长沙市</w:t>
            </w:r>
          </w:p>
        </w:tc>
        <w:tc>
          <w:tcPr>
            <w:tcW w:w="1318"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894.90 </w:t>
            </w:r>
          </w:p>
        </w:tc>
        <w:tc>
          <w:tcPr>
            <w:tcW w:w="75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30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405.00 </w:t>
            </w:r>
          </w:p>
        </w:tc>
        <w:tc>
          <w:tcPr>
            <w:tcW w:w="760"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217"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443.00 </w:t>
            </w:r>
          </w:p>
        </w:tc>
        <w:tc>
          <w:tcPr>
            <w:tcW w:w="79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121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1,742.90 </w:t>
            </w:r>
          </w:p>
        </w:tc>
        <w:tc>
          <w:tcPr>
            <w:tcW w:w="78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w:t>
            </w:r>
          </w:p>
        </w:tc>
      </w:tr>
      <w:tr>
        <w:tblPrEx>
          <w:tblCellMar>
            <w:top w:w="0" w:type="dxa"/>
            <w:left w:w="108" w:type="dxa"/>
            <w:bottom w:w="0" w:type="dxa"/>
            <w:right w:w="108" w:type="dxa"/>
          </w:tblCellMar>
        </w:tblPrEx>
        <w:trPr>
          <w:trHeight w:val="375" w:hRule="atLeast"/>
          <w:jc w:val="center"/>
        </w:trPr>
        <w:tc>
          <w:tcPr>
            <w:tcW w:w="133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株洲市</w:t>
            </w:r>
          </w:p>
        </w:tc>
        <w:tc>
          <w:tcPr>
            <w:tcW w:w="1318"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296.30 </w:t>
            </w:r>
          </w:p>
        </w:tc>
        <w:tc>
          <w:tcPr>
            <w:tcW w:w="75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30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350.00 </w:t>
            </w:r>
          </w:p>
        </w:tc>
        <w:tc>
          <w:tcPr>
            <w:tcW w:w="760"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217"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257.00 </w:t>
            </w:r>
          </w:p>
        </w:tc>
        <w:tc>
          <w:tcPr>
            <w:tcW w:w="79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21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903.30 </w:t>
            </w:r>
          </w:p>
        </w:tc>
        <w:tc>
          <w:tcPr>
            <w:tcW w:w="78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w:t>
            </w:r>
          </w:p>
        </w:tc>
      </w:tr>
      <w:tr>
        <w:tblPrEx>
          <w:tblCellMar>
            <w:top w:w="0" w:type="dxa"/>
            <w:left w:w="108" w:type="dxa"/>
            <w:bottom w:w="0" w:type="dxa"/>
            <w:right w:w="108" w:type="dxa"/>
          </w:tblCellMar>
        </w:tblPrEx>
        <w:trPr>
          <w:trHeight w:val="375" w:hRule="atLeast"/>
          <w:jc w:val="center"/>
        </w:trPr>
        <w:tc>
          <w:tcPr>
            <w:tcW w:w="1332"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总计</w:t>
            </w:r>
          </w:p>
        </w:tc>
        <w:tc>
          <w:tcPr>
            <w:tcW w:w="1318"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 xml:space="preserve">10,000.00 </w:t>
            </w:r>
          </w:p>
        </w:tc>
        <w:tc>
          <w:tcPr>
            <w:tcW w:w="75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114</w:t>
            </w:r>
          </w:p>
        </w:tc>
        <w:tc>
          <w:tcPr>
            <w:tcW w:w="130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 xml:space="preserve">8,474.00 </w:t>
            </w:r>
          </w:p>
        </w:tc>
        <w:tc>
          <w:tcPr>
            <w:tcW w:w="760"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107</w:t>
            </w:r>
          </w:p>
        </w:tc>
        <w:tc>
          <w:tcPr>
            <w:tcW w:w="1217"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 xml:space="preserve">10,663.00 </w:t>
            </w:r>
          </w:p>
        </w:tc>
        <w:tc>
          <w:tcPr>
            <w:tcW w:w="79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182</w:t>
            </w:r>
          </w:p>
        </w:tc>
        <w:tc>
          <w:tcPr>
            <w:tcW w:w="121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 xml:space="preserve">29,137.00 </w:t>
            </w:r>
          </w:p>
        </w:tc>
        <w:tc>
          <w:tcPr>
            <w:tcW w:w="78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403</w:t>
            </w:r>
          </w:p>
        </w:tc>
      </w:tr>
    </w:tbl>
    <w:p>
      <w:pPr>
        <w:pStyle w:val="3"/>
        <w:ind w:firstLine="643"/>
      </w:pPr>
      <w:r>
        <w:t>（二）</w:t>
      </w:r>
      <w:r>
        <w:rPr>
          <w:rFonts w:hint="eastAsia"/>
        </w:rPr>
        <w:t>、</w:t>
      </w:r>
      <w:r>
        <w:t>专项资金使用情况</w:t>
      </w:r>
    </w:p>
    <w:p>
      <w:pPr>
        <w:ind w:firstLine="640"/>
      </w:pPr>
      <w:r>
        <w:t>2015-2017年度粮油千亿产业工程专项资金预算资金总额29,137.00万元，截止2017年12月31日，依据《</w:t>
      </w:r>
      <w:r>
        <w:rPr>
          <w:rFonts w:hint="eastAsia"/>
        </w:rPr>
        <w:t>湖南省财政厅湖南省粮食局关于下达2015年“粮油千亿产业”专项资金的通知</w:t>
      </w:r>
      <w:r>
        <w:rPr>
          <w:u w:val="none"/>
        </w:rPr>
        <w:t>》</w:t>
      </w:r>
      <w:r>
        <w:rPr>
          <w:rFonts w:hint="eastAsia"/>
        </w:rPr>
        <w:t>《湖南省财政厅湖南省粮食局关于下达2015年第二批“粮油千亿产业”专项资金的通知</w:t>
      </w:r>
      <w:r>
        <w:rPr>
          <w:rFonts w:hint="eastAsia"/>
          <w:u w:val="none"/>
        </w:rPr>
        <w:t>》</w:t>
      </w:r>
      <w:r>
        <w:t>《</w:t>
      </w:r>
      <w:r>
        <w:rPr>
          <w:rFonts w:hint="eastAsia"/>
        </w:rPr>
        <w:t>湖南省财政厅湖南省粮食局关于下达2016年“粮油千亿产业”专项资金的通知</w:t>
      </w:r>
      <w:r>
        <w:rPr>
          <w:u w:val="none"/>
        </w:rPr>
        <w:t>》</w:t>
      </w:r>
      <w:r>
        <w:t>《</w:t>
      </w:r>
      <w:r>
        <w:rPr>
          <w:rFonts w:hint="eastAsia"/>
        </w:rPr>
        <w:t>湖南省财政厅湖南省粮食局关于下达2017年第一批“粮油千亿产业”专项资金的通知</w:t>
      </w:r>
      <w:r>
        <w:rPr>
          <w:u w:val="none"/>
        </w:rPr>
        <w:t>》</w:t>
      </w:r>
      <w:r>
        <w:rPr>
          <w:rFonts w:hint="eastAsia"/>
          <w:lang w:eastAsia="zh-CN"/>
        </w:rPr>
        <w:t>《湖南省财政厅湖南省粮食局关于下达2017年第二批“粮油千亿产业”专项资金的通知》</w:t>
      </w:r>
      <w:r>
        <w:t>分为5个批次共计下达专项经费29,137.00万元，实际拨付资金与预算相符。</w:t>
      </w:r>
    </w:p>
    <w:p>
      <w:pPr>
        <w:ind w:firstLine="640"/>
      </w:pPr>
      <w:r>
        <w:t>截止现场评价日，2015-2017年度粮油千亿产业工程专项资金结余27.22万元</w:t>
      </w:r>
      <w:r>
        <w:rPr>
          <w:rFonts w:hint="eastAsia"/>
        </w:rPr>
        <w:t>，主要是湖南金健种业科技有限公司2017年高档优质杂交稻“桃优香占”技术集成与产业化开发项目计划于2018年度完工，目前根据进度付款，结转至2018年度支付项目余款</w:t>
      </w:r>
      <w:r>
        <w:t>。具体拨付及结余明细如下表所示：</w:t>
      </w:r>
    </w:p>
    <w:tbl>
      <w:tblPr>
        <w:tblStyle w:val="13"/>
        <w:tblW w:w="9316" w:type="dxa"/>
        <w:jc w:val="center"/>
        <w:tblLayout w:type="fixed"/>
        <w:tblCellMar>
          <w:top w:w="0" w:type="dxa"/>
          <w:left w:w="108" w:type="dxa"/>
          <w:bottom w:w="0" w:type="dxa"/>
          <w:right w:w="108" w:type="dxa"/>
        </w:tblCellMar>
      </w:tblPr>
      <w:tblGrid>
        <w:gridCol w:w="709"/>
        <w:gridCol w:w="705"/>
        <w:gridCol w:w="1575"/>
        <w:gridCol w:w="1110"/>
        <w:gridCol w:w="1650"/>
        <w:gridCol w:w="1098"/>
        <w:gridCol w:w="1307"/>
        <w:gridCol w:w="1162"/>
      </w:tblGrid>
      <w:tr>
        <w:tblPrEx>
          <w:tblCellMar>
            <w:top w:w="0" w:type="dxa"/>
            <w:left w:w="108" w:type="dxa"/>
            <w:bottom w:w="0" w:type="dxa"/>
            <w:right w:w="108" w:type="dxa"/>
          </w:tblCellMar>
        </w:tblPrEx>
        <w:trPr>
          <w:trHeight w:val="37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市州</w:t>
            </w:r>
          </w:p>
        </w:tc>
        <w:tc>
          <w:tcPr>
            <w:tcW w:w="15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项目单位名称</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项目性质</w:t>
            </w:r>
          </w:p>
        </w:tc>
        <w:tc>
          <w:tcPr>
            <w:tcW w:w="16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项目名称及</w:t>
            </w:r>
          </w:p>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主要内容</w:t>
            </w:r>
          </w:p>
        </w:tc>
        <w:tc>
          <w:tcPr>
            <w:tcW w:w="10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文件号</w:t>
            </w:r>
          </w:p>
        </w:tc>
        <w:tc>
          <w:tcPr>
            <w:tcW w:w="130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下达资金</w:t>
            </w:r>
          </w:p>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（万元）</w:t>
            </w:r>
          </w:p>
        </w:tc>
        <w:tc>
          <w:tcPr>
            <w:tcW w:w="116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资金结余</w:t>
            </w:r>
          </w:p>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（万元）</w:t>
            </w:r>
          </w:p>
        </w:tc>
      </w:tr>
      <w:tr>
        <w:tblPrEx>
          <w:tblCellMar>
            <w:top w:w="0" w:type="dxa"/>
            <w:left w:w="108" w:type="dxa"/>
            <w:bottom w:w="0" w:type="dxa"/>
            <w:right w:w="108" w:type="dxa"/>
          </w:tblCellMar>
        </w:tblPrEx>
        <w:trPr>
          <w:trHeight w:val="72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w:t>
            </w:r>
          </w:p>
        </w:tc>
        <w:tc>
          <w:tcPr>
            <w:tcW w:w="70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省直</w:t>
            </w:r>
          </w:p>
        </w:tc>
        <w:tc>
          <w:tcPr>
            <w:tcW w:w="157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湖南金健种业科技有限公司</w:t>
            </w:r>
          </w:p>
        </w:tc>
        <w:tc>
          <w:tcPr>
            <w:tcW w:w="11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粮油科技项目</w:t>
            </w:r>
          </w:p>
        </w:tc>
        <w:tc>
          <w:tcPr>
            <w:tcW w:w="165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高档优质杂交稻“桃优香占”技术集成与产业化开发</w:t>
            </w: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湘财建指〔2017〕303号</w:t>
            </w:r>
          </w:p>
        </w:tc>
        <w:tc>
          <w:tcPr>
            <w:tcW w:w="13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100.00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27.22</w:t>
            </w:r>
          </w:p>
        </w:tc>
      </w:tr>
      <w:tr>
        <w:tblPrEx>
          <w:tblCellMar>
            <w:top w:w="0" w:type="dxa"/>
            <w:left w:w="108" w:type="dxa"/>
            <w:bottom w:w="0" w:type="dxa"/>
            <w:right w:w="108" w:type="dxa"/>
          </w:tblCellMar>
        </w:tblPrEx>
        <w:trPr>
          <w:trHeight w:val="646"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rPr>
            </w:pPr>
          </w:p>
        </w:tc>
        <w:tc>
          <w:tcPr>
            <w:tcW w:w="6138"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合计</w:t>
            </w:r>
          </w:p>
        </w:tc>
        <w:tc>
          <w:tcPr>
            <w:tcW w:w="130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100.00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27.22</w:t>
            </w:r>
          </w:p>
        </w:tc>
      </w:tr>
    </w:tbl>
    <w:p>
      <w:pPr>
        <w:pStyle w:val="3"/>
        <w:ind w:firstLine="643"/>
      </w:pPr>
      <w:r>
        <w:t>（三）</w:t>
      </w:r>
      <w:r>
        <w:rPr>
          <w:rFonts w:hint="eastAsia"/>
        </w:rPr>
        <w:t>、</w:t>
      </w:r>
      <w:r>
        <w:t>专项资金管理情况</w:t>
      </w:r>
    </w:p>
    <w:p>
      <w:pPr>
        <w:ind w:firstLine="640"/>
        <w:rPr>
          <w:szCs w:val="32"/>
        </w:rPr>
      </w:pPr>
      <w:r>
        <w:rPr>
          <w:szCs w:val="32"/>
        </w:rPr>
        <w:t>为加强专项资金管理，提高资金使用效益，</w:t>
      </w:r>
      <w:r>
        <w:rPr>
          <w:rFonts w:hint="eastAsia"/>
          <w:szCs w:val="32"/>
        </w:rPr>
        <w:t>湖南</w:t>
      </w:r>
      <w:r>
        <w:rPr>
          <w:szCs w:val="32"/>
        </w:rPr>
        <w:t>省财政厅、湖南省粮食局严格按《湖南省粮油千亿产业工程专项资金管理办法》（湘财建[2015]86号</w:t>
      </w:r>
      <w:r>
        <w:rPr>
          <w:szCs w:val="32"/>
          <w:u w:val="none"/>
        </w:rPr>
        <w:t>）</w:t>
      </w:r>
      <w:r>
        <w:rPr>
          <w:szCs w:val="32"/>
          <w:u w:val="none" w:color="auto"/>
        </w:rPr>
        <w:t>》</w:t>
      </w:r>
      <w:r>
        <w:rPr>
          <w:rFonts w:hint="eastAsia"/>
          <w:szCs w:val="32"/>
        </w:rPr>
        <w:t>对项目进行</w:t>
      </w:r>
      <w:r>
        <w:rPr>
          <w:szCs w:val="32"/>
        </w:rPr>
        <w:t>管理。2017年</w:t>
      </w:r>
      <w:r>
        <w:rPr>
          <w:rFonts w:hint="eastAsia"/>
          <w:szCs w:val="32"/>
        </w:rPr>
        <w:t>湖南</w:t>
      </w:r>
      <w:r>
        <w:rPr>
          <w:szCs w:val="32"/>
        </w:rPr>
        <w:t>省财政厅会同</w:t>
      </w:r>
      <w:r>
        <w:rPr>
          <w:rFonts w:hint="eastAsia"/>
          <w:szCs w:val="32"/>
        </w:rPr>
        <w:t>湖南省</w:t>
      </w:r>
      <w:r>
        <w:rPr>
          <w:szCs w:val="32"/>
        </w:rPr>
        <w:t>粮食局根据新的情况要求，再次修订完善了《湖南省粮油千亿产业工程专项资金管理办法》，目前</w:t>
      </w:r>
      <w:r>
        <w:rPr>
          <w:rFonts w:hint="eastAsia"/>
          <w:szCs w:val="32"/>
        </w:rPr>
        <w:t>文件</w:t>
      </w:r>
      <w:r>
        <w:rPr>
          <w:szCs w:val="32"/>
        </w:rPr>
        <w:t>正在报批中。</w:t>
      </w:r>
    </w:p>
    <w:p>
      <w:pPr>
        <w:pStyle w:val="2"/>
        <w:numPr>
          <w:ilvl w:val="0"/>
          <w:numId w:val="1"/>
        </w:numPr>
        <w:ind w:firstLine="643"/>
      </w:pPr>
      <w:r>
        <w:t>项目组织实施情况</w:t>
      </w:r>
    </w:p>
    <w:p>
      <w:pPr>
        <w:pStyle w:val="3"/>
        <w:numPr>
          <w:ilvl w:val="0"/>
          <w:numId w:val="3"/>
        </w:numPr>
        <w:ind w:firstLine="643"/>
      </w:pPr>
      <w:r>
        <w:rPr>
          <w:rFonts w:hint="eastAsia"/>
        </w:rPr>
        <w:t>、</w:t>
      </w:r>
      <w:r>
        <w:t>项目组织情况</w:t>
      </w:r>
    </w:p>
    <w:p>
      <w:pPr>
        <w:ind w:firstLine="640"/>
      </w:pPr>
      <w:r>
        <w:rPr>
          <w:rFonts w:hint="eastAsia"/>
        </w:rPr>
        <w:t>为确保专项资金管理合规，提高专项资金分配透明度，</w:t>
      </w:r>
      <w:r>
        <w:rPr>
          <w:rFonts w:hint="eastAsia"/>
          <w:lang w:val="en-US" w:eastAsia="zh-CN"/>
        </w:rPr>
        <w:t>湖南</w:t>
      </w:r>
      <w:r>
        <w:rPr>
          <w:rFonts w:hint="eastAsia"/>
        </w:rPr>
        <w:t>省财政厅和湖南省粮食局严格按照规定程序分配专项资金，具体程序为：首先由项目单位申报，县市区粮食及财政部门初审，市州粮食及财政部门复审后联合报湖南省粮食局、</w:t>
      </w:r>
      <w:r>
        <w:rPr>
          <w:rFonts w:hint="eastAsia"/>
          <w:lang w:val="en-US" w:eastAsia="zh-CN"/>
        </w:rPr>
        <w:t>湖南</w:t>
      </w:r>
      <w:r>
        <w:rPr>
          <w:rFonts w:hint="eastAsia"/>
        </w:rPr>
        <w:t>省财政厅，湖南省粮食局会同</w:t>
      </w:r>
      <w:r>
        <w:rPr>
          <w:rFonts w:hint="eastAsia"/>
          <w:lang w:val="en-US" w:eastAsia="zh-CN"/>
        </w:rPr>
        <w:t>湖南</w:t>
      </w:r>
      <w:r>
        <w:rPr>
          <w:rFonts w:hint="eastAsia"/>
        </w:rPr>
        <w:t>省财政厅审定后，组织专家评审，评审结果在网上公示。对公示无异议的项目，由湖南省粮食局根据评审结果提出专项资金分配方案会商</w:t>
      </w:r>
      <w:r>
        <w:rPr>
          <w:rFonts w:hint="eastAsia"/>
          <w:lang w:val="en-US" w:eastAsia="zh-CN"/>
        </w:rPr>
        <w:t>湖南</w:t>
      </w:r>
      <w:r>
        <w:rPr>
          <w:rFonts w:hint="eastAsia"/>
        </w:rPr>
        <w:t>省财政厅，达成一致意见后，分别报经</w:t>
      </w:r>
      <w:r>
        <w:rPr>
          <w:rFonts w:hint="eastAsia"/>
          <w:lang w:val="en-US" w:eastAsia="zh-CN"/>
        </w:rPr>
        <w:t>厅（局）领导审定后通过</w:t>
      </w:r>
      <w:r>
        <w:rPr>
          <w:rFonts w:hint="eastAsia"/>
        </w:rPr>
        <w:t>，</w:t>
      </w:r>
      <w:r>
        <w:rPr>
          <w:rFonts w:hint="eastAsia"/>
          <w:lang w:val="en-US" w:eastAsia="zh-CN"/>
        </w:rPr>
        <w:t>湖南</w:t>
      </w:r>
      <w:r>
        <w:rPr>
          <w:rFonts w:hint="eastAsia"/>
        </w:rPr>
        <w:t>省财政厅在省人大批准预算后下达资金计划，并在网上公示。</w:t>
      </w:r>
    </w:p>
    <w:p>
      <w:pPr>
        <w:ind w:firstLine="640"/>
      </w:pPr>
      <w:r>
        <w:rPr>
          <w:rFonts w:hint="eastAsia"/>
        </w:rPr>
        <w:t>为确保项目安排的科学性和合理性，湖南省粮食局、湖南省财政厅在组织项目申报审核过程中，始终坚持公开、公平、公正的原则，严格按“单位申报、市州把关、专家评审、湖南省财政厅和湖南省粮食局联合审定，全程公示”的项目管理程序，确定了粮油千亿产业专项资金项目。</w:t>
      </w:r>
    </w:p>
    <w:p>
      <w:pPr>
        <w:ind w:firstLine="640"/>
      </w:pPr>
      <w:r>
        <w:rPr>
          <w:rFonts w:hint="eastAsia"/>
        </w:rPr>
        <w:t>对于贷款贴息项目，湖南省粮食局根据项目单位贷款合同、银行贷款到位凭证、银行签证利息清单核定，按中国人民银行全年平均基准利率计算贴息金额，再由湖南省财政厅对申报的贴息金额进行审核后下达资金计划。</w:t>
      </w:r>
    </w:p>
    <w:p>
      <w:pPr>
        <w:ind w:firstLine="640"/>
      </w:pPr>
      <w:r>
        <w:rPr>
          <w:rFonts w:hint="eastAsia"/>
        </w:rPr>
        <w:t>对补助项目，湖南省粮食局根据项目实际情况，合理审慎确定补助额度。专项资金计划下达后，湖南省粮食局要求各地加强资金监管，加强项目跟踪，严格把控项目质量管理。</w:t>
      </w:r>
    </w:p>
    <w:p>
      <w:pPr>
        <w:pStyle w:val="3"/>
        <w:ind w:firstLine="643"/>
      </w:pPr>
      <w:r>
        <w:t>（二）</w:t>
      </w:r>
      <w:r>
        <w:rPr>
          <w:rFonts w:hint="eastAsia"/>
        </w:rPr>
        <w:t>、</w:t>
      </w:r>
      <w:r>
        <w:t>项目管理情况</w:t>
      </w:r>
    </w:p>
    <w:p>
      <w:pPr>
        <w:ind w:firstLine="640"/>
      </w:pPr>
      <w:r>
        <w:t>根据《湖南省人民政府关于实施粮油深加工及物流千亿产业工程的意见》（湘政发〔2010〕33号）和</w:t>
      </w:r>
      <w:r>
        <w:rPr>
          <w:rFonts w:hint="eastAsia"/>
          <w:lang w:val="en-US" w:eastAsia="zh-CN"/>
        </w:rPr>
        <w:t>湖南</w:t>
      </w:r>
      <w:r>
        <w:t>省财政厅、湖南省粮食局《关于实施粮油千亿产业“五扶工程”的意见》《粮油千亿产业“五扶工程”入围企业评审标准及运行监测考核办法》（湘财建函[2014]29号）等有关文件精神，进一步加快湖南省粮食产业发展，促进企业转方式、调结构，真正做大做强粮食龙头企业，提升湖南粮食产业整体实力和核心竞争力，</w:t>
      </w:r>
      <w:r>
        <w:rPr>
          <w:rFonts w:hint="eastAsia"/>
          <w:lang w:val="en-US" w:eastAsia="zh-CN"/>
        </w:rPr>
        <w:t>湖南省财政厅和</w:t>
      </w:r>
      <w:r>
        <w:t>湖南省粮食局制定了《2015年粮油千亿产业项目专项资金申报指南</w:t>
      </w:r>
      <w:r>
        <w:rPr>
          <w:u w:val="none"/>
        </w:rPr>
        <w:t>》</w:t>
      </w:r>
      <w:r>
        <w:t>《2016年粮油千亿产业项目专项资金申报指南</w:t>
      </w:r>
      <w:r>
        <w:rPr>
          <w:u w:val="none"/>
        </w:rPr>
        <w:t>》</w:t>
      </w:r>
      <w:r>
        <w:t>《</w:t>
      </w:r>
      <w:r>
        <w:rPr>
          <w:rFonts w:hint="eastAsia"/>
        </w:rPr>
        <w:t>2017年</w:t>
      </w:r>
      <w:r>
        <w:t>粮油千亿产业项目</w:t>
      </w:r>
      <w:r>
        <w:rPr>
          <w:rFonts w:hint="eastAsia"/>
          <w:lang w:val="en-US" w:eastAsia="zh-CN"/>
        </w:rPr>
        <w:t>专项资金</w:t>
      </w:r>
      <w:r>
        <w:t>申报指南》，严格专项项目申报审批流程管理，建立项目库，严格按规程审定项目申报单位申报资料，并要求项目实施单位建立健全单位内部控制制度，完善单位内部财务管理制度。项目完成后，项目单位需提交验收报告，各级粮食局及商务粮食局组织对项目进行考核验收。项目从立项、审批、资金分配到验收流程管理科学规范。</w:t>
      </w:r>
    </w:p>
    <w:p>
      <w:pPr>
        <w:pStyle w:val="2"/>
        <w:numPr>
          <w:ilvl w:val="0"/>
          <w:numId w:val="1"/>
        </w:numPr>
        <w:ind w:firstLine="643"/>
      </w:pPr>
      <w:r>
        <w:t>项目的产出成果及效益情况分析</w:t>
      </w:r>
    </w:p>
    <w:p>
      <w:pPr>
        <w:ind w:firstLine="643"/>
      </w:pPr>
      <w:r>
        <w:rPr>
          <w:rStyle w:val="100"/>
          <w:rFonts w:hint="eastAsia"/>
        </w:rPr>
        <w:t>（一）、年度产值数量指标超额完成绩效目标，促进了我省从粮油生产大省向粮油经济强省转变。</w:t>
      </w:r>
      <w:r>
        <w:t>通过实施粮油千亿产业工程，全面提升了粮油产业对经济总值的贡献水平，为推动湖南省从粮油生产大省向粮油经济强省转变做出了贡献</w:t>
      </w:r>
      <w:r>
        <w:rPr>
          <w:u w:val="none"/>
        </w:rPr>
        <w:t>，</w:t>
      </w:r>
      <w:r>
        <w:rPr>
          <w:u w:val="none" w:color="auto"/>
        </w:rPr>
        <w:t>使种植</w:t>
      </w:r>
      <w:r>
        <w:t>粮油农民增加了收入、满足人民群众对高品质粮油产品日益增长的消费需求、助推乡村振兴计划发挥了积极的作用。2015年-2017年粮油千亿产业专项的实施，有力地推动了湖南省粮油产业转型升级、提质增效和创新发展。</w:t>
      </w:r>
    </w:p>
    <w:p>
      <w:pPr>
        <w:ind w:firstLine="640"/>
      </w:pPr>
      <w:r>
        <w:t>2015年“粮油千亿产业”专项资金绩效目标为湖南省实现粮油加工业总产值1200亿元，实际完成1254亿元，同比增加64.7亿元，增长5.4%；2016年度“粮油千亿产业”专项资金绩效目标为总产值保持增长，全年全省实现粮油加工业总产值12</w:t>
      </w:r>
      <w:r>
        <w:rPr>
          <w:rFonts w:hint="eastAsia"/>
          <w:lang w:val="en-US" w:eastAsia="zh-CN"/>
        </w:rPr>
        <w:t>90</w:t>
      </w:r>
      <w:r>
        <w:t>亿元，同比增加36亿元，增长2.9%，实现销售收入1240亿元，同比增长40亿元，增长3.3%，实现利润43亿元，同比增加2.9亿元，增长6.7%。2017“粮油千亿产业”专项资金绩效目标为全省实现粮油工业总产值1300亿元，实际完成1362.9亿元，同比增加89亿</w:t>
      </w:r>
      <w:r>
        <w:rPr>
          <w:u w:val="none"/>
        </w:rPr>
        <w:t>元</w:t>
      </w:r>
      <w:r>
        <w:rPr>
          <w:u w:val="none" w:color="auto"/>
        </w:rPr>
        <w:t>,</w:t>
      </w:r>
      <w:r>
        <w:t>增长6.9%。2017年实现销售收入1317.8亿元，同比增加107.3亿元，增长8.7%，全省粮油加工业实现利润总额48.8亿元，同比增加5.7亿</w:t>
      </w:r>
      <w:r>
        <w:rPr>
          <w:u w:val="none"/>
        </w:rPr>
        <w:t>元</w:t>
      </w:r>
      <w:r>
        <w:rPr>
          <w:u w:val="none" w:color="auto"/>
        </w:rPr>
        <w:t>,</w:t>
      </w:r>
      <w:r>
        <w:t>增长13.2%，撬动企业投资68.2亿元。</w:t>
      </w:r>
    </w:p>
    <w:p>
      <w:pPr>
        <w:ind w:firstLine="640"/>
      </w:pPr>
      <w:r>
        <w:t>2017年获得项目资金支持单位实现粮油工业总产值384.9亿元，比上年增加48.1亿元，增长14.2%；实现销售收入400.4亿元，同比增加34.5亿元，增长9.7%；实现利润总额16.4亿元，同比增加3.1亿元，增长2.3%，可见专项资金的引导和带动效应明显。</w:t>
      </w:r>
    </w:p>
    <w:p>
      <w:pPr>
        <w:spacing w:before="156" w:beforeLines="50" w:line="620" w:lineRule="exact"/>
        <w:ind w:firstLine="643"/>
        <w:outlineLvl w:val="0"/>
        <w:rPr>
          <w:szCs w:val="32"/>
        </w:rPr>
      </w:pPr>
      <w:r>
        <w:rPr>
          <w:rStyle w:val="100"/>
          <w:rFonts w:hint="eastAsia"/>
        </w:rPr>
        <w:t>（二）、龙头企业实力不断增强，行业引领作用更加明显。</w:t>
      </w:r>
      <w:r>
        <w:rPr>
          <w:szCs w:val="32"/>
        </w:rPr>
        <w:t>粮油千亿产业工程对纳入“五扶工程”的企业，从并购重组、项目建设、科技创新、市场拓展、品牌建设、市场融资、人才培养、产销对接等8个方面重点扶持，帮助和引导这些龙头企业通过资产重组、收购控股组建大型企业或企业集团，鼓励企业提高自主创新能力，引进先进技术、生产工艺和管理经验，发展粮油精深加工、推进主食产业化等，全面带动湖南省粮油产业发展。到2017年底，湖南省粮食行业拥有国家级农业产业化龙头企业18家、省级龙头企业141家，有中国驰名商标47个、绿色食品340个、有机食品67个，湖南省粮油类本土上市公司已达9家。有湖南粮食集团、道道全油脂、贵太太茶油等11家龙头企业进入全国粮油加工前10强。湖南还创造了不产小麦，但挂面产量占到全国七分之一的奇迹。以湖南粮食集团、道道全油脂、克明面业为代表的一批优势粮油企业快速成长，成为国内行业翘楚。道道全油脂2017年3月在深交所挂牌上市，成为中国菜籽油第一股，以菜籽油系列包装油产品为经营核心，加速由区域品牌向全国性品牌迈进。全年营业收入33亿元，同比增长22.7%。粮油千亿产业</w:t>
      </w:r>
      <w:r>
        <w:rPr>
          <w:rFonts w:hint="eastAsia"/>
          <w:szCs w:val="32"/>
          <w:lang w:val="en-US" w:eastAsia="zh-CN"/>
        </w:rPr>
        <w:t>项目</w:t>
      </w:r>
      <w:r>
        <w:rPr>
          <w:szCs w:val="32"/>
        </w:rPr>
        <w:t>每年用一个亿的资金，撬动</w:t>
      </w:r>
      <w:r>
        <w:rPr>
          <w:rFonts w:hint="eastAsia"/>
          <w:szCs w:val="32"/>
          <w:lang w:val="en-US" w:eastAsia="zh-CN"/>
        </w:rPr>
        <w:t>了</w:t>
      </w:r>
      <w:r>
        <w:rPr>
          <w:szCs w:val="32"/>
        </w:rPr>
        <w:t>粮油产业取得巨大的发展。</w:t>
      </w:r>
    </w:p>
    <w:p>
      <w:pPr>
        <w:ind w:firstLine="643"/>
      </w:pPr>
      <w:r>
        <w:rPr>
          <w:rStyle w:val="100"/>
          <w:rFonts w:hint="eastAsia"/>
        </w:rPr>
        <w:t>（三）、鼓励科技创新，推动产业发展。</w:t>
      </w:r>
      <w:r>
        <w:t>在政策、项目和资金上积极支持粮油企业研发新技术、开发新产品，不断提高核心竞争力和盈利能力，鼓励粮油加工领域的新工艺、新技术、新产品、新业态开发，把发展动能更多地放在依靠科技创新上来，取得了积极成效，催生了一批粮油深加工与副产品循环利用的硕果。在2017年“千亿产业”项目中，共支持科技类项目7个，安排资金620</w:t>
      </w:r>
      <w:r>
        <w:rPr>
          <w:rFonts w:hint="eastAsia"/>
        </w:rPr>
        <w:t>.00</w:t>
      </w:r>
      <w:r>
        <w:t>万元，推动企业自主掌握核心技术，提升粮油质量。如2017年粮油千亿产业项目支持单位湖南汇升生物科技有限公司的大米蛋白粉（肽）关键技术研发及产业化项目，项目期间已申请9项专利，其中5项实用新型专利获授权，另外4项发明专利已进入实审阶段。粮油千亿产业专项资金支持的湖南粮食集团万华板业项目，用稻壳、秸秆等农业废弃物生产零甲醛的禾香板，就是一个保护生态环境、促进资源全效利用、科技含量高、有巨大潜力的粮油循环经济项目。</w:t>
      </w:r>
    </w:p>
    <w:p>
      <w:pPr>
        <w:spacing w:before="156" w:beforeLines="50" w:line="620" w:lineRule="exact"/>
        <w:ind w:firstLine="643"/>
        <w:outlineLvl w:val="0"/>
        <w:rPr>
          <w:szCs w:val="32"/>
        </w:rPr>
      </w:pPr>
      <w:r>
        <w:rPr>
          <w:rStyle w:val="100"/>
          <w:rFonts w:hint="eastAsia"/>
        </w:rPr>
        <w:t>（四）、加大品牌建设力度，提高湖南粮油产品知名度和市场占有率。</w:t>
      </w:r>
      <w:r>
        <w:rPr>
          <w:szCs w:val="32"/>
        </w:rPr>
        <w:t>通过展示展销、媒体宣传、名品目录发布、“中国好粮油”产品申报等多种形式，宣传推介湖南名优特粮油产品，助推品牌建设。成功举办了中国国际粮油第十五届产品及设备技术展示交易会暨湖南名优特新粮油产品及设备技术展示展销会。中国国际粮油产品及设备技术展示交易会首次落户湖南，湖南名优特新粮油产品及设备技术展示展销会在展会上精彩亮相。湖南展区面积达6000平方米，全省14个市州及省直单位的182家优秀粮油加工龙头企业集中亮相，展示了湖南粮油的好产品、好品牌和好形象，3天共接待3万多人次，签约项目105个，签约米、面、食用植物油脂、杂粮食品等贸易合同17.5万吨、粮机32台（套），交易总额达15.3亿元。项目的实施为促进湘米湘油拓展省外市场、唱响“湘”字号粮油品牌发挥了积极作用。</w:t>
      </w:r>
    </w:p>
    <w:p>
      <w:pPr>
        <w:spacing w:before="156" w:beforeLines="50" w:line="620" w:lineRule="exact"/>
        <w:ind w:firstLine="643"/>
        <w:outlineLvl w:val="0"/>
        <w:rPr>
          <w:szCs w:val="32"/>
        </w:rPr>
      </w:pPr>
      <w:r>
        <w:rPr>
          <w:rStyle w:val="100"/>
          <w:rFonts w:hint="eastAsia"/>
        </w:rPr>
        <w:t>（五）、推动一二三产业融合，促进产业转型升级。</w:t>
      </w:r>
      <w:r>
        <w:rPr>
          <w:szCs w:val="32"/>
        </w:rPr>
        <w:t>着力构建一二三产业交叉融合的现代粮油产业体系，推动产购储加销一体化综合经营，打通并延伸产业链条，创造新的业态，满足新的需求。2017年底，湖南省粮油加工龙头企业建立优质粮油基地1756.3万亩，优质优价，带动农民增收45亿多元；在千亿产业专项资金的引导下，企业规模扩大，实力增强，在获得经济效益的同时，创造了良好的社会效益，既帮助农民增加了收入，带动农村的发展，又促进了社会就业，解决了离土不离乡的问题，推动了农村的繁荣。如金泰米业全厂100多名职工，几乎全部安排下岗职工。</w:t>
      </w:r>
    </w:p>
    <w:p>
      <w:pPr>
        <w:pStyle w:val="2"/>
        <w:numPr>
          <w:ilvl w:val="0"/>
          <w:numId w:val="1"/>
        </w:numPr>
        <w:ind w:firstLine="643"/>
      </w:pPr>
      <w:r>
        <w:t>存在的问题</w:t>
      </w:r>
    </w:p>
    <w:p>
      <w:pPr>
        <w:pStyle w:val="3"/>
        <w:ind w:firstLine="643"/>
      </w:pPr>
      <w:r>
        <w:t>（一）</w:t>
      </w:r>
      <w:r>
        <w:rPr>
          <w:rFonts w:hint="eastAsia"/>
        </w:rPr>
        <w:t>、</w:t>
      </w:r>
      <w:r>
        <w:t>项目预算阶段</w:t>
      </w:r>
    </w:p>
    <w:p>
      <w:pPr>
        <w:pStyle w:val="4"/>
        <w:ind w:firstLine="643"/>
        <w:rPr>
          <w:rFonts w:ascii="仿宋_GB2312" w:hAnsi="仿宋_GB2312" w:cs="仿宋_GB2312"/>
        </w:rPr>
      </w:pPr>
      <w:r>
        <w:rPr>
          <w:rFonts w:hint="eastAsia" w:ascii="仿宋_GB2312" w:hAnsi="仿宋_GB2312" w:cs="仿宋_GB2312"/>
        </w:rPr>
        <w:t>1、项目资金分配不集中、离散度较高，存在资金散小现象。</w:t>
      </w:r>
    </w:p>
    <w:p>
      <w:pPr>
        <w:ind w:firstLine="640"/>
      </w:pPr>
      <w:r>
        <w:rPr>
          <w:rFonts w:hint="eastAsia"/>
        </w:rPr>
        <w:t>2015年粮油千亿产业工程专项项目立项114个，支持金额在70万（含70万）以下的项目个数64个，占总项目个数的56.14%，70万（含70万）以下的项目金额3186.00万元，占总金额的31.86%；2016年粮油千亿产业工程专项项目立项107个，支持金额在70万（含70万）以下的项目个数62个，占总项目个数的57.94%，支持金额在70万（含70万）以下的项目金额2614.00万元，占总金额的30.85%；2017年粮油千亿产业工程专项项目立项182个，支持金额在70万（含70万）以下的项目个数146个，占总项目个数的80.22%，支持金额在70万（含70万）以下的项目金额5650.00万元，占总金额的52.99</w:t>
      </w:r>
      <w:r>
        <w:rPr>
          <w:rFonts w:hint="eastAsia"/>
          <w:u w:val="none"/>
        </w:rPr>
        <w:t>%</w:t>
      </w:r>
      <w:r>
        <w:rPr>
          <w:rFonts w:hint="eastAsia"/>
          <w:u w:val="none" w:color="auto"/>
        </w:rPr>
        <w:t>,</w:t>
      </w:r>
      <w:r>
        <w:rPr>
          <w:rFonts w:hint="eastAsia"/>
        </w:rPr>
        <w:t>具体资金分配区间明细见图2：</w:t>
      </w:r>
    </w:p>
    <w:p>
      <w:pPr>
        <w:ind w:firstLine="640"/>
      </w:pPr>
    </w:p>
    <w:p>
      <w:pPr>
        <w:spacing w:line="240" w:lineRule="auto"/>
        <w:ind w:firstLine="640"/>
        <w:rPr>
          <w:bCs/>
          <w:szCs w:val="32"/>
        </w:rPr>
      </w:pPr>
      <w:r>
        <w:drawing>
          <wp:inline distT="0" distB="0" distL="114300" distR="114300">
            <wp:extent cx="4962525" cy="2752725"/>
            <wp:effectExtent l="4445" t="4445" r="5080"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420"/>
        <w:jc w:val="center"/>
        <w:rPr>
          <w:rFonts w:ascii="黑体" w:hAnsi="黑体" w:eastAsia="黑体" w:cs="黑体"/>
          <w:sz w:val="21"/>
          <w:szCs w:val="21"/>
        </w:rPr>
      </w:pPr>
      <w:r>
        <w:rPr>
          <w:rFonts w:hint="eastAsia" w:ascii="黑体" w:hAnsi="黑体" w:eastAsia="黑体" w:cs="黑体"/>
          <w:sz w:val="21"/>
          <w:szCs w:val="21"/>
        </w:rPr>
        <w:t>图2  2015-2017年粮油千亿产业工程专项金额分配区间分类折线图</w:t>
      </w:r>
    </w:p>
    <w:p>
      <w:pPr>
        <w:pStyle w:val="3"/>
        <w:ind w:firstLine="643"/>
      </w:pPr>
      <w:r>
        <w:t>（二）</w:t>
      </w:r>
      <w:r>
        <w:rPr>
          <w:rFonts w:hint="eastAsia"/>
        </w:rPr>
        <w:t>、</w:t>
      </w:r>
      <w:r>
        <w:t>项目立项阶段</w:t>
      </w:r>
    </w:p>
    <w:p>
      <w:pPr>
        <w:spacing w:line="620" w:lineRule="exact"/>
        <w:ind w:firstLine="643"/>
        <w:outlineLvl w:val="0"/>
        <w:rPr>
          <w:rStyle w:val="101"/>
          <w:rFonts w:ascii="仿宋_GB2312" w:hAnsi="仿宋_GB2312" w:cs="仿宋_GB2312"/>
        </w:rPr>
      </w:pPr>
      <w:r>
        <w:rPr>
          <w:rStyle w:val="101"/>
          <w:rFonts w:hint="eastAsia" w:ascii="仿宋_GB2312" w:hAnsi="仿宋_GB2312" w:cs="仿宋_GB2312"/>
        </w:rPr>
        <w:t>1、个别项目承担单位未按照规定和要求进行申报，无项目申报材料，仅一个申请报告，与申报指南要求不符。</w:t>
      </w:r>
    </w:p>
    <w:p>
      <w:pPr>
        <w:spacing w:line="620" w:lineRule="exact"/>
        <w:ind w:firstLine="640"/>
        <w:outlineLvl w:val="0"/>
        <w:rPr>
          <w:rFonts w:hint="eastAsia"/>
          <w:szCs w:val="32"/>
        </w:rPr>
      </w:pPr>
      <w:r>
        <w:rPr>
          <w:szCs w:val="32"/>
        </w:rPr>
        <w:t>如：湖南贵太太茶油科技股份有限公司2015年茶油基地、品牌建设和市场拓展项目专项资金100万元，专项资金用于单位“新三板”上市前期各项费用支出，主要包括审计费、律师费、广告费等，此项目无项目申报资料，仅一个资金申请文件申报专项资金。</w:t>
      </w:r>
    </w:p>
    <w:p>
      <w:pPr>
        <w:spacing w:line="620" w:lineRule="exact"/>
        <w:ind w:firstLine="640"/>
        <w:outlineLvl w:val="0"/>
        <w:rPr>
          <w:szCs w:val="32"/>
        </w:rPr>
      </w:pPr>
      <w:r>
        <w:t>以上不符合《湖南省粮油千亿产业工程专项资金管理办法》“第十二条 申报专项资金的项目单位，应当提供项目申请报告、单位资质证明、项目实施方案及可行性论证报告。”等规定。</w:t>
      </w:r>
    </w:p>
    <w:p>
      <w:pPr>
        <w:pStyle w:val="4"/>
        <w:ind w:firstLine="643"/>
        <w:rPr>
          <w:szCs w:val="32"/>
        </w:rPr>
      </w:pPr>
      <w:r>
        <w:rPr>
          <w:rFonts w:hint="eastAsia" w:ascii="仿宋_GB2312" w:hAnsi="仿宋_GB2312" w:cs="仿宋_GB2312"/>
          <w:lang w:val="en-US" w:eastAsia="zh-CN"/>
        </w:rPr>
        <w:t>2</w:t>
      </w:r>
      <w:r>
        <w:rPr>
          <w:rFonts w:hint="eastAsia" w:ascii="仿宋_GB2312" w:hAnsi="仿宋_GB2312" w:cs="仿宋_GB2312"/>
        </w:rPr>
        <w:t>、个别项目承担单位亏损严重，依赖政府补助维持生存。</w:t>
      </w:r>
    </w:p>
    <w:p>
      <w:pPr>
        <w:ind w:firstLine="640"/>
        <w:rPr>
          <w:rFonts w:hint="eastAsia"/>
        </w:rPr>
      </w:pPr>
      <w:r>
        <w:t>经查看各单位申报材料，发现个别项目申报单位亏损严重</w:t>
      </w:r>
      <w:r>
        <w:rPr>
          <w:u w:val="none"/>
        </w:rPr>
        <w:t>，</w:t>
      </w:r>
      <w:r>
        <w:rPr>
          <w:u w:val="none" w:color="auto"/>
        </w:rPr>
        <w:t>难以以</w:t>
      </w:r>
      <w:r>
        <w:t>自身力量生存，完全依靠政府补助维持生存。如：祁东县星源米业有限公司2017年粮食流通基础设施建设项目申报资料2015年度财务报表营业利润为-3,427,904.29元，储备粮与仓储量补贴收入4,055,055.58元；2016年度财务报表营业利润为-4,546,480.70元，储备粮与仓储量补贴收入5,238,463.40元。衡南县军粮供应管理站2017年重要粮食应急供应能力建设项目申报资料中2016年财务报表营业利润-4,705,048.69，储备粮与仓储量补贴收入4,719,268.98元。</w:t>
      </w:r>
    </w:p>
    <w:p>
      <w:pPr>
        <w:spacing w:line="620" w:lineRule="exact"/>
        <w:ind w:firstLine="640"/>
        <w:outlineLvl w:val="0"/>
      </w:pPr>
      <w:r>
        <w:t>以上不符合《湖南省粮油千亿产业工程专项资金管理办法》“</w:t>
      </w:r>
      <w:r>
        <w:rPr>
          <w:rFonts w:hint="eastAsia"/>
        </w:rPr>
        <w:t>（一）申报企业（项目）须符合的条</w:t>
      </w:r>
      <w:r>
        <w:rPr>
          <w:rFonts w:hint="eastAsia"/>
          <w:u w:val="none"/>
        </w:rPr>
        <w:t>件</w:t>
      </w:r>
      <w:r>
        <w:rPr>
          <w:rFonts w:hint="eastAsia"/>
          <w:u w:val="none" w:color="auto"/>
        </w:rPr>
        <w:t>:</w:t>
      </w:r>
      <w:r>
        <w:rPr>
          <w:rFonts w:hint="eastAsia"/>
        </w:rPr>
        <w:t>1、粮油精深加工及粮食转化、副产品循环利用项目。市级及以上龙头企业；具备一定规模的粮食年综合加工能力；粮油精深加工、粮食转化循环利用项目在全省处于领先地位，能起到示范引导作用；技术改造项目在提升装备水平、提高产品质量、节能降耗等方面有新的创新和突破；中小企业特色产业项目在粮油特色产品生产与加工方面有新的创新和突破；申报企业资产优良、财务规范、经营良好。2、粮食物流设施及粮食产业园区建设项目。粮食物流中心设施项目：符合区域性粮食物流中心、节点及骨干企业条件的建设项目；优先支持国有企业。粮食产业园区建设项目：具备一定的规模（产业规模、用地规模），产业集中度高；当地政府对园区建设提供用地、用电、资金等方面政策支持。3、其他符合我省粮油产业发展的项目。</w:t>
      </w:r>
      <w:r>
        <w:t>”等规定。</w:t>
      </w:r>
    </w:p>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2"/>
      </w:pPr>
      <w:r>
        <w:rPr>
          <w:rFonts w:hint="eastAsia"/>
          <w:lang w:val="en-US" w:eastAsia="zh-CN"/>
        </w:rPr>
        <w:t>3、</w:t>
      </w:r>
      <w:r>
        <w:rPr>
          <w:rFonts w:hint="eastAsia"/>
        </w:rPr>
        <w:t>对项目补贴单位资质审核不严，与粮油千亿产业项目申报内容不符，个别单位不符合申报粮油加工企业。</w:t>
      </w:r>
    </w:p>
    <w:p>
      <w:pPr>
        <w:spacing w:line="620" w:lineRule="exact"/>
        <w:ind w:firstLine="640"/>
        <w:outlineLvl w:val="0"/>
        <w:rPr>
          <w:rFonts w:hint="eastAsia"/>
        </w:rPr>
      </w:pPr>
      <w:r>
        <w:t>如：湖南湘窖酒业有限公司2017年度产销衔接、展示展销及品牌建设项目专项资金40万元，湖南湘窖酒业有限公司经营范围为：制造销售：白酒、饮料、配制酒（以上经营范围涉及许可项目的，取得许可证后生产经营）。</w:t>
      </w:r>
    </w:p>
    <w:p>
      <w:pPr>
        <w:spacing w:line="620" w:lineRule="exact"/>
        <w:ind w:firstLine="640"/>
        <w:outlineLvl w:val="0"/>
      </w:pPr>
      <w:r>
        <w:t>以上不符合《湖南省粮油千亿产业工程专项资金管理办法》“</w:t>
      </w:r>
      <w:r>
        <w:rPr>
          <w:rFonts w:hint="eastAsia"/>
        </w:rPr>
        <w:t>第五条 专项资金支持范围：（一）粮食流通基础设施建设。包括现代粮食仓库建设（改造）、区域性粮食批发市场、粮食物流园区（中心）建设（改造）、粮</w:t>
      </w:r>
      <w:r>
        <w:rPr>
          <w:rFonts w:hint="eastAsia"/>
          <w:u w:val="none"/>
        </w:rPr>
        <w:t>食</w:t>
      </w:r>
      <w:r>
        <w:rPr>
          <w:rFonts w:hint="eastAsia"/>
          <w:u w:val="none" w:color="auto"/>
        </w:rPr>
        <w:t>“</w:t>
      </w:r>
      <w:r>
        <w:rPr>
          <w:rFonts w:hint="eastAsia"/>
        </w:rPr>
        <w:t>四</w:t>
      </w:r>
      <w:r>
        <w:rPr>
          <w:rFonts w:hint="eastAsia"/>
          <w:u w:val="none"/>
        </w:rPr>
        <w:t>散</w:t>
      </w:r>
      <w:r>
        <w:rPr>
          <w:rFonts w:hint="eastAsia"/>
          <w:u w:val="none" w:color="auto"/>
        </w:rPr>
        <w:t>”</w:t>
      </w:r>
      <w:r>
        <w:rPr>
          <w:rFonts w:hint="eastAsia"/>
        </w:rPr>
        <w:t>化设施建设（改造）、粮食信息及科技平台系统项目、质量检测系统项目等粮食流通基础设施与物流体系建设项目。（二）粮油精深加工及副产品循环利用项目。包括对农民增收带动作用强的重点粮食龙头企业产业化项目、龙头企业深加工及副产品循环利用项目、粮食及主食产业化项目采用新技术、新工艺、新设备进行粮油加工、粮机制造的技术改造项目、中小企业特色产业项目等。（三）推进粮食企业重大资产重组及品牌整合等项目。引导、扶持企业通过股权、资产收购合并等形式进行产业化重组，培育具有规模化优势的企业集团和知名品牌。（四）符合产业发展方向，具备发展潜力的创新型粮油加工企业。</w:t>
      </w:r>
      <w:r>
        <w:t>”等规定。</w:t>
      </w:r>
    </w:p>
    <w:p>
      <w:pPr>
        <w:pStyle w:val="4"/>
        <w:ind w:firstLine="643"/>
        <w:rPr>
          <w:rFonts w:ascii="仿宋_GB2312" w:hAnsi="仿宋_GB2312" w:cs="仿宋_GB2312"/>
        </w:rPr>
      </w:pPr>
      <w:r>
        <w:rPr>
          <w:rFonts w:hint="eastAsia" w:ascii="仿宋_GB2312" w:hAnsi="仿宋_GB2312" w:cs="仿宋_GB2312"/>
          <w:lang w:val="en-US" w:eastAsia="zh-CN"/>
        </w:rPr>
        <w:t>4</w:t>
      </w:r>
      <w:r>
        <w:rPr>
          <w:rFonts w:hint="eastAsia" w:ascii="仿宋_GB2312" w:hAnsi="仿宋_GB2312" w:cs="仿宋_GB2312"/>
        </w:rPr>
        <w:t>、个别项目预期目标及任务指标设置不够合理。</w:t>
      </w:r>
    </w:p>
    <w:p>
      <w:pPr>
        <w:ind w:firstLine="640"/>
      </w:pPr>
      <w:r>
        <w:t>部分项目单位对预期目标及任务指标设置不够合理，设置的目标在当前形势下很难实现。如：湖南省七品信息科技有限公司2015年度电子商务新型服务业态项目计划完工项目时间为2016年，实际完成时间是2017年度，该项目预期粮油销售超亿元，实际销售三千万元，实际完成率只有30%，明显低于预期目标。湖南浩天米业有限公司2016年“五扶工程”项目申报完工时间为2017年9月，该项目截至现场检查日有机肥加工车间尚未全部完工，预计2018年9月才完工。湖南金霞放心粮油连锁有限公司2016年放心粮油权产业链项目2016年度较上年度亏损状态有所好转，但2016年度仍处于亏损状态</w:t>
      </w:r>
      <w:r>
        <w:rPr>
          <w:rFonts w:hint="eastAsia"/>
        </w:rPr>
        <w:t>。</w:t>
      </w:r>
    </w:p>
    <w:p>
      <w:pPr>
        <w:pStyle w:val="3"/>
        <w:ind w:firstLine="643"/>
      </w:pPr>
      <w:r>
        <w:t>（三）</w:t>
      </w:r>
      <w:r>
        <w:rPr>
          <w:rFonts w:hint="eastAsia"/>
        </w:rPr>
        <w:t>、</w:t>
      </w:r>
      <w:r>
        <w:t>项目执行阶段</w:t>
      </w:r>
    </w:p>
    <w:p>
      <w:pPr>
        <w:pStyle w:val="4"/>
        <w:numPr>
          <w:ilvl w:val="0"/>
          <w:numId w:val="4"/>
        </w:numPr>
        <w:ind w:firstLine="643"/>
      </w:pPr>
      <w:r>
        <w:rPr>
          <w:rFonts w:hint="eastAsia"/>
        </w:rPr>
        <w:t>个别县市财政资</w:t>
      </w:r>
      <w:r>
        <w:rPr>
          <w:rFonts w:hint="eastAsia"/>
          <w:u w:val="none"/>
        </w:rPr>
        <w:t>金</w:t>
      </w:r>
      <w:r>
        <w:rPr>
          <w:rFonts w:hint="eastAsia"/>
          <w:u w:val="none" w:color="800080"/>
          <w:lang w:eastAsia="zh-CN"/>
        </w:rPr>
        <w:t>拨付</w:t>
      </w:r>
      <w:r>
        <w:rPr>
          <w:rFonts w:hint="eastAsia"/>
        </w:rPr>
        <w:t>滞后</w:t>
      </w:r>
      <w:r>
        <w:t>，使用率不高。</w:t>
      </w:r>
    </w:p>
    <w:p>
      <w:pPr>
        <w:ind w:firstLine="640"/>
      </w:pPr>
      <w:r>
        <w:t>个别县市财政专项资金未一次性拨付到位，分批进行拨付。如：湖南汇升生物科技有限公司的大米蛋白粉（肽）关键技术研发及产业化项目，专项资金30</w:t>
      </w:r>
      <w:r>
        <w:rPr>
          <w:rFonts w:hint="eastAsia"/>
        </w:rPr>
        <w:t>.00</w:t>
      </w:r>
      <w:r>
        <w:t>万元，指标文时间为2017年2月28日，实际资金分两批下达至企业，2017年4月18日到账25</w:t>
      </w:r>
      <w:r>
        <w:rPr>
          <w:rFonts w:hint="eastAsia"/>
        </w:rPr>
        <w:t>.00</w:t>
      </w:r>
      <w:r>
        <w:t>万元，2017年12月08日到账5</w:t>
      </w:r>
      <w:r>
        <w:rPr>
          <w:rFonts w:hint="eastAsia"/>
        </w:rPr>
        <w:t>.00</w:t>
      </w:r>
      <w:r>
        <w:t>万元。宁乡县花明粮油食品有限公司2015年特色县城经济重点支持县粮油项目专项资金110</w:t>
      </w:r>
      <w:r>
        <w:rPr>
          <w:rFonts w:hint="eastAsia"/>
        </w:rPr>
        <w:t>.00</w:t>
      </w:r>
      <w:r>
        <w:t>万元分两次到账，2016年2月2日到账25.00万元，2016年7月8日与县财政补助合计到账973,500.00元。</w:t>
      </w:r>
    </w:p>
    <w:p>
      <w:pPr>
        <w:pStyle w:val="4"/>
        <w:numPr>
          <w:ilvl w:val="0"/>
          <w:numId w:val="4"/>
        </w:numPr>
        <w:ind w:firstLine="643"/>
      </w:pPr>
      <w:r>
        <w:t>部分项目单位</w:t>
      </w:r>
      <w:r>
        <w:rPr>
          <w:rFonts w:hint="eastAsia"/>
        </w:rPr>
        <w:t>财务力量薄弱，收到项目专项资金直接计入营业外收入。</w:t>
      </w:r>
    </w:p>
    <w:p>
      <w:pPr>
        <w:ind w:firstLine="640"/>
      </w:pPr>
      <w:r>
        <w:t>现场查看项目单位财务凭证，发现部分项目单位财务力量薄弱，部分民营企业收到专项项目资金，直接计入营业外收入，不符合专项资金管理办法。如：常德市鼎城区军粮粮食购销有限公司2017年重要粮食应急供应能力建设项目专项资金15</w:t>
      </w:r>
      <w:r>
        <w:rPr>
          <w:rFonts w:hint="eastAsia"/>
        </w:rPr>
        <w:t>.00</w:t>
      </w:r>
      <w:r>
        <w:t>万元直接计入营业外收入；湖南金珠米业有限公司2016年专项资金60</w:t>
      </w:r>
      <w:r>
        <w:rPr>
          <w:rFonts w:hint="eastAsia"/>
        </w:rPr>
        <w:t>.00</w:t>
      </w:r>
      <w:r>
        <w:t>万元直接计入营业外收入-补贴收入。</w:t>
      </w:r>
    </w:p>
    <w:p>
      <w:pPr>
        <w:ind w:firstLine="640"/>
      </w:pPr>
      <w:r>
        <w:t>以上不符合《专项资金管理办法》“专项资金实行专人管理、专户储存、专账核算、专项使用” 的相关规定。”等规定。</w:t>
      </w:r>
    </w:p>
    <w:p>
      <w:pPr>
        <w:pStyle w:val="4"/>
        <w:numPr>
          <w:ilvl w:val="0"/>
          <w:numId w:val="4"/>
        </w:numPr>
        <w:ind w:firstLine="643"/>
      </w:pPr>
      <w:r>
        <w:t>部分项目单位内控制度不健全</w:t>
      </w:r>
      <w:r>
        <w:rPr>
          <w:rFonts w:hint="eastAsia"/>
        </w:rPr>
        <w:t>，</w:t>
      </w:r>
      <w:r>
        <w:t>未进行专项核算。</w:t>
      </w:r>
    </w:p>
    <w:p>
      <w:pPr>
        <w:ind w:firstLine="640"/>
      </w:pPr>
      <w:r>
        <w:t>从现场抽查情况看，部分项目单位未做到在财务系统中对专项资金的使用进行专项核算，偏向于采用台账归集专项经费支出，费用归集随意性大。如：湖南省粮油科学研究设计院粮油产业科技、人才与质检支撑项目于2016年9月18日收到财政专项资金150</w:t>
      </w:r>
      <w:r>
        <w:rPr>
          <w:rFonts w:hint="eastAsia"/>
        </w:rPr>
        <w:t>.00</w:t>
      </w:r>
      <w:r>
        <w:t>万计入专项应付款科目，于2017年3月31日进行调账，一笔调入在建工程-秀峰新址基本建设工程，无法真实反映专项资金具体的使用情况，2015年专项资金也存在同样情况。湖南洞庭春米业有限公司为民营企业，股东由胡国庆和徐小娥两夫妇组成，部分支出未经公司账户支出，直接支付现金，财务管理不规范。</w:t>
      </w:r>
    </w:p>
    <w:p>
      <w:pPr>
        <w:ind w:firstLine="640"/>
      </w:pPr>
      <w:r>
        <w:t>以上不符合《专项资金管理办法》“专项资金实行‘专人管理、专户储存、专账核算、专项使用’。” 的相关规定。</w:t>
      </w:r>
    </w:p>
    <w:p>
      <w:pPr>
        <w:pStyle w:val="4"/>
      </w:pPr>
      <w:r>
        <w:rPr>
          <w:rFonts w:hint="eastAsia"/>
          <w:lang w:val="en-US" w:eastAsia="zh-CN"/>
        </w:rPr>
        <w:t>4</w:t>
      </w:r>
      <w:r>
        <w:rPr>
          <w:rFonts w:hint="eastAsia"/>
        </w:rPr>
        <w:t>、个别项目和企业受资金和人才等因素制约，项目建设和企业发展缓慢。</w:t>
      </w:r>
    </w:p>
    <w:p>
      <w:pPr>
        <w:ind w:firstLine="640"/>
        <w:rPr>
          <w:rFonts w:hint="eastAsia"/>
        </w:rPr>
      </w:pPr>
      <w:r>
        <w:t>个别项目因自有资金不</w:t>
      </w:r>
      <w:r>
        <w:rPr>
          <w:u w:val="none"/>
        </w:rPr>
        <w:t>足</w:t>
      </w:r>
      <w:r>
        <w:rPr>
          <w:u w:val="none" w:color="auto"/>
        </w:rPr>
        <w:t>,</w:t>
      </w:r>
      <w:r>
        <w:t>融资渠道不</w:t>
      </w:r>
      <w:r>
        <w:rPr>
          <w:u w:val="none"/>
        </w:rPr>
        <w:t>宽</w:t>
      </w:r>
      <w:r>
        <w:rPr>
          <w:u w:val="none" w:color="auto"/>
        </w:rPr>
        <w:t>,</w:t>
      </w:r>
      <w:r>
        <w:t>企业资金紧张，影响项目建设进度，项目实际完工时间晚于计划完工时间。有的项目实施过度依赖银行贷</w:t>
      </w:r>
      <w:r>
        <w:rPr>
          <w:u w:val="none"/>
        </w:rPr>
        <w:t>款</w:t>
      </w:r>
      <w:r>
        <w:rPr>
          <w:u w:val="none" w:color="auto"/>
        </w:rPr>
        <w:t>,</w:t>
      </w:r>
      <w:r>
        <w:t>债务过</w:t>
      </w:r>
      <w:r>
        <w:rPr>
          <w:u w:val="none"/>
        </w:rPr>
        <w:t>重</w:t>
      </w:r>
      <w:r>
        <w:rPr>
          <w:u w:val="none" w:color="auto"/>
        </w:rPr>
        <w:t>,</w:t>
      </w:r>
      <w:r>
        <w:t>企业还贷资金链脆弱。有的企业因缺乏技术和管理人</w:t>
      </w:r>
      <w:r>
        <w:rPr>
          <w:u w:val="none"/>
        </w:rPr>
        <w:t>才</w:t>
      </w:r>
      <w:r>
        <w:rPr>
          <w:u w:val="none" w:color="auto"/>
        </w:rPr>
        <w:t>,</w:t>
      </w:r>
      <w:r>
        <w:t>自主创新能力和市场开拓能力不</w:t>
      </w:r>
      <w:r>
        <w:rPr>
          <w:u w:val="none"/>
        </w:rPr>
        <w:t>强</w:t>
      </w:r>
      <w:r>
        <w:rPr>
          <w:u w:val="none" w:color="auto"/>
        </w:rPr>
        <w:t>,</w:t>
      </w:r>
      <w:r>
        <w:t>影响项目实施进度和企业发展。如：祁东县星源米业有限公司的星源粮食物流项目建设项目，项目完工进度较计划滞后，项目原计划2017年2月三期工程全部完工，但2017年2月才完成一期工程。原因是二期、三期工程需要工程规模及施工难度大（需要填方、地基不稳等），另开发区资金未到位及土地涉及迁坟相关事宜影响工程进度，但已经开始前期工作。湖南绿海粮油有限公司的粮油产业园第三期建设项目，根据项目申报资料，预计2018年4月完工，但现在粮油产品互联网销售中心、粮油食品检测中心还未动工。湖南省经济贸易高级技工学校2015年科研基地建设及教育培训项目因后续资金无法落实，整体搬迁目前处于停滞状态。</w:t>
      </w:r>
    </w:p>
    <w:p>
      <w:pPr>
        <w:pStyle w:val="2"/>
        <w:numPr>
          <w:ilvl w:val="0"/>
          <w:numId w:val="1"/>
        </w:numPr>
        <w:ind w:firstLine="643"/>
        <w:rPr>
          <w:rFonts w:hint="eastAsia"/>
        </w:rPr>
      </w:pPr>
      <w:r>
        <w:t>相关建议</w:t>
      </w:r>
    </w:p>
    <w:p>
      <w:pPr>
        <w:ind w:firstLine="643"/>
        <w:rPr>
          <w:rFonts w:hint="eastAsia" w:ascii="Arial" w:hAnsi="Arial" w:eastAsia="楷体_GB2312"/>
          <w:b/>
        </w:rPr>
      </w:pPr>
      <w:r>
        <w:rPr>
          <w:rFonts w:ascii="Arial" w:hAnsi="Arial" w:eastAsia="楷体_GB2312"/>
          <w:b/>
        </w:rPr>
        <w:t>（</w:t>
      </w:r>
      <w:r>
        <w:rPr>
          <w:rFonts w:hint="eastAsia" w:ascii="Arial" w:hAnsi="Arial" w:eastAsia="楷体_GB2312"/>
          <w:b/>
        </w:rPr>
        <w:t>一</w:t>
      </w:r>
      <w:r>
        <w:rPr>
          <w:rFonts w:ascii="Arial" w:hAnsi="Arial" w:eastAsia="楷体_GB2312"/>
          <w:b/>
        </w:rPr>
        <w:t>）</w:t>
      </w:r>
      <w:r>
        <w:rPr>
          <w:rFonts w:hint="eastAsia" w:ascii="Arial" w:hAnsi="Arial" w:eastAsia="楷体_GB2312"/>
          <w:b/>
        </w:rPr>
        <w:t>、</w:t>
      </w:r>
      <w:r>
        <w:rPr>
          <w:rFonts w:ascii="Arial" w:hAnsi="Arial" w:eastAsia="楷体_GB2312"/>
          <w:b/>
        </w:rPr>
        <w:t>建议有效整合专项资金。</w:t>
      </w:r>
    </w:p>
    <w:p>
      <w:pPr>
        <w:ind w:firstLine="640"/>
        <w:rPr>
          <w:szCs w:val="32"/>
          <w:highlight w:val="none"/>
        </w:rPr>
      </w:pPr>
      <w:r>
        <w:rPr>
          <w:highlight w:val="none"/>
        </w:rPr>
        <w:t>专项资金应充分发挥财政资金的扶持、引导和带动作用，引导企业自有资金和社会资金的投入。专项资金使用应突出重点，向龙头企业、重点项目、示范项目和优秀项目集中</w:t>
      </w:r>
      <w:r>
        <w:rPr>
          <w:rFonts w:hint="eastAsia"/>
          <w:highlight w:val="none"/>
          <w:lang w:eastAsia="zh-CN"/>
        </w:rPr>
        <w:t>。</w:t>
      </w:r>
      <w:r>
        <w:rPr>
          <w:rFonts w:hint="eastAsia"/>
          <w:highlight w:val="none"/>
          <w:lang w:val="en-US" w:eastAsia="zh-CN"/>
        </w:rPr>
        <w:t>资金分配方式可采用因素法与项目法相结合，并逐步加大因素法分配比重，项目法只适用于全省重大项目，例如“五扶工程”项目，跨区域企业重组，全省性品牌营销、宣传等。</w:t>
      </w:r>
      <w:r>
        <w:rPr>
          <w:highlight w:val="none"/>
        </w:rPr>
        <w:t>避免项目资金散小乱，导致资金使用效果不佳，资金监管难度大。</w:t>
      </w:r>
    </w:p>
    <w:p>
      <w:pPr>
        <w:pStyle w:val="3"/>
        <w:ind w:firstLine="643"/>
      </w:pPr>
      <w:r>
        <w:t>（</w:t>
      </w:r>
      <w:r>
        <w:rPr>
          <w:rFonts w:hint="eastAsia"/>
        </w:rPr>
        <w:t>二</w:t>
      </w:r>
      <w:r>
        <w:t>）</w:t>
      </w:r>
      <w:r>
        <w:rPr>
          <w:rFonts w:hint="eastAsia"/>
        </w:rPr>
        <w:t>、</w:t>
      </w:r>
      <w:r>
        <w:t>建议加强对预算编制的指导及建档管理。</w:t>
      </w:r>
    </w:p>
    <w:p>
      <w:pPr>
        <w:ind w:firstLine="640"/>
      </w:pPr>
      <w:r>
        <w:t>根据现场评价情况来看，多数项目单位对编制预算并没有概念。未实行预算管理，容易造成专项资金支出不规范或者随意归集专项费用的情况。从规范专项资金使用的角度看，建议主管部门规范项目单位的预算编制，完善预算建档管理制度。项目单位的专项支出应严格按照</w:t>
      </w:r>
      <w:r>
        <w:rPr>
          <w:rFonts w:hint="eastAsia"/>
        </w:rPr>
        <w:t>项目</w:t>
      </w:r>
      <w:r>
        <w:t>预算支出执行，尤其是针对重大专项的专项资金。</w:t>
      </w:r>
    </w:p>
    <w:p>
      <w:pPr>
        <w:pStyle w:val="3"/>
        <w:ind w:firstLine="643"/>
      </w:pPr>
      <w:r>
        <w:t>（</w:t>
      </w:r>
      <w:r>
        <w:rPr>
          <w:rFonts w:hint="eastAsia"/>
        </w:rPr>
        <w:t>三</w:t>
      </w:r>
      <w:r>
        <w:t>）</w:t>
      </w:r>
      <w:r>
        <w:rPr>
          <w:rFonts w:hint="eastAsia"/>
        </w:rPr>
        <w:t>、</w:t>
      </w:r>
      <w:r>
        <w:t>建议</w:t>
      </w:r>
      <w:r>
        <w:rPr>
          <w:rFonts w:hint="eastAsia"/>
        </w:rPr>
        <w:t>加快</w:t>
      </w:r>
      <w:r>
        <w:t>完善专项资金管理制度</w:t>
      </w:r>
      <w:r>
        <w:rPr>
          <w:rFonts w:hint="eastAsia"/>
        </w:rPr>
        <w:t>进度</w:t>
      </w:r>
      <w:r>
        <w:t>。</w:t>
      </w:r>
    </w:p>
    <w:p>
      <w:pPr>
        <w:ind w:firstLine="640"/>
      </w:pPr>
      <w:r>
        <w:t>建立健全统一的专项资金管理办法和项目管理办法，细化、量化项目目标，以使专项资金的管理有据可依，项目绩效目标明确、具体，确保专项项目和资金管理规范高效。推进专项资金的实质性整合，将资金进行统筹管理，统一调配，形成合力以集中财力办大事，并与专项资金支持的原则和范围相结合，择优扶强，突出重点，注重实效，切实发挥专项资金的引导作用。专项资金的整合应与部门职能的转变相结合，同一个专项资金由主管部门中某一部门进行集中管理或牵头管理，避免整而不合。</w:t>
      </w:r>
    </w:p>
    <w:p>
      <w:pPr>
        <w:pStyle w:val="3"/>
        <w:ind w:firstLine="643"/>
      </w:pPr>
      <w:r>
        <w:t>（</w:t>
      </w:r>
      <w:r>
        <w:rPr>
          <w:rFonts w:hint="eastAsia"/>
        </w:rPr>
        <w:t>四</w:t>
      </w:r>
      <w:r>
        <w:t>）</w:t>
      </w:r>
      <w:r>
        <w:rPr>
          <w:rFonts w:hint="eastAsia"/>
        </w:rPr>
        <w:t>、</w:t>
      </w:r>
      <w:r>
        <w:t>建议</w:t>
      </w:r>
      <w:r>
        <w:rPr>
          <w:rFonts w:hint="eastAsia"/>
        </w:rPr>
        <w:t>加快资金拨付进度。</w:t>
      </w:r>
    </w:p>
    <w:p>
      <w:pPr>
        <w:ind w:firstLine="640"/>
      </w:pPr>
      <w:r>
        <w:rPr>
          <w:rFonts w:hint="eastAsia"/>
        </w:rPr>
        <w:t>督促有关部门和单位将专项引导资金及时拨付到项目实施单位。各级财政部门和主管部门应建立资金拨付跟踪监督与监管机制，确保专项资金及时发挥效益。</w:t>
      </w:r>
    </w:p>
    <w:p>
      <w:pPr>
        <w:pStyle w:val="3"/>
        <w:ind w:firstLine="643"/>
      </w:pPr>
      <w:r>
        <w:t>（</w:t>
      </w:r>
      <w:r>
        <w:rPr>
          <w:rFonts w:hint="eastAsia"/>
        </w:rPr>
        <w:t>五</w:t>
      </w:r>
      <w:r>
        <w:t>）</w:t>
      </w:r>
      <w:r>
        <w:rPr>
          <w:rFonts w:hint="eastAsia"/>
        </w:rPr>
        <w:t>、</w:t>
      </w:r>
      <w:r>
        <w:t>建议加强对项目单位财务人员的培训。</w:t>
      </w:r>
    </w:p>
    <w:p>
      <w:pPr>
        <w:ind w:firstLine="640"/>
        <w:rPr>
          <w:szCs w:val="32"/>
        </w:rPr>
      </w:pPr>
      <w:r>
        <w:t>由于专项经费的账务处理有一定特殊性，部分项目单位的财务人员对专项资金管理的有关规定，如会计核算要求、经费开支范围、预算调整的审批等尚不了解，大部分单位未对专项经费进行专项核算，一些单位虽然设置了手工台账，但对专项经费的会计核算仍不完全规范。建议进一步增加培训的覆盖面，组织多种方式，多个层面的培训工作，强化单位法人责任制，使单位管理人员、财务人员和科研人员将专项经费管理政策熟悉、掌握和运用好，提高专项经费支出的科学性和规范性。</w:t>
      </w:r>
    </w:p>
    <w:p>
      <w:pPr>
        <w:pStyle w:val="3"/>
        <w:ind w:firstLine="643"/>
      </w:pPr>
      <w:r>
        <w:t>（</w:t>
      </w:r>
      <w:r>
        <w:rPr>
          <w:rFonts w:hint="eastAsia"/>
        </w:rPr>
        <w:t>六</w:t>
      </w:r>
      <w:r>
        <w:t>）</w:t>
      </w:r>
      <w:r>
        <w:rPr>
          <w:rFonts w:hint="eastAsia"/>
        </w:rPr>
        <w:t>、</w:t>
      </w:r>
      <w:r>
        <w:t>建议加强项目进度管理。</w:t>
      </w:r>
    </w:p>
    <w:p>
      <w:pPr>
        <w:ind w:firstLine="640"/>
      </w:pPr>
      <w:r>
        <w:rPr>
          <w:rFonts w:hint="eastAsia"/>
        </w:rPr>
        <w:t>项目</w:t>
      </w:r>
      <w:r>
        <w:t>主管单位应完善对受助项目的日常监管，强化项目报表的上报，一方面让项目单位清晰了解项目现状，增强项目推进的紧迫感；另一方面便于</w:t>
      </w:r>
      <w:r>
        <w:rPr>
          <w:rFonts w:hint="eastAsia"/>
        </w:rPr>
        <w:t>项目</w:t>
      </w:r>
      <w:r>
        <w:t>主管单位和项目相关</w:t>
      </w:r>
      <w:r>
        <w:rPr>
          <w:rFonts w:hint="eastAsia"/>
        </w:rPr>
        <w:t>单位</w:t>
      </w:r>
      <w:r>
        <w:t>及时了解项目实施进度、资金使用和项目绩效目标的实现情况。针对跨年项目应实施滚动管理，全过程考核，直至项目的最后完成。</w:t>
      </w:r>
    </w:p>
    <w:p>
      <w:pPr>
        <w:ind w:firstLine="640"/>
      </w:pPr>
      <w:r>
        <w:t>加强项目进度管理，确保项目能及时完成；对于项目实施期需要延长的情况，项目实施单位应及时与主管单位汇报项目进度，签订相关延期协议，主管单位应积极督促项目实施单位如期完成项目。</w:t>
      </w:r>
    </w:p>
    <w:p>
      <w:pPr>
        <w:ind w:firstLine="640"/>
      </w:pPr>
      <w:r>
        <w:rPr>
          <w:rFonts w:hint="eastAsia"/>
        </w:rPr>
        <w:t>建立对跨期实施项目一追到底的绩效评价机制，与下年的投入项目一起上报，纳入下一个年度的绩效考评，且进行重点考评，一追到底，直到该项目实施完成。</w:t>
      </w:r>
    </w:p>
    <w:p>
      <w:pPr>
        <w:pStyle w:val="2"/>
        <w:ind w:firstLine="643"/>
      </w:pPr>
      <w:r>
        <w:rPr>
          <w:rFonts w:hint="eastAsia"/>
        </w:rPr>
        <w:t>八</w:t>
      </w:r>
      <w:r>
        <w:t>、综合评价情况及评价结论</w:t>
      </w:r>
    </w:p>
    <w:p>
      <w:pPr>
        <w:ind w:firstLine="640"/>
        <w:rPr>
          <w:rFonts w:ascii="仿宋_GB2312" w:hAnsi="仿宋_GB2312" w:cs="仿宋_GB2312"/>
        </w:rPr>
      </w:pPr>
      <w:r>
        <w:rPr>
          <w:rFonts w:hint="eastAsia" w:ascii="仿宋_GB2312" w:hAnsi="仿宋_GB2312" w:cs="仿宋_GB2312"/>
        </w:rPr>
        <w:t>关于2015-2017年度粮油千亿产业专项资金项目，湖南省粮食局基本能按项目的要求管理使用和分配专项资金，对全省粮油产业发展起到了积极的作用，项目年度绩效目标已超额完成。我们从预算管理、资金使用管理、项目组织管理和项目绩效情况等方面进行评价，该项目综合评分为8</w:t>
      </w:r>
      <w:r>
        <w:rPr>
          <w:rFonts w:hint="eastAsia" w:ascii="仿宋_GB2312" w:hAnsi="仿宋_GB2312" w:cs="仿宋_GB2312"/>
          <w:lang w:val="en-US" w:eastAsia="zh-CN"/>
        </w:rPr>
        <w:t>9</w:t>
      </w:r>
      <w:r>
        <w:rPr>
          <w:rFonts w:hint="eastAsia" w:ascii="仿宋_GB2312" w:hAnsi="仿宋_GB2312" w:cs="仿宋_GB2312"/>
        </w:rPr>
        <w:t>.</w:t>
      </w:r>
      <w:r>
        <w:rPr>
          <w:rFonts w:hint="eastAsia" w:ascii="仿宋_GB2312" w:hAnsi="仿宋_GB2312" w:cs="仿宋_GB2312"/>
          <w:lang w:val="en-US" w:eastAsia="zh-CN"/>
        </w:rPr>
        <w:t>25</w:t>
      </w:r>
      <w:r>
        <w:rPr>
          <w:rFonts w:hint="eastAsia" w:ascii="仿宋_GB2312" w:hAnsi="仿宋_GB2312" w:cs="仿宋_GB2312"/>
        </w:rPr>
        <w:t>分，评价等级为良。</w:t>
      </w:r>
    </w:p>
    <w:p>
      <w:pPr>
        <w:ind w:firstLine="640"/>
        <w:rPr>
          <w:rFonts w:ascii="仿宋_GB2312" w:hAnsi="仿宋_GB2312" w:cs="仿宋_GB2312"/>
        </w:rPr>
      </w:pPr>
    </w:p>
    <w:p>
      <w:pPr>
        <w:ind w:firstLine="640"/>
        <w:rPr>
          <w:rFonts w:ascii="仿宋_GB2312" w:hAnsi="仿宋_GB2312" w:cs="仿宋_GB2312"/>
        </w:rPr>
      </w:pPr>
    </w:p>
    <w:p>
      <w:pPr>
        <w:ind w:firstLine="640"/>
        <w:rPr>
          <w:rFonts w:ascii="仿宋_GB2312" w:hAnsi="仿宋_GB2312" w:cs="仿宋_GB2312"/>
        </w:rPr>
      </w:pPr>
      <w:r>
        <w:rPr>
          <w:rFonts w:hint="eastAsia" w:ascii="仿宋_GB2312" w:hAnsi="仿宋_GB2312" w:cs="仿宋_GB2312"/>
        </w:rPr>
        <w:t>附件：《2015-2017年南省粮油千亿产业专项资金绩效评价指标汇总表》</w:t>
      </w:r>
    </w:p>
    <w:p>
      <w:pPr>
        <w:spacing w:line="620" w:lineRule="exact"/>
        <w:ind w:firstLine="560"/>
        <w:outlineLvl w:val="0"/>
        <w:rPr>
          <w:sz w:val="28"/>
          <w:szCs w:val="28"/>
        </w:rPr>
      </w:pPr>
    </w:p>
    <w:p>
      <w:pPr>
        <w:spacing w:line="620" w:lineRule="exact"/>
        <w:ind w:firstLine="560"/>
        <w:outlineLvl w:val="0"/>
        <w:rPr>
          <w:sz w:val="28"/>
          <w:szCs w:val="28"/>
        </w:rPr>
      </w:pPr>
    </w:p>
    <w:p>
      <w:pPr>
        <w:spacing w:line="620" w:lineRule="exact"/>
        <w:ind w:firstLine="560"/>
        <w:outlineLvl w:val="0"/>
        <w:rPr>
          <w:sz w:val="28"/>
          <w:szCs w:val="28"/>
        </w:rPr>
      </w:pPr>
    </w:p>
    <w:p>
      <w:pPr>
        <w:ind w:firstLine="640"/>
        <w:jc w:val="right"/>
        <w:rPr>
          <w:rFonts w:ascii="楷体" w:hAnsi="楷体" w:eastAsia="楷体"/>
        </w:rPr>
      </w:pPr>
      <w:r>
        <w:rPr>
          <w:rFonts w:ascii="楷体" w:hAnsi="楷体" w:eastAsia="楷体"/>
        </w:rPr>
        <w:t>湖南湘楚会计师事务所有限责任公司</w:t>
      </w:r>
    </w:p>
    <w:p>
      <w:pPr>
        <w:ind w:firstLine="640"/>
        <w:jc w:val="right"/>
        <w:rPr>
          <w:rFonts w:ascii="楷体" w:hAnsi="楷体" w:eastAsia="楷体"/>
        </w:rPr>
      </w:pPr>
      <w:r>
        <w:rPr>
          <w:rFonts w:ascii="楷体" w:hAnsi="楷体" w:eastAsia="楷体"/>
        </w:rPr>
        <w:t>二</w:t>
      </w:r>
      <w:r>
        <w:rPr>
          <w:rFonts w:hint="eastAsia" w:ascii="楷体" w:hAnsi="楷体" w:eastAsia="楷体"/>
        </w:rPr>
        <w:t>〇</w:t>
      </w:r>
      <w:r>
        <w:rPr>
          <w:rFonts w:ascii="楷体" w:hAnsi="楷体" w:eastAsia="楷体"/>
        </w:rPr>
        <w:t>一</w:t>
      </w:r>
      <w:r>
        <w:rPr>
          <w:rFonts w:hint="eastAsia" w:ascii="楷体" w:hAnsi="楷体" w:eastAsia="楷体"/>
        </w:rPr>
        <w:t>八</w:t>
      </w:r>
      <w:r>
        <w:rPr>
          <w:rFonts w:ascii="楷体" w:hAnsi="楷体" w:eastAsia="楷体"/>
        </w:rPr>
        <w:t>年</w:t>
      </w:r>
      <w:r>
        <w:rPr>
          <w:rFonts w:hint="eastAsia" w:ascii="楷体" w:hAnsi="楷体" w:eastAsia="楷体"/>
          <w:lang w:val="en-US" w:eastAsia="zh-CN"/>
        </w:rPr>
        <w:t>八</w:t>
      </w:r>
      <w:r>
        <w:rPr>
          <w:rFonts w:ascii="楷体" w:hAnsi="楷体" w:eastAsia="楷体"/>
        </w:rPr>
        <w:t>月</w:t>
      </w:r>
      <w:r>
        <w:rPr>
          <w:rFonts w:hint="eastAsia" w:ascii="楷体" w:hAnsi="楷体" w:eastAsia="楷体"/>
          <w:lang w:val="en-US" w:eastAsia="zh-CN"/>
        </w:rPr>
        <w:t>三</w:t>
      </w:r>
      <w:r>
        <w:rPr>
          <w:rFonts w:hint="eastAsia" w:ascii="楷体" w:hAnsi="楷体" w:eastAsia="楷体"/>
        </w:rPr>
        <w:t>十</w:t>
      </w:r>
      <w:r>
        <w:rPr>
          <w:rFonts w:ascii="楷体" w:hAnsi="楷体" w:eastAsia="楷体"/>
        </w:rPr>
        <w:t>日</w:t>
      </w:r>
    </w:p>
    <w:p>
      <w:pPr>
        <w:widowControl/>
        <w:ind w:firstLine="640"/>
        <w:jc w:val="left"/>
        <w:rPr>
          <w:bCs/>
          <w:szCs w:val="32"/>
        </w:rPr>
        <w:sectPr>
          <w:pgSz w:w="11906" w:h="16838"/>
          <w:pgMar w:top="1440" w:right="1474" w:bottom="1440" w:left="1332" w:header="851" w:footer="992" w:gutter="0"/>
          <w:cols w:space="720" w:num="1"/>
          <w:docGrid w:type="lines" w:linePitch="312" w:charSpace="0"/>
        </w:sectPr>
      </w:pPr>
    </w:p>
    <w:p>
      <w:pPr>
        <w:widowControl/>
        <w:ind w:firstLine="643"/>
        <w:jc w:val="left"/>
        <w:rPr>
          <w:rFonts w:ascii="仿宋_GB2312"/>
          <w:b/>
          <w:szCs w:val="32"/>
        </w:rPr>
      </w:pPr>
      <w:r>
        <w:rPr>
          <w:rFonts w:hint="eastAsia" w:ascii="仿宋_GB2312"/>
          <w:b/>
          <w:szCs w:val="32"/>
        </w:rPr>
        <w:t>附件：</w:t>
      </w:r>
    </w:p>
    <w:p>
      <w:pPr>
        <w:keepNext w:val="0"/>
        <w:keepLines w:val="0"/>
        <w:pageBreakBefore w:val="0"/>
        <w:widowControl/>
        <w:kinsoku/>
        <w:wordWrap/>
        <w:overflowPunct/>
        <w:topLinePunct w:val="0"/>
        <w:autoSpaceDE/>
        <w:autoSpaceDN/>
        <w:bidi w:val="0"/>
        <w:adjustRightInd/>
        <w:snapToGrid/>
        <w:spacing w:before="157" w:beforeLines="50" w:after="157" w:afterLines="50"/>
        <w:ind w:firstLine="723"/>
        <w:jc w:val="center"/>
        <w:textAlignment w:val="auto"/>
        <w:outlineLvl w:val="9"/>
        <w:rPr>
          <w:rFonts w:hint="eastAsia" w:ascii="仿宋_GB2312" w:eastAsia="仿宋_GB2312"/>
          <w:b/>
          <w:sz w:val="32"/>
          <w:szCs w:val="32"/>
          <w:lang w:eastAsia="zh-CN"/>
        </w:rPr>
      </w:pPr>
      <w:r>
        <w:rPr>
          <w:rFonts w:hint="eastAsia" w:ascii="仿宋_GB2312"/>
          <w:b/>
          <w:sz w:val="32"/>
          <w:szCs w:val="32"/>
        </w:rPr>
        <w:t>2015-2017年粮油千亿产业项目绩效评价指标评分表</w:t>
      </w:r>
    </w:p>
    <w:tbl>
      <w:tblPr>
        <w:tblStyle w:val="13"/>
        <w:tblW w:w="15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74"/>
        <w:gridCol w:w="574"/>
        <w:gridCol w:w="574"/>
        <w:gridCol w:w="574"/>
        <w:gridCol w:w="574"/>
        <w:gridCol w:w="574"/>
        <w:gridCol w:w="2290"/>
        <w:gridCol w:w="2489"/>
        <w:gridCol w:w="630"/>
        <w:gridCol w:w="574"/>
        <w:gridCol w:w="574"/>
        <w:gridCol w:w="573"/>
        <w:gridCol w:w="574"/>
        <w:gridCol w:w="574"/>
        <w:gridCol w:w="574"/>
        <w:gridCol w:w="574"/>
        <w:gridCol w:w="574"/>
        <w:gridCol w:w="574"/>
        <w:gridCol w:w="574"/>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一级</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分值</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二级</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分值</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三级</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 xml:space="preserve">分值 </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指标解释</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评价标准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省直</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长沙</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湘潭</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衡阳</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邵阳</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岳阳</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常德</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益阳</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郴州</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娄底</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怀化</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加权平均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10" w:hRule="atLeast"/>
        </w:trPr>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项目决策</w:t>
            </w:r>
          </w:p>
        </w:tc>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20</w:t>
            </w:r>
          </w:p>
        </w:tc>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项目立项</w:t>
            </w:r>
          </w:p>
        </w:tc>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项目立项</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项目的申请、设立过程是否符合相关要求</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按照规定的程序申请设立，且已经过必要的可行性研究、专家论证、风险评估、集体决策，得3分，否则不得分。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10" w:hRule="atLeast"/>
        </w:trPr>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绩效目标</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专项是否设定了具体、明确、可行的绩效指标</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绩效指标具体、明确、可行得3分；不明确、不具体或不可行得1分；未设定绩效指标不得分。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2.44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2.43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2.38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2.20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2.44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2.60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2.50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2.50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2.67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2.40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10" w:hRule="atLeast"/>
        </w:trPr>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决策过程</w:t>
            </w:r>
          </w:p>
        </w:tc>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决策依据</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项目是否符合社会发展规划和部门年度工作计划；是否根据需要制定中长期实施规划</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项目符合经济社会发展规划和部门年度工作计划计2分，根据需要制定中长期实施规划计1分。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2.92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2.75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10" w:hRule="atLeast"/>
        </w:trPr>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决策程序</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项目是否符合申报条件；申报、批复程序是否符合相关管理办法；项目调整是否履行相应手续</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项目符合申报条件计1分，申报、批复程序符合相关管理办法计1分，项目实施调整履行相应手续计1分。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2.89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2.71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2.88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2.93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2.89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2.50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2.83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2.80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10" w:hRule="atLeast"/>
        </w:trPr>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资金分配</w:t>
            </w:r>
          </w:p>
        </w:tc>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分配办法</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是否根据需要制定相关资金管理办法，并在管理办法中明确资金分配办法；资金分配因素是否全面、合理</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办法健全、规范计2分，因素选择全面、合理计1分，否则不得分。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2.89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2.93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rPr>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分配结果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资金分配是否符合相关管理办法；分配结果是否合理</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项目符合相关分配办法计2分，资金分配合理计3分，否则不得分。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4.92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4.50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4.80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4.67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4.25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4.83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4.80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rPr>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项目管理</w:t>
            </w:r>
          </w:p>
        </w:tc>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30</w:t>
            </w:r>
          </w:p>
        </w:tc>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资金到位</w:t>
            </w:r>
          </w:p>
        </w:tc>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到位率</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财政资金到位率=实际到位资金金额/计划到位资金额╳100%</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到位率100%计3分；95%-100%计2分；95%以下计1分。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10" w:hRule="atLeast"/>
        </w:trPr>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到位时效</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资金是否及时到位；若未及时到位，是否影响项目进度</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资金及</w:t>
            </w:r>
            <w:r>
              <w:rPr>
                <w:rFonts w:hint="default" w:ascii="Times New Roman" w:hAnsi="Times New Roman" w:eastAsia="仿宋_GB2312" w:cs="Times New Roman"/>
                <w:i w:val="0"/>
                <w:color w:val="000000"/>
                <w:kern w:val="0"/>
                <w:sz w:val="21"/>
                <w:szCs w:val="21"/>
                <w:u w:val="none"/>
                <w:lang w:val="en-US" w:eastAsia="zh-CN" w:bidi="ar"/>
              </w:rPr>
              <w:t>时</w:t>
            </w:r>
            <w:r>
              <w:rPr>
                <w:rFonts w:hint="default" w:ascii="Times New Roman" w:hAnsi="Times New Roman" w:eastAsia="仿宋_GB2312" w:cs="Times New Roman"/>
                <w:i w:val="0"/>
                <w:color w:val="000000"/>
                <w:kern w:val="0"/>
                <w:sz w:val="21"/>
                <w:szCs w:val="21"/>
                <w:u w:val="none" w:color="auto"/>
                <w:lang w:val="en-US" w:eastAsia="zh-CN" w:bidi="ar"/>
              </w:rPr>
              <w:t>到位计</w:t>
            </w:r>
            <w:r>
              <w:rPr>
                <w:rFonts w:hint="default" w:ascii="Times New Roman" w:hAnsi="Times New Roman" w:eastAsia="仿宋_GB2312" w:cs="Times New Roman"/>
                <w:i w:val="0"/>
                <w:color w:val="000000"/>
                <w:kern w:val="0"/>
                <w:sz w:val="21"/>
                <w:szCs w:val="21"/>
                <w:u w:val="none"/>
                <w:lang w:val="en-US" w:eastAsia="zh-CN" w:bidi="ar"/>
              </w:rPr>
              <w:t>2分，未及时到位但未影响项目进度计1分，未及时到位并影响项目进度不得分。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1.81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1.86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2.00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1.73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1.89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1.67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1.75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1.67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1.20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51" w:hRule="atLeast"/>
        </w:trPr>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资金落实</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资金使用率</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资金使用率=（实际使用的项目专项资金金额/计划到位资金额）×100%</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当年使用专项资金未达到90%的扣2分，未达到80%的扣3分，未达到70%的扣4分，未达到60%的扣5分，未达到50%的扣6分；次年4月30日未达70%的扣6分，未达80%的扣5分，未达90%的扣4分，两项合计最多扣6分。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5.83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6.00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6.00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5.93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6.00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5.80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6.00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6.00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5.33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6.00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5.80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80" w:hRule="atLeast"/>
        </w:trPr>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资金管理</w:t>
            </w:r>
          </w:p>
        </w:tc>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资金使用</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是否存在支出依据不合规、虚列项目支出的情况；是否存在截留、挤占、挪用项目资金情况；是否存在超标准开支情况</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每发现一例支出依据不合规、截留、挤占、挪用扣1分、超标准开支扣1分。5分扣完时，在绩效评价指标总分上继续扣分。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4.39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4.71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4.63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4.27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4.33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4.80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4.33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4.75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4.67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4.17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rPr>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财务管理</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资金管理、费用支出等制度是否健全，是否严格执行；会计核算是否规范</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财务制度健全计1分、严格执行制度计1分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1.89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1.71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1.50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1.87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1.89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1.20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1.75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1.40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组织实施</w:t>
            </w:r>
          </w:p>
        </w:tc>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组织机构</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机构是否健全、分工是否明确</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机构健全、分工明确计1分。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10" w:hRule="atLeast"/>
        </w:trPr>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管理制度</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是否建立项目管理制度，管理制度是否合法、合规、完整</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管理制度合法、合规</w:t>
            </w:r>
            <w:r>
              <w:rPr>
                <w:rFonts w:hint="default" w:ascii="Times New Roman" w:hAnsi="Times New Roman"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color="auto"/>
                <w:lang w:val="en-US" w:eastAsia="zh-CN" w:bidi="ar"/>
              </w:rPr>
              <w:t>完整得</w:t>
            </w:r>
            <w:r>
              <w:rPr>
                <w:rFonts w:hint="default" w:ascii="Times New Roman" w:hAnsi="Times New Roman" w:eastAsia="仿宋_GB2312" w:cs="Times New Roman"/>
                <w:i w:val="0"/>
                <w:color w:val="000000"/>
                <w:kern w:val="0"/>
                <w:sz w:val="21"/>
                <w:szCs w:val="21"/>
                <w:u w:val="none"/>
                <w:lang w:val="en-US" w:eastAsia="zh-CN" w:bidi="ar"/>
              </w:rPr>
              <w:t>1分；管理制度不健全得0.5分；未建立项目管理制度不得分。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rPr>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项目库建设</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按项目法分配的专项资金是否建立了项目库</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按要求建立了项目库得2分，否则扣2分。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2.00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10" w:hRule="atLeast"/>
        </w:trPr>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项目申报</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是否存在重复申报、虚假冒领资金的情况</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每发现一起项目重复申报或虚假冒领资金的扣1分，3分扣完时，在绩效评价指标总分上继续扣分。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10" w:hRule="atLeast"/>
        </w:trPr>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项目实施</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是否按项目规定的时间开始实施，是否按照约定合同的开展，项目完成是否及时申请验收，质量合格，档案齐全</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按项目规定的时间开始实施及按照合同约定开展计2分，项目完成及时申请验收，质量合格，档案齐全计3分，否则不得分。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4.25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3.86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4.40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3.80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4.33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4.33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4.40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810" w:hRule="atLeast"/>
        </w:trPr>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项目绩效</w:t>
            </w:r>
          </w:p>
        </w:tc>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50</w:t>
            </w:r>
          </w:p>
        </w:tc>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项目产出</w:t>
            </w:r>
          </w:p>
        </w:tc>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产出数量</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是否完成预算部门计划完成的产出数量（全省粮油加工业总产值1300亿元以上。）</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2018年4月30日前完成100%（5分），完成90%（4分），完成80%（3分），完成70%（2分），完成70%以下（0分）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161" w:hRule="atLeast"/>
        </w:trPr>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产出质量</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w:t>
            </w:r>
          </w:p>
        </w:tc>
        <w:tc>
          <w:tcPr>
            <w:tcW w:w="229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是否达到预算部门计划产出质量要求（1.集约化程度是否提高，规模以上企业产值占总产值比例70%以上；2.是否培育出3家左右在全国有一定影响的标志性龙头企业；3.粮油加工企业进入国家级龙头企业15家以上、省级100家以上、上市公司5家以上、“中国驰名商标”38个）</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项目达到预算质量要求100%计10分，每降低5%扣1分，扣完为止。</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13.00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rPr>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产出时效</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按照批准的预算时间范围内完成绩效目标</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预算时间内完成100%计5分，每降低5%扣1分，扣完为止。</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891" w:hRule="atLeast"/>
        </w:trPr>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项目效果</w:t>
            </w:r>
          </w:p>
        </w:tc>
        <w:tc>
          <w:tcPr>
            <w:tcW w:w="5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经济效益</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促进产业经济总量快速增长；吸收银行资金，拉动投资</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1、加工总产值增加8%以上计8分，增加1%-7%按增加百分比计分，未增加不得分；</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2、固定资产投资增长率增加20%以上计4分，增加10%-20%计3分、增加0%-10%计1分、未增加不得分；</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default" w:ascii="Times New Roman" w:hAnsi="Times New Roman" w:eastAsia="仿宋_GB2312" w:cs="Times New Roman"/>
                <w:i w:val="0"/>
                <w:color w:val="000000"/>
                <w:kern w:val="0"/>
                <w:sz w:val="21"/>
                <w:szCs w:val="21"/>
                <w:u w:val="none"/>
                <w:lang w:val="en-US" w:eastAsia="zh-CN" w:bidi="ar"/>
              </w:rPr>
              <w:t>3、利润总额增加5%计3分，增加1%-5%计1分，未增加不计分。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11.78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12.00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12.00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11.80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11.89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12.00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12.00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12.00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12.00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11.67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12.00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11.92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51" w:hRule="atLeast"/>
        </w:trPr>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社会效益</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促进产业综合实力快速提升；项目带动农民增收、促进就业、辐射周边农户及促进区域主导产业形成</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项目对我省粮油产业开发新型技术、增强市场竞争力、形成区域性粮油中心具有带动作用。合格调查样本量中，促进就业、辐射周边农户及带动农户增收样本量大于90%计6分，每降低10%扣1分，扣完为止。</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5.36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5.29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5.50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5.53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5.33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5.40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5.67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5.50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5.67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6.00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5.48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51" w:hRule="atLeast"/>
        </w:trPr>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b/>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仿宋_GB2312" w:cs="Times New Roman"/>
                <w:i w:val="0"/>
                <w:color w:val="000000"/>
                <w:sz w:val="21"/>
                <w:szCs w:val="21"/>
                <w:u w:val="none"/>
              </w:rPr>
            </w:pP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可持续发展的影响</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2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产业布局，是否以可持续发展为原则，不断优化；项目实施是否对人、自然、资源是否造成不利影响</w:t>
            </w:r>
          </w:p>
        </w:tc>
        <w:tc>
          <w:tcPr>
            <w:tcW w:w="248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产业布局优化，有利于推进资源整合；项目实施，尤其是深加工及副产品循环利用项目，对人、自然、资源未造成不良影响；复核可持续发展计4分，每发现一例不达标，扣0.2分。</w:t>
            </w: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3.89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4.00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3.99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870"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b/>
                <w:i w:val="0"/>
                <w:color w:val="000000"/>
                <w:sz w:val="21"/>
                <w:szCs w:val="21"/>
                <w:u w:val="none"/>
              </w:rPr>
            </w:pPr>
            <w:r>
              <w:rPr>
                <w:rFonts w:hint="default" w:ascii="Times New Roman" w:hAnsi="Times New Roman" w:eastAsia="仿宋_GB2312" w:cs="Times New Roman"/>
                <w:b/>
                <w:i w:val="0"/>
                <w:color w:val="000000"/>
                <w:kern w:val="0"/>
                <w:sz w:val="21"/>
                <w:szCs w:val="21"/>
                <w:u w:val="none"/>
                <w:lang w:val="en-US" w:eastAsia="zh-CN" w:bidi="ar"/>
              </w:rPr>
              <w:t>总  计</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w:t>
            </w:r>
          </w:p>
        </w:tc>
        <w:tc>
          <w:tcPr>
            <w:tcW w:w="22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outlineLvl w:val="9"/>
              <w:rPr>
                <w:rFonts w:hint="default" w:ascii="Times New Roman" w:hAnsi="Times New Roman" w:eastAsia="仿宋_GB2312" w:cs="Times New Roman"/>
                <w:i w:val="0"/>
                <w:color w:val="000000"/>
                <w:sz w:val="21"/>
                <w:szCs w:val="21"/>
                <w:u w:val="none"/>
              </w:rPr>
            </w:pPr>
          </w:p>
        </w:tc>
        <w:tc>
          <w:tcPr>
            <w:tcW w:w="248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outlineLvl w:val="9"/>
              <w:rPr>
                <w:rFonts w:hint="default" w:ascii="Times New Roman" w:hAnsi="Times New Roman" w:eastAsia="仿宋_GB2312" w:cs="Times New Roman"/>
                <w:i w:val="0"/>
                <w:color w:val="000000"/>
                <w:sz w:val="21"/>
                <w:szCs w:val="21"/>
                <w:u w:val="none"/>
              </w:rPr>
            </w:pPr>
          </w:p>
        </w:tc>
        <w:tc>
          <w:tcPr>
            <w:tcW w:w="6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89.36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89.57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89.38 </w:t>
            </w:r>
          </w:p>
        </w:tc>
        <w:tc>
          <w:tcPr>
            <w:tcW w:w="5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89.40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89.22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89.60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89.33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89.25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89.33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88.50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88.80 </w:t>
            </w:r>
          </w:p>
        </w:tc>
        <w:tc>
          <w:tcPr>
            <w:tcW w:w="5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outlineLvl w:val="9"/>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89.25 </w:t>
            </w:r>
          </w:p>
        </w:tc>
      </w:tr>
    </w:tbl>
    <w:p>
      <w:pPr>
        <w:widowControl/>
        <w:ind w:firstLine="723"/>
        <w:jc w:val="center"/>
        <w:rPr>
          <w:rFonts w:hint="eastAsia" w:ascii="仿宋_GB2312"/>
          <w:b/>
          <w:sz w:val="36"/>
          <w:szCs w:val="36"/>
        </w:rPr>
      </w:pPr>
    </w:p>
    <w:p>
      <w:pPr>
        <w:widowControl/>
        <w:ind w:firstLine="640"/>
        <w:jc w:val="left"/>
      </w:pPr>
    </w:p>
    <w:sectPr>
      <w:pgSz w:w="16838" w:h="11906" w:orient="landscape"/>
      <w:pgMar w:top="1474" w:right="851" w:bottom="1332" w:left="851"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9632740"/>
    </w:sdtPr>
    <w:sdtContent>
      <w:p>
        <w:pPr>
          <w:pStyle w:val="7"/>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41A4A"/>
    <w:multiLevelType w:val="singleLevel"/>
    <w:tmpl w:val="55741A4A"/>
    <w:lvl w:ilvl="0" w:tentative="0">
      <w:start w:val="1"/>
      <w:numFmt w:val="chineseCounting"/>
      <w:suff w:val="nothing"/>
      <w:lvlText w:val="%1、"/>
      <w:lvlJc w:val="left"/>
      <w:rPr>
        <w:rFonts w:ascii="黑体" w:hAnsi="黑体" w:eastAsia="黑体"/>
        <w:b w:val="0"/>
      </w:rPr>
    </w:lvl>
  </w:abstractNum>
  <w:abstractNum w:abstractNumId="1">
    <w:nsid w:val="55741C1B"/>
    <w:multiLevelType w:val="singleLevel"/>
    <w:tmpl w:val="55741C1B"/>
    <w:lvl w:ilvl="0" w:tentative="0">
      <w:start w:val="1"/>
      <w:numFmt w:val="chineseCounting"/>
      <w:suff w:val="nothing"/>
      <w:lvlText w:val="（%1）"/>
      <w:lvlJc w:val="left"/>
    </w:lvl>
  </w:abstractNum>
  <w:abstractNum w:abstractNumId="2">
    <w:nsid w:val="5574207A"/>
    <w:multiLevelType w:val="singleLevel"/>
    <w:tmpl w:val="5574207A"/>
    <w:lvl w:ilvl="0" w:tentative="0">
      <w:start w:val="1"/>
      <w:numFmt w:val="chineseCounting"/>
      <w:suff w:val="nothing"/>
      <w:lvlText w:val="（%1）"/>
      <w:lvlJc w:val="left"/>
    </w:lvl>
  </w:abstractNum>
  <w:abstractNum w:abstractNumId="3">
    <w:nsid w:val="55A4E9AE"/>
    <w:multiLevelType w:val="singleLevel"/>
    <w:tmpl w:val="55A4E9AE"/>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C370890"/>
    <w:rsid w:val="00001A03"/>
    <w:rsid w:val="000056C7"/>
    <w:rsid w:val="000120E6"/>
    <w:rsid w:val="00015946"/>
    <w:rsid w:val="000220F5"/>
    <w:rsid w:val="00025AD9"/>
    <w:rsid w:val="000263BD"/>
    <w:rsid w:val="00035ABC"/>
    <w:rsid w:val="00035DBB"/>
    <w:rsid w:val="00045B38"/>
    <w:rsid w:val="00050C46"/>
    <w:rsid w:val="00054305"/>
    <w:rsid w:val="0005434C"/>
    <w:rsid w:val="000669F3"/>
    <w:rsid w:val="00072658"/>
    <w:rsid w:val="000778E4"/>
    <w:rsid w:val="000922C3"/>
    <w:rsid w:val="0009677A"/>
    <w:rsid w:val="000A471A"/>
    <w:rsid w:val="000A56EE"/>
    <w:rsid w:val="000A6920"/>
    <w:rsid w:val="000B2CD6"/>
    <w:rsid w:val="000C4125"/>
    <w:rsid w:val="000C50A3"/>
    <w:rsid w:val="000C6569"/>
    <w:rsid w:val="000C6984"/>
    <w:rsid w:val="000D01F2"/>
    <w:rsid w:val="000D191B"/>
    <w:rsid w:val="000D2654"/>
    <w:rsid w:val="000D2DDE"/>
    <w:rsid w:val="000D2F8F"/>
    <w:rsid w:val="000D611C"/>
    <w:rsid w:val="000F45B3"/>
    <w:rsid w:val="001028E2"/>
    <w:rsid w:val="00105C01"/>
    <w:rsid w:val="00105F97"/>
    <w:rsid w:val="0011603A"/>
    <w:rsid w:val="0012268F"/>
    <w:rsid w:val="0012439B"/>
    <w:rsid w:val="00125531"/>
    <w:rsid w:val="00127459"/>
    <w:rsid w:val="00131A98"/>
    <w:rsid w:val="00131D63"/>
    <w:rsid w:val="00134627"/>
    <w:rsid w:val="00134EB2"/>
    <w:rsid w:val="00155BF2"/>
    <w:rsid w:val="001635CF"/>
    <w:rsid w:val="00165124"/>
    <w:rsid w:val="00165CE8"/>
    <w:rsid w:val="00177445"/>
    <w:rsid w:val="00177B32"/>
    <w:rsid w:val="00177DDD"/>
    <w:rsid w:val="00190EDF"/>
    <w:rsid w:val="001923DD"/>
    <w:rsid w:val="001935BB"/>
    <w:rsid w:val="00193D6A"/>
    <w:rsid w:val="00195C43"/>
    <w:rsid w:val="001963FF"/>
    <w:rsid w:val="001969DB"/>
    <w:rsid w:val="001A1705"/>
    <w:rsid w:val="001A296B"/>
    <w:rsid w:val="001A3AC5"/>
    <w:rsid w:val="001B1A2A"/>
    <w:rsid w:val="001B6EC6"/>
    <w:rsid w:val="001C0315"/>
    <w:rsid w:val="001C5DE7"/>
    <w:rsid w:val="001D6598"/>
    <w:rsid w:val="001D66B7"/>
    <w:rsid w:val="001D6928"/>
    <w:rsid w:val="001F0F9D"/>
    <w:rsid w:val="001F2182"/>
    <w:rsid w:val="001F345E"/>
    <w:rsid w:val="00200B0A"/>
    <w:rsid w:val="00201CF3"/>
    <w:rsid w:val="00210947"/>
    <w:rsid w:val="00210F0C"/>
    <w:rsid w:val="002227E4"/>
    <w:rsid w:val="00235755"/>
    <w:rsid w:val="00241596"/>
    <w:rsid w:val="00241CE9"/>
    <w:rsid w:val="0024675D"/>
    <w:rsid w:val="00247BAD"/>
    <w:rsid w:val="00252E81"/>
    <w:rsid w:val="00254025"/>
    <w:rsid w:val="002547DF"/>
    <w:rsid w:val="00255877"/>
    <w:rsid w:val="00261D13"/>
    <w:rsid w:val="00263421"/>
    <w:rsid w:val="00263F5A"/>
    <w:rsid w:val="00274810"/>
    <w:rsid w:val="00276C08"/>
    <w:rsid w:val="00294DA9"/>
    <w:rsid w:val="002A58B6"/>
    <w:rsid w:val="002A6FA6"/>
    <w:rsid w:val="002B0A87"/>
    <w:rsid w:val="002C3E11"/>
    <w:rsid w:val="002C71E7"/>
    <w:rsid w:val="002D35FA"/>
    <w:rsid w:val="002E4528"/>
    <w:rsid w:val="002E547F"/>
    <w:rsid w:val="002E60FB"/>
    <w:rsid w:val="002E7221"/>
    <w:rsid w:val="002F088C"/>
    <w:rsid w:val="003008F4"/>
    <w:rsid w:val="0030129A"/>
    <w:rsid w:val="00312550"/>
    <w:rsid w:val="00315773"/>
    <w:rsid w:val="00320233"/>
    <w:rsid w:val="00322CFF"/>
    <w:rsid w:val="00324F02"/>
    <w:rsid w:val="00324FC0"/>
    <w:rsid w:val="00326C54"/>
    <w:rsid w:val="00327A76"/>
    <w:rsid w:val="00330D67"/>
    <w:rsid w:val="00332FF6"/>
    <w:rsid w:val="0033661C"/>
    <w:rsid w:val="00340985"/>
    <w:rsid w:val="003463E0"/>
    <w:rsid w:val="00346ACF"/>
    <w:rsid w:val="00347160"/>
    <w:rsid w:val="003517C1"/>
    <w:rsid w:val="003522BF"/>
    <w:rsid w:val="00360497"/>
    <w:rsid w:val="00363486"/>
    <w:rsid w:val="00371BBE"/>
    <w:rsid w:val="003748B2"/>
    <w:rsid w:val="003779B0"/>
    <w:rsid w:val="003A5C1B"/>
    <w:rsid w:val="003B368F"/>
    <w:rsid w:val="003B48AD"/>
    <w:rsid w:val="003B4B32"/>
    <w:rsid w:val="003B63E6"/>
    <w:rsid w:val="003C03C0"/>
    <w:rsid w:val="003C1AF9"/>
    <w:rsid w:val="003C3DEF"/>
    <w:rsid w:val="003C4C7D"/>
    <w:rsid w:val="003D62C8"/>
    <w:rsid w:val="003D7B59"/>
    <w:rsid w:val="003E5250"/>
    <w:rsid w:val="003E54B8"/>
    <w:rsid w:val="004032A4"/>
    <w:rsid w:val="00417313"/>
    <w:rsid w:val="004175C7"/>
    <w:rsid w:val="0041773A"/>
    <w:rsid w:val="004254B7"/>
    <w:rsid w:val="00426CAA"/>
    <w:rsid w:val="00427452"/>
    <w:rsid w:val="00431BA5"/>
    <w:rsid w:val="00444F55"/>
    <w:rsid w:val="004527A3"/>
    <w:rsid w:val="0045510F"/>
    <w:rsid w:val="00457D6A"/>
    <w:rsid w:val="00463009"/>
    <w:rsid w:val="00464EE5"/>
    <w:rsid w:val="00467621"/>
    <w:rsid w:val="004723EE"/>
    <w:rsid w:val="00480756"/>
    <w:rsid w:val="0048265C"/>
    <w:rsid w:val="00485E7A"/>
    <w:rsid w:val="00486867"/>
    <w:rsid w:val="004A0557"/>
    <w:rsid w:val="004A4F30"/>
    <w:rsid w:val="004A71D7"/>
    <w:rsid w:val="004B0D5D"/>
    <w:rsid w:val="004B4F25"/>
    <w:rsid w:val="004C1455"/>
    <w:rsid w:val="004C24BA"/>
    <w:rsid w:val="004C4C20"/>
    <w:rsid w:val="004D30B5"/>
    <w:rsid w:val="004E71F6"/>
    <w:rsid w:val="004F2BAF"/>
    <w:rsid w:val="004F2FA1"/>
    <w:rsid w:val="004F6D9F"/>
    <w:rsid w:val="005009F6"/>
    <w:rsid w:val="00502CCB"/>
    <w:rsid w:val="00505F9F"/>
    <w:rsid w:val="005244A4"/>
    <w:rsid w:val="0052488B"/>
    <w:rsid w:val="00526D06"/>
    <w:rsid w:val="00530F60"/>
    <w:rsid w:val="00532F1D"/>
    <w:rsid w:val="005333A8"/>
    <w:rsid w:val="0054091F"/>
    <w:rsid w:val="00541F4D"/>
    <w:rsid w:val="00560CDA"/>
    <w:rsid w:val="005622C7"/>
    <w:rsid w:val="00566FE2"/>
    <w:rsid w:val="005711AE"/>
    <w:rsid w:val="005735AC"/>
    <w:rsid w:val="00591166"/>
    <w:rsid w:val="00593761"/>
    <w:rsid w:val="0059457E"/>
    <w:rsid w:val="00595EC6"/>
    <w:rsid w:val="005A0CAB"/>
    <w:rsid w:val="005A56A7"/>
    <w:rsid w:val="005A7223"/>
    <w:rsid w:val="005B5CCE"/>
    <w:rsid w:val="005B7000"/>
    <w:rsid w:val="005C0887"/>
    <w:rsid w:val="005C441E"/>
    <w:rsid w:val="005C51D1"/>
    <w:rsid w:val="005D17D5"/>
    <w:rsid w:val="005D2563"/>
    <w:rsid w:val="005D6A04"/>
    <w:rsid w:val="005E3D63"/>
    <w:rsid w:val="005F2374"/>
    <w:rsid w:val="00602F9A"/>
    <w:rsid w:val="006124E3"/>
    <w:rsid w:val="00613C95"/>
    <w:rsid w:val="00615EE9"/>
    <w:rsid w:val="00620205"/>
    <w:rsid w:val="00622C41"/>
    <w:rsid w:val="00637087"/>
    <w:rsid w:val="00642E67"/>
    <w:rsid w:val="006442E6"/>
    <w:rsid w:val="00651A66"/>
    <w:rsid w:val="006618B3"/>
    <w:rsid w:val="00671EDE"/>
    <w:rsid w:val="006720A7"/>
    <w:rsid w:val="00673AF7"/>
    <w:rsid w:val="00677122"/>
    <w:rsid w:val="006803CB"/>
    <w:rsid w:val="00682632"/>
    <w:rsid w:val="00693848"/>
    <w:rsid w:val="00693C27"/>
    <w:rsid w:val="006957B1"/>
    <w:rsid w:val="006968BA"/>
    <w:rsid w:val="006A259F"/>
    <w:rsid w:val="006A3680"/>
    <w:rsid w:val="006A5849"/>
    <w:rsid w:val="006A6BD1"/>
    <w:rsid w:val="006A7710"/>
    <w:rsid w:val="006B1DB9"/>
    <w:rsid w:val="006B1DC9"/>
    <w:rsid w:val="006B2AD2"/>
    <w:rsid w:val="006B2B2E"/>
    <w:rsid w:val="006B4B72"/>
    <w:rsid w:val="006C05DE"/>
    <w:rsid w:val="006C578C"/>
    <w:rsid w:val="006C6511"/>
    <w:rsid w:val="006F634A"/>
    <w:rsid w:val="00702F4D"/>
    <w:rsid w:val="007044A7"/>
    <w:rsid w:val="007071B2"/>
    <w:rsid w:val="00710147"/>
    <w:rsid w:val="0071078A"/>
    <w:rsid w:val="007112FF"/>
    <w:rsid w:val="00714EA9"/>
    <w:rsid w:val="00716B5D"/>
    <w:rsid w:val="00737562"/>
    <w:rsid w:val="007400D4"/>
    <w:rsid w:val="00740483"/>
    <w:rsid w:val="0074313A"/>
    <w:rsid w:val="00743E58"/>
    <w:rsid w:val="007545DB"/>
    <w:rsid w:val="00755252"/>
    <w:rsid w:val="007561F4"/>
    <w:rsid w:val="00773E2D"/>
    <w:rsid w:val="007754F3"/>
    <w:rsid w:val="00775BFA"/>
    <w:rsid w:val="007855D4"/>
    <w:rsid w:val="00786538"/>
    <w:rsid w:val="0079065C"/>
    <w:rsid w:val="0079367F"/>
    <w:rsid w:val="00796CC8"/>
    <w:rsid w:val="007A0F4F"/>
    <w:rsid w:val="007A1DCC"/>
    <w:rsid w:val="007B1EF6"/>
    <w:rsid w:val="007B2736"/>
    <w:rsid w:val="007C066E"/>
    <w:rsid w:val="007C1285"/>
    <w:rsid w:val="007C13DB"/>
    <w:rsid w:val="007C7B20"/>
    <w:rsid w:val="007C7CB1"/>
    <w:rsid w:val="007D0A1C"/>
    <w:rsid w:val="007D2389"/>
    <w:rsid w:val="007F3193"/>
    <w:rsid w:val="007F32F7"/>
    <w:rsid w:val="007F545E"/>
    <w:rsid w:val="007F7D92"/>
    <w:rsid w:val="00801A91"/>
    <w:rsid w:val="00805483"/>
    <w:rsid w:val="00805B3F"/>
    <w:rsid w:val="00811DD7"/>
    <w:rsid w:val="0081584C"/>
    <w:rsid w:val="008158BE"/>
    <w:rsid w:val="00815EB9"/>
    <w:rsid w:val="00822C63"/>
    <w:rsid w:val="008246F7"/>
    <w:rsid w:val="00824C98"/>
    <w:rsid w:val="00834E92"/>
    <w:rsid w:val="008353F6"/>
    <w:rsid w:val="00835554"/>
    <w:rsid w:val="00836E08"/>
    <w:rsid w:val="00841E4D"/>
    <w:rsid w:val="008451D5"/>
    <w:rsid w:val="008525FD"/>
    <w:rsid w:val="0085410C"/>
    <w:rsid w:val="00877023"/>
    <w:rsid w:val="00891ED3"/>
    <w:rsid w:val="008949C4"/>
    <w:rsid w:val="008A401B"/>
    <w:rsid w:val="008A4642"/>
    <w:rsid w:val="008B4EA7"/>
    <w:rsid w:val="008B66D2"/>
    <w:rsid w:val="008C29B5"/>
    <w:rsid w:val="008C3859"/>
    <w:rsid w:val="008C4636"/>
    <w:rsid w:val="008C7CB2"/>
    <w:rsid w:val="008D6114"/>
    <w:rsid w:val="008E6560"/>
    <w:rsid w:val="008E6F00"/>
    <w:rsid w:val="008F713C"/>
    <w:rsid w:val="009038C4"/>
    <w:rsid w:val="0090441C"/>
    <w:rsid w:val="0091587C"/>
    <w:rsid w:val="00920785"/>
    <w:rsid w:val="00923C65"/>
    <w:rsid w:val="009241F8"/>
    <w:rsid w:val="00926017"/>
    <w:rsid w:val="00931A3B"/>
    <w:rsid w:val="00935707"/>
    <w:rsid w:val="00935E73"/>
    <w:rsid w:val="00941B44"/>
    <w:rsid w:val="009541B3"/>
    <w:rsid w:val="0095457B"/>
    <w:rsid w:val="00955BD6"/>
    <w:rsid w:val="009565A8"/>
    <w:rsid w:val="00972810"/>
    <w:rsid w:val="00973794"/>
    <w:rsid w:val="00973EAB"/>
    <w:rsid w:val="00976749"/>
    <w:rsid w:val="009863AD"/>
    <w:rsid w:val="00987DB4"/>
    <w:rsid w:val="00996A69"/>
    <w:rsid w:val="009A30F8"/>
    <w:rsid w:val="009A5275"/>
    <w:rsid w:val="009A7F49"/>
    <w:rsid w:val="009C05A7"/>
    <w:rsid w:val="009C4D46"/>
    <w:rsid w:val="009C6E97"/>
    <w:rsid w:val="009D10F5"/>
    <w:rsid w:val="009F3E40"/>
    <w:rsid w:val="00A01EB7"/>
    <w:rsid w:val="00A021C8"/>
    <w:rsid w:val="00A03A5B"/>
    <w:rsid w:val="00A06799"/>
    <w:rsid w:val="00A07721"/>
    <w:rsid w:val="00A1182E"/>
    <w:rsid w:val="00A12C40"/>
    <w:rsid w:val="00A149FB"/>
    <w:rsid w:val="00A22253"/>
    <w:rsid w:val="00A37885"/>
    <w:rsid w:val="00A457AE"/>
    <w:rsid w:val="00A73584"/>
    <w:rsid w:val="00A75B70"/>
    <w:rsid w:val="00A77C2B"/>
    <w:rsid w:val="00A90BC9"/>
    <w:rsid w:val="00AA168A"/>
    <w:rsid w:val="00AA2AF4"/>
    <w:rsid w:val="00AA3830"/>
    <w:rsid w:val="00AB2B83"/>
    <w:rsid w:val="00AC3F84"/>
    <w:rsid w:val="00AC79EE"/>
    <w:rsid w:val="00AD1D99"/>
    <w:rsid w:val="00AD46F2"/>
    <w:rsid w:val="00AD478B"/>
    <w:rsid w:val="00AD7F0B"/>
    <w:rsid w:val="00AE0F0E"/>
    <w:rsid w:val="00AE2906"/>
    <w:rsid w:val="00AE40C3"/>
    <w:rsid w:val="00AE4547"/>
    <w:rsid w:val="00AE64A7"/>
    <w:rsid w:val="00AE6E02"/>
    <w:rsid w:val="00B0155F"/>
    <w:rsid w:val="00B129E9"/>
    <w:rsid w:val="00B1555D"/>
    <w:rsid w:val="00B16C27"/>
    <w:rsid w:val="00B24FB6"/>
    <w:rsid w:val="00B2565C"/>
    <w:rsid w:val="00B27E26"/>
    <w:rsid w:val="00B407D8"/>
    <w:rsid w:val="00B42EF8"/>
    <w:rsid w:val="00B45239"/>
    <w:rsid w:val="00B46AD3"/>
    <w:rsid w:val="00B47BE2"/>
    <w:rsid w:val="00B50BB1"/>
    <w:rsid w:val="00B545D8"/>
    <w:rsid w:val="00B56DD9"/>
    <w:rsid w:val="00B60359"/>
    <w:rsid w:val="00B60F3C"/>
    <w:rsid w:val="00B63EF4"/>
    <w:rsid w:val="00B65350"/>
    <w:rsid w:val="00B664C1"/>
    <w:rsid w:val="00B71385"/>
    <w:rsid w:val="00B71D14"/>
    <w:rsid w:val="00B776A2"/>
    <w:rsid w:val="00B80D48"/>
    <w:rsid w:val="00B8338A"/>
    <w:rsid w:val="00B87BDE"/>
    <w:rsid w:val="00B97291"/>
    <w:rsid w:val="00BA2D01"/>
    <w:rsid w:val="00BA4500"/>
    <w:rsid w:val="00BA56E5"/>
    <w:rsid w:val="00BB5673"/>
    <w:rsid w:val="00BC26FF"/>
    <w:rsid w:val="00BC5E20"/>
    <w:rsid w:val="00BD158C"/>
    <w:rsid w:val="00BE76ED"/>
    <w:rsid w:val="00BF1D67"/>
    <w:rsid w:val="00BF3598"/>
    <w:rsid w:val="00C00EF3"/>
    <w:rsid w:val="00C014D6"/>
    <w:rsid w:val="00C11567"/>
    <w:rsid w:val="00C11820"/>
    <w:rsid w:val="00C14EE7"/>
    <w:rsid w:val="00C1631C"/>
    <w:rsid w:val="00C17272"/>
    <w:rsid w:val="00C20ABA"/>
    <w:rsid w:val="00C25579"/>
    <w:rsid w:val="00C25D87"/>
    <w:rsid w:val="00C26EB3"/>
    <w:rsid w:val="00C475F6"/>
    <w:rsid w:val="00C54351"/>
    <w:rsid w:val="00C55342"/>
    <w:rsid w:val="00C633B8"/>
    <w:rsid w:val="00C65BDA"/>
    <w:rsid w:val="00C66E06"/>
    <w:rsid w:val="00C7148A"/>
    <w:rsid w:val="00C7203E"/>
    <w:rsid w:val="00C720C7"/>
    <w:rsid w:val="00C72AB2"/>
    <w:rsid w:val="00C72AF8"/>
    <w:rsid w:val="00C77494"/>
    <w:rsid w:val="00C80B42"/>
    <w:rsid w:val="00C91C8A"/>
    <w:rsid w:val="00C94712"/>
    <w:rsid w:val="00CA0A9D"/>
    <w:rsid w:val="00CA4151"/>
    <w:rsid w:val="00CA599A"/>
    <w:rsid w:val="00CB1E02"/>
    <w:rsid w:val="00CB6D3F"/>
    <w:rsid w:val="00CC0501"/>
    <w:rsid w:val="00CC394B"/>
    <w:rsid w:val="00CD0339"/>
    <w:rsid w:val="00CD18E3"/>
    <w:rsid w:val="00CD33A9"/>
    <w:rsid w:val="00CD356E"/>
    <w:rsid w:val="00CE3BC5"/>
    <w:rsid w:val="00CE78DB"/>
    <w:rsid w:val="00CF136F"/>
    <w:rsid w:val="00CF38A7"/>
    <w:rsid w:val="00CF58EF"/>
    <w:rsid w:val="00D0211C"/>
    <w:rsid w:val="00D02652"/>
    <w:rsid w:val="00D145B5"/>
    <w:rsid w:val="00D208B9"/>
    <w:rsid w:val="00D22A71"/>
    <w:rsid w:val="00D22F60"/>
    <w:rsid w:val="00D23677"/>
    <w:rsid w:val="00D27CF1"/>
    <w:rsid w:val="00D35917"/>
    <w:rsid w:val="00D415B2"/>
    <w:rsid w:val="00D427F4"/>
    <w:rsid w:val="00D47F86"/>
    <w:rsid w:val="00D53904"/>
    <w:rsid w:val="00D542D5"/>
    <w:rsid w:val="00D56D18"/>
    <w:rsid w:val="00D67804"/>
    <w:rsid w:val="00D8415B"/>
    <w:rsid w:val="00D8415C"/>
    <w:rsid w:val="00D97DB7"/>
    <w:rsid w:val="00DA0A0C"/>
    <w:rsid w:val="00DA23A1"/>
    <w:rsid w:val="00DB0271"/>
    <w:rsid w:val="00DB05C0"/>
    <w:rsid w:val="00DB0FCA"/>
    <w:rsid w:val="00DB2E37"/>
    <w:rsid w:val="00DB390E"/>
    <w:rsid w:val="00DB74BF"/>
    <w:rsid w:val="00DC1879"/>
    <w:rsid w:val="00DC2693"/>
    <w:rsid w:val="00DC4DC5"/>
    <w:rsid w:val="00DD3329"/>
    <w:rsid w:val="00DD6D77"/>
    <w:rsid w:val="00DE6BF2"/>
    <w:rsid w:val="00DF02D3"/>
    <w:rsid w:val="00DF3B59"/>
    <w:rsid w:val="00DF7CD9"/>
    <w:rsid w:val="00E01B11"/>
    <w:rsid w:val="00E03954"/>
    <w:rsid w:val="00E11366"/>
    <w:rsid w:val="00E120C1"/>
    <w:rsid w:val="00E1673A"/>
    <w:rsid w:val="00E24DA0"/>
    <w:rsid w:val="00E26CBC"/>
    <w:rsid w:val="00E32862"/>
    <w:rsid w:val="00E32E91"/>
    <w:rsid w:val="00E330A1"/>
    <w:rsid w:val="00E33143"/>
    <w:rsid w:val="00E377F3"/>
    <w:rsid w:val="00E4028D"/>
    <w:rsid w:val="00E42631"/>
    <w:rsid w:val="00E44218"/>
    <w:rsid w:val="00E450C3"/>
    <w:rsid w:val="00E61EBF"/>
    <w:rsid w:val="00E6492E"/>
    <w:rsid w:val="00E67B4F"/>
    <w:rsid w:val="00E71410"/>
    <w:rsid w:val="00E75DCD"/>
    <w:rsid w:val="00E80E4E"/>
    <w:rsid w:val="00E8135F"/>
    <w:rsid w:val="00E84291"/>
    <w:rsid w:val="00E8501C"/>
    <w:rsid w:val="00E8627A"/>
    <w:rsid w:val="00E97497"/>
    <w:rsid w:val="00EA2C96"/>
    <w:rsid w:val="00EB09EE"/>
    <w:rsid w:val="00EB0C90"/>
    <w:rsid w:val="00EB3202"/>
    <w:rsid w:val="00EC4FA3"/>
    <w:rsid w:val="00EC5901"/>
    <w:rsid w:val="00ED539C"/>
    <w:rsid w:val="00EE0A26"/>
    <w:rsid w:val="00EE33A8"/>
    <w:rsid w:val="00EE608B"/>
    <w:rsid w:val="00EF5843"/>
    <w:rsid w:val="00EF5EAA"/>
    <w:rsid w:val="00EF6863"/>
    <w:rsid w:val="00F01D06"/>
    <w:rsid w:val="00F0640C"/>
    <w:rsid w:val="00F111AC"/>
    <w:rsid w:val="00F150F4"/>
    <w:rsid w:val="00F170A3"/>
    <w:rsid w:val="00F20801"/>
    <w:rsid w:val="00F34D6D"/>
    <w:rsid w:val="00F52F13"/>
    <w:rsid w:val="00F60F15"/>
    <w:rsid w:val="00F657BC"/>
    <w:rsid w:val="00F74913"/>
    <w:rsid w:val="00F768B6"/>
    <w:rsid w:val="00F8283D"/>
    <w:rsid w:val="00F8636D"/>
    <w:rsid w:val="00FA1200"/>
    <w:rsid w:val="00FA7852"/>
    <w:rsid w:val="00FB0468"/>
    <w:rsid w:val="00FB0BD7"/>
    <w:rsid w:val="00FB25FC"/>
    <w:rsid w:val="00FC0163"/>
    <w:rsid w:val="00FC031E"/>
    <w:rsid w:val="00FC08BB"/>
    <w:rsid w:val="00FD5C83"/>
    <w:rsid w:val="00FD731C"/>
    <w:rsid w:val="00FE3926"/>
    <w:rsid w:val="00FE3B1F"/>
    <w:rsid w:val="00FE7943"/>
    <w:rsid w:val="00FF2A74"/>
    <w:rsid w:val="00FF2A8A"/>
    <w:rsid w:val="00FF3F91"/>
    <w:rsid w:val="010C3239"/>
    <w:rsid w:val="01BA1962"/>
    <w:rsid w:val="021F3DE3"/>
    <w:rsid w:val="02262316"/>
    <w:rsid w:val="04C837E3"/>
    <w:rsid w:val="05003A67"/>
    <w:rsid w:val="054B0CA7"/>
    <w:rsid w:val="05ED35C6"/>
    <w:rsid w:val="07BF12C2"/>
    <w:rsid w:val="08426019"/>
    <w:rsid w:val="0862434F"/>
    <w:rsid w:val="08833D13"/>
    <w:rsid w:val="089B6330"/>
    <w:rsid w:val="089E59F2"/>
    <w:rsid w:val="09A84666"/>
    <w:rsid w:val="0A1E592A"/>
    <w:rsid w:val="0A3F005D"/>
    <w:rsid w:val="0B981909"/>
    <w:rsid w:val="0CC0267A"/>
    <w:rsid w:val="0CF74D52"/>
    <w:rsid w:val="0D6C46C5"/>
    <w:rsid w:val="0D7A34F2"/>
    <w:rsid w:val="0DF04F6A"/>
    <w:rsid w:val="0F603EC7"/>
    <w:rsid w:val="0FCA38F7"/>
    <w:rsid w:val="101C7A12"/>
    <w:rsid w:val="10360BDB"/>
    <w:rsid w:val="10F20DDB"/>
    <w:rsid w:val="11B54004"/>
    <w:rsid w:val="121E35DA"/>
    <w:rsid w:val="126F15CC"/>
    <w:rsid w:val="12A84826"/>
    <w:rsid w:val="13270D7A"/>
    <w:rsid w:val="13981B92"/>
    <w:rsid w:val="141D3BF6"/>
    <w:rsid w:val="147F623C"/>
    <w:rsid w:val="148574B1"/>
    <w:rsid w:val="15082F2C"/>
    <w:rsid w:val="159D1783"/>
    <w:rsid w:val="15FB3B4C"/>
    <w:rsid w:val="16361783"/>
    <w:rsid w:val="163F0F8C"/>
    <w:rsid w:val="16641AD7"/>
    <w:rsid w:val="17DC4231"/>
    <w:rsid w:val="17FD7FE9"/>
    <w:rsid w:val="18AB3604"/>
    <w:rsid w:val="19244233"/>
    <w:rsid w:val="1B142779"/>
    <w:rsid w:val="1BB06A65"/>
    <w:rsid w:val="1C107378"/>
    <w:rsid w:val="1C5B26B7"/>
    <w:rsid w:val="1C7B7E6C"/>
    <w:rsid w:val="1CBD4E6A"/>
    <w:rsid w:val="1CBE5C4A"/>
    <w:rsid w:val="1D572F44"/>
    <w:rsid w:val="1DEC53A2"/>
    <w:rsid w:val="1DF63B37"/>
    <w:rsid w:val="1E22276C"/>
    <w:rsid w:val="1E3845A0"/>
    <w:rsid w:val="1EA81652"/>
    <w:rsid w:val="1F0922F9"/>
    <w:rsid w:val="1FF2010B"/>
    <w:rsid w:val="20163B31"/>
    <w:rsid w:val="20A948B9"/>
    <w:rsid w:val="21266F76"/>
    <w:rsid w:val="21B90A56"/>
    <w:rsid w:val="22251234"/>
    <w:rsid w:val="22CD592C"/>
    <w:rsid w:val="230D1610"/>
    <w:rsid w:val="23593C8E"/>
    <w:rsid w:val="235C063D"/>
    <w:rsid w:val="23927236"/>
    <w:rsid w:val="23C50DBF"/>
    <w:rsid w:val="249F6523"/>
    <w:rsid w:val="24AB6DC1"/>
    <w:rsid w:val="2537799C"/>
    <w:rsid w:val="2582255C"/>
    <w:rsid w:val="25B378DB"/>
    <w:rsid w:val="26366D55"/>
    <w:rsid w:val="276B793B"/>
    <w:rsid w:val="27CC2E58"/>
    <w:rsid w:val="28021134"/>
    <w:rsid w:val="281E60C5"/>
    <w:rsid w:val="28233866"/>
    <w:rsid w:val="28F22C3A"/>
    <w:rsid w:val="29C0238E"/>
    <w:rsid w:val="2A172D9D"/>
    <w:rsid w:val="2A767C4D"/>
    <w:rsid w:val="2A82434C"/>
    <w:rsid w:val="2AD908DC"/>
    <w:rsid w:val="2AFA300F"/>
    <w:rsid w:val="2CE53B97"/>
    <w:rsid w:val="2D9B3963"/>
    <w:rsid w:val="2E070435"/>
    <w:rsid w:val="2E755845"/>
    <w:rsid w:val="2F4F0079"/>
    <w:rsid w:val="2F817004"/>
    <w:rsid w:val="2FBB5B5C"/>
    <w:rsid w:val="2FD9172D"/>
    <w:rsid w:val="30A91F61"/>
    <w:rsid w:val="31595641"/>
    <w:rsid w:val="31A65BBC"/>
    <w:rsid w:val="326E79FE"/>
    <w:rsid w:val="32923106"/>
    <w:rsid w:val="32B77BAB"/>
    <w:rsid w:val="33964F33"/>
    <w:rsid w:val="34234796"/>
    <w:rsid w:val="342F490F"/>
    <w:rsid w:val="35121EA0"/>
    <w:rsid w:val="3569702C"/>
    <w:rsid w:val="35A87E15"/>
    <w:rsid w:val="35CE0055"/>
    <w:rsid w:val="38764AB1"/>
    <w:rsid w:val="38AC7189"/>
    <w:rsid w:val="39255B4E"/>
    <w:rsid w:val="392B63C5"/>
    <w:rsid w:val="39646BB2"/>
    <w:rsid w:val="398648EE"/>
    <w:rsid w:val="39AB0A8E"/>
    <w:rsid w:val="3A636014"/>
    <w:rsid w:val="3AE138A5"/>
    <w:rsid w:val="3B360A97"/>
    <w:rsid w:val="3B8E0546"/>
    <w:rsid w:val="3BD00FAF"/>
    <w:rsid w:val="3BE556D1"/>
    <w:rsid w:val="3C0D7B2A"/>
    <w:rsid w:val="3C4B235B"/>
    <w:rsid w:val="3DDD6ADE"/>
    <w:rsid w:val="3F551B76"/>
    <w:rsid w:val="3FD12EC0"/>
    <w:rsid w:val="400D1324"/>
    <w:rsid w:val="4039566C"/>
    <w:rsid w:val="406F7D44"/>
    <w:rsid w:val="41EC57C6"/>
    <w:rsid w:val="42167EF0"/>
    <w:rsid w:val="42D42DE0"/>
    <w:rsid w:val="433B14DC"/>
    <w:rsid w:val="43661FA0"/>
    <w:rsid w:val="43A8628C"/>
    <w:rsid w:val="44101D61"/>
    <w:rsid w:val="44293363"/>
    <w:rsid w:val="44605A3B"/>
    <w:rsid w:val="44DC0C08"/>
    <w:rsid w:val="4565444A"/>
    <w:rsid w:val="461149EA"/>
    <w:rsid w:val="474D5189"/>
    <w:rsid w:val="47CD19B4"/>
    <w:rsid w:val="48B97B6B"/>
    <w:rsid w:val="498E002D"/>
    <w:rsid w:val="49B83F7E"/>
    <w:rsid w:val="49CD3F23"/>
    <w:rsid w:val="4AE820F1"/>
    <w:rsid w:val="4BFF2F3E"/>
    <w:rsid w:val="4C5A7A5E"/>
    <w:rsid w:val="4CD17A13"/>
    <w:rsid w:val="4DD51840"/>
    <w:rsid w:val="4DF57B76"/>
    <w:rsid w:val="4E560AE9"/>
    <w:rsid w:val="4EB61400"/>
    <w:rsid w:val="4EB95335"/>
    <w:rsid w:val="4F7C0E54"/>
    <w:rsid w:val="4FBD38DE"/>
    <w:rsid w:val="4FDD1C15"/>
    <w:rsid w:val="506B4CFC"/>
    <w:rsid w:val="513D08D8"/>
    <w:rsid w:val="51675C48"/>
    <w:rsid w:val="52B513BE"/>
    <w:rsid w:val="52CA1363"/>
    <w:rsid w:val="53976676"/>
    <w:rsid w:val="54055521"/>
    <w:rsid w:val="542125BD"/>
    <w:rsid w:val="54FF3501"/>
    <w:rsid w:val="55984E1C"/>
    <w:rsid w:val="55A2465C"/>
    <w:rsid w:val="56AC7E5A"/>
    <w:rsid w:val="570955BE"/>
    <w:rsid w:val="57481215"/>
    <w:rsid w:val="57B66EF2"/>
    <w:rsid w:val="59833FEA"/>
    <w:rsid w:val="59C70A88"/>
    <w:rsid w:val="5A774812"/>
    <w:rsid w:val="5B715A14"/>
    <w:rsid w:val="5BD347B4"/>
    <w:rsid w:val="5C2A51C2"/>
    <w:rsid w:val="5D04644D"/>
    <w:rsid w:val="5D283630"/>
    <w:rsid w:val="5D433711"/>
    <w:rsid w:val="5D9B3D9F"/>
    <w:rsid w:val="5EF2716B"/>
    <w:rsid w:val="60902D9A"/>
    <w:rsid w:val="60E96A0A"/>
    <w:rsid w:val="614A6EDC"/>
    <w:rsid w:val="62AB38FB"/>
    <w:rsid w:val="63483071"/>
    <w:rsid w:val="63927F9B"/>
    <w:rsid w:val="646615ED"/>
    <w:rsid w:val="64C770EE"/>
    <w:rsid w:val="64E32E12"/>
    <w:rsid w:val="65B456E9"/>
    <w:rsid w:val="66CD3C37"/>
    <w:rsid w:val="67041B93"/>
    <w:rsid w:val="67873066"/>
    <w:rsid w:val="68375425"/>
    <w:rsid w:val="68762CF7"/>
    <w:rsid w:val="68AB31C8"/>
    <w:rsid w:val="68B51559"/>
    <w:rsid w:val="690C1F68"/>
    <w:rsid w:val="697A397A"/>
    <w:rsid w:val="6A3D00DC"/>
    <w:rsid w:val="6AB3359E"/>
    <w:rsid w:val="6B62463B"/>
    <w:rsid w:val="6B664AD7"/>
    <w:rsid w:val="6B7A1CE2"/>
    <w:rsid w:val="6BC27E90"/>
    <w:rsid w:val="6BDA11A2"/>
    <w:rsid w:val="6C370890"/>
    <w:rsid w:val="6C7125E5"/>
    <w:rsid w:val="6C7F37F2"/>
    <w:rsid w:val="6CCF5308"/>
    <w:rsid w:val="6DAD2EFB"/>
    <w:rsid w:val="6DEF18C9"/>
    <w:rsid w:val="6DF8337A"/>
    <w:rsid w:val="6EC818B3"/>
    <w:rsid w:val="6EE75201"/>
    <w:rsid w:val="6FCB0CF7"/>
    <w:rsid w:val="72617A36"/>
    <w:rsid w:val="73854316"/>
    <w:rsid w:val="73D309B0"/>
    <w:rsid w:val="73DD49A4"/>
    <w:rsid w:val="7427728F"/>
    <w:rsid w:val="74E267D1"/>
    <w:rsid w:val="750128BD"/>
    <w:rsid w:val="75A44310"/>
    <w:rsid w:val="75B625F8"/>
    <w:rsid w:val="75E605FD"/>
    <w:rsid w:val="76923136"/>
    <w:rsid w:val="769E4528"/>
    <w:rsid w:val="77835A9F"/>
    <w:rsid w:val="77CA634C"/>
    <w:rsid w:val="77FA69E3"/>
    <w:rsid w:val="782F143B"/>
    <w:rsid w:val="7850348B"/>
    <w:rsid w:val="78715728"/>
    <w:rsid w:val="78774500"/>
    <w:rsid w:val="7A385459"/>
    <w:rsid w:val="7BB42002"/>
    <w:rsid w:val="7C2B0D47"/>
    <w:rsid w:val="7C2D09C7"/>
    <w:rsid w:val="7CFA011A"/>
    <w:rsid w:val="7E566D52"/>
    <w:rsid w:val="7E6B5A6E"/>
    <w:rsid w:val="7EBF4365"/>
    <w:rsid w:val="7F656F0F"/>
    <w:rsid w:val="7F6C502A"/>
    <w:rsid w:val="7F8F2DED"/>
    <w:rsid w:val="7FF83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3"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outlineLvl w:val="0"/>
    </w:pPr>
    <w:rPr>
      <w:rFonts w:eastAsia="黑体"/>
      <w:b/>
      <w:kern w:val="44"/>
    </w:rPr>
  </w:style>
  <w:style w:type="paragraph" w:styleId="3">
    <w:name w:val="heading 2"/>
    <w:basedOn w:val="1"/>
    <w:next w:val="1"/>
    <w:link w:val="100"/>
    <w:unhideWhenUsed/>
    <w:qFormat/>
    <w:uiPriority w:val="9"/>
    <w:pPr>
      <w:keepNext/>
      <w:keepLines/>
      <w:outlineLvl w:val="1"/>
    </w:pPr>
    <w:rPr>
      <w:rFonts w:ascii="Arial" w:hAnsi="Arial" w:eastAsia="楷体_GB2312"/>
      <w:b/>
    </w:rPr>
  </w:style>
  <w:style w:type="paragraph" w:styleId="4">
    <w:name w:val="heading 3"/>
    <w:basedOn w:val="1"/>
    <w:next w:val="1"/>
    <w:link w:val="101"/>
    <w:unhideWhenUsed/>
    <w:qFormat/>
    <w:uiPriority w:val="9"/>
    <w:pPr>
      <w:keepNext/>
      <w:keepLines/>
      <w:outlineLvl w:val="2"/>
    </w:pPr>
    <w:rPr>
      <w: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unhideWhenUsed/>
    <w:qFormat/>
    <w:uiPriority w:val="99"/>
    <w:pPr>
      <w:jc w:val="left"/>
    </w:pPr>
  </w:style>
  <w:style w:type="paragraph" w:styleId="6">
    <w:name w:val="Balloon Text"/>
    <w:basedOn w:val="1"/>
    <w:link w:val="38"/>
    <w:unhideWhenUsed/>
    <w:qFormat/>
    <w:uiPriority w:val="99"/>
    <w:rPr>
      <w:sz w:val="18"/>
      <w:szCs w:val="18"/>
    </w:rPr>
  </w:style>
  <w:style w:type="paragraph" w:styleId="7">
    <w:name w:val="footer"/>
    <w:basedOn w:val="1"/>
    <w:link w:val="98"/>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unhideWhenUsed/>
    <w:qFormat/>
    <w:uiPriority w:val="99"/>
    <w:pPr>
      <w:snapToGrid w:val="0"/>
      <w:jc w:val="left"/>
    </w:pPr>
    <w:rPr>
      <w:sz w:val="18"/>
    </w:rPr>
  </w:style>
  <w:style w:type="paragraph" w:styleId="10">
    <w:name w:val="Normal (Web)"/>
    <w:basedOn w:val="1"/>
    <w:unhideWhenUsed/>
    <w:qFormat/>
    <w:uiPriority w:val="99"/>
    <w:pPr>
      <w:spacing w:before="100" w:beforeAutospacing="1" w:after="100" w:afterAutospacing="1"/>
      <w:jc w:val="left"/>
    </w:pPr>
    <w:rPr>
      <w:kern w:val="0"/>
      <w:sz w:val="24"/>
    </w:rPr>
  </w:style>
  <w:style w:type="paragraph" w:styleId="11">
    <w:name w:val="Title"/>
    <w:basedOn w:val="1"/>
    <w:next w:val="1"/>
    <w:link w:val="40"/>
    <w:qFormat/>
    <w:uiPriority w:val="10"/>
    <w:pPr>
      <w:spacing w:before="240" w:after="60"/>
      <w:jc w:val="center"/>
      <w:outlineLvl w:val="0"/>
    </w:pPr>
    <w:rPr>
      <w:rFonts w:asciiTheme="majorHAnsi" w:hAnsiTheme="majorHAnsi" w:cstheme="majorBidi"/>
      <w:b/>
      <w:bCs/>
      <w:szCs w:val="32"/>
    </w:rPr>
  </w:style>
  <w:style w:type="paragraph" w:styleId="12">
    <w:name w:val="annotation subject"/>
    <w:basedOn w:val="5"/>
    <w:next w:val="5"/>
    <w:link w:val="37"/>
    <w:unhideWhenUsed/>
    <w:qFormat/>
    <w:uiPriority w:val="99"/>
    <w:rPr>
      <w:b/>
      <w:bCs/>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style>
  <w:style w:type="character" w:styleId="17">
    <w:name w:val="page number"/>
    <w:basedOn w:val="15"/>
    <w:unhideWhenUsed/>
    <w:qFormat/>
    <w:uiPriority w:val="99"/>
  </w:style>
  <w:style w:type="character" w:styleId="18">
    <w:name w:val="FollowedHyperlink"/>
    <w:unhideWhenUsed/>
    <w:qFormat/>
    <w:uiPriority w:val="99"/>
    <w:rPr>
      <w:color w:val="000000"/>
      <w:u w:val="none"/>
    </w:rPr>
  </w:style>
  <w:style w:type="character" w:styleId="19">
    <w:name w:val="Emphasis"/>
    <w:basedOn w:val="15"/>
    <w:qFormat/>
    <w:uiPriority w:val="20"/>
  </w:style>
  <w:style w:type="character" w:styleId="20">
    <w:name w:val="HTML Definition"/>
    <w:basedOn w:val="15"/>
    <w:unhideWhenUsed/>
    <w:qFormat/>
    <w:uiPriority w:val="99"/>
  </w:style>
  <w:style w:type="character" w:styleId="21">
    <w:name w:val="HTML Acronym"/>
    <w:basedOn w:val="15"/>
    <w:unhideWhenUsed/>
    <w:qFormat/>
    <w:uiPriority w:val="99"/>
  </w:style>
  <w:style w:type="character" w:styleId="22">
    <w:name w:val="HTML Variable"/>
    <w:basedOn w:val="15"/>
    <w:unhideWhenUsed/>
    <w:qFormat/>
    <w:uiPriority w:val="99"/>
  </w:style>
  <w:style w:type="character" w:styleId="23">
    <w:name w:val="Hyperlink"/>
    <w:unhideWhenUsed/>
    <w:qFormat/>
    <w:uiPriority w:val="99"/>
    <w:rPr>
      <w:color w:val="000000"/>
      <w:u w:val="none"/>
    </w:rPr>
  </w:style>
  <w:style w:type="character" w:styleId="24">
    <w:name w:val="HTML Code"/>
    <w:basedOn w:val="15"/>
    <w:unhideWhenUsed/>
    <w:qFormat/>
    <w:uiPriority w:val="99"/>
    <w:rPr>
      <w:rFonts w:ascii="Courier New" w:hAnsi="Courier New"/>
      <w:sz w:val="20"/>
    </w:rPr>
  </w:style>
  <w:style w:type="character" w:styleId="25">
    <w:name w:val="annotation reference"/>
    <w:basedOn w:val="15"/>
    <w:unhideWhenUsed/>
    <w:qFormat/>
    <w:uiPriority w:val="99"/>
    <w:rPr>
      <w:sz w:val="21"/>
      <w:szCs w:val="21"/>
    </w:rPr>
  </w:style>
  <w:style w:type="character" w:styleId="26">
    <w:name w:val="HTML Cite"/>
    <w:basedOn w:val="15"/>
    <w:unhideWhenUsed/>
    <w:qFormat/>
    <w:uiPriority w:val="99"/>
  </w:style>
  <w:style w:type="character" w:styleId="27">
    <w:name w:val="footnote reference"/>
    <w:unhideWhenUsed/>
    <w:qFormat/>
    <w:uiPriority w:val="99"/>
    <w:rPr>
      <w:vertAlign w:val="superscript"/>
    </w:rPr>
  </w:style>
  <w:style w:type="paragraph" w:customStyle="1" w:styleId="28">
    <w:name w:val="样式1"/>
    <w:basedOn w:val="1"/>
    <w:qFormat/>
    <w:uiPriority w:val="0"/>
    <w:pPr>
      <w:spacing w:beforeLines="100" w:afterLines="100"/>
    </w:pPr>
  </w:style>
  <w:style w:type="character" w:customStyle="1" w:styleId="29">
    <w:name w:val="more"/>
    <w:basedOn w:val="15"/>
    <w:qFormat/>
    <w:uiPriority w:val="0"/>
  </w:style>
  <w:style w:type="character" w:customStyle="1" w:styleId="30">
    <w:name w:val="deptpubitem"/>
    <w:basedOn w:val="15"/>
    <w:qFormat/>
    <w:uiPriority w:val="0"/>
  </w:style>
  <w:style w:type="character" w:customStyle="1" w:styleId="31">
    <w:name w:val="bsharetext"/>
    <w:basedOn w:val="15"/>
    <w:qFormat/>
    <w:uiPriority w:val="0"/>
  </w:style>
  <w:style w:type="character" w:customStyle="1" w:styleId="32">
    <w:name w:val="rightlinks"/>
    <w:basedOn w:val="15"/>
    <w:qFormat/>
    <w:uiPriority w:val="0"/>
    <w:rPr>
      <w:sz w:val="18"/>
      <w:szCs w:val="18"/>
    </w:rPr>
  </w:style>
  <w:style w:type="paragraph" w:customStyle="1" w:styleId="33">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34">
    <w:name w:val="Char"/>
    <w:basedOn w:val="1"/>
    <w:next w:val="1"/>
    <w:qFormat/>
    <w:uiPriority w:val="0"/>
    <w:pPr>
      <w:widowControl/>
      <w:spacing w:after="160" w:line="240" w:lineRule="exact"/>
      <w:jc w:val="left"/>
    </w:pPr>
  </w:style>
  <w:style w:type="paragraph" w:customStyle="1" w:styleId="35">
    <w:name w:val="列出段落1"/>
    <w:basedOn w:val="1"/>
    <w:qFormat/>
    <w:uiPriority w:val="99"/>
    <w:pPr>
      <w:ind w:firstLine="420"/>
    </w:pPr>
  </w:style>
  <w:style w:type="character" w:customStyle="1" w:styleId="36">
    <w:name w:val="批注文字 Char"/>
    <w:basedOn w:val="15"/>
    <w:link w:val="5"/>
    <w:qFormat/>
    <w:uiPriority w:val="99"/>
    <w:rPr>
      <w:kern w:val="2"/>
      <w:sz w:val="21"/>
      <w:szCs w:val="24"/>
    </w:rPr>
  </w:style>
  <w:style w:type="character" w:customStyle="1" w:styleId="37">
    <w:name w:val="批注主题 Char"/>
    <w:basedOn w:val="36"/>
    <w:link w:val="12"/>
    <w:semiHidden/>
    <w:qFormat/>
    <w:uiPriority w:val="99"/>
    <w:rPr>
      <w:b/>
      <w:bCs/>
      <w:kern w:val="2"/>
      <w:sz w:val="21"/>
      <w:szCs w:val="24"/>
    </w:rPr>
  </w:style>
  <w:style w:type="character" w:customStyle="1" w:styleId="38">
    <w:name w:val="批注框文本 Char"/>
    <w:basedOn w:val="15"/>
    <w:link w:val="6"/>
    <w:semiHidden/>
    <w:qFormat/>
    <w:uiPriority w:val="99"/>
    <w:rPr>
      <w:kern w:val="2"/>
      <w:sz w:val="18"/>
      <w:szCs w:val="18"/>
    </w:rPr>
  </w:style>
  <w:style w:type="paragraph" w:customStyle="1" w:styleId="3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0">
    <w:name w:val="标题 Char"/>
    <w:basedOn w:val="15"/>
    <w:link w:val="11"/>
    <w:qFormat/>
    <w:uiPriority w:val="10"/>
    <w:rPr>
      <w:rFonts w:asciiTheme="majorHAnsi" w:hAnsiTheme="majorHAnsi" w:cstheme="majorBidi"/>
      <w:b/>
      <w:bCs/>
      <w:kern w:val="2"/>
      <w:sz w:val="32"/>
      <w:szCs w:val="32"/>
    </w:rPr>
  </w:style>
  <w:style w:type="paragraph" w:customStyle="1" w:styleId="4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ascii="仿宋_GB2312" w:hAnsi="宋体" w:cs="宋体"/>
      <w:color w:val="000000"/>
      <w:kern w:val="0"/>
      <w:sz w:val="20"/>
      <w:szCs w:val="20"/>
    </w:rPr>
  </w:style>
  <w:style w:type="paragraph" w:customStyle="1" w:styleId="43">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4">
    <w:name w:val="xl6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cs="宋体"/>
      <w:b/>
      <w:bCs/>
      <w:color w:val="000000"/>
      <w:kern w:val="0"/>
      <w:sz w:val="20"/>
      <w:szCs w:val="20"/>
    </w:rPr>
  </w:style>
  <w:style w:type="paragraph" w:customStyle="1" w:styleId="45">
    <w:name w:val="xl6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cs="宋体"/>
      <w:b/>
      <w:bCs/>
      <w:color w:val="000000"/>
      <w:kern w:val="0"/>
      <w:sz w:val="24"/>
    </w:rPr>
  </w:style>
  <w:style w:type="paragraph" w:customStyle="1" w:styleId="46">
    <w:name w:val="xl70"/>
    <w:basedOn w:val="1"/>
    <w:qFormat/>
    <w:uiPriority w:val="0"/>
    <w:pPr>
      <w:widowControl/>
      <w:pBdr>
        <w:top w:val="single" w:color="auto" w:sz="8" w:space="0"/>
        <w:left w:val="single" w:color="auto" w:sz="8" w:space="0"/>
      </w:pBdr>
      <w:spacing w:before="100" w:beforeAutospacing="1" w:after="100" w:afterAutospacing="1"/>
    </w:pPr>
    <w:rPr>
      <w:rFonts w:ascii="仿宋_GB2312" w:hAnsi="宋体" w:cs="宋体"/>
      <w:color w:val="000000"/>
      <w:kern w:val="0"/>
      <w:sz w:val="20"/>
      <w:szCs w:val="20"/>
    </w:rPr>
  </w:style>
  <w:style w:type="paragraph" w:customStyle="1" w:styleId="47">
    <w:name w:val="xl71"/>
    <w:basedOn w:val="1"/>
    <w:qFormat/>
    <w:uiPriority w:val="0"/>
    <w:pPr>
      <w:widowControl/>
      <w:pBdr>
        <w:left w:val="single" w:color="auto" w:sz="8" w:space="0"/>
        <w:right w:val="single" w:color="auto" w:sz="8" w:space="0"/>
      </w:pBdr>
      <w:spacing w:before="100" w:beforeAutospacing="1" w:after="100" w:afterAutospacing="1"/>
    </w:pPr>
    <w:rPr>
      <w:rFonts w:ascii="仿宋_GB2312" w:hAnsi="宋体" w:cs="宋体"/>
      <w:color w:val="000000"/>
      <w:kern w:val="0"/>
      <w:sz w:val="20"/>
      <w:szCs w:val="20"/>
    </w:rPr>
  </w:style>
  <w:style w:type="paragraph" w:customStyle="1" w:styleId="48">
    <w:name w:val="xl72"/>
    <w:basedOn w:val="1"/>
    <w:qFormat/>
    <w:uiPriority w:val="0"/>
    <w:pPr>
      <w:widowControl/>
      <w:pBdr>
        <w:right w:val="single" w:color="auto" w:sz="8" w:space="0"/>
      </w:pBdr>
      <w:spacing w:before="100" w:beforeAutospacing="1" w:after="100" w:afterAutospacing="1"/>
    </w:pPr>
    <w:rPr>
      <w:rFonts w:ascii="仿宋_GB2312" w:hAnsi="宋体" w:cs="宋体"/>
      <w:color w:val="000000"/>
      <w:kern w:val="0"/>
      <w:sz w:val="20"/>
      <w:szCs w:val="20"/>
    </w:rPr>
  </w:style>
  <w:style w:type="paragraph" w:customStyle="1" w:styleId="49">
    <w:name w:val="xl73"/>
    <w:basedOn w:val="1"/>
    <w:qFormat/>
    <w:uiPriority w:val="0"/>
    <w:pPr>
      <w:widowControl/>
      <w:pBdr>
        <w:bottom w:val="single" w:color="auto" w:sz="8" w:space="0"/>
        <w:right w:val="single" w:color="auto" w:sz="8" w:space="0"/>
      </w:pBdr>
      <w:spacing w:before="100" w:beforeAutospacing="1" w:after="100" w:afterAutospacing="1"/>
    </w:pPr>
    <w:rPr>
      <w:rFonts w:ascii="仿宋_GB2312" w:hAnsi="宋体" w:cs="宋体"/>
      <w:color w:val="000000"/>
      <w:kern w:val="0"/>
      <w:sz w:val="20"/>
      <w:szCs w:val="20"/>
    </w:rPr>
  </w:style>
  <w:style w:type="paragraph" w:customStyle="1" w:styleId="50">
    <w:name w:val="xl74"/>
    <w:basedOn w:val="1"/>
    <w:qFormat/>
    <w:uiPriority w:val="0"/>
    <w:pPr>
      <w:widowControl/>
      <w:spacing w:before="100" w:beforeAutospacing="1" w:after="100" w:afterAutospacing="1"/>
    </w:pPr>
    <w:rPr>
      <w:rFonts w:ascii="仿宋_GB2312" w:hAnsi="宋体" w:cs="宋体"/>
      <w:color w:val="000000"/>
      <w:kern w:val="0"/>
      <w:sz w:val="20"/>
      <w:szCs w:val="20"/>
    </w:rPr>
  </w:style>
  <w:style w:type="paragraph" w:customStyle="1" w:styleId="51">
    <w:name w:val="xl75"/>
    <w:basedOn w:val="1"/>
    <w:qFormat/>
    <w:uiPriority w:val="0"/>
    <w:pPr>
      <w:widowControl/>
      <w:pBdr>
        <w:left w:val="single" w:color="auto" w:sz="8" w:space="0"/>
      </w:pBdr>
      <w:spacing w:before="100" w:beforeAutospacing="1" w:after="100" w:afterAutospacing="1"/>
    </w:pPr>
    <w:rPr>
      <w:rFonts w:ascii="仿宋_GB2312" w:hAnsi="宋体" w:cs="宋体"/>
      <w:color w:val="000000"/>
      <w:kern w:val="0"/>
      <w:sz w:val="20"/>
      <w:szCs w:val="20"/>
    </w:rPr>
  </w:style>
  <w:style w:type="paragraph" w:customStyle="1" w:styleId="52">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仿宋_GB2312" w:hAnsi="宋体" w:cs="宋体"/>
      <w:color w:val="000000"/>
      <w:kern w:val="0"/>
      <w:sz w:val="20"/>
      <w:szCs w:val="20"/>
    </w:rPr>
  </w:style>
  <w:style w:type="paragraph" w:customStyle="1" w:styleId="53">
    <w:name w:val="xl77"/>
    <w:basedOn w:val="1"/>
    <w:qFormat/>
    <w:uiPriority w:val="0"/>
    <w:pPr>
      <w:widowControl/>
      <w:pBdr>
        <w:left w:val="single" w:color="auto" w:sz="8" w:space="0"/>
        <w:bottom w:val="single" w:color="auto" w:sz="8" w:space="0"/>
      </w:pBdr>
      <w:spacing w:before="100" w:beforeAutospacing="1" w:after="100" w:afterAutospacing="1"/>
    </w:pPr>
    <w:rPr>
      <w:rFonts w:ascii="仿宋_GB2312" w:hAnsi="宋体" w:cs="宋体"/>
      <w:color w:val="000000"/>
      <w:kern w:val="0"/>
      <w:sz w:val="20"/>
      <w:szCs w:val="20"/>
    </w:rPr>
  </w:style>
  <w:style w:type="paragraph" w:customStyle="1" w:styleId="54">
    <w:name w:val="xl78"/>
    <w:basedOn w:val="1"/>
    <w:qFormat/>
    <w:uiPriority w:val="0"/>
    <w:pPr>
      <w:widowControl/>
      <w:pBdr>
        <w:bottom w:val="single" w:color="auto" w:sz="8" w:space="0"/>
      </w:pBdr>
      <w:spacing w:before="100" w:beforeAutospacing="1" w:after="100" w:afterAutospacing="1"/>
    </w:pPr>
    <w:rPr>
      <w:rFonts w:ascii="仿宋_GB2312" w:hAnsi="宋体" w:cs="宋体"/>
      <w:color w:val="000000"/>
      <w:kern w:val="0"/>
      <w:sz w:val="20"/>
      <w:szCs w:val="20"/>
    </w:rPr>
  </w:style>
  <w:style w:type="paragraph" w:customStyle="1" w:styleId="55">
    <w:name w:val="xl7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56">
    <w:name w:val="xl80"/>
    <w:basedOn w:val="1"/>
    <w:qFormat/>
    <w:uiPriority w:val="0"/>
    <w:pPr>
      <w:widowControl/>
      <w:pBdr>
        <w:right w:val="single" w:color="auto" w:sz="8" w:space="0"/>
      </w:pBdr>
      <w:spacing w:before="100" w:beforeAutospacing="1" w:after="100" w:afterAutospacing="1"/>
    </w:pPr>
    <w:rPr>
      <w:rFonts w:ascii="仿宋_GB2312" w:hAnsi="宋体" w:cs="宋体"/>
      <w:kern w:val="0"/>
      <w:sz w:val="20"/>
      <w:szCs w:val="20"/>
    </w:rPr>
  </w:style>
  <w:style w:type="paragraph" w:customStyle="1" w:styleId="57">
    <w:name w:val="xl81"/>
    <w:basedOn w:val="1"/>
    <w:qFormat/>
    <w:uiPriority w:val="0"/>
    <w:pPr>
      <w:widowControl/>
      <w:pBdr>
        <w:bottom w:val="single" w:color="000000" w:sz="8" w:space="0"/>
        <w:right w:val="single" w:color="auto" w:sz="8" w:space="0"/>
      </w:pBdr>
      <w:spacing w:before="100" w:beforeAutospacing="1" w:after="100" w:afterAutospacing="1"/>
    </w:pPr>
    <w:rPr>
      <w:rFonts w:ascii="仿宋_GB2312" w:hAnsi="宋体" w:cs="宋体"/>
      <w:kern w:val="0"/>
      <w:sz w:val="20"/>
      <w:szCs w:val="20"/>
    </w:rPr>
  </w:style>
  <w:style w:type="paragraph" w:customStyle="1" w:styleId="58">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仿宋_GB2312" w:hAnsi="宋体" w:cs="宋体"/>
      <w:color w:val="000000"/>
      <w:kern w:val="0"/>
      <w:sz w:val="20"/>
      <w:szCs w:val="20"/>
    </w:rPr>
  </w:style>
  <w:style w:type="paragraph" w:customStyle="1" w:styleId="59">
    <w:name w:val="xl83"/>
    <w:basedOn w:val="1"/>
    <w:qFormat/>
    <w:uiPriority w:val="0"/>
    <w:pPr>
      <w:widowControl/>
      <w:pBdr>
        <w:bottom w:val="single" w:color="000000" w:sz="8" w:space="0"/>
        <w:right w:val="single" w:color="auto" w:sz="8" w:space="0"/>
      </w:pBdr>
      <w:spacing w:before="100" w:beforeAutospacing="1" w:after="100" w:afterAutospacing="1"/>
      <w:jc w:val="left"/>
    </w:pPr>
    <w:rPr>
      <w:rFonts w:ascii="仿宋_GB2312" w:hAnsi="宋体" w:cs="宋体"/>
      <w:kern w:val="0"/>
      <w:sz w:val="20"/>
      <w:szCs w:val="20"/>
    </w:rPr>
  </w:style>
  <w:style w:type="paragraph" w:customStyle="1" w:styleId="60">
    <w:name w:val="xl84"/>
    <w:basedOn w:val="1"/>
    <w:qFormat/>
    <w:uiPriority w:val="0"/>
    <w:pPr>
      <w:widowControl/>
      <w:pBdr>
        <w:bottom w:val="single" w:color="auto" w:sz="8" w:space="0"/>
        <w:right w:val="single" w:color="auto" w:sz="8" w:space="0"/>
      </w:pBdr>
      <w:spacing w:before="100" w:beforeAutospacing="1" w:after="100" w:afterAutospacing="1"/>
      <w:jc w:val="center"/>
    </w:pPr>
    <w:rPr>
      <w:rFonts w:ascii="仿宋_GB2312" w:hAnsi="宋体" w:cs="宋体"/>
      <w:color w:val="000000"/>
      <w:kern w:val="0"/>
      <w:sz w:val="20"/>
      <w:szCs w:val="20"/>
    </w:rPr>
  </w:style>
  <w:style w:type="paragraph" w:customStyle="1" w:styleId="61">
    <w:name w:val="xl8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2">
    <w:name w:val="xl8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63">
    <w:name w:val="xl87"/>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64">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65">
    <w:name w:val="xl89"/>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24"/>
    </w:rPr>
  </w:style>
  <w:style w:type="paragraph" w:customStyle="1" w:styleId="66">
    <w:name w:val="xl90"/>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 w:val="24"/>
    </w:rPr>
  </w:style>
  <w:style w:type="paragraph" w:customStyle="1" w:styleId="67">
    <w:name w:val="xl9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68">
    <w:name w:val="xl9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cs="宋体"/>
      <w:color w:val="000000"/>
      <w:kern w:val="0"/>
      <w:sz w:val="20"/>
      <w:szCs w:val="20"/>
    </w:rPr>
  </w:style>
  <w:style w:type="paragraph" w:customStyle="1" w:styleId="69">
    <w:name w:val="xl93"/>
    <w:basedOn w:val="1"/>
    <w:qFormat/>
    <w:uiPriority w:val="0"/>
    <w:pPr>
      <w:widowControl/>
      <w:pBdr>
        <w:left w:val="single" w:color="auto" w:sz="8" w:space="0"/>
        <w:right w:val="single" w:color="auto" w:sz="8" w:space="0"/>
      </w:pBdr>
      <w:spacing w:before="100" w:beforeAutospacing="1" w:after="100" w:afterAutospacing="1"/>
      <w:jc w:val="center"/>
    </w:pPr>
    <w:rPr>
      <w:rFonts w:ascii="仿宋_GB2312" w:hAnsi="宋体" w:cs="宋体"/>
      <w:color w:val="000000"/>
      <w:kern w:val="0"/>
      <w:sz w:val="20"/>
      <w:szCs w:val="20"/>
    </w:rPr>
  </w:style>
  <w:style w:type="paragraph" w:customStyle="1" w:styleId="70">
    <w:name w:val="xl9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仿宋_GB2312" w:hAnsi="宋体" w:cs="宋体"/>
      <w:color w:val="000000"/>
      <w:kern w:val="0"/>
      <w:sz w:val="20"/>
      <w:szCs w:val="20"/>
    </w:rPr>
  </w:style>
  <w:style w:type="paragraph" w:customStyle="1" w:styleId="71">
    <w:name w:val="xl95"/>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pPr>
    <w:rPr>
      <w:rFonts w:ascii="仿宋_GB2312" w:hAnsi="宋体" w:cs="宋体"/>
      <w:color w:val="000000"/>
      <w:kern w:val="0"/>
      <w:sz w:val="20"/>
      <w:szCs w:val="20"/>
    </w:rPr>
  </w:style>
  <w:style w:type="paragraph" w:customStyle="1" w:styleId="72">
    <w:name w:val="xl96"/>
    <w:basedOn w:val="1"/>
    <w:qFormat/>
    <w:uiPriority w:val="0"/>
    <w:pPr>
      <w:widowControl/>
      <w:pBdr>
        <w:top w:val="single" w:color="000000" w:sz="8" w:space="0"/>
        <w:left w:val="single" w:color="auto" w:sz="8" w:space="0"/>
        <w:right w:val="single" w:color="auto" w:sz="8" w:space="0"/>
      </w:pBdr>
      <w:spacing w:before="100" w:beforeAutospacing="1" w:after="100" w:afterAutospacing="1"/>
    </w:pPr>
    <w:rPr>
      <w:rFonts w:ascii="仿宋_GB2312" w:hAnsi="宋体" w:cs="宋体"/>
      <w:color w:val="000000"/>
      <w:kern w:val="0"/>
      <w:sz w:val="20"/>
      <w:szCs w:val="20"/>
    </w:rPr>
  </w:style>
  <w:style w:type="paragraph" w:customStyle="1" w:styleId="73">
    <w:name w:val="xl97"/>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pPr>
    <w:rPr>
      <w:rFonts w:ascii="仿宋_GB2312" w:hAnsi="宋体" w:cs="宋体"/>
      <w:color w:val="000000"/>
      <w:kern w:val="0"/>
      <w:sz w:val="20"/>
      <w:szCs w:val="20"/>
    </w:rPr>
  </w:style>
  <w:style w:type="paragraph" w:customStyle="1" w:styleId="74">
    <w:name w:val="xl98"/>
    <w:basedOn w:val="1"/>
    <w:qFormat/>
    <w:uiPriority w:val="0"/>
    <w:pPr>
      <w:widowControl/>
      <w:pBdr>
        <w:left w:val="single" w:color="auto" w:sz="8" w:space="0"/>
        <w:bottom w:val="single" w:color="000000" w:sz="8" w:space="0"/>
      </w:pBdr>
      <w:spacing w:before="100" w:beforeAutospacing="1" w:after="100" w:afterAutospacing="1"/>
    </w:pPr>
    <w:rPr>
      <w:rFonts w:ascii="仿宋_GB2312" w:hAnsi="宋体" w:cs="宋体"/>
      <w:color w:val="000000"/>
      <w:kern w:val="0"/>
      <w:sz w:val="20"/>
      <w:szCs w:val="20"/>
    </w:rPr>
  </w:style>
  <w:style w:type="paragraph" w:customStyle="1" w:styleId="75">
    <w:name w:val="xl99"/>
    <w:basedOn w:val="1"/>
    <w:qFormat/>
    <w:uiPriority w:val="0"/>
    <w:pPr>
      <w:widowControl/>
      <w:pBdr>
        <w:top w:val="single" w:color="auto" w:sz="8" w:space="0"/>
        <w:left w:val="single" w:color="auto" w:sz="8" w:space="0"/>
      </w:pBdr>
      <w:spacing w:before="100" w:beforeAutospacing="1" w:after="100" w:afterAutospacing="1"/>
      <w:jc w:val="left"/>
    </w:pPr>
    <w:rPr>
      <w:rFonts w:ascii="仿宋_GB2312" w:hAnsi="宋体" w:cs="宋体"/>
      <w:color w:val="000000"/>
      <w:kern w:val="0"/>
      <w:sz w:val="20"/>
      <w:szCs w:val="20"/>
    </w:rPr>
  </w:style>
  <w:style w:type="paragraph" w:customStyle="1" w:styleId="76">
    <w:name w:val="xl100"/>
    <w:basedOn w:val="1"/>
    <w:qFormat/>
    <w:uiPriority w:val="0"/>
    <w:pPr>
      <w:widowControl/>
      <w:pBdr>
        <w:left w:val="single" w:color="auto" w:sz="8" w:space="0"/>
      </w:pBdr>
      <w:spacing w:before="100" w:beforeAutospacing="1" w:after="100" w:afterAutospacing="1"/>
      <w:jc w:val="left"/>
    </w:pPr>
    <w:rPr>
      <w:rFonts w:ascii="仿宋_GB2312" w:hAnsi="宋体" w:cs="宋体"/>
      <w:color w:val="000000"/>
      <w:kern w:val="0"/>
      <w:sz w:val="20"/>
      <w:szCs w:val="20"/>
    </w:rPr>
  </w:style>
  <w:style w:type="paragraph" w:customStyle="1" w:styleId="77">
    <w:name w:val="xl101"/>
    <w:basedOn w:val="1"/>
    <w:qFormat/>
    <w:uiPriority w:val="0"/>
    <w:pPr>
      <w:widowControl/>
      <w:pBdr>
        <w:left w:val="single" w:color="auto" w:sz="8" w:space="0"/>
        <w:bottom w:val="single" w:color="auto" w:sz="8" w:space="0"/>
      </w:pBdr>
      <w:spacing w:before="100" w:beforeAutospacing="1" w:after="100" w:afterAutospacing="1"/>
      <w:jc w:val="left"/>
    </w:pPr>
    <w:rPr>
      <w:rFonts w:ascii="仿宋_GB2312" w:hAnsi="宋体" w:cs="宋体"/>
      <w:color w:val="000000"/>
      <w:kern w:val="0"/>
      <w:sz w:val="20"/>
      <w:szCs w:val="20"/>
    </w:rPr>
  </w:style>
  <w:style w:type="paragraph" w:customStyle="1" w:styleId="78">
    <w:name w:val="xl102"/>
    <w:basedOn w:val="1"/>
    <w:qFormat/>
    <w:uiPriority w:val="0"/>
    <w:pPr>
      <w:widowControl/>
      <w:pBdr>
        <w:left w:val="single" w:color="auto" w:sz="8" w:space="0"/>
        <w:bottom w:val="single" w:color="000000" w:sz="8" w:space="0"/>
        <w:right w:val="single" w:color="auto" w:sz="8" w:space="0"/>
      </w:pBdr>
      <w:spacing w:before="100" w:beforeAutospacing="1" w:after="100" w:afterAutospacing="1"/>
    </w:pPr>
    <w:rPr>
      <w:rFonts w:ascii="仿宋_GB2312" w:hAnsi="宋体" w:cs="宋体"/>
      <w:color w:val="000000"/>
      <w:kern w:val="0"/>
      <w:sz w:val="20"/>
      <w:szCs w:val="20"/>
    </w:rPr>
  </w:style>
  <w:style w:type="paragraph" w:customStyle="1" w:styleId="79">
    <w:name w:val="xl103"/>
    <w:basedOn w:val="1"/>
    <w:qFormat/>
    <w:uiPriority w:val="0"/>
    <w:pPr>
      <w:widowControl/>
      <w:pBdr>
        <w:top w:val="single" w:color="000000" w:sz="8" w:space="0"/>
        <w:right w:val="single" w:color="auto" w:sz="8" w:space="0"/>
      </w:pBdr>
      <w:spacing w:before="100" w:beforeAutospacing="1" w:after="100" w:afterAutospacing="1"/>
      <w:jc w:val="center"/>
    </w:pPr>
    <w:rPr>
      <w:rFonts w:ascii="仿宋_GB2312" w:hAnsi="宋体" w:cs="宋体"/>
      <w:color w:val="000000"/>
      <w:kern w:val="0"/>
      <w:sz w:val="20"/>
      <w:szCs w:val="20"/>
    </w:rPr>
  </w:style>
  <w:style w:type="paragraph" w:customStyle="1" w:styleId="80">
    <w:name w:val="xl104"/>
    <w:basedOn w:val="1"/>
    <w:qFormat/>
    <w:uiPriority w:val="0"/>
    <w:pPr>
      <w:widowControl/>
      <w:pBdr>
        <w:right w:val="single" w:color="auto" w:sz="8" w:space="0"/>
      </w:pBdr>
      <w:spacing w:before="100" w:beforeAutospacing="1" w:after="100" w:afterAutospacing="1"/>
      <w:jc w:val="center"/>
    </w:pPr>
    <w:rPr>
      <w:rFonts w:ascii="仿宋_GB2312" w:hAnsi="宋体" w:cs="宋体"/>
      <w:color w:val="000000"/>
      <w:kern w:val="0"/>
      <w:sz w:val="20"/>
      <w:szCs w:val="20"/>
    </w:rPr>
  </w:style>
  <w:style w:type="paragraph" w:customStyle="1" w:styleId="81">
    <w:name w:val="xl105"/>
    <w:basedOn w:val="1"/>
    <w:qFormat/>
    <w:uiPriority w:val="0"/>
    <w:pPr>
      <w:widowControl/>
      <w:pBdr>
        <w:top w:val="single" w:color="000000" w:sz="8" w:space="0"/>
        <w:left w:val="single" w:color="auto" w:sz="8" w:space="0"/>
      </w:pBdr>
      <w:spacing w:before="100" w:beforeAutospacing="1" w:after="100" w:afterAutospacing="1"/>
    </w:pPr>
    <w:rPr>
      <w:rFonts w:ascii="仿宋_GB2312" w:hAnsi="宋体" w:cs="宋体"/>
      <w:color w:val="000000"/>
      <w:kern w:val="0"/>
      <w:sz w:val="20"/>
      <w:szCs w:val="20"/>
    </w:rPr>
  </w:style>
  <w:style w:type="paragraph" w:customStyle="1" w:styleId="82">
    <w:name w:val="xl106"/>
    <w:basedOn w:val="1"/>
    <w:qFormat/>
    <w:uiPriority w:val="0"/>
    <w:pPr>
      <w:widowControl/>
      <w:pBdr>
        <w:left w:val="single" w:color="auto" w:sz="8" w:space="0"/>
      </w:pBdr>
      <w:spacing w:before="100" w:beforeAutospacing="1" w:after="100" w:afterAutospacing="1"/>
      <w:jc w:val="center"/>
    </w:pPr>
    <w:rPr>
      <w:rFonts w:ascii="宋体" w:hAnsi="宋体" w:cs="宋体"/>
      <w:kern w:val="0"/>
      <w:sz w:val="24"/>
    </w:rPr>
  </w:style>
  <w:style w:type="paragraph" w:customStyle="1" w:styleId="83">
    <w:name w:val="xl107"/>
    <w:basedOn w:val="1"/>
    <w:qFormat/>
    <w:uiPriority w:val="0"/>
    <w:pPr>
      <w:widowControl/>
      <w:pBdr>
        <w:bottom w:val="single" w:color="auto" w:sz="8" w:space="0"/>
      </w:pBdr>
      <w:spacing w:before="100" w:beforeAutospacing="1" w:after="100" w:afterAutospacing="1"/>
      <w:jc w:val="center"/>
    </w:pPr>
    <w:rPr>
      <w:rFonts w:ascii="宋体" w:hAnsi="宋体" w:cs="宋体"/>
      <w:b/>
      <w:bCs/>
      <w:kern w:val="0"/>
      <w:szCs w:val="32"/>
    </w:rPr>
  </w:style>
  <w:style w:type="paragraph" w:customStyle="1" w:styleId="84">
    <w:name w:val="xl108"/>
    <w:basedOn w:val="1"/>
    <w:qFormat/>
    <w:uiPriority w:val="0"/>
    <w:pPr>
      <w:widowControl/>
      <w:pBdr>
        <w:top w:val="single" w:color="auto" w:sz="8" w:space="0"/>
        <w:right w:val="single" w:color="auto" w:sz="8" w:space="0"/>
      </w:pBdr>
      <w:spacing w:before="100" w:beforeAutospacing="1" w:after="100" w:afterAutospacing="1"/>
      <w:jc w:val="center"/>
    </w:pPr>
    <w:rPr>
      <w:rFonts w:ascii="仿宋_GB2312" w:hAnsi="宋体" w:cs="宋体"/>
      <w:b/>
      <w:bCs/>
      <w:color w:val="000000"/>
      <w:kern w:val="0"/>
      <w:sz w:val="24"/>
    </w:rPr>
  </w:style>
  <w:style w:type="paragraph" w:customStyle="1" w:styleId="85">
    <w:name w:val="xl10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仿宋_GB2312" w:hAnsi="宋体" w:cs="宋体"/>
      <w:b/>
      <w:bCs/>
      <w:color w:val="000000"/>
      <w:kern w:val="0"/>
      <w:sz w:val="24"/>
    </w:rPr>
  </w:style>
  <w:style w:type="paragraph" w:customStyle="1" w:styleId="86">
    <w:name w:val="xl11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_GB2312" w:hAnsi="宋体" w:cs="宋体"/>
      <w:b/>
      <w:bCs/>
      <w:color w:val="000000"/>
      <w:kern w:val="0"/>
      <w:sz w:val="24"/>
    </w:rPr>
  </w:style>
  <w:style w:type="paragraph" w:customStyle="1" w:styleId="87">
    <w:name w:val="xl11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88">
    <w:name w:val="xl11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89">
    <w:name w:val="xl11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90">
    <w:name w:val="xl11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91">
    <w:name w:val="xl11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92">
    <w:name w:val="xl11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仿宋_GB2312" w:hAnsi="宋体" w:cs="宋体"/>
      <w:color w:val="000000"/>
      <w:kern w:val="0"/>
      <w:sz w:val="20"/>
      <w:szCs w:val="20"/>
    </w:rPr>
  </w:style>
  <w:style w:type="paragraph" w:customStyle="1" w:styleId="93">
    <w:name w:val="xl118"/>
    <w:basedOn w:val="1"/>
    <w:qFormat/>
    <w:uiPriority w:val="0"/>
    <w:pPr>
      <w:widowControl/>
      <w:pBdr>
        <w:left w:val="single" w:color="auto" w:sz="8" w:space="0"/>
        <w:right w:val="single" w:color="auto" w:sz="8" w:space="0"/>
      </w:pBdr>
      <w:spacing w:before="100" w:beforeAutospacing="1" w:after="100" w:afterAutospacing="1"/>
      <w:jc w:val="left"/>
    </w:pPr>
    <w:rPr>
      <w:rFonts w:ascii="仿宋_GB2312" w:hAnsi="宋体" w:cs="宋体"/>
      <w:color w:val="000000"/>
      <w:kern w:val="0"/>
      <w:sz w:val="20"/>
      <w:szCs w:val="20"/>
    </w:rPr>
  </w:style>
  <w:style w:type="paragraph" w:customStyle="1" w:styleId="94">
    <w:name w:val="xl119"/>
    <w:basedOn w:val="1"/>
    <w:qFormat/>
    <w:uiPriority w:val="0"/>
    <w:pPr>
      <w:widowControl/>
      <w:pBdr>
        <w:bottom w:val="single" w:color="000000" w:sz="8" w:space="0"/>
        <w:right w:val="single" w:color="auto" w:sz="8" w:space="0"/>
      </w:pBdr>
      <w:spacing w:before="100" w:beforeAutospacing="1" w:after="100" w:afterAutospacing="1"/>
      <w:jc w:val="left"/>
    </w:pPr>
    <w:rPr>
      <w:rFonts w:ascii="仿宋_GB2312" w:hAnsi="宋体" w:cs="宋体"/>
      <w:color w:val="000000"/>
      <w:kern w:val="0"/>
      <w:sz w:val="20"/>
      <w:szCs w:val="20"/>
    </w:rPr>
  </w:style>
  <w:style w:type="paragraph" w:customStyle="1" w:styleId="95">
    <w:name w:val="xl115"/>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96">
    <w:name w:val="xl120"/>
    <w:basedOn w:val="1"/>
    <w:qFormat/>
    <w:uiPriority w:val="0"/>
    <w:pPr>
      <w:widowControl/>
      <w:pBdr>
        <w:left w:val="single" w:color="auto" w:sz="8" w:space="0"/>
        <w:right w:val="single" w:color="auto" w:sz="8" w:space="0"/>
      </w:pBdr>
      <w:spacing w:before="100" w:beforeAutospacing="1" w:after="100" w:afterAutospacing="1"/>
      <w:jc w:val="left"/>
    </w:pPr>
    <w:rPr>
      <w:rFonts w:ascii="仿宋_GB2312" w:hAnsi="宋体" w:cs="宋体"/>
      <w:color w:val="000000"/>
      <w:kern w:val="0"/>
      <w:sz w:val="20"/>
      <w:szCs w:val="20"/>
    </w:rPr>
  </w:style>
  <w:style w:type="paragraph" w:customStyle="1" w:styleId="97">
    <w:name w:val="xl121"/>
    <w:basedOn w:val="1"/>
    <w:qFormat/>
    <w:uiPriority w:val="0"/>
    <w:pPr>
      <w:widowControl/>
      <w:pBdr>
        <w:bottom w:val="single" w:color="000000" w:sz="8" w:space="0"/>
        <w:right w:val="single" w:color="auto" w:sz="8" w:space="0"/>
      </w:pBdr>
      <w:spacing w:before="100" w:beforeAutospacing="1" w:after="100" w:afterAutospacing="1"/>
      <w:jc w:val="left"/>
    </w:pPr>
    <w:rPr>
      <w:rFonts w:ascii="仿宋_GB2312" w:hAnsi="宋体" w:cs="宋体"/>
      <w:color w:val="000000"/>
      <w:kern w:val="0"/>
      <w:sz w:val="20"/>
      <w:szCs w:val="20"/>
    </w:rPr>
  </w:style>
  <w:style w:type="character" w:customStyle="1" w:styleId="98">
    <w:name w:val="页脚 Char"/>
    <w:basedOn w:val="15"/>
    <w:link w:val="7"/>
    <w:qFormat/>
    <w:uiPriority w:val="99"/>
    <w:rPr>
      <w:kern w:val="2"/>
      <w:sz w:val="18"/>
      <w:szCs w:val="18"/>
    </w:rPr>
  </w:style>
  <w:style w:type="paragraph" w:styleId="99">
    <w:name w:val="List Paragraph"/>
    <w:basedOn w:val="1"/>
    <w:unhideWhenUsed/>
    <w:qFormat/>
    <w:uiPriority w:val="99"/>
    <w:pPr>
      <w:ind w:firstLine="420"/>
    </w:pPr>
  </w:style>
  <w:style w:type="character" w:customStyle="1" w:styleId="100">
    <w:name w:val="标题 2 Char"/>
    <w:link w:val="3"/>
    <w:qFormat/>
    <w:uiPriority w:val="0"/>
    <w:rPr>
      <w:rFonts w:ascii="Arial" w:hAnsi="Arial" w:eastAsia="楷体_GB2312"/>
      <w:b/>
    </w:rPr>
  </w:style>
  <w:style w:type="character" w:customStyle="1" w:styleId="101">
    <w:name w:val="标题 3 Char"/>
    <w:link w:val="4"/>
    <w:qFormat/>
    <w:uiPriority w:val="0"/>
    <w:rPr>
      <w:b/>
      <w:sz w:val="32"/>
    </w:rPr>
  </w:style>
  <w:style w:type="character" w:customStyle="1" w:styleId="102">
    <w:name w:val="font41"/>
    <w:basedOn w:val="15"/>
    <w:qFormat/>
    <w:uiPriority w:val="0"/>
    <w:rPr>
      <w:rFonts w:hint="eastAsia" w:ascii="仿宋_GB2312" w:eastAsia="仿宋_GB2312" w:cs="仿宋_GB2312"/>
      <w:color w:val="000000"/>
      <w:sz w:val="20"/>
      <w:szCs w:val="20"/>
      <w:u w:val="none"/>
    </w:rPr>
  </w:style>
  <w:style w:type="character" w:customStyle="1" w:styleId="103">
    <w:name w:val="font31"/>
    <w:basedOn w:val="1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31918;&#39135;&#23616;&#19987;&#39033;&#32489;&#25928;&#35780;&#20215;\&#27719;&#24635;\&#25353;&#20998;&#37197;&#21306;&#38388;&#20998;&#31867;&#25240;&#32447;&#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[按分配区间分类折线图.xlsx]Sheet11!$B$1</c:f>
              <c:strCache>
                <c:ptCount val="1"/>
                <c:pt idx="0">
                  <c:v>2015</c:v>
                </c:pt>
              </c:strCache>
            </c:strRef>
          </c:tx>
          <c:spPr>
            <a:ln w="28575" cap="rnd" cmpd="sng" algn="ctr">
              <a:solidFill>
                <a:schemeClr val="accent1"/>
              </a:solidFill>
              <a:prstDash val="solid"/>
              <a:round/>
            </a:ln>
            <a:effectLst/>
          </c:spPr>
          <c:marker>
            <c:symbol val="none"/>
          </c:marker>
          <c:dLbls>
            <c:delete val="1"/>
          </c:dLbls>
          <c:cat>
            <c:strRef>
              <c:f>[按分配区间分类折线图.xlsx]Sheet11!$A$2:$A$7</c:f>
              <c:strCache>
                <c:ptCount val="6"/>
                <c:pt idx="0">
                  <c:v>70万以下</c:v>
                </c:pt>
                <c:pt idx="1">
                  <c:v>70万（不含）-100万</c:v>
                </c:pt>
                <c:pt idx="2">
                  <c:v>100万（不含）-150万</c:v>
                </c:pt>
                <c:pt idx="3">
                  <c:v>150万（不含）-200万</c:v>
                </c:pt>
                <c:pt idx="4">
                  <c:v>200万（不含）-250万</c:v>
                </c:pt>
                <c:pt idx="5">
                  <c:v>250万（不含）以上</c:v>
                </c:pt>
              </c:strCache>
            </c:strRef>
          </c:cat>
          <c:val>
            <c:numRef>
              <c:f>[按分配区间分类折线图.xlsx]Sheet11!$B$2:$B$7</c:f>
              <c:numCache>
                <c:formatCode>0.00%</c:formatCode>
                <c:ptCount val="6"/>
                <c:pt idx="0">
                  <c:v>0.3186</c:v>
                </c:pt>
                <c:pt idx="1">
                  <c:v>0.1504</c:v>
                </c:pt>
                <c:pt idx="2">
                  <c:v>0.265</c:v>
                </c:pt>
                <c:pt idx="3">
                  <c:v>0.238</c:v>
                </c:pt>
                <c:pt idx="4">
                  <c:v>0</c:v>
                </c:pt>
                <c:pt idx="5">
                  <c:v>0.028</c:v>
                </c:pt>
              </c:numCache>
            </c:numRef>
          </c:val>
          <c:smooth val="0"/>
        </c:ser>
        <c:ser>
          <c:idx val="1"/>
          <c:order val="1"/>
          <c:tx>
            <c:strRef>
              <c:f>[按分配区间分类折线图.xlsx]Sheet11!$C$1</c:f>
              <c:strCache>
                <c:ptCount val="1"/>
                <c:pt idx="0">
                  <c:v>2016</c:v>
                </c:pt>
              </c:strCache>
            </c:strRef>
          </c:tx>
          <c:spPr>
            <a:ln w="28575" cap="rnd" cmpd="sng" algn="ctr">
              <a:solidFill>
                <a:schemeClr val="accent2"/>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[按分配区间分类折线图.xlsx]Sheet11!$A$2:$A$7</c:f>
              <c:strCache>
                <c:ptCount val="6"/>
                <c:pt idx="0">
                  <c:v>70万以下</c:v>
                </c:pt>
                <c:pt idx="1">
                  <c:v>70万（不含）-100万</c:v>
                </c:pt>
                <c:pt idx="2">
                  <c:v>100万（不含）-150万</c:v>
                </c:pt>
                <c:pt idx="3">
                  <c:v>150万（不含）-200万</c:v>
                </c:pt>
                <c:pt idx="4">
                  <c:v>200万（不含）-250万</c:v>
                </c:pt>
                <c:pt idx="5">
                  <c:v>250万（不含）以上</c:v>
                </c:pt>
              </c:strCache>
            </c:strRef>
          </c:cat>
          <c:val>
            <c:numRef>
              <c:f>[按分配区间分类折线图.xlsx]Sheet11!$C$2:$C$7</c:f>
              <c:numCache>
                <c:formatCode>0.00%</c:formatCode>
                <c:ptCount val="6"/>
                <c:pt idx="0">
                  <c:v>0.3085</c:v>
                </c:pt>
                <c:pt idx="1">
                  <c:v>0.1711</c:v>
                </c:pt>
                <c:pt idx="2">
                  <c:v>0.2537</c:v>
                </c:pt>
                <c:pt idx="3">
                  <c:v>0.1369</c:v>
                </c:pt>
                <c:pt idx="4">
                  <c:v>0.1298</c:v>
                </c:pt>
                <c:pt idx="5">
                  <c:v>0</c:v>
                </c:pt>
              </c:numCache>
            </c:numRef>
          </c:val>
          <c:smooth val="0"/>
        </c:ser>
        <c:ser>
          <c:idx val="2"/>
          <c:order val="2"/>
          <c:tx>
            <c:strRef>
              <c:f>[按分配区间分类折线图.xlsx]Sheet11!$D$1</c:f>
              <c:strCache>
                <c:ptCount val="1"/>
                <c:pt idx="0">
                  <c:v>2017</c:v>
                </c:pt>
              </c:strCache>
            </c:strRef>
          </c:tx>
          <c:spPr>
            <a:ln w="28575" cap="rnd" cmpd="sng" algn="ctr">
              <a:solidFill>
                <a:schemeClr val="accent3"/>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[按分配区间分类折线图.xlsx]Sheet11!$A$2:$A$7</c:f>
              <c:strCache>
                <c:ptCount val="6"/>
                <c:pt idx="0">
                  <c:v>70万以下</c:v>
                </c:pt>
                <c:pt idx="1">
                  <c:v>70万（不含）-100万</c:v>
                </c:pt>
                <c:pt idx="2">
                  <c:v>100万（不含）-150万</c:v>
                </c:pt>
                <c:pt idx="3">
                  <c:v>150万（不含）-200万</c:v>
                </c:pt>
                <c:pt idx="4">
                  <c:v>200万（不含）-250万</c:v>
                </c:pt>
                <c:pt idx="5">
                  <c:v>250万（不含）以上</c:v>
                </c:pt>
              </c:strCache>
            </c:strRef>
          </c:cat>
          <c:val>
            <c:numRef>
              <c:f>[按分配区间分类折线图.xlsx]Sheet11!$D$2:$D$7</c:f>
              <c:numCache>
                <c:formatCode>0.00%</c:formatCode>
                <c:ptCount val="6"/>
                <c:pt idx="0">
                  <c:v>0.5299</c:v>
                </c:pt>
                <c:pt idx="1">
                  <c:v>0.1468</c:v>
                </c:pt>
                <c:pt idx="2">
                  <c:v>0.091</c:v>
                </c:pt>
                <c:pt idx="3">
                  <c:v>0.075</c:v>
                </c:pt>
                <c:pt idx="4">
                  <c:v>0.1292</c:v>
                </c:pt>
                <c:pt idx="5">
                  <c:v>0.0281</c:v>
                </c:pt>
              </c:numCache>
            </c:numRef>
          </c:val>
          <c:smooth val="0"/>
        </c:ser>
        <c:dLbls>
          <c:showLegendKey val="0"/>
          <c:showVal val="0"/>
          <c:showCatName val="0"/>
          <c:showSerName val="0"/>
          <c:showPercent val="0"/>
          <c:showBubbleSize val="0"/>
        </c:dLbls>
        <c:marker val="0"/>
        <c:smooth val="0"/>
        <c:axId val="235240064"/>
        <c:axId val="235245952"/>
      </c:lineChart>
      <c:catAx>
        <c:axId val="23524006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245952"/>
        <c:crosses val="autoZero"/>
        <c:auto val="1"/>
        <c:lblAlgn val="ctr"/>
        <c:lblOffset val="100"/>
        <c:noMultiLvlLbl val="0"/>
      </c:catAx>
      <c:valAx>
        <c:axId val="2352459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2400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D4243B-D133-47D2-8352-87E9B4B24D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2958</Words>
  <Characters>16862</Characters>
  <Lines>140</Lines>
  <Paragraphs>39</Paragraphs>
  <TotalTime>36</TotalTime>
  <ScaleCrop>false</ScaleCrop>
  <LinksUpToDate>false</LinksUpToDate>
  <CharactersWithSpaces>19781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2018-07-05T02:41:00Z</dcterms:created>
  <dc:creator>Administrator</dc:creator>
  <cp:lastModifiedBy>Administrator</cp:lastModifiedBy>
  <cp:lastPrinted>2018-08-31T01:41:00Z</cp:lastPrinted>
  <dcterms:modified xsi:type="dcterms:W3CDTF">2022-03-09T08:27:33Z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A312FB1FB3FC44E6A43037A5316A5D1B</vt:lpwstr>
  </property>
</Properties>
</file>