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textAlignment w:val="auto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黑体"/>
          <w:sz w:val="32"/>
        </w:rPr>
        <w:t>附件</w:t>
      </w:r>
      <w:r>
        <w:rPr>
          <w:rFonts w:ascii="Times New Roman" w:hAnsi="Times New Roman" w:eastAsia="黑体" w:cs="Times New Roman"/>
          <w:sz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textAlignment w:val="auto"/>
        <w:rPr>
          <w:rFonts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center"/>
        <w:textAlignment w:val="auto"/>
        <w:rPr>
          <w:rFonts w:eastAsia="方正小标宋_GBK"/>
          <w:sz w:val="36"/>
        </w:rPr>
      </w:pPr>
      <w:r>
        <w:rPr>
          <w:rFonts w:hint="eastAsia" w:ascii="Times New Roman" w:hAnsi="方正小标宋_GBK" w:eastAsia="方正小标宋_GBK" w:cs="方正小标宋_GBK"/>
          <w:sz w:val="36"/>
        </w:rPr>
        <w:t>湖南省2015—2017年度科学普及专项资金三年整体绩效评价报告提纲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center"/>
        <w:textAlignment w:val="auto"/>
        <w:outlineLvl w:val="0"/>
        <w:rPr>
          <w:rFonts w:eastAsia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（省科协、省社科联</w:t>
      </w:r>
      <w:r>
        <w:rPr>
          <w:rFonts w:ascii="Times New Roman" w:hAnsi="Times New Roman" w:eastAsia="楷体_GB2312" w:cs="Times New Roman"/>
          <w:sz w:val="32"/>
          <w:szCs w:val="32"/>
        </w:rPr>
        <w:t>/</w:t>
      </w:r>
      <w:r>
        <w:rPr>
          <w:rFonts w:hint="eastAsia" w:ascii="Times New Roman" w:hAnsi="Times New Roman" w:eastAsia="楷体_GB2312" w:cs="楷体_GB2312"/>
          <w:sz w:val="32"/>
          <w:szCs w:val="32"/>
        </w:rPr>
        <w:t>各地科协、社科联）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center"/>
        <w:textAlignment w:val="auto"/>
        <w:rPr>
          <w:rFonts w:eastAsia="楷体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一、湖南省科学普及专项的概况。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二、湖南省2015—2017年度科学普及专项资金三年整体规划实施绩效情况。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3" w:firstLineChars="200"/>
        <w:textAlignment w:val="auto"/>
        <w:outlineLvl w:val="0"/>
        <w:rPr>
          <w:rFonts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sz w:val="32"/>
          <w:szCs w:val="32"/>
        </w:rPr>
        <w:t>（一）湖南省2015—2017年度科学普及专项资金预期目标完成程度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重点从省科学普及专项资金通过支持基层乡村、社区科普先进单位和个人的示范带动，助推</w:t>
      </w:r>
      <w:r>
        <w:rPr>
          <w:rFonts w:ascii="Times New Roman" w:hAnsi="Times New Roman" w:eastAsia="仿宋_GB2312" w:cs="仿宋_GB2312"/>
          <w:sz w:val="32"/>
          <w:szCs w:val="32"/>
        </w:rPr>
        <w:t>院士专家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开展全方位</w:t>
      </w:r>
      <w:r>
        <w:rPr>
          <w:rFonts w:ascii="Times New Roman" w:hAnsi="Times New Roman" w:eastAsia="仿宋_GB2312" w:cs="仿宋_GB2312"/>
          <w:sz w:val="32"/>
          <w:szCs w:val="32"/>
        </w:rPr>
        <w:t>技术咨询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服务，提升优秀</w:t>
      </w:r>
      <w:r>
        <w:rPr>
          <w:rFonts w:ascii="Times New Roman" w:hAnsi="Times New Roman" w:eastAsia="仿宋_GB2312" w:cs="仿宋_GB2312"/>
          <w:sz w:val="32"/>
          <w:szCs w:val="32"/>
        </w:rPr>
        <w:t>学会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</w:t>
      </w:r>
      <w:r>
        <w:rPr>
          <w:rFonts w:ascii="Times New Roman" w:hAnsi="Times New Roman" w:eastAsia="仿宋_GB2312" w:cs="仿宋_GB2312"/>
          <w:sz w:val="32"/>
          <w:szCs w:val="32"/>
        </w:rPr>
        <w:t>学术交流</w:t>
      </w:r>
      <w:r>
        <w:rPr>
          <w:rFonts w:hint="eastAsia" w:ascii="Times New Roman" w:hAnsi="Times New Roman" w:eastAsia="仿宋_GB2312" w:cs="仿宋_GB2312"/>
          <w:sz w:val="32"/>
          <w:szCs w:val="32"/>
        </w:rPr>
        <w:t>能力和</w:t>
      </w:r>
      <w:r>
        <w:rPr>
          <w:rFonts w:ascii="Times New Roman" w:hAnsi="Times New Roman" w:eastAsia="仿宋_GB2312" w:cs="仿宋_GB2312"/>
          <w:sz w:val="32"/>
          <w:szCs w:val="32"/>
        </w:rPr>
        <w:t>学会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自身建设，搭建</w:t>
      </w:r>
      <w:r>
        <w:rPr>
          <w:rFonts w:ascii="Times New Roman" w:hAnsi="Times New Roman" w:eastAsia="仿宋_GB2312" w:cs="仿宋_GB2312"/>
          <w:sz w:val="32"/>
          <w:szCs w:val="32"/>
        </w:rPr>
        <w:t>科普信息化及科普资源开发与共享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平台</w:t>
      </w:r>
      <w:r>
        <w:rPr>
          <w:rFonts w:hint="eastAsia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资助省社会科学成果评审委员会课题</w:t>
      </w:r>
      <w:r>
        <w:rPr>
          <w:rFonts w:hint="eastAsia" w:ascii="Times New Roman" w:hAnsi="Times New Roman" w:eastAsia="仿宋_GB2312" w:cs="仿宋_GB2312"/>
          <w:sz w:val="32"/>
          <w:szCs w:val="32"/>
        </w:rPr>
        <w:t>研究，着力提高</w:t>
      </w:r>
      <w:r>
        <w:rPr>
          <w:rFonts w:ascii="Times New Roman" w:hAnsi="Times New Roman" w:eastAsia="仿宋_GB2312" w:cs="仿宋_GB2312"/>
          <w:sz w:val="32"/>
          <w:szCs w:val="32"/>
        </w:rPr>
        <w:t>全民科学素质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促进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科研</w:t>
      </w:r>
      <w:r>
        <w:rPr>
          <w:rFonts w:ascii="Times New Roman" w:hAnsi="Times New Roman" w:eastAsia="仿宋_GB2312" w:cs="仿宋_GB2312"/>
          <w:sz w:val="32"/>
          <w:szCs w:val="32"/>
        </w:rPr>
        <w:t>成果转化应用，建立广覆盖、系列化、可持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续的科技公共服务机制</w:t>
      </w:r>
      <w:r>
        <w:rPr>
          <w:rFonts w:ascii="Times New Roman" w:hAnsi="Times New Roman" w:eastAsia="仿宋_GB2312" w:cs="仿宋_GB2312"/>
          <w:sz w:val="32"/>
          <w:szCs w:val="32"/>
        </w:rPr>
        <w:t> 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等方面进行评价。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3" w:firstLineChars="200"/>
        <w:textAlignment w:val="auto"/>
        <w:outlineLvl w:val="0"/>
        <w:rPr>
          <w:rFonts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sz w:val="32"/>
          <w:szCs w:val="32"/>
        </w:rPr>
        <w:t>（二）湖南省科学普及专项资金组织管理水平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主要包括：专项资金组织管理机构；专项资金管理制度的规范性，专项资金分配合理性，专项资金指标下达及时性等；项目管理制度健全性，项目申报、评审、立项、监督、验收、绩效反馈等各个阶段的组织实施规范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三、项目单位专项资金使用绩效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3" w:firstLineChars="200"/>
        <w:textAlignment w:val="auto"/>
        <w:outlineLvl w:val="0"/>
        <w:rPr>
          <w:rFonts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sz w:val="32"/>
          <w:szCs w:val="32"/>
        </w:rPr>
        <w:t>（一）资金落实及支出情况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主要包括：专项资金到位率；资金支出规范性，包括资金支出进度和范围等与申报计划的相符性，资金支出的合理、合法和合规性等。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如有资金违规使用、闲置等情况，应分项目分析主客观原因。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3" w:firstLineChars="200"/>
        <w:textAlignment w:val="auto"/>
        <w:outlineLvl w:val="0"/>
        <w:rPr>
          <w:rFonts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sz w:val="32"/>
          <w:szCs w:val="32"/>
        </w:rPr>
        <w:t>（二）项目实施过程情况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主要有：项目立项论证充分性；项目实施规范性，包括项目单位申报资格合规、申报材料客观真实、申报项目与有关规定相符等情况，项目单位是否建立了相关的管理制度、提供了必要的项目实施支撑条件等情况，项目调整、验收等过程是否按规定履行了相关手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3" w:firstLineChars="200"/>
        <w:textAlignment w:val="auto"/>
        <w:outlineLvl w:val="0"/>
        <w:rPr>
          <w:rFonts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（三）项目预期目标完成情况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分析项目立项指标的完成情况。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四、项目后续工作计划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五、主要经验做法、存在问题、改进措施和建议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519D6"/>
    <w:rsid w:val="2275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2018-05-10T09:33:00Z</dcterms:created>
  <dc:creator>Administrator</dc:creator>
  <cp:lastModifiedBy>Administrator</cp:lastModifiedBy>
  <dcterms:modified xsi:type="dcterms:W3CDTF">2018-05-10T09:36:16Z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