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sz w:val="32"/>
          <w:szCs w:val="32"/>
        </w:rPr>
      </w:pPr>
    </w:p>
    <w:p>
      <w:pPr>
        <w:spacing w:line="600" w:lineRule="exact"/>
        <w:jc w:val="center"/>
        <w:rPr>
          <w:rFonts w:eastAsia="方正小标宋_GBK"/>
          <w:sz w:val="44"/>
          <w:szCs w:val="44"/>
        </w:rPr>
      </w:pPr>
      <w:r>
        <w:rPr>
          <w:rFonts w:eastAsia="方正小标宋_GBK"/>
          <w:sz w:val="44"/>
          <w:szCs w:val="44"/>
        </w:rPr>
        <w:t>202</w:t>
      </w:r>
      <w:r>
        <w:rPr>
          <w:rFonts w:hint="eastAsia" w:eastAsia="方正小标宋_GBK"/>
          <w:sz w:val="44"/>
          <w:szCs w:val="44"/>
          <w:lang w:val="en-US" w:eastAsia="zh-CN"/>
        </w:rPr>
        <w:t>3</w:t>
      </w:r>
      <w:r>
        <w:rPr>
          <w:rFonts w:eastAsia="方正小标宋_GBK"/>
          <w:sz w:val="44"/>
          <w:szCs w:val="44"/>
        </w:rPr>
        <w:t>年预算重要事项解释说明</w:t>
      </w:r>
    </w:p>
    <w:p>
      <w:pPr>
        <w:spacing w:line="600" w:lineRule="exact"/>
        <w:rPr>
          <w:sz w:val="32"/>
          <w:szCs w:val="32"/>
        </w:rPr>
      </w:pPr>
    </w:p>
    <w:p>
      <w:pPr>
        <w:spacing w:line="600" w:lineRule="exact"/>
        <w:ind w:firstLine="640" w:firstLineChars="200"/>
        <w:rPr>
          <w:rFonts w:eastAsia="黑体"/>
          <w:sz w:val="32"/>
          <w:szCs w:val="32"/>
        </w:rPr>
      </w:pPr>
      <w:r>
        <w:rPr>
          <w:rFonts w:eastAsia="黑体"/>
          <w:sz w:val="32"/>
          <w:szCs w:val="32"/>
        </w:rPr>
        <w:t>一、202</w:t>
      </w:r>
      <w:r>
        <w:rPr>
          <w:rFonts w:hint="eastAsia" w:eastAsia="黑体"/>
          <w:sz w:val="32"/>
          <w:szCs w:val="32"/>
          <w:lang w:val="en-US" w:eastAsia="zh-CN"/>
        </w:rPr>
        <w:t>3</w:t>
      </w:r>
      <w:r>
        <w:rPr>
          <w:rFonts w:eastAsia="黑体"/>
          <w:sz w:val="32"/>
          <w:szCs w:val="32"/>
        </w:rPr>
        <w:t>年省级一般公共预算收入预算说明</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2023年全省一般公共预算地方收入按增</w:t>
      </w:r>
      <w:bookmarkStart w:id="0" w:name="_GoBack"/>
      <w:bookmarkEnd w:id="0"/>
      <w:r>
        <w:rPr>
          <w:rFonts w:ascii="Times New Roman" w:hAnsi="Times New Roman" w:eastAsia="仿宋_GB2312"/>
          <w:sz w:val="32"/>
          <w:szCs w:val="32"/>
        </w:rPr>
        <w:t>长8%</w:t>
      </w:r>
      <w:r>
        <w:rPr>
          <w:rFonts w:hint="eastAsia" w:ascii="Times New Roman" w:hAnsi="Times New Roman" w:eastAsia="仿宋_GB2312"/>
          <w:sz w:val="32"/>
          <w:szCs w:val="32"/>
          <w:lang w:eastAsia="zh-CN"/>
        </w:rPr>
        <w:t>以上</w:t>
      </w:r>
      <w:r>
        <w:rPr>
          <w:rFonts w:ascii="Times New Roman" w:hAnsi="Times New Roman" w:eastAsia="仿宋_GB2312"/>
          <w:sz w:val="32"/>
          <w:szCs w:val="32"/>
        </w:rPr>
        <w:t>安排，全省一般公共预算地方收入预计为</w:t>
      </w:r>
      <w:r>
        <w:rPr>
          <w:rFonts w:hint="eastAsia" w:ascii="Times New Roman" w:hAnsi="Times New Roman" w:eastAsia="仿宋_GB2312"/>
          <w:sz w:val="32"/>
          <w:szCs w:val="32"/>
          <w:lang w:val="en-US" w:eastAsia="zh-CN"/>
        </w:rPr>
        <w:t>3350</w:t>
      </w:r>
      <w:r>
        <w:rPr>
          <w:rFonts w:ascii="Times New Roman" w:hAnsi="Times New Roman" w:eastAsia="仿宋_GB2312"/>
          <w:sz w:val="32"/>
          <w:szCs w:val="32"/>
        </w:rPr>
        <w:t>亿元。相应测算，省级地方收入</w:t>
      </w:r>
      <w:r>
        <w:rPr>
          <w:rFonts w:hint="eastAsia" w:ascii="Times New Roman" w:hAnsi="Times New Roman" w:eastAsia="仿宋_GB2312"/>
          <w:sz w:val="32"/>
          <w:szCs w:val="32"/>
          <w:lang w:eastAsia="zh-CN"/>
        </w:rPr>
        <w:t>同口径预算数为</w:t>
      </w:r>
      <w:r>
        <w:rPr>
          <w:rFonts w:hint="eastAsia" w:ascii="Times New Roman" w:hAnsi="Times New Roman" w:eastAsia="仿宋_GB2312"/>
          <w:sz w:val="32"/>
          <w:szCs w:val="32"/>
          <w:lang w:val="en-US" w:eastAsia="zh-CN"/>
        </w:rPr>
        <w:t>390亿元；</w:t>
      </w:r>
      <w:r>
        <w:rPr>
          <w:rFonts w:ascii="Times New Roman" w:hAnsi="Times New Roman" w:eastAsia="仿宋_GB2312"/>
          <w:sz w:val="32"/>
          <w:szCs w:val="32"/>
        </w:rPr>
        <w:t>加上中央补助40</w:t>
      </w:r>
      <w:r>
        <w:rPr>
          <w:rFonts w:hint="eastAsia" w:ascii="Times New Roman" w:hAnsi="Times New Roman" w:eastAsia="仿宋_GB2312"/>
          <w:sz w:val="32"/>
          <w:szCs w:val="32"/>
          <w:lang w:val="en-US" w:eastAsia="zh-CN"/>
        </w:rPr>
        <w:t>64.5</w:t>
      </w:r>
      <w:r>
        <w:rPr>
          <w:rFonts w:ascii="Times New Roman" w:hAnsi="Times New Roman" w:eastAsia="仿宋_GB2312"/>
          <w:sz w:val="32"/>
          <w:szCs w:val="32"/>
        </w:rPr>
        <w:t>亿元，一般债务收入1261.1亿元，市县上解</w:t>
      </w:r>
      <w:r>
        <w:rPr>
          <w:rFonts w:hint="eastAsia" w:ascii="Times New Roman" w:hAnsi="Times New Roman" w:eastAsia="仿宋_GB2312"/>
          <w:sz w:val="32"/>
          <w:szCs w:val="32"/>
          <w:lang w:val="en-US" w:eastAsia="zh-CN"/>
        </w:rPr>
        <w:t>247.7</w:t>
      </w:r>
      <w:r>
        <w:rPr>
          <w:rFonts w:ascii="Times New Roman" w:hAnsi="Times New Roman" w:eastAsia="仿宋_GB2312"/>
          <w:sz w:val="32"/>
          <w:szCs w:val="32"/>
        </w:rPr>
        <w:t>亿元，动用预算稳定调节基金</w:t>
      </w:r>
      <w:r>
        <w:rPr>
          <w:rFonts w:hint="eastAsia" w:ascii="Times New Roman" w:hAnsi="Times New Roman" w:eastAsia="仿宋_GB2312"/>
          <w:sz w:val="32"/>
          <w:szCs w:val="32"/>
          <w:lang w:val="en-US" w:eastAsia="zh-CN"/>
        </w:rPr>
        <w:t>55</w:t>
      </w:r>
      <w:r>
        <w:rPr>
          <w:rFonts w:ascii="Times New Roman" w:hAnsi="Times New Roman" w:eastAsia="仿宋_GB2312"/>
          <w:sz w:val="32"/>
          <w:szCs w:val="32"/>
        </w:rPr>
        <w:t>亿元</w:t>
      </w:r>
      <w:r>
        <w:rPr>
          <w:rFonts w:hint="eastAsia" w:ascii="Times New Roman" w:hAnsi="Times New Roman" w:eastAsia="仿宋_GB2312"/>
          <w:sz w:val="32"/>
          <w:szCs w:val="32"/>
          <w:lang w:eastAsia="zh-CN"/>
        </w:rPr>
        <w:t>，调入资金</w:t>
      </w:r>
      <w:r>
        <w:rPr>
          <w:rFonts w:hint="eastAsia" w:ascii="Times New Roman" w:hAnsi="Times New Roman" w:eastAsia="仿宋_GB2312"/>
          <w:sz w:val="32"/>
          <w:szCs w:val="32"/>
          <w:lang w:val="en-US" w:eastAsia="zh-CN"/>
        </w:rPr>
        <w:t>30.4</w:t>
      </w:r>
      <w:r>
        <w:rPr>
          <w:rFonts w:ascii="Times New Roman" w:hAnsi="Times New Roman" w:eastAsia="仿宋_GB2312"/>
          <w:sz w:val="32"/>
          <w:szCs w:val="32"/>
        </w:rPr>
        <w:t>亿元，上年结转1</w:t>
      </w:r>
      <w:r>
        <w:rPr>
          <w:rFonts w:hint="eastAsia" w:ascii="Times New Roman" w:hAnsi="Times New Roman" w:eastAsia="仿宋_GB2312"/>
          <w:sz w:val="32"/>
          <w:szCs w:val="32"/>
          <w:lang w:val="en-US" w:eastAsia="zh-CN"/>
        </w:rPr>
        <w:t>34.4</w:t>
      </w:r>
      <w:r>
        <w:rPr>
          <w:rFonts w:ascii="Times New Roman" w:hAnsi="Times New Roman" w:eastAsia="仿宋_GB2312"/>
          <w:sz w:val="32"/>
          <w:szCs w:val="32"/>
        </w:rPr>
        <w:t>亿元，收入合计6</w:t>
      </w:r>
      <w:r>
        <w:rPr>
          <w:rFonts w:hint="eastAsia" w:ascii="Times New Roman" w:hAnsi="Times New Roman" w:eastAsia="仿宋_GB2312"/>
          <w:sz w:val="32"/>
          <w:szCs w:val="32"/>
          <w:lang w:val="en-US" w:eastAsia="zh-CN"/>
        </w:rPr>
        <w:t>183.1</w:t>
      </w:r>
      <w:r>
        <w:rPr>
          <w:rFonts w:ascii="Times New Roman" w:hAnsi="Times New Roman" w:eastAsia="仿宋_GB2312"/>
          <w:sz w:val="32"/>
          <w:szCs w:val="32"/>
        </w:rPr>
        <w:t>亿元。</w:t>
      </w:r>
    </w:p>
    <w:p>
      <w:pPr>
        <w:spacing w:line="600" w:lineRule="exact"/>
        <w:ind w:firstLine="640" w:firstLineChars="200"/>
        <w:rPr>
          <w:rFonts w:eastAsia="黑体"/>
          <w:color w:val="000000"/>
          <w:sz w:val="32"/>
          <w:szCs w:val="32"/>
        </w:rPr>
      </w:pPr>
      <w:r>
        <w:rPr>
          <w:rFonts w:eastAsia="黑体"/>
          <w:color w:val="000000"/>
          <w:sz w:val="32"/>
          <w:szCs w:val="32"/>
        </w:rPr>
        <w:t>二、202</w:t>
      </w:r>
      <w:r>
        <w:rPr>
          <w:rFonts w:hint="eastAsia" w:eastAsia="黑体"/>
          <w:color w:val="000000"/>
          <w:sz w:val="32"/>
          <w:szCs w:val="32"/>
          <w:lang w:val="en-US" w:eastAsia="zh-CN"/>
        </w:rPr>
        <w:t>3</w:t>
      </w:r>
      <w:r>
        <w:rPr>
          <w:rFonts w:eastAsia="黑体"/>
          <w:color w:val="000000"/>
          <w:sz w:val="32"/>
          <w:szCs w:val="32"/>
        </w:rPr>
        <w:t>年一般公共预算支出预算说明</w:t>
      </w:r>
    </w:p>
    <w:p>
      <w:pPr>
        <w:spacing w:line="600" w:lineRule="exact"/>
        <w:ind w:firstLine="640" w:firstLineChars="200"/>
        <w:rPr>
          <w:rFonts w:ascii="Times New Roman" w:hAnsi="Times New Roman" w:eastAsia="仿宋_GB2312"/>
          <w:sz w:val="32"/>
          <w:szCs w:val="32"/>
        </w:rPr>
      </w:pPr>
      <w:r>
        <w:rPr>
          <w:rFonts w:eastAsia="仿宋_GB2312"/>
          <w:sz w:val="32"/>
          <w:szCs w:val="32"/>
        </w:rPr>
        <w:t>202</w:t>
      </w:r>
      <w:r>
        <w:rPr>
          <w:rFonts w:hint="eastAsia" w:eastAsia="仿宋_GB2312"/>
          <w:sz w:val="32"/>
          <w:szCs w:val="32"/>
          <w:lang w:val="en-US" w:eastAsia="zh-CN"/>
        </w:rPr>
        <w:t>3</w:t>
      </w:r>
      <w:r>
        <w:rPr>
          <w:rFonts w:ascii="Times New Roman" w:hAnsi="Times New Roman" w:eastAsia="仿宋_GB2312"/>
          <w:sz w:val="32"/>
          <w:szCs w:val="32"/>
        </w:rPr>
        <w:t>省本级支出安排1</w:t>
      </w:r>
      <w:r>
        <w:rPr>
          <w:rFonts w:hint="eastAsia" w:ascii="Times New Roman" w:hAnsi="Times New Roman" w:eastAsia="仿宋_GB2312"/>
          <w:sz w:val="32"/>
          <w:szCs w:val="32"/>
          <w:lang w:val="en-US" w:eastAsia="zh-CN"/>
        </w:rPr>
        <w:t>280</w:t>
      </w:r>
      <w:r>
        <w:rPr>
          <w:rFonts w:ascii="Times New Roman" w:hAnsi="Times New Roman" w:eastAsia="仿宋_GB2312"/>
          <w:sz w:val="32"/>
          <w:szCs w:val="32"/>
        </w:rPr>
        <w:t>亿元，加上上解中央6</w:t>
      </w:r>
      <w:r>
        <w:rPr>
          <w:rFonts w:hint="eastAsia" w:ascii="Times New Roman" w:hAnsi="Times New Roman" w:eastAsia="仿宋_GB2312"/>
          <w:sz w:val="32"/>
          <w:szCs w:val="32"/>
          <w:lang w:val="en-US" w:eastAsia="zh-CN"/>
        </w:rPr>
        <w:t>1.3</w:t>
      </w:r>
      <w:r>
        <w:rPr>
          <w:rFonts w:ascii="Times New Roman" w:hAnsi="Times New Roman" w:eastAsia="仿宋_GB2312"/>
          <w:sz w:val="32"/>
          <w:szCs w:val="32"/>
        </w:rPr>
        <w:t>亿元，补助市县36</w:t>
      </w:r>
      <w:r>
        <w:rPr>
          <w:rFonts w:hint="eastAsia" w:ascii="Times New Roman" w:hAnsi="Times New Roman" w:eastAsia="仿宋_GB2312"/>
          <w:sz w:val="32"/>
          <w:szCs w:val="32"/>
          <w:lang w:val="en-US" w:eastAsia="zh-CN"/>
        </w:rPr>
        <w:t>50.7</w:t>
      </w:r>
      <w:r>
        <w:rPr>
          <w:rFonts w:ascii="Times New Roman" w:hAnsi="Times New Roman" w:eastAsia="仿宋_GB2312"/>
          <w:sz w:val="32"/>
          <w:szCs w:val="32"/>
        </w:rPr>
        <w:t>亿元，预备费20亿元，转贷市县一般债务968.1亿元，一般债务还本203亿元，支出合计6</w:t>
      </w:r>
      <w:r>
        <w:rPr>
          <w:rFonts w:hint="eastAsia" w:ascii="Times New Roman" w:hAnsi="Times New Roman" w:eastAsia="仿宋_GB2312"/>
          <w:sz w:val="32"/>
          <w:szCs w:val="32"/>
          <w:lang w:val="en-US" w:eastAsia="zh-CN"/>
        </w:rPr>
        <w:t>183.1</w:t>
      </w:r>
      <w:r>
        <w:rPr>
          <w:rFonts w:ascii="Times New Roman" w:hAnsi="Times New Roman" w:eastAsia="仿宋_GB2312"/>
          <w:sz w:val="32"/>
          <w:szCs w:val="32"/>
        </w:rPr>
        <w:t>亿元。</w:t>
      </w:r>
    </w:p>
    <w:p>
      <w:pPr>
        <w:tabs>
          <w:tab w:val="left" w:pos="4095"/>
        </w:tabs>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shd w:val="clear" w:color="auto" w:fill="FFFFFF"/>
        </w:rPr>
        <w:t>2023年积极的财政政策要加力提</w:t>
      </w:r>
      <w:r>
        <w:rPr>
          <w:rFonts w:ascii="Times New Roman" w:hAnsi="Times New Roman" w:eastAsia="仿宋_GB2312"/>
          <w:sz w:val="32"/>
          <w:szCs w:val="32"/>
        </w:rPr>
        <w:t>效，注重加强与就业、产业、科技、社会政策协调配合，</w:t>
      </w:r>
      <w:r>
        <w:rPr>
          <w:rFonts w:hint="default" w:ascii="Times New Roman" w:hAnsi="Times New Roman" w:eastAsia="仿宋_GB2312" w:cs="Times New Roman"/>
          <w:sz w:val="32"/>
          <w:szCs w:val="32"/>
          <w:lang w:eastAsia="zh-CN"/>
        </w:rPr>
        <w:t>聚力</w:t>
      </w:r>
      <w:r>
        <w:rPr>
          <w:rFonts w:hint="eastAsia" w:ascii="Times New Roman" w:hAnsi="Times New Roman" w:eastAsia="仿宋_GB2312" w:cs="Times New Roman"/>
          <w:sz w:val="32"/>
          <w:szCs w:val="32"/>
          <w:lang w:eastAsia="zh-CN"/>
        </w:rPr>
        <w:t>支持</w:t>
      </w:r>
      <w:r>
        <w:rPr>
          <w:rFonts w:hint="default" w:ascii="Times New Roman" w:hAnsi="Times New Roman" w:eastAsia="仿宋_GB2312" w:cs="Times New Roman"/>
          <w:sz w:val="32"/>
          <w:szCs w:val="32"/>
          <w:lang w:eastAsia="zh-CN"/>
        </w:rPr>
        <w:t>打好“</w:t>
      </w:r>
      <w:r>
        <w:rPr>
          <w:rFonts w:hint="eastAsia" w:ascii="Times New Roman" w:hAnsi="Times New Roman" w:eastAsia="仿宋_GB2312" w:cs="Times New Roman"/>
          <w:sz w:val="32"/>
          <w:szCs w:val="32"/>
          <w:lang w:eastAsia="zh-CN"/>
        </w:rPr>
        <w:t>发展</w:t>
      </w:r>
      <w:r>
        <w:rPr>
          <w:rFonts w:hint="default" w:ascii="Times New Roman" w:hAnsi="Times New Roman" w:eastAsia="仿宋_GB2312" w:cs="Times New Roman"/>
          <w:sz w:val="32"/>
          <w:szCs w:val="32"/>
          <w:lang w:eastAsia="zh-CN"/>
        </w:rPr>
        <w:t>六仗”，</w:t>
      </w:r>
      <w:r>
        <w:rPr>
          <w:rFonts w:ascii="Times New Roman" w:hAnsi="Times New Roman" w:eastAsia="仿宋_GB2312"/>
          <w:sz w:val="32"/>
          <w:szCs w:val="32"/>
        </w:rPr>
        <w:t>合力</w:t>
      </w:r>
      <w:r>
        <w:rPr>
          <w:rFonts w:hint="eastAsia" w:ascii="Times New Roman" w:hAnsi="Times New Roman" w:eastAsia="仿宋_GB2312"/>
          <w:sz w:val="32"/>
          <w:szCs w:val="32"/>
          <w:lang w:eastAsia="zh-CN"/>
        </w:rPr>
        <w:t>推动</w:t>
      </w:r>
      <w:r>
        <w:rPr>
          <w:rFonts w:ascii="Times New Roman" w:hAnsi="Times New Roman" w:eastAsia="仿宋_GB2312"/>
          <w:sz w:val="32"/>
          <w:szCs w:val="32"/>
        </w:rPr>
        <w:t>高质量发展。主要支出政策如下：</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楷体_GB2312" w:cs="Times New Roman"/>
          <w:b/>
          <w:sz w:val="32"/>
          <w:szCs w:val="32"/>
          <w:lang w:eastAsia="zh-CN"/>
        </w:rPr>
        <w:t>一是</w:t>
      </w:r>
      <w:r>
        <w:rPr>
          <w:rFonts w:hint="default" w:ascii="Times New Roman" w:hAnsi="Times New Roman" w:eastAsia="楷体_GB2312" w:cs="Times New Roman"/>
          <w:b/>
          <w:sz w:val="32"/>
          <w:szCs w:val="32"/>
        </w:rPr>
        <w:t>多措并举扩大内需。</w:t>
      </w:r>
      <w:r>
        <w:rPr>
          <w:rFonts w:hint="default" w:ascii="Times New Roman" w:hAnsi="Times New Roman" w:eastAsia="仿宋_GB2312" w:cs="Times New Roman"/>
          <w:sz w:val="32"/>
          <w:szCs w:val="32"/>
        </w:rPr>
        <w:t>优化收入分配结构，增强居民消费能力，引导住房改善、新能源汽车</w:t>
      </w:r>
      <w:r>
        <w:rPr>
          <w:rFonts w:ascii="Times New Roman" w:hAnsi="Times New Roman" w:eastAsia="仿宋_GB2312"/>
          <w:sz w:val="32"/>
          <w:szCs w:val="32"/>
          <w:shd w:val="clear" w:color="auto" w:fill="FFFFFF"/>
        </w:rPr>
        <w:t>、养老服务</w:t>
      </w:r>
      <w:r>
        <w:rPr>
          <w:rFonts w:hint="default" w:ascii="Times New Roman" w:hAnsi="Times New Roman" w:eastAsia="仿宋_GB2312" w:cs="Times New Roman"/>
          <w:sz w:val="32"/>
          <w:szCs w:val="32"/>
        </w:rPr>
        <w:t>等消费</w:t>
      </w:r>
      <w:r>
        <w:rPr>
          <w:rFonts w:hint="default" w:ascii="Times New Roman" w:hAnsi="Times New Roman" w:eastAsia="仿宋_GB2312" w:cs="Times New Roman"/>
          <w:sz w:val="32"/>
          <w:szCs w:val="32"/>
          <w:shd w:val="clear" w:color="auto" w:fill="FFFFFF"/>
        </w:rPr>
        <w:t>。加大机场、铁路、公路、水运、水利等基建投入，带动全社会投资高质高效增长。</w:t>
      </w:r>
      <w:r>
        <w:rPr>
          <w:rFonts w:ascii="Times New Roman" w:hAnsi="Times New Roman" w:eastAsia="仿宋_GB2312"/>
          <w:sz w:val="32"/>
          <w:szCs w:val="32"/>
          <w:shd w:val="clear" w:color="auto" w:fill="FFFFFF"/>
        </w:rPr>
        <w:t>支持实施民营经济发展“六个一”行动，</w:t>
      </w:r>
      <w:r>
        <w:rPr>
          <w:rFonts w:hint="eastAsia" w:ascii="Times New Roman" w:hAnsi="Times New Roman" w:eastAsia="仿宋_GB2312"/>
          <w:sz w:val="32"/>
          <w:szCs w:val="32"/>
          <w:shd w:val="clear" w:color="auto" w:fill="FFFFFF"/>
        </w:rPr>
        <w:t>优化民营企业发展环境，</w:t>
      </w:r>
      <w:r>
        <w:rPr>
          <w:rFonts w:ascii="Times New Roman" w:hAnsi="Times New Roman" w:eastAsia="仿宋_GB2312"/>
          <w:sz w:val="32"/>
          <w:szCs w:val="32"/>
          <w:shd w:val="clear" w:color="auto" w:fill="FFFFFF"/>
        </w:rPr>
        <w:t>激励民营经济发展壮大。</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Times New Roman" w:hAnsi="Times New Roman" w:eastAsia="楷体" w:cs="Times New Roman"/>
          <w:sz w:val="32"/>
          <w:szCs w:val="32"/>
          <w:shd w:val="clear" w:color="auto" w:fill="FFFFFF"/>
          <w:lang w:eastAsia="zh-CN"/>
        </w:rPr>
      </w:pPr>
      <w:r>
        <w:rPr>
          <w:rFonts w:hint="default" w:ascii="Times New Roman" w:hAnsi="Times New Roman" w:eastAsia="楷体" w:cs="Times New Roman"/>
          <w:b/>
          <w:color w:val="000000"/>
          <w:sz w:val="32"/>
          <w:szCs w:val="32"/>
          <w:lang w:eastAsia="zh-CN"/>
        </w:rPr>
        <w:t>二是</w:t>
      </w:r>
      <w:r>
        <w:rPr>
          <w:rFonts w:hint="default" w:ascii="Times New Roman" w:hAnsi="Times New Roman" w:eastAsia="楷体" w:cs="Times New Roman"/>
          <w:b/>
          <w:color w:val="000000"/>
          <w:sz w:val="32"/>
          <w:szCs w:val="32"/>
        </w:rPr>
        <w:t>服务融入新发展格局。</w:t>
      </w:r>
      <w:r>
        <w:rPr>
          <w:rFonts w:hint="default" w:ascii="Times New Roman" w:hAnsi="Times New Roman" w:eastAsia="仿宋_GB2312" w:cs="Times New Roman"/>
          <w:sz w:val="32"/>
          <w:szCs w:val="32"/>
          <w:shd w:val="clear" w:color="auto" w:fill="FFFFFF"/>
        </w:rPr>
        <w:t>支持企业关键核心技术和关</w:t>
      </w:r>
      <w:r>
        <w:rPr>
          <w:rFonts w:hint="default" w:ascii="Times New Roman" w:hAnsi="Times New Roman" w:eastAsia="仿宋_GB2312"/>
          <w:sz w:val="32"/>
          <w:szCs w:val="32"/>
        </w:rPr>
        <w:t>键产品“揭榜挂帅”攻关，鼓励开发“五首”产品</w:t>
      </w:r>
      <w:r>
        <w:rPr>
          <w:rFonts w:hint="eastAsia" w:ascii="Times New Roman" w:hAnsi="Times New Roman" w:eastAsia="仿宋_GB2312"/>
          <w:sz w:val="32"/>
          <w:szCs w:val="32"/>
          <w:lang w:eastAsia="zh-CN"/>
        </w:rPr>
        <w:t>，</w:t>
      </w:r>
      <w:r>
        <w:rPr>
          <w:rFonts w:ascii="Times New Roman" w:hAnsi="Times New Roman" w:eastAsia="仿宋_GB2312"/>
          <w:sz w:val="32"/>
          <w:szCs w:val="32"/>
          <w:shd w:val="clear" w:color="auto" w:fill="FFFFFF"/>
        </w:rPr>
        <w:t>推动产业数字化和数字产业化</w:t>
      </w:r>
      <w:r>
        <w:rPr>
          <w:rFonts w:hint="default" w:ascii="Times New Roman" w:hAnsi="Times New Roman" w:eastAsia="仿宋_GB2312"/>
          <w:sz w:val="32"/>
          <w:szCs w:val="32"/>
        </w:rPr>
        <w:t>。优化财政支持政策，推动自贸试验区提质升级</w:t>
      </w:r>
      <w:r>
        <w:rPr>
          <w:rFonts w:hint="default" w:ascii="Times New Roman" w:hAnsi="Times New Roman" w:eastAsia="仿宋_GB2312"/>
          <w:sz w:val="32"/>
          <w:szCs w:val="32"/>
          <w:lang w:eastAsia="zh-CN"/>
        </w:rPr>
        <w:t>，</w:t>
      </w:r>
      <w:r>
        <w:rPr>
          <w:rFonts w:hint="default" w:ascii="Times New Roman" w:hAnsi="Times New Roman" w:eastAsia="仿宋_GB2312"/>
          <w:sz w:val="32"/>
          <w:szCs w:val="32"/>
        </w:rPr>
        <w:t>国际人流物流通道加快建设。</w:t>
      </w:r>
      <w:r>
        <w:rPr>
          <w:rFonts w:ascii="Times New Roman" w:hAnsi="Times New Roman" w:eastAsia="仿宋_GB2312"/>
          <w:sz w:val="32"/>
          <w:szCs w:val="32"/>
        </w:rPr>
        <w:t>优化债券、转移支付资源配置</w:t>
      </w:r>
      <w:r>
        <w:rPr>
          <w:rFonts w:hint="eastAsia" w:ascii="Times New Roman" w:hAnsi="Times New Roman" w:eastAsia="仿宋_GB2312"/>
          <w:sz w:val="32"/>
          <w:szCs w:val="32"/>
          <w:lang w:eastAsia="zh-CN"/>
        </w:rPr>
        <w:t>，支持“强省会”等</w:t>
      </w:r>
      <w:r>
        <w:rPr>
          <w:rFonts w:ascii="Times New Roman" w:hAnsi="Times New Roman" w:eastAsia="仿宋_GB2312"/>
          <w:sz w:val="32"/>
          <w:szCs w:val="32"/>
        </w:rPr>
        <w:t>重大区域发展战略</w:t>
      </w:r>
      <w:r>
        <w:rPr>
          <w:rFonts w:hint="eastAsia" w:ascii="Times New Roman" w:hAnsi="Times New Roman" w:eastAsia="仿宋_GB2312"/>
          <w:sz w:val="32"/>
          <w:szCs w:val="32"/>
          <w:lang w:eastAsia="zh-CN"/>
        </w:rPr>
        <w:t>实施。</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b/>
          <w:color w:val="000000"/>
          <w:sz w:val="32"/>
          <w:szCs w:val="32"/>
          <w:lang w:eastAsia="zh-CN"/>
        </w:rPr>
        <w:t>三是</w:t>
      </w:r>
      <w:r>
        <w:rPr>
          <w:rFonts w:hint="default" w:ascii="Times New Roman" w:hAnsi="Times New Roman" w:eastAsia="楷体" w:cs="Times New Roman"/>
          <w:b/>
          <w:color w:val="000000"/>
          <w:sz w:val="32"/>
          <w:szCs w:val="32"/>
        </w:rPr>
        <w:t>增强创新发展科教人才支撑。</w:t>
      </w:r>
      <w:r>
        <w:rPr>
          <w:rFonts w:hint="default" w:ascii="Times New Roman" w:hAnsi="Times New Roman" w:eastAsia="仿宋_GB2312" w:cs="Times New Roman"/>
          <w:sz w:val="32"/>
          <w:szCs w:val="32"/>
        </w:rPr>
        <w:t>支持四大实验室</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四大战略科技基础设施</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十大科技攻关项目加快</w:t>
      </w:r>
      <w:r>
        <w:rPr>
          <w:rFonts w:hint="default" w:ascii="Times New Roman" w:hAnsi="Times New Roman" w:eastAsia="仿宋_GB2312" w:cs="Times New Roman"/>
          <w:sz w:val="32"/>
          <w:szCs w:val="32"/>
          <w:lang w:eastAsia="zh-CN"/>
        </w:rPr>
        <w:t>推进</w:t>
      </w:r>
      <w:r>
        <w:rPr>
          <w:rFonts w:hint="default" w:ascii="Times New Roman" w:hAnsi="Times New Roman" w:eastAsia="仿宋_GB2312" w:cs="Times New Roman"/>
          <w:sz w:val="32"/>
          <w:szCs w:val="32"/>
        </w:rPr>
        <w:t>。办好人民满意教育</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省属高校基建资金增加到20亿元，启动普通高中“徐特立项目”。支持实施“芙蓉计划”</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“三尖”人才工程和“小荷”人才专项等工程。</w:t>
      </w:r>
    </w:p>
    <w:p>
      <w:pPr>
        <w:pStyle w:val="12"/>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643"/>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b/>
          <w:color w:val="000000"/>
          <w:sz w:val="32"/>
          <w:szCs w:val="32"/>
          <w:lang w:eastAsia="zh-CN"/>
        </w:rPr>
        <w:t>四是</w:t>
      </w:r>
      <w:r>
        <w:rPr>
          <w:rFonts w:hint="default" w:ascii="Times New Roman" w:hAnsi="Times New Roman" w:eastAsia="楷体" w:cs="Times New Roman"/>
          <w:b/>
          <w:color w:val="000000"/>
          <w:sz w:val="32"/>
          <w:szCs w:val="32"/>
        </w:rPr>
        <w:t>支持全面推进乡村振兴。</w:t>
      </w:r>
      <w:r>
        <w:rPr>
          <w:rFonts w:hint="default" w:ascii="Times New Roman" w:hAnsi="Times New Roman" w:eastAsia="仿宋_GB2312" w:cs="Times New Roman"/>
          <w:sz w:val="32"/>
          <w:szCs w:val="32"/>
          <w:shd w:val="clear" w:color="auto" w:fill="FFFFFF"/>
        </w:rPr>
        <w:t>协调推进</w:t>
      </w:r>
      <w:r>
        <w:rPr>
          <w:rFonts w:hint="eastAsia" w:ascii="Times New Roman" w:hAnsi="Times New Roman" w:eastAsia="仿宋_GB2312" w:cs="Times New Roman"/>
          <w:sz w:val="32"/>
          <w:szCs w:val="32"/>
          <w:shd w:val="clear" w:color="auto" w:fill="FFFFFF"/>
          <w:lang w:eastAsia="zh-CN"/>
        </w:rPr>
        <w:t>农田水利</w:t>
      </w:r>
      <w:r>
        <w:rPr>
          <w:rFonts w:hint="default" w:ascii="Times New Roman" w:hAnsi="Times New Roman" w:eastAsia="仿宋_GB2312" w:cs="Times New Roman"/>
          <w:sz w:val="32"/>
          <w:szCs w:val="32"/>
        </w:rPr>
        <w:t>建设，</w:t>
      </w:r>
      <w:r>
        <w:rPr>
          <w:rFonts w:hint="eastAsia" w:ascii="Times New Roman" w:hAnsi="Times New Roman" w:eastAsia="仿宋_GB2312" w:cs="Times New Roman"/>
          <w:sz w:val="32"/>
          <w:szCs w:val="32"/>
          <w:lang w:eastAsia="zh-CN"/>
        </w:rPr>
        <w:t>改革</w:t>
      </w:r>
      <w:r>
        <w:rPr>
          <w:rFonts w:hint="default" w:ascii="Times New Roman" w:hAnsi="Times New Roman" w:eastAsia="仿宋_GB2312" w:cs="Times New Roman"/>
          <w:sz w:val="32"/>
          <w:szCs w:val="32"/>
        </w:rPr>
        <w:t>耕地地力保护补贴</w:t>
      </w:r>
      <w:r>
        <w:rPr>
          <w:rFonts w:hint="eastAsia" w:ascii="Times New Roman" w:hAnsi="Times New Roman" w:eastAsia="仿宋_GB2312" w:cs="Times New Roman"/>
          <w:sz w:val="32"/>
          <w:szCs w:val="32"/>
          <w:lang w:eastAsia="zh-CN"/>
        </w:rPr>
        <w:t>政策</w:t>
      </w:r>
      <w:r>
        <w:rPr>
          <w:rFonts w:hint="default" w:ascii="Times New Roman" w:hAnsi="Times New Roman" w:eastAsia="仿宋_GB2312" w:cs="Times New Roman"/>
          <w:sz w:val="32"/>
          <w:szCs w:val="32"/>
        </w:rPr>
        <w:t>，提高水稻农业保险保额，</w:t>
      </w:r>
      <w:r>
        <w:rPr>
          <w:rFonts w:hint="default" w:ascii="Times New Roman" w:hAnsi="Times New Roman" w:eastAsia="仿宋_GB2312" w:cs="Times New Roman"/>
          <w:sz w:val="32"/>
          <w:szCs w:val="32"/>
          <w:lang w:eastAsia="zh-CN"/>
        </w:rPr>
        <w:t>保障粮食安全</w:t>
      </w:r>
      <w:r>
        <w:rPr>
          <w:rFonts w:hint="default" w:ascii="Times New Roman" w:hAnsi="Times New Roman" w:eastAsia="仿宋_GB2312" w:cs="Times New Roman"/>
          <w:sz w:val="32"/>
          <w:szCs w:val="32"/>
        </w:rPr>
        <w:t>。增加省级衔接推进乡村振兴投入，加力向重点帮扶县和示范创建县倾斜。统筹农业专项资金，接续实施“六大强农行动”，加速构建现代农业产业体系。</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b/>
          <w:color w:val="000000"/>
          <w:sz w:val="32"/>
          <w:szCs w:val="32"/>
          <w:lang w:eastAsia="zh-CN"/>
        </w:rPr>
        <w:t>五是</w:t>
      </w:r>
      <w:r>
        <w:rPr>
          <w:rFonts w:hint="default" w:ascii="Times New Roman" w:hAnsi="Times New Roman" w:eastAsia="楷体" w:cs="Times New Roman"/>
          <w:b/>
          <w:color w:val="000000"/>
          <w:sz w:val="32"/>
          <w:szCs w:val="32"/>
        </w:rPr>
        <w:t>推动生态文明建设。</w:t>
      </w:r>
      <w:r>
        <w:rPr>
          <w:rFonts w:hint="default" w:ascii="Times New Roman" w:hAnsi="Times New Roman" w:eastAsia="仿宋_GB2312" w:cs="Times New Roman"/>
          <w:sz w:val="32"/>
          <w:szCs w:val="32"/>
        </w:rPr>
        <w:t>实施新一轮新能源汽车和充换电基础设施财政支持政策，推进省级绿色建造</w:t>
      </w:r>
      <w:r>
        <w:rPr>
          <w:rFonts w:hint="eastAsia"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rPr>
        <w:t>试点</w:t>
      </w:r>
      <w:r>
        <w:rPr>
          <w:rFonts w:hint="default" w:ascii="Times New Roman" w:hAnsi="Times New Roman" w:eastAsia="仿宋_GB2312" w:cs="Times New Roman"/>
          <w:sz w:val="32"/>
          <w:szCs w:val="32"/>
          <w:lang w:eastAsia="zh-CN"/>
        </w:rPr>
        <w:t>，支持绿色转型发展。</w:t>
      </w:r>
      <w:r>
        <w:rPr>
          <w:rFonts w:hint="default" w:ascii="Times New Roman" w:hAnsi="Times New Roman" w:eastAsia="仿宋_GB2312" w:cs="Times New Roman"/>
          <w:sz w:val="32"/>
          <w:szCs w:val="32"/>
        </w:rPr>
        <w:t>推进“一江一湖四水”系统联治，制定洞庭湖总磷削减攻坚行动财政奖补方案</w:t>
      </w:r>
      <w:r>
        <w:rPr>
          <w:rFonts w:hint="default" w:ascii="Times New Roman" w:hAnsi="Times New Roman" w:eastAsia="仿宋_GB2312" w:cs="Times New Roman"/>
          <w:sz w:val="32"/>
          <w:szCs w:val="32"/>
          <w:lang w:eastAsia="zh-CN"/>
        </w:rPr>
        <w:t>，支持打好污染防治攻坚战</w:t>
      </w:r>
      <w:r>
        <w:rPr>
          <w:rFonts w:hint="default" w:ascii="Times New Roman" w:hAnsi="Times New Roman" w:eastAsia="仿宋_GB2312" w:cs="Times New Roman"/>
          <w:sz w:val="32"/>
          <w:szCs w:val="32"/>
        </w:rPr>
        <w:t>。支持实施“十年禁渔”、耕地轮作休耕</w:t>
      </w:r>
      <w:r>
        <w:rPr>
          <w:rFonts w:hint="eastAsia"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shd w:val="clear" w:color="auto" w:fill="FFFFFF"/>
        </w:rPr>
        <w:t>，</w:t>
      </w:r>
      <w:r>
        <w:rPr>
          <w:rFonts w:hint="default" w:ascii="Times New Roman" w:hAnsi="Times New Roman" w:eastAsia="仿宋_GB2312" w:cs="Times New Roman"/>
          <w:sz w:val="32"/>
          <w:szCs w:val="32"/>
          <w:shd w:val="clear" w:color="auto" w:fill="FFFFFF"/>
          <w:lang w:eastAsia="zh-CN"/>
        </w:rPr>
        <w:t>推进生态系统治理</w:t>
      </w:r>
      <w:r>
        <w:rPr>
          <w:rFonts w:hint="default" w:ascii="Times New Roman" w:hAnsi="Times New Roman" w:eastAsia="仿宋_GB2312" w:cs="Times New Roman"/>
          <w:sz w:val="32"/>
          <w:szCs w:val="32"/>
          <w:shd w:val="clear" w:color="auto" w:fill="FFFFFF"/>
        </w:rPr>
        <w:t>。</w:t>
      </w:r>
    </w:p>
    <w:p>
      <w:pPr>
        <w:pStyle w:val="12"/>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643"/>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b/>
          <w:bCs/>
          <w:color w:val="000000"/>
          <w:sz w:val="32"/>
          <w:szCs w:val="32"/>
          <w:lang w:eastAsia="zh-CN"/>
        </w:rPr>
        <w:t>六是</w:t>
      </w:r>
      <w:r>
        <w:rPr>
          <w:rFonts w:hint="default" w:ascii="Times New Roman" w:hAnsi="Times New Roman" w:eastAsia="楷体_GB2312" w:cs="Times New Roman"/>
          <w:b/>
          <w:bCs/>
          <w:color w:val="000000"/>
          <w:sz w:val="32"/>
          <w:szCs w:val="32"/>
        </w:rPr>
        <w:t>持续增进民生福祉。</w:t>
      </w:r>
      <w:r>
        <w:rPr>
          <w:rFonts w:hint="default" w:ascii="Times New Roman" w:hAnsi="Times New Roman" w:eastAsia="仿宋_GB2312" w:cs="Times New Roman"/>
          <w:kern w:val="2"/>
          <w:sz w:val="32"/>
          <w:szCs w:val="32"/>
          <w:lang w:val="en-US" w:eastAsia="zh-CN" w:bidi="ar-SA"/>
        </w:rPr>
        <w:t>落实就业优先战略，确保城镇新增就业70万人以上。健全社会保障体系，继续提高城乡低保最低生活指导标准和残疾人两项补贴标准。支持健康湖南建设，</w:t>
      </w:r>
      <w:r>
        <w:rPr>
          <w:rFonts w:hint="eastAsia" w:ascii="Times New Roman" w:hAnsi="Times New Roman" w:eastAsia="仿宋_GB2312" w:cs="Times New Roman"/>
          <w:kern w:val="2"/>
          <w:sz w:val="32"/>
          <w:szCs w:val="32"/>
          <w:lang w:val="en-US" w:eastAsia="zh-CN" w:bidi="ar-SA"/>
        </w:rPr>
        <w:t>提升</w:t>
      </w:r>
      <w:r>
        <w:rPr>
          <w:rFonts w:hint="default" w:ascii="Times New Roman" w:hAnsi="Times New Roman" w:eastAsia="仿宋_GB2312" w:cs="Times New Roman"/>
          <w:kern w:val="2"/>
          <w:sz w:val="32"/>
          <w:szCs w:val="32"/>
          <w:lang w:val="en-US" w:eastAsia="zh-CN" w:bidi="ar-SA"/>
        </w:rPr>
        <w:t>新冠重症患者转运和救治能力。支持办好第二届全省旅发大会。支持平安湖南建设，加大政法、消防等领域投入力度。</w:t>
      </w:r>
    </w:p>
    <w:p>
      <w:pPr>
        <w:spacing w:line="600" w:lineRule="exact"/>
        <w:ind w:firstLine="640" w:firstLineChars="200"/>
        <w:rPr>
          <w:rFonts w:eastAsia="黑体"/>
          <w:color w:val="000000"/>
          <w:sz w:val="32"/>
          <w:szCs w:val="32"/>
        </w:rPr>
      </w:pPr>
      <w:r>
        <w:rPr>
          <w:rFonts w:eastAsia="黑体"/>
          <w:color w:val="000000"/>
          <w:sz w:val="32"/>
          <w:szCs w:val="32"/>
        </w:rPr>
        <w:t>三、202</w:t>
      </w:r>
      <w:r>
        <w:rPr>
          <w:rFonts w:hint="eastAsia" w:eastAsia="黑体"/>
          <w:color w:val="000000"/>
          <w:sz w:val="32"/>
          <w:szCs w:val="32"/>
          <w:lang w:val="en-US" w:eastAsia="zh-CN"/>
        </w:rPr>
        <w:t>3</w:t>
      </w:r>
      <w:r>
        <w:rPr>
          <w:rFonts w:eastAsia="黑体"/>
          <w:color w:val="000000"/>
          <w:sz w:val="32"/>
          <w:szCs w:val="32"/>
        </w:rPr>
        <w:t>年省对市县税收返还和转移支付预算说明</w:t>
      </w:r>
    </w:p>
    <w:p>
      <w:pPr>
        <w:spacing w:line="600" w:lineRule="exact"/>
        <w:ind w:firstLine="640" w:firstLineChars="200"/>
        <w:rPr>
          <w:rFonts w:eastAsia="仿宋_GB2312"/>
          <w:color w:val="000000"/>
          <w:sz w:val="32"/>
          <w:szCs w:val="32"/>
        </w:rPr>
      </w:pPr>
      <w:r>
        <w:rPr>
          <w:rFonts w:eastAsia="仿宋_GB2312"/>
          <w:color w:val="000000"/>
          <w:sz w:val="32"/>
          <w:szCs w:val="32"/>
        </w:rPr>
        <w:t>202</w:t>
      </w:r>
      <w:r>
        <w:rPr>
          <w:rFonts w:hint="eastAsia" w:eastAsia="仿宋_GB2312"/>
          <w:color w:val="000000"/>
          <w:sz w:val="32"/>
          <w:szCs w:val="32"/>
          <w:lang w:val="en-US" w:eastAsia="zh-CN"/>
        </w:rPr>
        <w:t>3</w:t>
      </w:r>
      <w:r>
        <w:rPr>
          <w:rFonts w:eastAsia="仿宋_GB2312"/>
          <w:color w:val="000000"/>
          <w:sz w:val="32"/>
          <w:szCs w:val="32"/>
        </w:rPr>
        <w:t>年，省进一步加大对市县的转移支付力度，全力支持市县“保工资、保运转、保民生”，共安排市县税收返还和转移支付预算3</w:t>
      </w:r>
      <w:r>
        <w:rPr>
          <w:rFonts w:hint="eastAsia" w:eastAsia="仿宋_GB2312"/>
          <w:color w:val="000000"/>
          <w:sz w:val="32"/>
          <w:szCs w:val="32"/>
          <w:lang w:val="en-US" w:eastAsia="zh-CN"/>
        </w:rPr>
        <w:t>650.7</w:t>
      </w:r>
      <w:r>
        <w:rPr>
          <w:rFonts w:eastAsia="仿宋_GB2312"/>
          <w:color w:val="000000"/>
          <w:sz w:val="32"/>
          <w:szCs w:val="32"/>
        </w:rPr>
        <w:t>亿元。具体情况如下：</w:t>
      </w:r>
    </w:p>
    <w:p>
      <w:pPr>
        <w:spacing w:line="600" w:lineRule="exact"/>
        <w:ind w:firstLine="640" w:firstLineChars="200"/>
        <w:rPr>
          <w:rFonts w:eastAsia="仿宋_GB2312"/>
          <w:color w:val="000000"/>
          <w:sz w:val="32"/>
          <w:szCs w:val="32"/>
        </w:rPr>
      </w:pPr>
      <w:r>
        <w:rPr>
          <w:rFonts w:eastAsia="仿宋_GB2312"/>
          <w:color w:val="000000"/>
          <w:sz w:val="32"/>
          <w:szCs w:val="32"/>
        </w:rPr>
        <w:t>1.返还性支出225.4亿元，与202</w:t>
      </w:r>
      <w:r>
        <w:rPr>
          <w:rFonts w:hint="eastAsia" w:eastAsia="仿宋_GB2312"/>
          <w:color w:val="000000"/>
          <w:sz w:val="32"/>
          <w:szCs w:val="32"/>
          <w:lang w:val="en-US" w:eastAsia="zh-CN"/>
        </w:rPr>
        <w:t>2</w:t>
      </w:r>
      <w:r>
        <w:rPr>
          <w:rFonts w:eastAsia="仿宋_GB2312"/>
          <w:color w:val="000000"/>
          <w:sz w:val="32"/>
          <w:szCs w:val="32"/>
        </w:rPr>
        <w:t>年执行数持平。</w:t>
      </w:r>
    </w:p>
    <w:p>
      <w:pPr>
        <w:spacing w:line="600" w:lineRule="exact"/>
        <w:ind w:firstLine="640" w:firstLineChars="200"/>
        <w:rPr>
          <w:rFonts w:eastAsia="仿宋_GB2312"/>
          <w:color w:val="000000"/>
          <w:sz w:val="32"/>
          <w:szCs w:val="32"/>
        </w:rPr>
      </w:pPr>
      <w:r>
        <w:rPr>
          <w:rFonts w:eastAsia="仿宋_GB2312"/>
          <w:color w:val="000000"/>
          <w:sz w:val="32"/>
          <w:szCs w:val="32"/>
        </w:rPr>
        <w:t>2.一般性转移支付</w:t>
      </w:r>
      <w:r>
        <w:rPr>
          <w:rFonts w:hint="eastAsia" w:eastAsia="仿宋_GB2312"/>
          <w:color w:val="000000"/>
          <w:sz w:val="32"/>
          <w:szCs w:val="32"/>
          <w:lang w:val="en-US" w:eastAsia="zh-CN"/>
        </w:rPr>
        <w:t>3005.7</w:t>
      </w:r>
      <w:r>
        <w:rPr>
          <w:rFonts w:eastAsia="仿宋_GB2312"/>
          <w:color w:val="000000"/>
          <w:sz w:val="32"/>
          <w:szCs w:val="32"/>
        </w:rPr>
        <w:t>亿元，占转移支付比重为8</w:t>
      </w:r>
      <w:r>
        <w:rPr>
          <w:rFonts w:hint="eastAsia" w:eastAsia="仿宋_GB2312"/>
          <w:color w:val="000000"/>
          <w:sz w:val="32"/>
          <w:szCs w:val="32"/>
          <w:lang w:val="en-US" w:eastAsia="zh-CN"/>
        </w:rPr>
        <w:t>7.7</w:t>
      </w:r>
      <w:r>
        <w:rPr>
          <w:rFonts w:eastAsia="仿宋_GB2312"/>
          <w:color w:val="000000"/>
          <w:sz w:val="32"/>
          <w:szCs w:val="32"/>
        </w:rPr>
        <w:t>%，主要是按照中央</w:t>
      </w:r>
      <w:r>
        <w:rPr>
          <w:rFonts w:eastAsia="仿宋_GB2312"/>
          <w:sz w:val="32"/>
          <w:szCs w:val="32"/>
        </w:rPr>
        <w:t>稳步推进财政事权与支出责任划分改革，部分原以专项转移支付下达的资金，改为共同财政事权转移支付下达，计入一般性转移支付，转移支付结构发生较大变化。其中，均衡性转移支付7</w:t>
      </w:r>
      <w:r>
        <w:rPr>
          <w:rFonts w:hint="eastAsia" w:eastAsia="仿宋_GB2312"/>
          <w:sz w:val="32"/>
          <w:szCs w:val="32"/>
          <w:lang w:val="en-US" w:eastAsia="zh-CN"/>
        </w:rPr>
        <w:t>34.5</w:t>
      </w:r>
      <w:r>
        <w:rPr>
          <w:rFonts w:eastAsia="仿宋_GB2312"/>
          <w:sz w:val="32"/>
          <w:szCs w:val="32"/>
        </w:rPr>
        <w:t>亿元，县级基本财力保障机制奖补资金</w:t>
      </w:r>
      <w:r>
        <w:rPr>
          <w:rFonts w:hint="eastAsia" w:eastAsia="仿宋_GB2312"/>
          <w:sz w:val="32"/>
          <w:szCs w:val="32"/>
          <w:lang w:val="en-US" w:eastAsia="zh-CN"/>
        </w:rPr>
        <w:t>212.1</w:t>
      </w:r>
      <w:r>
        <w:rPr>
          <w:rFonts w:eastAsia="仿宋_GB2312"/>
          <w:sz w:val="32"/>
          <w:szCs w:val="32"/>
        </w:rPr>
        <w:t>亿元，</w:t>
      </w:r>
      <w:r>
        <w:rPr>
          <w:rFonts w:eastAsia="仿宋_GB2312"/>
          <w:color w:val="000000"/>
          <w:sz w:val="32"/>
          <w:szCs w:val="32"/>
        </w:rPr>
        <w:t>重点生态功能区转移支付</w:t>
      </w:r>
      <w:r>
        <w:rPr>
          <w:rFonts w:hint="eastAsia" w:eastAsia="仿宋_GB2312"/>
          <w:color w:val="000000"/>
          <w:sz w:val="32"/>
          <w:szCs w:val="32"/>
          <w:lang w:val="en-US" w:eastAsia="zh-CN"/>
        </w:rPr>
        <w:t>52.6</w:t>
      </w:r>
      <w:r>
        <w:rPr>
          <w:rFonts w:eastAsia="仿宋_GB2312"/>
          <w:color w:val="000000"/>
          <w:sz w:val="32"/>
          <w:szCs w:val="32"/>
        </w:rPr>
        <w:t>亿元，革命老区转移支付</w:t>
      </w:r>
      <w:r>
        <w:rPr>
          <w:rFonts w:hint="eastAsia" w:eastAsia="仿宋_GB2312"/>
          <w:color w:val="000000"/>
          <w:sz w:val="32"/>
          <w:szCs w:val="32"/>
          <w:lang w:val="en-US" w:eastAsia="zh-CN"/>
        </w:rPr>
        <w:t>15.8</w:t>
      </w:r>
      <w:r>
        <w:rPr>
          <w:rFonts w:eastAsia="仿宋_GB2312"/>
          <w:color w:val="000000"/>
          <w:sz w:val="32"/>
          <w:szCs w:val="32"/>
        </w:rPr>
        <w:t>亿元，民族地区转移支付</w:t>
      </w:r>
      <w:r>
        <w:rPr>
          <w:rFonts w:hint="eastAsia" w:eastAsia="仿宋_GB2312"/>
          <w:color w:val="000000"/>
          <w:sz w:val="32"/>
          <w:szCs w:val="32"/>
          <w:lang w:val="en-US" w:eastAsia="zh-CN"/>
        </w:rPr>
        <w:t>28.8</w:t>
      </w:r>
      <w:r>
        <w:rPr>
          <w:rFonts w:eastAsia="仿宋_GB2312"/>
          <w:color w:val="000000"/>
          <w:sz w:val="32"/>
          <w:szCs w:val="32"/>
        </w:rPr>
        <w:t>亿元，资源枯竭城市转移支付</w:t>
      </w:r>
      <w:r>
        <w:rPr>
          <w:rFonts w:hint="eastAsia" w:eastAsia="仿宋_GB2312"/>
          <w:color w:val="000000"/>
          <w:sz w:val="32"/>
          <w:szCs w:val="32"/>
          <w:lang w:val="en-US" w:eastAsia="zh-CN"/>
        </w:rPr>
        <w:t>13.9</w:t>
      </w:r>
      <w:r>
        <w:rPr>
          <w:rFonts w:eastAsia="仿宋_GB2312"/>
          <w:color w:val="000000"/>
          <w:sz w:val="32"/>
          <w:szCs w:val="32"/>
        </w:rPr>
        <w:t>亿元，固定数额补助</w:t>
      </w:r>
      <w:r>
        <w:rPr>
          <w:rFonts w:hint="eastAsia" w:eastAsia="仿宋_GB2312"/>
          <w:color w:val="000000"/>
          <w:sz w:val="32"/>
          <w:szCs w:val="32"/>
          <w:lang w:val="en-US" w:eastAsia="zh-CN"/>
        </w:rPr>
        <w:t>176.3</w:t>
      </w:r>
      <w:r>
        <w:rPr>
          <w:rFonts w:eastAsia="仿宋_GB2312"/>
          <w:color w:val="000000"/>
          <w:sz w:val="32"/>
          <w:szCs w:val="32"/>
        </w:rPr>
        <w:t>亿元，产粮（油）大县奖励27.6亿元，体制补助6.</w:t>
      </w:r>
      <w:r>
        <w:rPr>
          <w:rFonts w:hint="eastAsia" w:eastAsia="仿宋_GB2312"/>
          <w:color w:val="000000"/>
          <w:sz w:val="32"/>
          <w:szCs w:val="32"/>
          <w:lang w:val="en-US" w:eastAsia="zh-CN"/>
        </w:rPr>
        <w:t>5</w:t>
      </w:r>
      <w:r>
        <w:rPr>
          <w:rFonts w:eastAsia="仿宋_GB2312"/>
          <w:color w:val="000000"/>
          <w:sz w:val="32"/>
          <w:szCs w:val="32"/>
        </w:rPr>
        <w:t>亿元，结算补助9</w:t>
      </w:r>
      <w:r>
        <w:rPr>
          <w:rFonts w:hint="eastAsia" w:eastAsia="仿宋_GB2312"/>
          <w:color w:val="000000"/>
          <w:sz w:val="32"/>
          <w:szCs w:val="32"/>
          <w:lang w:val="en-US" w:eastAsia="zh-CN"/>
        </w:rPr>
        <w:t>5.9</w:t>
      </w:r>
      <w:r>
        <w:rPr>
          <w:rFonts w:eastAsia="仿宋_GB2312"/>
          <w:color w:val="000000"/>
          <w:sz w:val="32"/>
          <w:szCs w:val="32"/>
        </w:rPr>
        <w:t>亿元，</w:t>
      </w:r>
      <w:r>
        <w:rPr>
          <w:rFonts w:hint="eastAsia" w:eastAsia="仿宋_GB2312"/>
          <w:color w:val="000000"/>
          <w:sz w:val="32"/>
          <w:szCs w:val="32"/>
        </w:rPr>
        <w:t>巩固脱贫攻坚成果衔接乡村振兴转移支付</w:t>
      </w:r>
      <w:r>
        <w:rPr>
          <w:rFonts w:hint="eastAsia" w:eastAsia="仿宋_GB2312"/>
          <w:color w:val="000000"/>
          <w:sz w:val="32"/>
          <w:szCs w:val="32"/>
          <w:lang w:val="en-US" w:eastAsia="zh-CN"/>
        </w:rPr>
        <w:t>83.7</w:t>
      </w:r>
      <w:r>
        <w:rPr>
          <w:rFonts w:eastAsia="仿宋_GB2312"/>
          <w:color w:val="000000"/>
          <w:sz w:val="32"/>
          <w:szCs w:val="32"/>
        </w:rPr>
        <w:t>亿元，</w:t>
      </w:r>
      <w:r>
        <w:rPr>
          <w:rFonts w:hint="eastAsia" w:eastAsia="仿宋_GB2312"/>
          <w:color w:val="000000"/>
          <w:sz w:val="32"/>
          <w:szCs w:val="32"/>
        </w:rPr>
        <w:t>企业事业单位划转补助</w:t>
      </w:r>
      <w:r>
        <w:rPr>
          <w:rFonts w:hint="eastAsia" w:eastAsia="仿宋_GB2312"/>
          <w:color w:val="000000"/>
          <w:sz w:val="32"/>
          <w:szCs w:val="32"/>
          <w:lang w:val="en-US" w:eastAsia="zh-CN"/>
        </w:rPr>
        <w:t>13</w:t>
      </w:r>
      <w:r>
        <w:rPr>
          <w:rFonts w:hint="eastAsia" w:eastAsia="仿宋_GB2312"/>
          <w:color w:val="000000"/>
          <w:sz w:val="32"/>
          <w:szCs w:val="32"/>
        </w:rPr>
        <w:t>亿元，增值税留抵退税</w:t>
      </w:r>
      <w:r>
        <w:rPr>
          <w:rFonts w:hint="eastAsia" w:eastAsia="仿宋_GB2312"/>
          <w:color w:val="000000"/>
          <w:sz w:val="32"/>
          <w:szCs w:val="32"/>
          <w:lang w:eastAsia="zh-CN"/>
        </w:rPr>
        <w:t>和其他退税减税降费转移支付</w:t>
      </w:r>
      <w:r>
        <w:rPr>
          <w:rFonts w:hint="eastAsia" w:eastAsia="仿宋_GB2312"/>
          <w:color w:val="000000"/>
          <w:sz w:val="32"/>
          <w:szCs w:val="32"/>
          <w:lang w:val="en-US" w:eastAsia="zh-CN"/>
        </w:rPr>
        <w:t>69.6亿元，</w:t>
      </w:r>
      <w:r>
        <w:rPr>
          <w:rFonts w:eastAsia="仿宋_GB2312"/>
          <w:color w:val="000000"/>
          <w:sz w:val="32"/>
          <w:szCs w:val="32"/>
        </w:rPr>
        <w:t>其他一般性转移支付</w:t>
      </w:r>
      <w:r>
        <w:rPr>
          <w:rFonts w:hint="eastAsia" w:eastAsia="仿宋_GB2312"/>
          <w:color w:val="000000"/>
          <w:sz w:val="32"/>
          <w:szCs w:val="32"/>
          <w:lang w:val="en-US" w:eastAsia="zh-CN"/>
        </w:rPr>
        <w:t>152.2</w:t>
      </w:r>
      <w:r>
        <w:rPr>
          <w:rFonts w:eastAsia="仿宋_GB2312"/>
          <w:color w:val="000000"/>
          <w:sz w:val="32"/>
          <w:szCs w:val="32"/>
        </w:rPr>
        <w:t>亿元；公共安全共同财政事权转移支付、教育共同事权转移支付、科学技术共同财政事权转移支付等具有明确投向的共同财政事权转移支付1</w:t>
      </w:r>
      <w:r>
        <w:rPr>
          <w:rFonts w:hint="eastAsia" w:eastAsia="仿宋_GB2312"/>
          <w:color w:val="000000"/>
          <w:sz w:val="32"/>
          <w:szCs w:val="32"/>
          <w:lang w:val="en-US" w:eastAsia="zh-CN"/>
        </w:rPr>
        <w:t>323.2</w:t>
      </w:r>
      <w:r>
        <w:rPr>
          <w:rFonts w:eastAsia="仿宋_GB2312"/>
          <w:color w:val="000000"/>
          <w:sz w:val="32"/>
          <w:szCs w:val="32"/>
        </w:rPr>
        <w:t xml:space="preserve">亿元。 </w:t>
      </w:r>
    </w:p>
    <w:p>
      <w:pPr>
        <w:spacing w:line="600" w:lineRule="exact"/>
        <w:ind w:firstLine="640" w:firstLineChars="200"/>
        <w:rPr>
          <w:rFonts w:eastAsia="仿宋_GB2312"/>
          <w:color w:val="000000"/>
          <w:sz w:val="32"/>
          <w:szCs w:val="32"/>
        </w:rPr>
      </w:pPr>
      <w:r>
        <w:rPr>
          <w:rFonts w:eastAsia="仿宋_GB2312"/>
          <w:color w:val="000000"/>
          <w:sz w:val="32"/>
          <w:szCs w:val="32"/>
        </w:rPr>
        <w:t>3.专项转移支付</w:t>
      </w:r>
      <w:r>
        <w:rPr>
          <w:rFonts w:hint="eastAsia" w:eastAsia="仿宋_GB2312"/>
          <w:color w:val="000000"/>
          <w:sz w:val="32"/>
          <w:szCs w:val="32"/>
          <w:lang w:val="en-US" w:eastAsia="zh-CN"/>
        </w:rPr>
        <w:t>419.6</w:t>
      </w:r>
      <w:r>
        <w:rPr>
          <w:rFonts w:eastAsia="仿宋_GB2312"/>
          <w:color w:val="000000"/>
          <w:sz w:val="32"/>
          <w:szCs w:val="32"/>
        </w:rPr>
        <w:t>亿元。将中央提前告知的专项转移支付全部编入预算，并继续加大对市县的支持力度，年度执行中省级新增财力将继续向市县倾斜，年中中央下达的专项转移支付也将主要用于对市县的支持。</w:t>
      </w:r>
    </w:p>
    <w:p>
      <w:pPr>
        <w:spacing w:line="600" w:lineRule="exact"/>
        <w:ind w:firstLine="640" w:firstLineChars="200"/>
        <w:rPr>
          <w:rFonts w:eastAsia="黑体"/>
          <w:color w:val="000000"/>
          <w:sz w:val="32"/>
          <w:szCs w:val="32"/>
        </w:rPr>
      </w:pPr>
      <w:r>
        <w:rPr>
          <w:rFonts w:eastAsia="黑体"/>
          <w:color w:val="000000"/>
          <w:sz w:val="32"/>
          <w:szCs w:val="32"/>
        </w:rPr>
        <w:t>四、202</w:t>
      </w:r>
      <w:r>
        <w:rPr>
          <w:rFonts w:hint="eastAsia" w:eastAsia="黑体"/>
          <w:color w:val="000000"/>
          <w:sz w:val="32"/>
          <w:szCs w:val="32"/>
          <w:lang w:val="en-US" w:eastAsia="zh-CN"/>
        </w:rPr>
        <w:t>3</w:t>
      </w:r>
      <w:r>
        <w:rPr>
          <w:rFonts w:eastAsia="黑体"/>
          <w:color w:val="000000"/>
          <w:sz w:val="32"/>
          <w:szCs w:val="32"/>
        </w:rPr>
        <w:t>年省级政府性基金预算说明</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根据基金收入和实际支出情况，按基金项目以收定支编制。省级收入安排23亿元，主要是彩票公益金等收入，加上中央补助和市县上解33.5亿元，专项债券1644.3亿元，上年结转</w:t>
      </w:r>
      <w:r>
        <w:rPr>
          <w:rFonts w:hint="eastAsia" w:ascii="Times New Roman" w:hAnsi="Times New Roman" w:eastAsia="仿宋_GB2312"/>
          <w:sz w:val="32"/>
          <w:szCs w:val="32"/>
          <w:lang w:val="en-US" w:eastAsia="zh-CN"/>
        </w:rPr>
        <w:t>63.7</w:t>
      </w:r>
      <w:r>
        <w:rPr>
          <w:rFonts w:ascii="Times New Roman" w:hAnsi="Times New Roman" w:eastAsia="仿宋_GB2312"/>
          <w:sz w:val="32"/>
          <w:szCs w:val="32"/>
        </w:rPr>
        <w:t>亿元，收入合计</w:t>
      </w:r>
      <w:r>
        <w:rPr>
          <w:rFonts w:hint="eastAsia" w:ascii="Times New Roman" w:hAnsi="Times New Roman" w:eastAsia="仿宋_GB2312"/>
          <w:sz w:val="32"/>
          <w:szCs w:val="32"/>
          <w:lang w:val="en-US" w:eastAsia="zh-CN"/>
        </w:rPr>
        <w:t>1764.5</w:t>
      </w:r>
      <w:r>
        <w:rPr>
          <w:rFonts w:ascii="Times New Roman" w:hAnsi="Times New Roman" w:eastAsia="仿宋_GB2312"/>
          <w:sz w:val="32"/>
          <w:szCs w:val="32"/>
        </w:rPr>
        <w:t>亿元；支出安排</w:t>
      </w:r>
      <w:r>
        <w:rPr>
          <w:rFonts w:hint="eastAsia" w:ascii="Times New Roman" w:hAnsi="Times New Roman" w:eastAsia="仿宋_GB2312"/>
          <w:sz w:val="32"/>
          <w:szCs w:val="32"/>
          <w:lang w:val="en-US" w:eastAsia="zh-CN"/>
        </w:rPr>
        <w:t>35.8</w:t>
      </w:r>
      <w:r>
        <w:rPr>
          <w:rFonts w:ascii="Times New Roman" w:hAnsi="Times New Roman" w:eastAsia="仿宋_GB2312"/>
          <w:sz w:val="32"/>
          <w:szCs w:val="32"/>
        </w:rPr>
        <w:t>亿元，补助市县</w:t>
      </w:r>
      <w:r>
        <w:rPr>
          <w:rFonts w:hint="eastAsia" w:ascii="Times New Roman" w:hAnsi="Times New Roman" w:eastAsia="仿宋_GB2312"/>
          <w:sz w:val="32"/>
          <w:szCs w:val="32"/>
          <w:lang w:val="en-US" w:eastAsia="zh-CN"/>
        </w:rPr>
        <w:t>40.5</w:t>
      </w:r>
      <w:r>
        <w:rPr>
          <w:rFonts w:ascii="Times New Roman" w:hAnsi="Times New Roman" w:eastAsia="仿宋_GB2312"/>
          <w:sz w:val="32"/>
          <w:szCs w:val="32"/>
        </w:rPr>
        <w:t>亿元，转贷市县专项债券1604.3亿元，专项债务还本40亿元，</w:t>
      </w:r>
      <w:r>
        <w:rPr>
          <w:rFonts w:hint="eastAsia" w:ascii="Times New Roman" w:hAnsi="Times New Roman" w:eastAsia="仿宋_GB2312"/>
          <w:sz w:val="32"/>
          <w:szCs w:val="32"/>
          <w:lang w:eastAsia="zh-CN"/>
        </w:rPr>
        <w:t>调出资金</w:t>
      </w:r>
      <w:r>
        <w:rPr>
          <w:rFonts w:hint="eastAsia" w:ascii="Times New Roman" w:hAnsi="Times New Roman" w:eastAsia="仿宋_GB2312"/>
          <w:sz w:val="32"/>
          <w:szCs w:val="32"/>
          <w:lang w:val="en-US" w:eastAsia="zh-CN"/>
        </w:rPr>
        <w:t>7亿元，</w:t>
      </w:r>
      <w:r>
        <w:rPr>
          <w:rFonts w:ascii="Times New Roman" w:hAnsi="Times New Roman" w:eastAsia="仿宋_GB2312"/>
          <w:sz w:val="32"/>
          <w:szCs w:val="32"/>
        </w:rPr>
        <w:t>结转下年</w:t>
      </w:r>
      <w:r>
        <w:rPr>
          <w:rFonts w:hint="eastAsia" w:ascii="Times New Roman" w:hAnsi="Times New Roman" w:eastAsia="仿宋_GB2312"/>
          <w:sz w:val="32"/>
          <w:szCs w:val="32"/>
          <w:lang w:val="en-US" w:eastAsia="zh-CN"/>
        </w:rPr>
        <w:t>36.9</w:t>
      </w:r>
      <w:r>
        <w:rPr>
          <w:rFonts w:ascii="Times New Roman" w:hAnsi="Times New Roman" w:eastAsia="仿宋_GB2312"/>
          <w:sz w:val="32"/>
          <w:szCs w:val="32"/>
        </w:rPr>
        <w:t>亿元，支出合计</w:t>
      </w:r>
      <w:r>
        <w:rPr>
          <w:rFonts w:hint="eastAsia" w:ascii="Times New Roman" w:hAnsi="Times New Roman" w:eastAsia="仿宋_GB2312"/>
          <w:sz w:val="32"/>
          <w:szCs w:val="32"/>
          <w:lang w:val="en-US" w:eastAsia="zh-CN"/>
        </w:rPr>
        <w:t>1764.5</w:t>
      </w:r>
      <w:r>
        <w:rPr>
          <w:rFonts w:ascii="Times New Roman" w:hAnsi="Times New Roman" w:eastAsia="仿宋_GB2312"/>
          <w:sz w:val="32"/>
          <w:szCs w:val="32"/>
        </w:rPr>
        <w:t>亿元。全省收入安排3</w:t>
      </w:r>
      <w:r>
        <w:rPr>
          <w:rFonts w:hint="eastAsia" w:ascii="Times New Roman" w:hAnsi="Times New Roman" w:eastAsia="仿宋_GB2312"/>
          <w:sz w:val="32"/>
          <w:szCs w:val="32"/>
          <w:lang w:val="en-US" w:eastAsia="zh-CN"/>
        </w:rPr>
        <w:t>117.9</w:t>
      </w:r>
      <w:r>
        <w:rPr>
          <w:rFonts w:ascii="Times New Roman" w:hAnsi="Times New Roman" w:eastAsia="仿宋_GB2312"/>
          <w:sz w:val="32"/>
          <w:szCs w:val="32"/>
        </w:rPr>
        <w:t>亿元，加上中央补助31.9亿元，专项债券1644.3亿元，上年结转</w:t>
      </w:r>
      <w:r>
        <w:rPr>
          <w:rFonts w:hint="eastAsia" w:ascii="Times New Roman" w:hAnsi="Times New Roman" w:eastAsia="仿宋_GB2312"/>
          <w:sz w:val="32"/>
          <w:szCs w:val="32"/>
          <w:lang w:val="en-US" w:eastAsia="zh-CN"/>
        </w:rPr>
        <w:t>428.7</w:t>
      </w:r>
      <w:r>
        <w:rPr>
          <w:rFonts w:ascii="Times New Roman" w:hAnsi="Times New Roman" w:eastAsia="仿宋_GB2312"/>
          <w:sz w:val="32"/>
          <w:szCs w:val="32"/>
        </w:rPr>
        <w:t>亿元，收入合计</w:t>
      </w:r>
      <w:r>
        <w:rPr>
          <w:rFonts w:hint="eastAsia" w:ascii="Times New Roman" w:hAnsi="Times New Roman" w:eastAsia="仿宋_GB2312"/>
          <w:sz w:val="32"/>
          <w:szCs w:val="32"/>
          <w:lang w:val="en-US" w:eastAsia="zh-CN"/>
        </w:rPr>
        <w:t>5222.8</w:t>
      </w:r>
      <w:r>
        <w:rPr>
          <w:rFonts w:ascii="Times New Roman" w:hAnsi="Times New Roman" w:eastAsia="仿宋_GB2312"/>
          <w:sz w:val="32"/>
          <w:szCs w:val="32"/>
        </w:rPr>
        <w:t>亿元；支出安排3</w:t>
      </w:r>
      <w:r>
        <w:rPr>
          <w:rFonts w:hint="eastAsia" w:ascii="Times New Roman" w:hAnsi="Times New Roman" w:eastAsia="仿宋_GB2312"/>
          <w:sz w:val="32"/>
          <w:szCs w:val="32"/>
          <w:lang w:val="en-US" w:eastAsia="zh-CN"/>
        </w:rPr>
        <w:t>660.3</w:t>
      </w:r>
      <w:r>
        <w:rPr>
          <w:rFonts w:ascii="Times New Roman" w:hAnsi="Times New Roman" w:eastAsia="仿宋_GB2312"/>
          <w:sz w:val="32"/>
          <w:szCs w:val="32"/>
        </w:rPr>
        <w:t>亿元，调出到一般公共预算</w:t>
      </w:r>
      <w:r>
        <w:rPr>
          <w:rFonts w:hint="eastAsia" w:ascii="Times New Roman" w:hAnsi="Times New Roman" w:eastAsia="仿宋_GB2312"/>
          <w:sz w:val="32"/>
          <w:szCs w:val="32"/>
          <w:lang w:val="en-US" w:eastAsia="zh-CN"/>
        </w:rPr>
        <w:t>505.1</w:t>
      </w:r>
      <w:r>
        <w:rPr>
          <w:rFonts w:ascii="Times New Roman" w:hAnsi="Times New Roman" w:eastAsia="仿宋_GB2312"/>
          <w:sz w:val="32"/>
          <w:szCs w:val="32"/>
        </w:rPr>
        <w:t>亿元，专项债务还本811.3亿元，结转下年</w:t>
      </w:r>
      <w:r>
        <w:rPr>
          <w:rFonts w:hint="eastAsia" w:ascii="Times New Roman" w:hAnsi="Times New Roman" w:eastAsia="仿宋_GB2312"/>
          <w:sz w:val="32"/>
          <w:szCs w:val="32"/>
          <w:lang w:val="en-US" w:eastAsia="zh-CN"/>
        </w:rPr>
        <w:t>246.1</w:t>
      </w:r>
      <w:r>
        <w:rPr>
          <w:rFonts w:ascii="Times New Roman" w:hAnsi="Times New Roman" w:eastAsia="仿宋_GB2312"/>
          <w:sz w:val="32"/>
          <w:szCs w:val="32"/>
        </w:rPr>
        <w:t>亿元，支出合计</w:t>
      </w:r>
      <w:r>
        <w:rPr>
          <w:rFonts w:hint="eastAsia" w:ascii="Times New Roman" w:hAnsi="Times New Roman" w:eastAsia="仿宋_GB2312"/>
          <w:sz w:val="32"/>
          <w:szCs w:val="32"/>
          <w:lang w:val="en-US" w:eastAsia="zh-CN"/>
        </w:rPr>
        <w:t>5222.8</w:t>
      </w:r>
      <w:r>
        <w:rPr>
          <w:rFonts w:ascii="Times New Roman" w:hAnsi="Times New Roman" w:eastAsia="仿宋_GB2312"/>
          <w:sz w:val="32"/>
          <w:szCs w:val="32"/>
        </w:rPr>
        <w:t>亿元。</w:t>
      </w:r>
    </w:p>
    <w:p>
      <w:pPr>
        <w:spacing w:line="600" w:lineRule="exact"/>
        <w:ind w:firstLine="640" w:firstLineChars="200"/>
        <w:rPr>
          <w:rFonts w:eastAsia="黑体"/>
          <w:color w:val="000000"/>
          <w:sz w:val="32"/>
          <w:szCs w:val="32"/>
        </w:rPr>
      </w:pPr>
      <w:r>
        <w:rPr>
          <w:rFonts w:eastAsia="黑体"/>
          <w:color w:val="000000"/>
          <w:sz w:val="32"/>
          <w:szCs w:val="32"/>
        </w:rPr>
        <w:t>五、202</w:t>
      </w:r>
      <w:r>
        <w:rPr>
          <w:rFonts w:hint="eastAsia" w:eastAsia="黑体"/>
          <w:color w:val="000000"/>
          <w:sz w:val="32"/>
          <w:szCs w:val="32"/>
          <w:lang w:val="en-US" w:eastAsia="zh-CN"/>
        </w:rPr>
        <w:t>3</w:t>
      </w:r>
      <w:r>
        <w:rPr>
          <w:rFonts w:eastAsia="黑体"/>
          <w:color w:val="000000"/>
          <w:sz w:val="32"/>
          <w:szCs w:val="32"/>
        </w:rPr>
        <w:t>年省级国有资本经营预算的说明</w:t>
      </w:r>
    </w:p>
    <w:p>
      <w:pPr>
        <w:pStyle w:val="11"/>
        <w:widowControl/>
        <w:shd w:val="clear" w:color="auto" w:fill="FFFFFF"/>
        <w:spacing w:before="0" w:beforeAutospacing="0" w:after="0" w:afterAutospacing="0" w:line="600" w:lineRule="exact"/>
        <w:ind w:firstLine="645"/>
        <w:jc w:val="both"/>
        <w:rPr>
          <w:rFonts w:ascii="Times New Roman" w:hAnsi="Times New Roman" w:eastAsia="仿宋_GB2312"/>
          <w:kern w:val="2"/>
          <w:sz w:val="32"/>
          <w:szCs w:val="32"/>
        </w:rPr>
      </w:pPr>
      <w:r>
        <w:rPr>
          <w:rFonts w:ascii="Times New Roman" w:hAnsi="Times New Roman" w:eastAsia="仿宋_GB2312"/>
          <w:kern w:val="2"/>
          <w:sz w:val="32"/>
          <w:szCs w:val="32"/>
        </w:rPr>
        <w:t>按照收支平衡的原则编制，并加大与一般公共预算统筹力度。省级收入安排30亿元，加上中央补助1.</w:t>
      </w:r>
      <w:r>
        <w:rPr>
          <w:rFonts w:hint="eastAsia" w:ascii="Times New Roman" w:hAnsi="Times New Roman" w:eastAsia="仿宋_GB2312"/>
          <w:kern w:val="2"/>
          <w:sz w:val="32"/>
          <w:szCs w:val="32"/>
          <w:lang w:val="en-US" w:eastAsia="zh-CN"/>
        </w:rPr>
        <w:t>2</w:t>
      </w:r>
      <w:r>
        <w:rPr>
          <w:rFonts w:ascii="Times New Roman" w:hAnsi="Times New Roman" w:eastAsia="仿宋_GB2312"/>
          <w:kern w:val="2"/>
          <w:sz w:val="32"/>
          <w:szCs w:val="32"/>
        </w:rPr>
        <w:t>亿元，收入合计31.</w:t>
      </w:r>
      <w:r>
        <w:rPr>
          <w:rFonts w:hint="eastAsia" w:ascii="Times New Roman" w:hAnsi="Times New Roman" w:eastAsia="仿宋_GB2312"/>
          <w:kern w:val="2"/>
          <w:sz w:val="32"/>
          <w:szCs w:val="32"/>
          <w:lang w:val="en-US" w:eastAsia="zh-CN"/>
        </w:rPr>
        <w:t>2</w:t>
      </w:r>
      <w:r>
        <w:rPr>
          <w:rFonts w:ascii="Times New Roman" w:hAnsi="Times New Roman" w:eastAsia="仿宋_GB2312"/>
          <w:kern w:val="2"/>
          <w:sz w:val="32"/>
          <w:szCs w:val="32"/>
        </w:rPr>
        <w:t>亿元；支出安排6.6亿元，调出到一般公共预算23.4亿元，补助市县1.</w:t>
      </w:r>
      <w:r>
        <w:rPr>
          <w:rFonts w:hint="eastAsia" w:ascii="Times New Roman" w:hAnsi="Times New Roman" w:eastAsia="仿宋_GB2312"/>
          <w:kern w:val="2"/>
          <w:sz w:val="32"/>
          <w:szCs w:val="32"/>
          <w:lang w:val="en-US" w:eastAsia="zh-CN"/>
        </w:rPr>
        <w:t>2</w:t>
      </w:r>
      <w:r>
        <w:rPr>
          <w:rFonts w:ascii="Times New Roman" w:hAnsi="Times New Roman" w:eastAsia="仿宋_GB2312"/>
          <w:kern w:val="2"/>
          <w:sz w:val="32"/>
          <w:szCs w:val="32"/>
        </w:rPr>
        <w:t>亿元，支出合计31.</w:t>
      </w:r>
      <w:r>
        <w:rPr>
          <w:rFonts w:hint="eastAsia" w:ascii="Times New Roman" w:hAnsi="Times New Roman" w:eastAsia="仿宋_GB2312"/>
          <w:kern w:val="2"/>
          <w:sz w:val="32"/>
          <w:szCs w:val="32"/>
          <w:lang w:val="en-US" w:eastAsia="zh-CN"/>
        </w:rPr>
        <w:t>2</w:t>
      </w:r>
      <w:r>
        <w:rPr>
          <w:rFonts w:ascii="Times New Roman" w:hAnsi="Times New Roman" w:eastAsia="仿宋_GB2312"/>
          <w:kern w:val="2"/>
          <w:sz w:val="32"/>
          <w:szCs w:val="32"/>
        </w:rPr>
        <w:t>亿元。全省收入安排</w:t>
      </w:r>
      <w:r>
        <w:rPr>
          <w:rFonts w:hint="eastAsia" w:ascii="Times New Roman" w:hAnsi="Times New Roman" w:eastAsia="仿宋_GB2312"/>
          <w:kern w:val="2"/>
          <w:sz w:val="32"/>
          <w:szCs w:val="32"/>
          <w:lang w:val="en-US" w:eastAsia="zh-CN"/>
        </w:rPr>
        <w:t>145.8</w:t>
      </w:r>
      <w:r>
        <w:rPr>
          <w:rFonts w:ascii="Times New Roman" w:hAnsi="Times New Roman" w:eastAsia="仿宋_GB2312"/>
          <w:kern w:val="2"/>
          <w:sz w:val="32"/>
          <w:szCs w:val="32"/>
        </w:rPr>
        <w:t>亿元，加上中央补助1.</w:t>
      </w:r>
      <w:r>
        <w:rPr>
          <w:rFonts w:hint="eastAsia" w:ascii="Times New Roman" w:hAnsi="Times New Roman" w:eastAsia="仿宋_GB2312"/>
          <w:kern w:val="2"/>
          <w:sz w:val="32"/>
          <w:szCs w:val="32"/>
          <w:lang w:val="en-US" w:eastAsia="zh-CN"/>
        </w:rPr>
        <w:t>2</w:t>
      </w:r>
      <w:r>
        <w:rPr>
          <w:rFonts w:ascii="Times New Roman" w:hAnsi="Times New Roman" w:eastAsia="仿宋_GB2312"/>
          <w:kern w:val="2"/>
          <w:sz w:val="32"/>
          <w:szCs w:val="32"/>
        </w:rPr>
        <w:t>亿元，上年结转</w:t>
      </w:r>
      <w:r>
        <w:rPr>
          <w:rFonts w:hint="eastAsia" w:ascii="Times New Roman" w:hAnsi="Times New Roman" w:eastAsia="仿宋_GB2312"/>
          <w:kern w:val="2"/>
          <w:sz w:val="32"/>
          <w:szCs w:val="32"/>
          <w:lang w:val="en-US" w:eastAsia="zh-CN"/>
        </w:rPr>
        <w:t>17</w:t>
      </w:r>
      <w:r>
        <w:rPr>
          <w:rFonts w:ascii="Times New Roman" w:hAnsi="Times New Roman" w:eastAsia="仿宋_GB2312"/>
          <w:kern w:val="2"/>
          <w:sz w:val="32"/>
          <w:szCs w:val="32"/>
        </w:rPr>
        <w:t>亿元，收入合计</w:t>
      </w:r>
      <w:r>
        <w:rPr>
          <w:rFonts w:hint="eastAsia" w:ascii="Times New Roman" w:hAnsi="Times New Roman" w:eastAsia="仿宋_GB2312"/>
          <w:kern w:val="2"/>
          <w:sz w:val="32"/>
          <w:szCs w:val="32"/>
          <w:lang w:val="en-US" w:eastAsia="zh-CN"/>
        </w:rPr>
        <w:t>164</w:t>
      </w:r>
      <w:r>
        <w:rPr>
          <w:rFonts w:ascii="Times New Roman" w:hAnsi="Times New Roman" w:eastAsia="仿宋_GB2312"/>
          <w:kern w:val="2"/>
          <w:sz w:val="32"/>
          <w:szCs w:val="32"/>
        </w:rPr>
        <w:t>亿元；支出安排</w:t>
      </w:r>
      <w:r>
        <w:rPr>
          <w:rFonts w:hint="eastAsia" w:ascii="Times New Roman" w:hAnsi="Times New Roman" w:eastAsia="仿宋_GB2312"/>
          <w:kern w:val="2"/>
          <w:sz w:val="32"/>
          <w:szCs w:val="32"/>
          <w:lang w:val="en-US" w:eastAsia="zh-CN"/>
        </w:rPr>
        <w:t>61.5</w:t>
      </w:r>
      <w:r>
        <w:rPr>
          <w:rFonts w:ascii="Times New Roman" w:hAnsi="Times New Roman" w:eastAsia="仿宋_GB2312"/>
          <w:kern w:val="2"/>
          <w:sz w:val="32"/>
          <w:szCs w:val="32"/>
        </w:rPr>
        <w:t>亿元，调出到一般公共预算</w:t>
      </w:r>
      <w:r>
        <w:rPr>
          <w:rFonts w:hint="eastAsia" w:ascii="Times New Roman" w:hAnsi="Times New Roman" w:eastAsia="仿宋_GB2312"/>
          <w:kern w:val="2"/>
          <w:sz w:val="32"/>
          <w:szCs w:val="32"/>
          <w:lang w:val="en-US" w:eastAsia="zh-CN"/>
        </w:rPr>
        <w:t>94.8</w:t>
      </w:r>
      <w:r>
        <w:rPr>
          <w:rFonts w:ascii="Times New Roman" w:hAnsi="Times New Roman" w:eastAsia="仿宋_GB2312"/>
          <w:kern w:val="2"/>
          <w:sz w:val="32"/>
          <w:szCs w:val="32"/>
        </w:rPr>
        <w:t>亿元，结转下年</w:t>
      </w:r>
      <w:r>
        <w:rPr>
          <w:rFonts w:hint="eastAsia" w:ascii="Times New Roman" w:hAnsi="Times New Roman" w:eastAsia="仿宋_GB2312"/>
          <w:kern w:val="2"/>
          <w:sz w:val="32"/>
          <w:szCs w:val="32"/>
          <w:lang w:val="en-US" w:eastAsia="zh-CN"/>
        </w:rPr>
        <w:t>7.7</w:t>
      </w:r>
      <w:r>
        <w:rPr>
          <w:rFonts w:ascii="Times New Roman" w:hAnsi="Times New Roman" w:eastAsia="仿宋_GB2312"/>
          <w:kern w:val="2"/>
          <w:sz w:val="32"/>
          <w:szCs w:val="32"/>
        </w:rPr>
        <w:t>亿元，支出合计1</w:t>
      </w:r>
      <w:r>
        <w:rPr>
          <w:rFonts w:hint="eastAsia" w:ascii="Times New Roman" w:hAnsi="Times New Roman" w:eastAsia="仿宋_GB2312"/>
          <w:kern w:val="2"/>
          <w:sz w:val="32"/>
          <w:szCs w:val="32"/>
          <w:lang w:val="en-US" w:eastAsia="zh-CN"/>
        </w:rPr>
        <w:t>64</w:t>
      </w:r>
      <w:r>
        <w:rPr>
          <w:rFonts w:ascii="Times New Roman" w:hAnsi="Times New Roman" w:eastAsia="仿宋_GB2312"/>
          <w:kern w:val="2"/>
          <w:sz w:val="32"/>
          <w:szCs w:val="32"/>
        </w:rPr>
        <w:t>亿元。</w:t>
      </w:r>
    </w:p>
    <w:p>
      <w:pPr>
        <w:spacing w:line="600" w:lineRule="exact"/>
        <w:ind w:firstLine="629"/>
        <w:rPr>
          <w:rFonts w:eastAsia="黑体"/>
          <w:color w:val="000000"/>
          <w:sz w:val="32"/>
          <w:szCs w:val="32"/>
        </w:rPr>
      </w:pPr>
      <w:r>
        <w:rPr>
          <w:rFonts w:eastAsia="黑体"/>
          <w:color w:val="000000"/>
          <w:sz w:val="32"/>
          <w:szCs w:val="32"/>
        </w:rPr>
        <w:t>六、202</w:t>
      </w:r>
      <w:r>
        <w:rPr>
          <w:rFonts w:hint="eastAsia" w:eastAsia="黑体"/>
          <w:color w:val="000000"/>
          <w:sz w:val="32"/>
          <w:szCs w:val="32"/>
          <w:lang w:val="en-US" w:eastAsia="zh-CN"/>
        </w:rPr>
        <w:t>3</w:t>
      </w:r>
      <w:r>
        <w:rPr>
          <w:rFonts w:eastAsia="黑体"/>
          <w:color w:val="000000"/>
          <w:sz w:val="32"/>
          <w:szCs w:val="32"/>
        </w:rPr>
        <w:t>年省级社会保险基金预算的说明</w:t>
      </w:r>
    </w:p>
    <w:p>
      <w:pPr>
        <w:pStyle w:val="11"/>
        <w:widowControl/>
        <w:shd w:val="clear" w:color="auto" w:fill="FFFFFF"/>
        <w:spacing w:before="0" w:beforeAutospacing="0" w:after="0" w:afterAutospacing="0" w:line="600" w:lineRule="exact"/>
        <w:ind w:firstLine="645"/>
        <w:jc w:val="both"/>
        <w:rPr>
          <w:rFonts w:ascii="Times New Roman" w:hAnsi="Times New Roman" w:eastAsia="仿宋_GB2312"/>
          <w:kern w:val="2"/>
          <w:sz w:val="32"/>
          <w:szCs w:val="32"/>
        </w:rPr>
      </w:pPr>
      <w:r>
        <w:rPr>
          <w:rFonts w:ascii="Times New Roman" w:hAnsi="Times New Roman" w:eastAsia="仿宋_GB2312"/>
          <w:kern w:val="2"/>
          <w:sz w:val="32"/>
          <w:szCs w:val="32"/>
        </w:rPr>
        <w:t>省级收入安排1651.5亿元，支出安排1680.2亿元，年末滚存结余2056.</w:t>
      </w:r>
      <w:r>
        <w:rPr>
          <w:rFonts w:hint="eastAsia" w:ascii="Times New Roman" w:hAnsi="Times New Roman" w:eastAsia="仿宋_GB2312"/>
          <w:kern w:val="2"/>
          <w:sz w:val="32"/>
          <w:szCs w:val="32"/>
          <w:lang w:val="en-US" w:eastAsia="zh-CN"/>
        </w:rPr>
        <w:t>3</w:t>
      </w:r>
      <w:r>
        <w:rPr>
          <w:rFonts w:ascii="Times New Roman" w:hAnsi="Times New Roman" w:eastAsia="仿宋_GB2312"/>
          <w:kern w:val="2"/>
          <w:sz w:val="32"/>
          <w:szCs w:val="32"/>
        </w:rPr>
        <w:t>亿元。全省收入安排3482.1亿元，支出安排3337.6亿元，年末滚存结余3953.1亿元。</w:t>
      </w:r>
    </w:p>
    <w:p>
      <w:pPr>
        <w:spacing w:line="600" w:lineRule="exact"/>
        <w:ind w:firstLine="641"/>
        <w:rPr>
          <w:rFonts w:eastAsia="黑体"/>
          <w:color w:val="000000"/>
          <w:sz w:val="32"/>
          <w:szCs w:val="32"/>
        </w:rPr>
      </w:pPr>
      <w:r>
        <w:rPr>
          <w:rFonts w:eastAsia="黑体"/>
          <w:color w:val="000000"/>
          <w:sz w:val="32"/>
          <w:szCs w:val="32"/>
        </w:rPr>
        <w:t>七、202</w:t>
      </w:r>
      <w:r>
        <w:rPr>
          <w:rFonts w:hint="eastAsia" w:eastAsia="黑体"/>
          <w:color w:val="000000"/>
          <w:sz w:val="32"/>
          <w:szCs w:val="32"/>
          <w:lang w:val="en-US" w:eastAsia="zh-CN"/>
        </w:rPr>
        <w:t>2</w:t>
      </w:r>
      <w:r>
        <w:rPr>
          <w:rFonts w:eastAsia="黑体"/>
          <w:color w:val="000000"/>
          <w:sz w:val="32"/>
          <w:szCs w:val="32"/>
        </w:rPr>
        <w:t>年财政税收返还和转移支付安排情况</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2022年，中央下达我省转移支付4</w:t>
      </w:r>
      <w:r>
        <w:rPr>
          <w:rFonts w:hint="eastAsia" w:ascii="Times New Roman" w:hAnsi="Times New Roman" w:eastAsia="仿宋_GB2312"/>
          <w:sz w:val="32"/>
          <w:szCs w:val="32"/>
          <w:lang w:val="en-US" w:eastAsia="zh-CN"/>
        </w:rPr>
        <w:t>722.3</w:t>
      </w:r>
      <w:r>
        <w:rPr>
          <w:rFonts w:ascii="Times New Roman" w:hAnsi="Times New Roman" w:eastAsia="仿宋_GB2312"/>
          <w:sz w:val="32"/>
          <w:szCs w:val="32"/>
        </w:rPr>
        <w:t>亿元，增长1</w:t>
      </w:r>
      <w:r>
        <w:rPr>
          <w:rFonts w:hint="eastAsia" w:ascii="Times New Roman" w:hAnsi="Times New Roman" w:eastAsia="仿宋_GB2312"/>
          <w:sz w:val="32"/>
          <w:szCs w:val="32"/>
          <w:lang w:val="en-US" w:eastAsia="zh-CN"/>
        </w:rPr>
        <w:t>6.3</w:t>
      </w:r>
      <w:r>
        <w:rPr>
          <w:rFonts w:ascii="Times New Roman" w:hAnsi="Times New Roman" w:eastAsia="仿宋_GB2312"/>
          <w:sz w:val="32"/>
          <w:szCs w:val="32"/>
        </w:rPr>
        <w:t>%。</w:t>
      </w:r>
      <w:r>
        <w:rPr>
          <w:rFonts w:ascii="Times New Roman" w:hAnsi="Times New Roman" w:eastAsia="楷体"/>
          <w:b/>
          <w:sz w:val="32"/>
          <w:szCs w:val="32"/>
        </w:rPr>
        <w:t>一是</w:t>
      </w:r>
      <w:r>
        <w:rPr>
          <w:rFonts w:ascii="Times New Roman" w:hAnsi="Times New Roman" w:eastAsia="仿宋_GB2312"/>
          <w:sz w:val="32"/>
          <w:szCs w:val="32"/>
        </w:rPr>
        <w:t>税收返还基数309.3亿元。</w:t>
      </w:r>
      <w:r>
        <w:rPr>
          <w:rFonts w:ascii="Times New Roman" w:hAnsi="Times New Roman" w:eastAsia="楷体"/>
          <w:b/>
          <w:sz w:val="32"/>
          <w:szCs w:val="32"/>
        </w:rPr>
        <w:t>二是</w:t>
      </w:r>
      <w:r>
        <w:rPr>
          <w:rFonts w:ascii="Times New Roman" w:hAnsi="Times New Roman" w:eastAsia="仿宋_GB2312"/>
          <w:sz w:val="32"/>
          <w:szCs w:val="32"/>
        </w:rPr>
        <w:t>一般性转移支付4</w:t>
      </w:r>
      <w:r>
        <w:rPr>
          <w:rFonts w:hint="eastAsia" w:ascii="Times New Roman" w:hAnsi="Times New Roman" w:eastAsia="仿宋_GB2312"/>
          <w:sz w:val="32"/>
          <w:szCs w:val="32"/>
          <w:lang w:val="en-US" w:eastAsia="zh-CN"/>
        </w:rPr>
        <w:t>100.1</w:t>
      </w:r>
      <w:r>
        <w:rPr>
          <w:rFonts w:ascii="Times New Roman" w:hAnsi="Times New Roman" w:eastAsia="仿宋_GB2312"/>
          <w:sz w:val="32"/>
          <w:szCs w:val="32"/>
        </w:rPr>
        <w:t>亿元，增长18.</w:t>
      </w:r>
      <w:r>
        <w:rPr>
          <w:rFonts w:hint="eastAsia" w:ascii="Times New Roman" w:hAnsi="Times New Roman" w:eastAsia="仿宋_GB2312"/>
          <w:sz w:val="32"/>
          <w:szCs w:val="32"/>
          <w:lang w:val="en-US" w:eastAsia="zh-CN"/>
        </w:rPr>
        <w:t>5</w:t>
      </w:r>
      <w:r>
        <w:rPr>
          <w:rFonts w:ascii="Times New Roman" w:hAnsi="Times New Roman" w:eastAsia="仿宋_GB2312"/>
          <w:sz w:val="32"/>
          <w:szCs w:val="32"/>
        </w:rPr>
        <w:t>%，其中均衡性、县级基本财力保障机制奖补等常规财力性转移支付155</w:t>
      </w:r>
      <w:r>
        <w:rPr>
          <w:rFonts w:hint="eastAsia" w:ascii="Times New Roman" w:hAnsi="Times New Roman" w:eastAsia="仿宋_GB2312"/>
          <w:sz w:val="32"/>
          <w:szCs w:val="32"/>
          <w:lang w:val="en-US" w:eastAsia="zh-CN"/>
        </w:rPr>
        <w:t>4.9</w:t>
      </w:r>
      <w:r>
        <w:rPr>
          <w:rFonts w:ascii="Times New Roman" w:hAnsi="Times New Roman" w:eastAsia="仿宋_GB2312"/>
          <w:sz w:val="32"/>
          <w:szCs w:val="32"/>
        </w:rPr>
        <w:t>亿元，增长9.</w:t>
      </w:r>
      <w:r>
        <w:rPr>
          <w:rFonts w:hint="eastAsia" w:ascii="Times New Roman" w:hAnsi="Times New Roman" w:eastAsia="仿宋_GB2312"/>
          <w:sz w:val="32"/>
          <w:szCs w:val="32"/>
          <w:lang w:val="en-US" w:eastAsia="zh-CN"/>
        </w:rPr>
        <w:t>6</w:t>
      </w:r>
      <w:r>
        <w:rPr>
          <w:rFonts w:ascii="Times New Roman" w:hAnsi="Times New Roman" w:eastAsia="仿宋_GB2312"/>
          <w:sz w:val="32"/>
          <w:szCs w:val="32"/>
        </w:rPr>
        <w:t>%；留抵退税政策、补充县区财力等一次性补助407亿元，占全国比重3.3%，比我省增值税全国占比高0.8个百分点。</w:t>
      </w:r>
      <w:r>
        <w:rPr>
          <w:rFonts w:ascii="Times New Roman" w:hAnsi="Times New Roman" w:eastAsia="楷体"/>
          <w:b/>
          <w:sz w:val="32"/>
          <w:szCs w:val="32"/>
        </w:rPr>
        <w:t>三是</w:t>
      </w:r>
      <w:r>
        <w:rPr>
          <w:rFonts w:ascii="Times New Roman" w:hAnsi="Times New Roman" w:eastAsia="仿宋_GB2312"/>
          <w:sz w:val="32"/>
          <w:szCs w:val="32"/>
        </w:rPr>
        <w:t>专项转移支付</w:t>
      </w:r>
      <w:r>
        <w:rPr>
          <w:rFonts w:hint="eastAsia" w:ascii="Times New Roman" w:hAnsi="Times New Roman" w:eastAsia="仿宋_GB2312"/>
          <w:sz w:val="32"/>
          <w:szCs w:val="32"/>
          <w:lang w:val="en-US" w:eastAsia="zh-CN"/>
        </w:rPr>
        <w:t>312.9</w:t>
      </w:r>
      <w:r>
        <w:rPr>
          <w:rFonts w:ascii="Times New Roman" w:hAnsi="Times New Roman" w:eastAsia="仿宋_GB2312"/>
          <w:sz w:val="32"/>
          <w:szCs w:val="32"/>
        </w:rPr>
        <w:t>亿元，增长</w:t>
      </w:r>
      <w:r>
        <w:rPr>
          <w:rFonts w:hint="eastAsia" w:ascii="Times New Roman" w:hAnsi="Times New Roman" w:eastAsia="仿宋_GB2312"/>
          <w:sz w:val="32"/>
          <w:szCs w:val="32"/>
          <w:lang w:val="en-US" w:eastAsia="zh-CN"/>
        </w:rPr>
        <w:t>7.6</w:t>
      </w:r>
      <w:r>
        <w:rPr>
          <w:rFonts w:ascii="Times New Roman" w:hAnsi="Times New Roman" w:eastAsia="仿宋_GB2312"/>
          <w:sz w:val="32"/>
          <w:szCs w:val="32"/>
        </w:rPr>
        <w:t>%。同时，抢抓中央稳经济一揽子政策机遇，用好扩大专项债使用范围和盘活存量债务限额政策，争取新增债券1781亿元，好于全国平均。</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省财政</w:t>
      </w:r>
      <w:r>
        <w:rPr>
          <w:rFonts w:hint="eastAsia" w:ascii="Times New Roman" w:hAnsi="Times New Roman" w:eastAsia="仿宋_GB2312"/>
          <w:sz w:val="32"/>
          <w:szCs w:val="32"/>
          <w:lang w:eastAsia="zh-CN"/>
        </w:rPr>
        <w:t>紧密关注</w:t>
      </w:r>
      <w:r>
        <w:rPr>
          <w:rFonts w:ascii="Times New Roman" w:hAnsi="Times New Roman" w:eastAsia="仿宋_GB2312"/>
          <w:sz w:val="32"/>
          <w:szCs w:val="32"/>
        </w:rPr>
        <w:t>市县财政运行，</w:t>
      </w:r>
      <w:r>
        <w:rPr>
          <w:rFonts w:hint="eastAsia" w:ascii="Times New Roman" w:hAnsi="Times New Roman" w:eastAsia="仿宋_GB2312"/>
          <w:sz w:val="32"/>
          <w:szCs w:val="32"/>
          <w:lang w:eastAsia="zh-CN"/>
        </w:rPr>
        <w:t>全力</w:t>
      </w:r>
      <w:r>
        <w:rPr>
          <w:rFonts w:ascii="Times New Roman" w:hAnsi="Times New Roman" w:eastAsia="仿宋_GB2312"/>
          <w:sz w:val="32"/>
          <w:szCs w:val="32"/>
        </w:rPr>
        <w:t>兜稳全省财政稳健运行底线</w:t>
      </w:r>
      <w:r>
        <w:rPr>
          <w:rFonts w:hint="eastAsia" w:ascii="Times New Roman" w:hAnsi="Times New Roman" w:eastAsia="仿宋_GB2312"/>
          <w:sz w:val="32"/>
          <w:szCs w:val="32"/>
          <w:lang w:eastAsia="zh-CN"/>
        </w:rPr>
        <w:t>，</w:t>
      </w:r>
      <w:r>
        <w:rPr>
          <w:rFonts w:ascii="Times New Roman" w:hAnsi="Times New Roman" w:eastAsia="仿宋_GB2312"/>
          <w:sz w:val="32"/>
          <w:szCs w:val="32"/>
        </w:rPr>
        <w:t>共补助市县</w:t>
      </w:r>
      <w:r>
        <w:rPr>
          <w:rFonts w:hint="eastAsia" w:ascii="Times New Roman" w:hAnsi="Times New Roman" w:eastAsia="仿宋_GB2312"/>
          <w:sz w:val="32"/>
          <w:szCs w:val="32"/>
          <w:lang w:val="en-US" w:eastAsia="zh-CN"/>
        </w:rPr>
        <w:t>4111.3</w:t>
      </w:r>
      <w:r>
        <w:rPr>
          <w:rFonts w:ascii="Times New Roman" w:hAnsi="Times New Roman" w:eastAsia="仿宋_GB2312"/>
          <w:sz w:val="32"/>
          <w:szCs w:val="32"/>
        </w:rPr>
        <w:t>亿元，比上年增加</w:t>
      </w:r>
      <w:r>
        <w:rPr>
          <w:rFonts w:hint="eastAsia" w:ascii="Times New Roman" w:hAnsi="Times New Roman" w:eastAsia="仿宋_GB2312"/>
          <w:sz w:val="32"/>
          <w:szCs w:val="32"/>
          <w:lang w:val="en-US" w:eastAsia="zh-CN"/>
        </w:rPr>
        <w:t>538.8</w:t>
      </w:r>
      <w:r>
        <w:rPr>
          <w:rFonts w:ascii="Times New Roman" w:hAnsi="Times New Roman" w:eastAsia="仿宋_GB2312"/>
          <w:sz w:val="32"/>
          <w:szCs w:val="32"/>
        </w:rPr>
        <w:t>亿元，增长1</w:t>
      </w:r>
      <w:r>
        <w:rPr>
          <w:rFonts w:hint="eastAsia" w:ascii="Times New Roman" w:hAnsi="Times New Roman" w:eastAsia="仿宋_GB2312"/>
          <w:sz w:val="32"/>
          <w:szCs w:val="32"/>
          <w:lang w:val="en-US" w:eastAsia="zh-CN"/>
        </w:rPr>
        <w:t>5.1</w:t>
      </w:r>
      <w:r>
        <w:rPr>
          <w:rFonts w:ascii="Times New Roman" w:hAnsi="Times New Roman" w:eastAsia="仿宋_GB2312"/>
          <w:sz w:val="32"/>
          <w:szCs w:val="32"/>
        </w:rPr>
        <w:t>%。</w:t>
      </w:r>
      <w:r>
        <w:rPr>
          <w:rFonts w:ascii="Times New Roman" w:hAnsi="Times New Roman" w:eastAsia="楷体"/>
          <w:b/>
          <w:sz w:val="32"/>
          <w:szCs w:val="32"/>
        </w:rPr>
        <w:t>一是</w:t>
      </w:r>
      <w:r>
        <w:rPr>
          <w:rFonts w:ascii="Times New Roman" w:hAnsi="Times New Roman" w:eastAsia="仿宋_GB2312"/>
          <w:sz w:val="32"/>
          <w:szCs w:val="32"/>
        </w:rPr>
        <w:t>税收返还基数225.4亿元。</w:t>
      </w:r>
      <w:r>
        <w:rPr>
          <w:rFonts w:ascii="Times New Roman" w:hAnsi="Times New Roman" w:eastAsia="楷体"/>
          <w:b/>
          <w:sz w:val="32"/>
          <w:szCs w:val="32"/>
        </w:rPr>
        <w:t>二是</w:t>
      </w:r>
      <w:r>
        <w:rPr>
          <w:rFonts w:ascii="Times New Roman" w:hAnsi="Times New Roman" w:eastAsia="仿宋_GB2312"/>
          <w:sz w:val="32"/>
          <w:szCs w:val="32"/>
        </w:rPr>
        <w:t>一般性转移支付3</w:t>
      </w:r>
      <w:r>
        <w:rPr>
          <w:rFonts w:hint="eastAsia" w:ascii="Times New Roman" w:hAnsi="Times New Roman" w:eastAsia="仿宋_GB2312"/>
          <w:sz w:val="32"/>
          <w:szCs w:val="32"/>
          <w:lang w:val="en-US" w:eastAsia="zh-CN"/>
        </w:rPr>
        <w:t>365.2</w:t>
      </w:r>
      <w:r>
        <w:rPr>
          <w:rFonts w:ascii="Times New Roman" w:hAnsi="Times New Roman" w:eastAsia="仿宋_GB2312"/>
          <w:sz w:val="32"/>
          <w:szCs w:val="32"/>
        </w:rPr>
        <w:t>亿元，增长</w:t>
      </w:r>
      <w:r>
        <w:rPr>
          <w:rFonts w:hint="eastAsia" w:ascii="Times New Roman" w:hAnsi="Times New Roman" w:eastAsia="仿宋_GB2312"/>
          <w:sz w:val="32"/>
          <w:szCs w:val="32"/>
          <w:lang w:val="en-US" w:eastAsia="zh-CN"/>
        </w:rPr>
        <w:t>18.3</w:t>
      </w:r>
      <w:r>
        <w:rPr>
          <w:rFonts w:ascii="Times New Roman" w:hAnsi="Times New Roman" w:eastAsia="仿宋_GB2312"/>
          <w:sz w:val="32"/>
          <w:szCs w:val="32"/>
        </w:rPr>
        <w:t>%，其中均衡性等常规财力性补助和一次性专项补助152</w:t>
      </w:r>
      <w:r>
        <w:rPr>
          <w:rFonts w:hint="eastAsia" w:ascii="Times New Roman" w:hAnsi="Times New Roman" w:eastAsia="仿宋_GB2312"/>
          <w:sz w:val="32"/>
          <w:szCs w:val="32"/>
          <w:lang w:val="en-US" w:eastAsia="zh-CN"/>
        </w:rPr>
        <w:t>8</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6</w:t>
      </w:r>
      <w:r>
        <w:rPr>
          <w:rFonts w:ascii="Times New Roman" w:hAnsi="Times New Roman" w:eastAsia="仿宋_GB2312"/>
          <w:sz w:val="32"/>
          <w:szCs w:val="32"/>
        </w:rPr>
        <w:t>亿元，增长51.</w:t>
      </w:r>
      <w:r>
        <w:rPr>
          <w:rFonts w:hint="eastAsia" w:ascii="Times New Roman" w:hAnsi="Times New Roman" w:eastAsia="仿宋_GB2312"/>
          <w:sz w:val="32"/>
          <w:szCs w:val="32"/>
          <w:lang w:val="en-US" w:eastAsia="zh-CN"/>
        </w:rPr>
        <w:t>6</w:t>
      </w:r>
      <w:r>
        <w:rPr>
          <w:rFonts w:ascii="Times New Roman" w:hAnsi="Times New Roman" w:eastAsia="仿宋_GB2312"/>
          <w:sz w:val="32"/>
          <w:szCs w:val="32"/>
        </w:rPr>
        <w:t>%，是力度最大的一年。</w:t>
      </w:r>
      <w:r>
        <w:rPr>
          <w:rFonts w:ascii="Times New Roman" w:hAnsi="Times New Roman" w:eastAsia="楷体"/>
          <w:b/>
          <w:sz w:val="32"/>
          <w:szCs w:val="32"/>
        </w:rPr>
        <w:t>三是</w:t>
      </w:r>
      <w:r>
        <w:rPr>
          <w:rFonts w:ascii="Times New Roman" w:hAnsi="Times New Roman" w:eastAsia="仿宋_GB2312"/>
          <w:sz w:val="32"/>
          <w:szCs w:val="32"/>
        </w:rPr>
        <w:t>专项转移支付</w:t>
      </w:r>
      <w:r>
        <w:rPr>
          <w:rFonts w:hint="eastAsia" w:ascii="Times New Roman" w:hAnsi="Times New Roman" w:eastAsia="仿宋_GB2312"/>
          <w:sz w:val="32"/>
          <w:szCs w:val="32"/>
          <w:lang w:val="en-US" w:eastAsia="zh-CN"/>
        </w:rPr>
        <w:t>520.7</w:t>
      </w:r>
      <w:r>
        <w:rPr>
          <w:rFonts w:ascii="Times New Roman" w:hAnsi="Times New Roman" w:eastAsia="仿宋_GB2312"/>
          <w:sz w:val="32"/>
          <w:szCs w:val="32"/>
        </w:rPr>
        <w:t>亿元，增长</w:t>
      </w:r>
      <w:r>
        <w:rPr>
          <w:rFonts w:hint="eastAsia" w:ascii="Times New Roman" w:hAnsi="Times New Roman" w:eastAsia="仿宋_GB2312"/>
          <w:sz w:val="32"/>
          <w:szCs w:val="32"/>
          <w:lang w:val="en-US" w:eastAsia="zh-CN"/>
        </w:rPr>
        <w:t>3.5</w:t>
      </w:r>
      <w:r>
        <w:rPr>
          <w:rFonts w:ascii="Times New Roman" w:hAnsi="Times New Roman" w:eastAsia="仿宋_GB2312"/>
          <w:sz w:val="32"/>
          <w:szCs w:val="32"/>
        </w:rPr>
        <w:t>%。同时，转贷新增债券1684.8亿元，有力支持了市县重大基础设施项目建设。</w:t>
      </w:r>
    </w:p>
    <w:p>
      <w:pPr>
        <w:spacing w:line="600" w:lineRule="exact"/>
        <w:ind w:firstLine="640" w:firstLineChars="200"/>
        <w:rPr>
          <w:rFonts w:eastAsia="黑体"/>
          <w:color w:val="000000"/>
          <w:sz w:val="32"/>
          <w:szCs w:val="32"/>
        </w:rPr>
      </w:pPr>
      <w:r>
        <w:rPr>
          <w:rFonts w:eastAsia="黑体"/>
          <w:color w:val="000000"/>
          <w:sz w:val="32"/>
          <w:szCs w:val="32"/>
        </w:rPr>
        <w:t>八、举借政府债务情况</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2022年，全省发行新增债券1799.4亿元（含上年结转限额发行债券），加上按计划提取的外国政府和国际经济组织贷款</w:t>
      </w:r>
      <w:r>
        <w:rPr>
          <w:rFonts w:hint="eastAsia" w:ascii="Times New Roman" w:hAnsi="Times New Roman" w:eastAsia="仿宋_GB2312"/>
          <w:sz w:val="32"/>
          <w:szCs w:val="32"/>
          <w:lang w:val="en-US" w:eastAsia="zh-CN"/>
        </w:rPr>
        <w:t>6.6</w:t>
      </w:r>
      <w:r>
        <w:rPr>
          <w:rFonts w:ascii="Times New Roman" w:hAnsi="Times New Roman" w:eastAsia="仿宋_GB2312"/>
          <w:sz w:val="32"/>
          <w:szCs w:val="32"/>
        </w:rPr>
        <w:t>亿元，共依法举债180</w:t>
      </w:r>
      <w:r>
        <w:rPr>
          <w:rFonts w:hint="eastAsia" w:ascii="Times New Roman" w:hAnsi="Times New Roman" w:eastAsia="仿宋_GB2312"/>
          <w:sz w:val="32"/>
          <w:szCs w:val="32"/>
          <w:lang w:val="en-US" w:eastAsia="zh-CN"/>
        </w:rPr>
        <w:t>6</w:t>
      </w:r>
      <w:r>
        <w:rPr>
          <w:rFonts w:ascii="Times New Roman" w:hAnsi="Times New Roman" w:eastAsia="仿宋_GB2312"/>
          <w:sz w:val="32"/>
          <w:szCs w:val="32"/>
        </w:rPr>
        <w:t>亿元，年底政府债务余额154</w:t>
      </w:r>
      <w:r>
        <w:rPr>
          <w:rFonts w:hint="eastAsia" w:ascii="Times New Roman" w:hAnsi="Times New Roman" w:eastAsia="仿宋_GB2312"/>
          <w:sz w:val="32"/>
          <w:szCs w:val="32"/>
          <w:lang w:val="en-US" w:eastAsia="zh-CN"/>
        </w:rPr>
        <w:t>05</w:t>
      </w:r>
      <w:r>
        <w:rPr>
          <w:rFonts w:ascii="Times New Roman" w:hAnsi="Times New Roman" w:eastAsia="仿宋_GB2312"/>
          <w:sz w:val="32"/>
          <w:szCs w:val="32"/>
        </w:rPr>
        <w:t>.1亿元，控制在中央核定限额15591.9亿元以内，风险总体可控。此外，结合到期债券还本需要，发行再融资债券1007.7亿元，全年共发行政府债券2807.1亿元，平均期限15.6年，平均利率3.1%。</w:t>
      </w:r>
    </w:p>
    <w:p>
      <w:pPr>
        <w:spacing w:line="600" w:lineRule="exact"/>
        <w:ind w:firstLine="640" w:firstLineChars="200"/>
        <w:rPr>
          <w:rFonts w:eastAsia="黑体"/>
          <w:color w:val="000000"/>
          <w:sz w:val="32"/>
          <w:szCs w:val="32"/>
        </w:rPr>
      </w:pPr>
      <w:r>
        <w:rPr>
          <w:rFonts w:eastAsia="黑体"/>
          <w:color w:val="000000"/>
          <w:sz w:val="32"/>
          <w:szCs w:val="32"/>
        </w:rPr>
        <w:t>九、预算绩效管理工作开展情况</w:t>
      </w:r>
    </w:p>
    <w:p>
      <w:pPr>
        <w:spacing w:line="600" w:lineRule="exact"/>
        <w:ind w:firstLine="640" w:firstLineChars="200"/>
        <w:rPr>
          <w:rFonts w:eastAsia="仿宋_GB2312"/>
          <w:color w:val="auto"/>
          <w:sz w:val="32"/>
          <w:szCs w:val="32"/>
        </w:rPr>
      </w:pPr>
      <w:r>
        <w:rPr>
          <w:rFonts w:eastAsia="仿宋_GB2312"/>
          <w:color w:val="auto"/>
          <w:sz w:val="32"/>
          <w:szCs w:val="32"/>
        </w:rPr>
        <w:t>202</w:t>
      </w:r>
      <w:r>
        <w:rPr>
          <w:rFonts w:hint="eastAsia" w:eastAsia="仿宋_GB2312"/>
          <w:color w:val="auto"/>
          <w:sz w:val="32"/>
          <w:szCs w:val="32"/>
          <w:lang w:val="en-US" w:eastAsia="zh-CN"/>
        </w:rPr>
        <w:t>2</w:t>
      </w:r>
      <w:r>
        <w:rPr>
          <w:rFonts w:eastAsia="仿宋_GB2312"/>
          <w:color w:val="auto"/>
          <w:sz w:val="32"/>
          <w:szCs w:val="32"/>
        </w:rPr>
        <w:t>年，省财政深入贯彻落实中央和省委省政府关于全面实施预算绩效管理的决策部署，采取切实有效措施，</w:t>
      </w:r>
      <w:r>
        <w:rPr>
          <w:rFonts w:hint="eastAsia" w:eastAsia="仿宋_GB2312"/>
          <w:color w:val="auto"/>
          <w:sz w:val="32"/>
          <w:szCs w:val="32"/>
          <w:lang w:eastAsia="zh-CN"/>
        </w:rPr>
        <w:t>积极推进重点领域绩效评价工作</w:t>
      </w:r>
      <w:r>
        <w:rPr>
          <w:rFonts w:eastAsia="仿宋_GB2312"/>
          <w:color w:val="auto"/>
          <w:sz w:val="32"/>
          <w:szCs w:val="32"/>
        </w:rPr>
        <w:t>。</w:t>
      </w:r>
    </w:p>
    <w:p>
      <w:pPr>
        <w:pStyle w:val="10"/>
        <w:spacing w:line="600" w:lineRule="exact"/>
        <w:ind w:firstLine="642" w:firstLineChars="200"/>
        <w:jc w:val="both"/>
        <w:rPr>
          <w:rFonts w:hint="eastAsia" w:ascii="Times New Roman" w:hAnsi="Times New Roman" w:eastAsia="仿宋_GB2312"/>
          <w:color w:val="auto"/>
          <w:sz w:val="32"/>
          <w:szCs w:val="32"/>
        </w:rPr>
      </w:pPr>
      <w:r>
        <w:rPr>
          <w:rFonts w:eastAsia="楷体_GB2312"/>
          <w:b/>
          <w:color w:val="auto"/>
          <w:sz w:val="32"/>
          <w:szCs w:val="32"/>
        </w:rPr>
        <w:t>一是</w:t>
      </w:r>
      <w:r>
        <w:rPr>
          <w:rFonts w:hint="eastAsia" w:eastAsia="楷体_GB2312"/>
          <w:b/>
          <w:color w:val="auto"/>
          <w:sz w:val="32"/>
          <w:szCs w:val="32"/>
          <w:lang w:eastAsia="zh-CN"/>
        </w:rPr>
        <w:t>开展</w:t>
      </w:r>
      <w:r>
        <w:rPr>
          <w:rFonts w:hint="eastAsia" w:eastAsia="楷体_GB2312"/>
          <w:b/>
          <w:color w:val="auto"/>
          <w:sz w:val="32"/>
          <w:szCs w:val="32"/>
        </w:rPr>
        <w:t>省级专项三年整体绩效评价</w:t>
      </w:r>
      <w:r>
        <w:rPr>
          <w:rFonts w:eastAsia="楷体_GB2312"/>
          <w:b/>
          <w:color w:val="auto"/>
          <w:sz w:val="32"/>
          <w:szCs w:val="32"/>
        </w:rPr>
        <w:t>。</w:t>
      </w:r>
      <w:r>
        <w:rPr>
          <w:rFonts w:hint="eastAsia" w:ascii="Times New Roman" w:hAnsi="Times New Roman" w:eastAsia="仿宋_GB2312"/>
          <w:color w:val="auto"/>
          <w:sz w:val="32"/>
          <w:szCs w:val="32"/>
        </w:rPr>
        <w:t>统一标准</w:t>
      </w:r>
      <w:r>
        <w:rPr>
          <w:rFonts w:hint="eastAsia" w:eastAsia="仿宋_GB2312"/>
          <w:color w:val="auto"/>
          <w:sz w:val="32"/>
          <w:szCs w:val="32"/>
          <w:lang w:eastAsia="zh-CN"/>
        </w:rPr>
        <w:t>、</w:t>
      </w:r>
      <w:r>
        <w:rPr>
          <w:rFonts w:ascii="Times New Roman" w:hAnsi="Times New Roman" w:eastAsia="仿宋_GB2312"/>
          <w:color w:val="auto"/>
          <w:sz w:val="32"/>
          <w:szCs w:val="32"/>
        </w:rPr>
        <w:t>明确原则</w:t>
      </w:r>
      <w:r>
        <w:rPr>
          <w:rFonts w:hint="eastAsia" w:eastAsia="仿宋_GB2312"/>
          <w:color w:val="auto"/>
          <w:sz w:val="32"/>
          <w:szCs w:val="32"/>
          <w:lang w:eastAsia="zh-CN"/>
        </w:rPr>
        <w:t>、</w:t>
      </w:r>
      <w:r>
        <w:rPr>
          <w:rFonts w:ascii="Times New Roman" w:hAnsi="Times New Roman" w:eastAsia="仿宋_GB2312"/>
          <w:sz w:val="32"/>
          <w:szCs w:val="32"/>
        </w:rPr>
        <w:t>规范步骤</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采取财政评价和部门评价相结合的方式，对45个非涉密省级专项资金开展2019-2021年度三年整体绩效评价</w:t>
      </w:r>
      <w:r>
        <w:rPr>
          <w:rFonts w:hint="eastAsia" w:eastAsia="仿宋_GB2312"/>
          <w:color w:val="auto"/>
          <w:sz w:val="32"/>
          <w:szCs w:val="32"/>
          <w:lang w:eastAsia="zh-CN"/>
        </w:rPr>
        <w:t>，有效</w:t>
      </w:r>
      <w:r>
        <w:rPr>
          <w:rFonts w:ascii="Times New Roman" w:hAnsi="Times New Roman" w:eastAsia="仿宋_GB2312"/>
          <w:sz w:val="32"/>
          <w:szCs w:val="32"/>
        </w:rPr>
        <w:t>确保了绩效评价结果公平、公开、公正</w:t>
      </w:r>
      <w:r>
        <w:rPr>
          <w:rFonts w:hint="eastAsia" w:eastAsia="仿宋_GB2312"/>
          <w:sz w:val="32"/>
          <w:szCs w:val="32"/>
          <w:lang w:eastAsia="zh-CN"/>
        </w:rPr>
        <w:t>，</w:t>
      </w:r>
      <w:r>
        <w:rPr>
          <w:rFonts w:hint="eastAsia" w:ascii="Times New Roman" w:hAnsi="Times New Roman" w:eastAsia="仿宋_GB2312"/>
          <w:color w:val="auto"/>
          <w:sz w:val="32"/>
          <w:szCs w:val="32"/>
        </w:rPr>
        <w:t>形成三年整体绩效评价情况综合报告</w:t>
      </w:r>
      <w:r>
        <w:rPr>
          <w:rFonts w:hint="eastAsia" w:eastAsia="仿宋_GB2312"/>
          <w:color w:val="auto"/>
          <w:sz w:val="32"/>
          <w:szCs w:val="32"/>
          <w:lang w:eastAsia="zh-CN"/>
        </w:rPr>
        <w:t>，根据评价结果，及时对相关专项予以调整整合</w:t>
      </w:r>
      <w:r>
        <w:rPr>
          <w:rFonts w:hint="eastAsia" w:ascii="Times New Roman" w:hAnsi="Times New Roman" w:eastAsia="仿宋_GB2312"/>
          <w:color w:val="auto"/>
          <w:sz w:val="32"/>
          <w:szCs w:val="32"/>
        </w:rPr>
        <w:t>。</w:t>
      </w:r>
    </w:p>
    <w:p>
      <w:pPr>
        <w:pStyle w:val="10"/>
        <w:spacing w:line="600" w:lineRule="exact"/>
        <w:ind w:firstLine="642" w:firstLineChars="200"/>
        <w:jc w:val="both"/>
        <w:rPr>
          <w:rStyle w:val="18"/>
          <w:rFonts w:ascii="Times New Roman" w:hAnsi="Times New Roman" w:eastAsia="仿宋_GB2312"/>
          <w:sz w:val="32"/>
          <w:szCs w:val="32"/>
        </w:rPr>
      </w:pPr>
      <w:r>
        <w:rPr>
          <w:rFonts w:hint="eastAsia" w:eastAsia="楷体_GB2312"/>
          <w:b/>
          <w:color w:val="auto"/>
          <w:sz w:val="32"/>
          <w:szCs w:val="32"/>
        </w:rPr>
        <w:t>二</w:t>
      </w:r>
      <w:r>
        <w:rPr>
          <w:rFonts w:hint="eastAsia" w:eastAsia="楷体_GB2312"/>
          <w:b/>
          <w:color w:val="auto"/>
          <w:sz w:val="32"/>
          <w:szCs w:val="32"/>
          <w:lang w:eastAsia="zh-CN"/>
        </w:rPr>
        <w:t>是采取措施</w:t>
      </w:r>
      <w:r>
        <w:rPr>
          <w:rFonts w:hint="eastAsia" w:eastAsia="楷体_GB2312"/>
          <w:b/>
          <w:color w:val="auto"/>
          <w:sz w:val="32"/>
          <w:szCs w:val="32"/>
        </w:rPr>
        <w:t>纵深推进财审联动机制</w:t>
      </w:r>
      <w:r>
        <w:rPr>
          <w:rFonts w:hint="eastAsia" w:eastAsia="楷体_GB2312"/>
          <w:b/>
          <w:color w:val="auto"/>
          <w:sz w:val="32"/>
          <w:szCs w:val="32"/>
          <w:lang w:eastAsia="zh-CN"/>
        </w:rPr>
        <w:t>。</w:t>
      </w:r>
      <w:r>
        <w:rPr>
          <w:rFonts w:hint="eastAsia" w:ascii="Times New Roman" w:hAnsi="Times New Roman" w:eastAsia="仿宋_GB2312"/>
          <w:kern w:val="0"/>
          <w:sz w:val="32"/>
          <w:szCs w:val="32"/>
        </w:rPr>
        <w:t>进一步运用</w:t>
      </w:r>
      <w:r>
        <w:rPr>
          <w:rFonts w:ascii="Times New Roman" w:hAnsi="Times New Roman" w:eastAsia="仿宋_GB2312"/>
          <w:kern w:val="0"/>
          <w:sz w:val="32"/>
          <w:szCs w:val="32"/>
        </w:rPr>
        <w:t>财审联动</w:t>
      </w:r>
      <w:r>
        <w:rPr>
          <w:rFonts w:hint="eastAsia" w:ascii="Times New Roman" w:hAnsi="Times New Roman" w:eastAsia="仿宋_GB2312"/>
          <w:kern w:val="0"/>
          <w:sz w:val="32"/>
          <w:szCs w:val="32"/>
        </w:rPr>
        <w:t>机制</w:t>
      </w:r>
      <w:r>
        <w:rPr>
          <w:rFonts w:ascii="Times New Roman" w:hAnsi="Times New Roman" w:eastAsia="仿宋_GB2312"/>
          <w:kern w:val="0"/>
          <w:sz w:val="32"/>
          <w:szCs w:val="32"/>
        </w:rPr>
        <w:t>，建立全面预算绩效管理</w:t>
      </w:r>
      <w:r>
        <w:rPr>
          <w:rFonts w:hint="eastAsia" w:ascii="Times New Roman" w:hAnsi="Times New Roman" w:eastAsia="仿宋_GB2312"/>
          <w:kern w:val="0"/>
          <w:sz w:val="32"/>
          <w:szCs w:val="32"/>
        </w:rPr>
        <w:t>“两个</w:t>
      </w:r>
      <w:r>
        <w:rPr>
          <w:rFonts w:ascii="Times New Roman" w:hAnsi="Times New Roman" w:eastAsia="仿宋_GB2312"/>
          <w:kern w:val="0"/>
          <w:sz w:val="32"/>
          <w:szCs w:val="32"/>
        </w:rPr>
        <w:t>闭环</w:t>
      </w:r>
      <w:r>
        <w:rPr>
          <w:rFonts w:hint="eastAsia" w:ascii="Times New Roman" w:hAnsi="Times New Roman" w:eastAsia="仿宋_GB2312"/>
          <w:kern w:val="0"/>
          <w:sz w:val="32"/>
          <w:szCs w:val="32"/>
        </w:rPr>
        <w:t>”</w:t>
      </w:r>
      <w:r>
        <w:rPr>
          <w:rFonts w:hint="eastAsia" w:ascii="Times New Roman" w:hAnsi="Times New Roman" w:eastAsia="仿宋_GB2312"/>
          <w:spacing w:val="6"/>
          <w:sz w:val="32"/>
          <w:szCs w:val="32"/>
        </w:rPr>
        <w:t>，强化结果共享、整改共促。</w:t>
      </w:r>
      <w:r>
        <w:rPr>
          <w:rFonts w:ascii="Times New Roman" w:hAnsi="Times New Roman" w:eastAsia="仿宋_GB2312"/>
          <w:spacing w:val="6"/>
          <w:sz w:val="32"/>
          <w:szCs w:val="32"/>
        </w:rPr>
        <w:t>根据绩效评价结果和预算执行</w:t>
      </w:r>
      <w:r>
        <w:rPr>
          <w:rFonts w:hint="eastAsia" w:ascii="Times New Roman" w:hAnsi="Times New Roman" w:eastAsia="仿宋_GB2312"/>
          <w:spacing w:val="6"/>
          <w:sz w:val="32"/>
          <w:szCs w:val="32"/>
        </w:rPr>
        <w:t>、债务专项审计</w:t>
      </w:r>
      <w:r>
        <w:rPr>
          <w:rFonts w:ascii="Times New Roman" w:hAnsi="Times New Roman" w:eastAsia="仿宋_GB2312"/>
          <w:spacing w:val="6"/>
          <w:sz w:val="32"/>
          <w:szCs w:val="32"/>
        </w:rPr>
        <w:t>等发现的问题，</w:t>
      </w:r>
      <w:r>
        <w:rPr>
          <w:rStyle w:val="18"/>
          <w:rFonts w:ascii="Times New Roman" w:hAnsi="Times New Roman" w:eastAsia="仿宋_GB2312"/>
          <w:sz w:val="32"/>
          <w:szCs w:val="32"/>
        </w:rPr>
        <w:t>加大执收单位待分成收入清理力度</w:t>
      </w:r>
      <w:r>
        <w:rPr>
          <w:rStyle w:val="18"/>
          <w:rFonts w:hint="eastAsia" w:eastAsia="仿宋_GB2312"/>
          <w:sz w:val="32"/>
          <w:szCs w:val="32"/>
          <w:lang w:eastAsia="zh-CN"/>
        </w:rPr>
        <w:t>；根据</w:t>
      </w:r>
      <w:r>
        <w:rPr>
          <w:rStyle w:val="18"/>
          <w:rFonts w:ascii="Times New Roman" w:hAnsi="Times New Roman" w:eastAsia="仿宋_GB2312"/>
          <w:sz w:val="32"/>
          <w:szCs w:val="32"/>
        </w:rPr>
        <w:t>政府采购专项审计中发现的问题</w:t>
      </w:r>
      <w:r>
        <w:rPr>
          <w:rStyle w:val="18"/>
          <w:rFonts w:hint="eastAsia" w:eastAsia="仿宋_GB2312"/>
          <w:sz w:val="32"/>
          <w:szCs w:val="32"/>
          <w:lang w:eastAsia="zh-CN"/>
        </w:rPr>
        <w:t>，督促相关部门单位立即</w:t>
      </w:r>
      <w:r>
        <w:rPr>
          <w:rStyle w:val="18"/>
          <w:rFonts w:ascii="Times New Roman" w:hAnsi="Times New Roman" w:eastAsia="仿宋_GB2312"/>
          <w:sz w:val="32"/>
          <w:szCs w:val="32"/>
        </w:rPr>
        <w:t>整改，立案查处违规采购项目</w:t>
      </w:r>
      <w:r>
        <w:rPr>
          <w:rFonts w:hint="eastAsia" w:ascii="Times New Roman" w:hAnsi="Times New Roman" w:eastAsia="仿宋_GB2312"/>
          <w:spacing w:val="6"/>
          <w:sz w:val="32"/>
          <w:szCs w:val="32"/>
        </w:rPr>
        <w:t>。</w:t>
      </w:r>
    </w:p>
    <w:p>
      <w:pPr>
        <w:overflowPunct w:val="0"/>
        <w:topLinePunct/>
        <w:spacing w:line="600" w:lineRule="exact"/>
        <w:ind w:firstLine="642" w:firstLineChars="200"/>
        <w:rPr>
          <w:rFonts w:eastAsia="仿宋"/>
          <w:color w:val="FF0000"/>
          <w:sz w:val="32"/>
          <w:szCs w:val="32"/>
        </w:rPr>
      </w:pPr>
      <w:r>
        <w:rPr>
          <w:rFonts w:hint="eastAsia" w:ascii="Times New Roman" w:hAnsi="Times New Roman" w:eastAsia="楷体_GB2312" w:cs="Times New Roman"/>
          <w:b/>
          <w:color w:val="auto"/>
          <w:kern w:val="2"/>
          <w:sz w:val="32"/>
          <w:szCs w:val="32"/>
          <w:lang w:val="en" w:eastAsia="zh-CN" w:bidi="ar-SA"/>
        </w:rPr>
        <w:t>三是加强重大投资项目预算</w:t>
      </w:r>
      <w:r>
        <w:rPr>
          <w:rFonts w:hint="eastAsia" w:ascii="Times New Roman" w:hAnsi="Times New Roman" w:eastAsia="楷体_GB2312" w:cs="Times New Roman"/>
          <w:b/>
          <w:color w:val="auto"/>
          <w:kern w:val="2"/>
          <w:sz w:val="32"/>
          <w:szCs w:val="32"/>
          <w:lang w:val="en-US" w:eastAsia="zh-CN" w:bidi="ar-SA"/>
        </w:rPr>
        <w:t>绩效管理。</w:t>
      </w:r>
      <w:r>
        <w:rPr>
          <w:rStyle w:val="18"/>
          <w:rFonts w:ascii="Times New Roman" w:hAnsi="Times New Roman" w:eastAsia="仿宋_GB2312"/>
          <w:sz w:val="32"/>
          <w:szCs w:val="32"/>
        </w:rPr>
        <w:t>加强对政府重大</w:t>
      </w:r>
      <w:r>
        <w:rPr>
          <w:rFonts w:ascii="Times New Roman" w:hAnsi="Times New Roman" w:eastAsia="仿宋_GB2312"/>
          <w:sz w:val="32"/>
          <w:szCs w:val="32"/>
        </w:rPr>
        <w:t>投资项目全程跟踪管理，</w:t>
      </w:r>
      <w:r>
        <w:rPr>
          <w:rFonts w:ascii="Times New Roman" w:hAnsi="Times New Roman" w:eastAsia="仿宋_GB2312"/>
          <w:sz w:val="32"/>
          <w:szCs w:val="32"/>
        </w:rPr>
        <w:t>通过嵌入绩效管理理念，进一步强化</w:t>
      </w:r>
      <w:r>
        <w:rPr>
          <w:rFonts w:hint="eastAsia" w:eastAsia="仿宋_GB2312"/>
          <w:sz w:val="32"/>
          <w:szCs w:val="32"/>
          <w:lang w:eastAsia="zh-CN"/>
        </w:rPr>
        <w:t>资金</w:t>
      </w:r>
      <w:r>
        <w:rPr>
          <w:rFonts w:hint="eastAsia" w:ascii="Times New Roman" w:hAnsi="Times New Roman" w:eastAsia="仿宋_GB2312"/>
          <w:sz w:val="32"/>
          <w:szCs w:val="32"/>
        </w:rPr>
        <w:t>绩效</w:t>
      </w:r>
      <w:r>
        <w:rPr>
          <w:rFonts w:ascii="Times New Roman" w:hAnsi="Times New Roman" w:eastAsia="仿宋_GB2312"/>
          <w:sz w:val="32"/>
          <w:szCs w:val="32"/>
        </w:rPr>
        <w:t>监管。</w:t>
      </w:r>
      <w:r>
        <w:rPr>
          <w:rFonts w:hint="eastAsia" w:eastAsia="仿宋_GB2312"/>
          <w:sz w:val="32"/>
          <w:szCs w:val="32"/>
          <w:lang w:eastAsia="zh-CN"/>
        </w:rPr>
        <w:t>在</w:t>
      </w:r>
      <w:r>
        <w:rPr>
          <w:rFonts w:ascii="Times New Roman" w:hAnsi="Times New Roman" w:eastAsia="仿宋_GB2312"/>
          <w:sz w:val="32"/>
          <w:szCs w:val="32"/>
        </w:rPr>
        <w:t>长沙机场改扩建工程</w:t>
      </w:r>
      <w:r>
        <w:rPr>
          <w:rFonts w:hint="eastAsia" w:eastAsia="仿宋_GB2312"/>
          <w:sz w:val="32"/>
          <w:szCs w:val="32"/>
          <w:lang w:eastAsia="zh-CN"/>
        </w:rPr>
        <w:t>中</w:t>
      </w:r>
      <w:r>
        <w:rPr>
          <w:rFonts w:ascii="Times New Roman" w:hAnsi="Times New Roman" w:eastAsia="仿宋_GB2312"/>
          <w:sz w:val="32"/>
          <w:szCs w:val="32"/>
        </w:rPr>
        <w:t>，</w:t>
      </w:r>
      <w:r>
        <w:rPr>
          <w:rFonts w:hint="eastAsia" w:eastAsia="仿宋_GB2312"/>
          <w:sz w:val="32"/>
          <w:szCs w:val="32"/>
          <w:lang w:eastAsia="zh-CN"/>
        </w:rPr>
        <w:t>严格开展预算评审，节约建设资金。</w:t>
      </w:r>
      <w:r>
        <w:rPr>
          <w:rFonts w:ascii="Times New Roman" w:hAnsi="Times New Roman" w:eastAsia="仿宋_GB2312"/>
          <w:sz w:val="32"/>
          <w:szCs w:val="32"/>
        </w:rPr>
        <w:t>通过绩效、审计“双监督”管理模式，将发现的</w:t>
      </w:r>
      <w:r>
        <w:rPr>
          <w:rFonts w:hint="eastAsia" w:ascii="Times New Roman" w:hAnsi="Times New Roman" w:eastAsia="仿宋_GB2312"/>
          <w:sz w:val="32"/>
          <w:szCs w:val="32"/>
          <w:lang w:eastAsia="zh-CN"/>
        </w:rPr>
        <w:t>问题</w:t>
      </w:r>
      <w:r>
        <w:rPr>
          <w:rFonts w:ascii="Times New Roman" w:hAnsi="Times New Roman" w:eastAsia="仿宋_GB2312"/>
          <w:sz w:val="32"/>
          <w:szCs w:val="32"/>
        </w:rPr>
        <w:t>及时</w:t>
      </w:r>
      <w:r>
        <w:rPr>
          <w:rFonts w:hint="eastAsia" w:ascii="Times New Roman" w:hAnsi="Times New Roman" w:eastAsia="仿宋_GB2312"/>
          <w:sz w:val="32"/>
          <w:szCs w:val="32"/>
          <w:lang w:eastAsia="zh-CN"/>
        </w:rPr>
        <w:t>反馈，</w:t>
      </w:r>
      <w:r>
        <w:rPr>
          <w:rFonts w:ascii="Times New Roman" w:hAnsi="Times New Roman" w:eastAsia="仿宋_GB2312"/>
          <w:sz w:val="32"/>
          <w:szCs w:val="32"/>
        </w:rPr>
        <w:t>督促</w:t>
      </w:r>
      <w:r>
        <w:rPr>
          <w:rFonts w:hint="eastAsia" w:ascii="Times New Roman" w:hAnsi="Times New Roman" w:eastAsia="仿宋_GB2312"/>
          <w:sz w:val="32"/>
          <w:szCs w:val="32"/>
          <w:lang w:eastAsia="zh-CN"/>
        </w:rPr>
        <w:t>单位</w:t>
      </w:r>
      <w:r>
        <w:rPr>
          <w:rFonts w:hint="eastAsia" w:eastAsia="仿宋_GB2312"/>
          <w:sz w:val="32"/>
          <w:szCs w:val="32"/>
          <w:lang w:eastAsia="zh-CN"/>
        </w:rPr>
        <w:t>认真</w:t>
      </w:r>
      <w:r>
        <w:rPr>
          <w:rFonts w:ascii="Times New Roman" w:hAnsi="Times New Roman" w:eastAsia="仿宋_GB2312"/>
          <w:sz w:val="32"/>
          <w:szCs w:val="32"/>
        </w:rPr>
        <w:t>整改，为重大工程顺利推进“保驾护航”。</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Book Antiqua">
    <w:panose1 w:val="020406020503050303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8284001"/>
      <w:docPartObj>
        <w:docPartGallery w:val="autotext"/>
      </w:docPartObj>
    </w:sdtPr>
    <w:sdtContent>
      <w:p>
        <w:pPr>
          <w:pStyle w:val="8"/>
          <w:jc w:val="center"/>
        </w:pPr>
        <w:r>
          <w:fldChar w:fldCharType="begin"/>
        </w:r>
        <w:r>
          <w:instrText xml:space="preserve">PAGE   \* MERGEFORMAT</w:instrText>
        </w:r>
        <w:r>
          <w:fldChar w:fldCharType="separate"/>
        </w:r>
        <w:r>
          <w:rPr>
            <w:lang w:val="zh-CN"/>
          </w:rPr>
          <w:t>6</w:t>
        </w:r>
        <w:r>
          <w:fldChar w:fldCharType="end"/>
        </w:r>
      </w:p>
    </w:sdtContent>
  </w:sdt>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AE1"/>
    <w:rsid w:val="00015CD9"/>
    <w:rsid w:val="000557EB"/>
    <w:rsid w:val="00070AE5"/>
    <w:rsid w:val="00072D53"/>
    <w:rsid w:val="00093D7A"/>
    <w:rsid w:val="000A1A30"/>
    <w:rsid w:val="000B6AE1"/>
    <w:rsid w:val="000D4BD7"/>
    <w:rsid w:val="000F7E78"/>
    <w:rsid w:val="00100C5C"/>
    <w:rsid w:val="00155121"/>
    <w:rsid w:val="00176204"/>
    <w:rsid w:val="001A0286"/>
    <w:rsid w:val="001C68F0"/>
    <w:rsid w:val="001D4771"/>
    <w:rsid w:val="001F273F"/>
    <w:rsid w:val="00203D10"/>
    <w:rsid w:val="0021061B"/>
    <w:rsid w:val="00216247"/>
    <w:rsid w:val="00245274"/>
    <w:rsid w:val="00260A4D"/>
    <w:rsid w:val="002E1DEC"/>
    <w:rsid w:val="002E267D"/>
    <w:rsid w:val="002F2CE5"/>
    <w:rsid w:val="003175C7"/>
    <w:rsid w:val="00320996"/>
    <w:rsid w:val="0035079C"/>
    <w:rsid w:val="00351616"/>
    <w:rsid w:val="00355CE0"/>
    <w:rsid w:val="0035791F"/>
    <w:rsid w:val="003659B7"/>
    <w:rsid w:val="00382858"/>
    <w:rsid w:val="003A3FC8"/>
    <w:rsid w:val="003B5D1D"/>
    <w:rsid w:val="003C4369"/>
    <w:rsid w:val="003E3C38"/>
    <w:rsid w:val="00443FA5"/>
    <w:rsid w:val="004462AC"/>
    <w:rsid w:val="00446714"/>
    <w:rsid w:val="00447E96"/>
    <w:rsid w:val="00452FBE"/>
    <w:rsid w:val="004A5428"/>
    <w:rsid w:val="004B21D0"/>
    <w:rsid w:val="004B403D"/>
    <w:rsid w:val="004B4C07"/>
    <w:rsid w:val="004B62D2"/>
    <w:rsid w:val="004C4EFA"/>
    <w:rsid w:val="004C619C"/>
    <w:rsid w:val="004F0050"/>
    <w:rsid w:val="0050636A"/>
    <w:rsid w:val="00511BC0"/>
    <w:rsid w:val="005263DE"/>
    <w:rsid w:val="00560BE9"/>
    <w:rsid w:val="005926BE"/>
    <w:rsid w:val="005F022A"/>
    <w:rsid w:val="00611600"/>
    <w:rsid w:val="00621496"/>
    <w:rsid w:val="00631336"/>
    <w:rsid w:val="00633BFF"/>
    <w:rsid w:val="00635833"/>
    <w:rsid w:val="00655253"/>
    <w:rsid w:val="006651BB"/>
    <w:rsid w:val="00681BF9"/>
    <w:rsid w:val="006A3D3E"/>
    <w:rsid w:val="007422FC"/>
    <w:rsid w:val="0076337D"/>
    <w:rsid w:val="00787EE1"/>
    <w:rsid w:val="007929C0"/>
    <w:rsid w:val="007C10C5"/>
    <w:rsid w:val="00837699"/>
    <w:rsid w:val="00850492"/>
    <w:rsid w:val="00896E93"/>
    <w:rsid w:val="008A41A6"/>
    <w:rsid w:val="008A5F48"/>
    <w:rsid w:val="008B683D"/>
    <w:rsid w:val="008E16D0"/>
    <w:rsid w:val="008F3686"/>
    <w:rsid w:val="009066C5"/>
    <w:rsid w:val="00925293"/>
    <w:rsid w:val="00954F24"/>
    <w:rsid w:val="009553BB"/>
    <w:rsid w:val="00963776"/>
    <w:rsid w:val="009962EF"/>
    <w:rsid w:val="009A6349"/>
    <w:rsid w:val="00A14862"/>
    <w:rsid w:val="00A32BC1"/>
    <w:rsid w:val="00A376A1"/>
    <w:rsid w:val="00A6327A"/>
    <w:rsid w:val="00A958EF"/>
    <w:rsid w:val="00AA012D"/>
    <w:rsid w:val="00AF23FF"/>
    <w:rsid w:val="00BF6642"/>
    <w:rsid w:val="00C012CE"/>
    <w:rsid w:val="00C05C96"/>
    <w:rsid w:val="00C17130"/>
    <w:rsid w:val="00C30CD7"/>
    <w:rsid w:val="00C35D3E"/>
    <w:rsid w:val="00C45E36"/>
    <w:rsid w:val="00C53849"/>
    <w:rsid w:val="00C809CB"/>
    <w:rsid w:val="00CA324F"/>
    <w:rsid w:val="00D01ACA"/>
    <w:rsid w:val="00D1072F"/>
    <w:rsid w:val="00D46030"/>
    <w:rsid w:val="00DB6E6F"/>
    <w:rsid w:val="00DC7C04"/>
    <w:rsid w:val="00E23C25"/>
    <w:rsid w:val="00E26879"/>
    <w:rsid w:val="00E36C70"/>
    <w:rsid w:val="00E460F8"/>
    <w:rsid w:val="00E543E2"/>
    <w:rsid w:val="00EA0CD7"/>
    <w:rsid w:val="00EE1954"/>
    <w:rsid w:val="00EE2F2B"/>
    <w:rsid w:val="00EE7B7E"/>
    <w:rsid w:val="00F20035"/>
    <w:rsid w:val="00F2588F"/>
    <w:rsid w:val="00F4417A"/>
    <w:rsid w:val="00F501D7"/>
    <w:rsid w:val="00F6134D"/>
    <w:rsid w:val="00F85B3E"/>
    <w:rsid w:val="00F86DC9"/>
    <w:rsid w:val="00F958DD"/>
    <w:rsid w:val="7CAFF397"/>
    <w:rsid w:val="7FFFAD19"/>
    <w:rsid w:val="C87A0B2C"/>
    <w:rsid w:val="FB9D93BA"/>
    <w:rsid w:val="FFDE8CE1"/>
    <w:rsid w:val="FFFFA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ToCaption"/>
    <w:basedOn w:val="1"/>
    <w:next w:val="1"/>
    <w:qFormat/>
    <w:uiPriority w:val="0"/>
    <w:pPr>
      <w:spacing w:before="100" w:beforeAutospacing="1" w:after="100" w:afterAutospacing="1"/>
      <w:ind w:left="200" w:hanging="200"/>
    </w:pPr>
    <w:rPr>
      <w:rFonts w:ascii="Times New Roman" w:hAnsi="Times New Roman" w:eastAsia="宋体" w:cs="Times New Roman"/>
    </w:rPr>
  </w:style>
  <w:style w:type="paragraph" w:styleId="3">
    <w:name w:val="Normal Indent"/>
    <w:basedOn w:val="1"/>
    <w:qFormat/>
    <w:uiPriority w:val="0"/>
    <w:pPr>
      <w:ind w:firstLine="420" w:firstLineChars="200"/>
    </w:pPr>
    <w:rPr>
      <w:rFonts w:ascii="Calibri" w:hAnsi="Calibri" w:eastAsia="仿宋" w:cs="Times New Roman"/>
      <w:sz w:val="32"/>
    </w:rPr>
  </w:style>
  <w:style w:type="paragraph" w:styleId="4">
    <w:name w:val="Body Text"/>
    <w:basedOn w:val="1"/>
    <w:next w:val="5"/>
    <w:qFormat/>
    <w:uiPriority w:val="0"/>
    <w:rPr>
      <w:rFonts w:ascii="仿宋_GB2312" w:hAnsi="Calibri"/>
      <w:sz w:val="24"/>
    </w:rPr>
  </w:style>
  <w:style w:type="paragraph" w:styleId="5">
    <w:name w:val="Body Text First Indent"/>
    <w:basedOn w:val="4"/>
    <w:qFormat/>
    <w:uiPriority w:val="0"/>
    <w:pPr>
      <w:ind w:firstLine="420" w:firstLineChars="100"/>
    </w:pPr>
  </w:style>
  <w:style w:type="paragraph" w:styleId="6">
    <w:name w:val="Body Text Indent"/>
    <w:basedOn w:val="1"/>
    <w:next w:val="3"/>
    <w:qFormat/>
    <w:uiPriority w:val="0"/>
    <w:pPr>
      <w:spacing w:after="120" w:afterLines="0" w:afterAutospacing="0"/>
      <w:ind w:left="420" w:leftChars="200"/>
    </w:pPr>
  </w:style>
  <w:style w:type="paragraph" w:styleId="7">
    <w:name w:val="Balloon Text"/>
    <w:basedOn w:val="1"/>
    <w:link w:val="17"/>
    <w:qFormat/>
    <w:uiPriority w:val="0"/>
    <w:rPr>
      <w:sz w:val="18"/>
      <w:szCs w:val="18"/>
    </w:rPr>
  </w:style>
  <w:style w:type="paragraph" w:styleId="8">
    <w:name w:val="footer"/>
    <w:basedOn w:val="1"/>
    <w:link w:val="16"/>
    <w:qFormat/>
    <w:uiPriority w:val="99"/>
    <w:pPr>
      <w:tabs>
        <w:tab w:val="center" w:pos="4153"/>
        <w:tab w:val="right" w:pos="8306"/>
      </w:tabs>
      <w:snapToGrid w:val="0"/>
      <w:jc w:val="left"/>
    </w:pPr>
    <w:rPr>
      <w:sz w:val="18"/>
      <w:szCs w:val="18"/>
    </w:rPr>
  </w:style>
  <w:style w:type="paragraph" w:styleId="9">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10">
    <w:name w:val="footnote text"/>
    <w:basedOn w:val="1"/>
    <w:next w:val="1"/>
    <w:qFormat/>
    <w:uiPriority w:val="0"/>
    <w:pPr>
      <w:snapToGrid w:val="0"/>
      <w:jc w:val="left"/>
    </w:pPr>
    <w:rPr>
      <w:sz w:val="18"/>
      <w:szCs w:val="1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2"/>
    <w:basedOn w:val="6"/>
    <w:next w:val="1"/>
    <w:qFormat/>
    <w:uiPriority w:val="0"/>
    <w:pPr>
      <w:ind w:firstLine="420" w:firstLineChars="200"/>
    </w:pPr>
  </w:style>
  <w:style w:type="character" w:customStyle="1" w:styleId="15">
    <w:name w:val="页眉 Char"/>
    <w:basedOn w:val="14"/>
    <w:link w:val="9"/>
    <w:qFormat/>
    <w:uiPriority w:val="0"/>
    <w:rPr>
      <w:kern w:val="2"/>
      <w:sz w:val="18"/>
      <w:szCs w:val="18"/>
    </w:rPr>
  </w:style>
  <w:style w:type="character" w:customStyle="1" w:styleId="16">
    <w:name w:val="页脚 Char"/>
    <w:basedOn w:val="14"/>
    <w:link w:val="8"/>
    <w:qFormat/>
    <w:uiPriority w:val="99"/>
    <w:rPr>
      <w:kern w:val="2"/>
      <w:sz w:val="18"/>
      <w:szCs w:val="18"/>
    </w:rPr>
  </w:style>
  <w:style w:type="character" w:customStyle="1" w:styleId="17">
    <w:name w:val="批注框文本 Char"/>
    <w:basedOn w:val="14"/>
    <w:link w:val="7"/>
    <w:qFormat/>
    <w:uiPriority w:val="0"/>
    <w:rPr>
      <w:kern w:val="2"/>
      <w:sz w:val="18"/>
      <w:szCs w:val="18"/>
    </w:rPr>
  </w:style>
  <w:style w:type="character" w:customStyle="1" w:styleId="18">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Pages>
  <Words>3297</Words>
  <Characters>521</Characters>
  <Lines>4</Lines>
  <Paragraphs>7</Paragraphs>
  <TotalTime>16</TotalTime>
  <ScaleCrop>false</ScaleCrop>
  <LinksUpToDate>false</LinksUpToDate>
  <CharactersWithSpaces>3811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2020-02-04T07:22:00Z</dcterms:created>
  <dc:creator>陈杰 null</dc:creator>
  <cp:lastModifiedBy>greatwall</cp:lastModifiedBy>
  <cp:lastPrinted>2023-02-03T10:46:52Z</cp:lastPrinted>
  <dcterms:modified xsi:type="dcterms:W3CDTF">2023-02-03T11:09:03Z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