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4"/>
      </w:pPr>
      <w:r>
        <w:rPr>
          <w:sz w:val="24"/>
        </w:rPr>
        <w:t>附件2</w:t>
      </w:r>
    </w:p>
    <w:p>
      <w:pPr>
        <w:spacing w:after="0"/>
        <w:ind w:right="2400"/>
        <w:jc w:val="right"/>
      </w:pPr>
      <w:r>
        <w:rPr>
          <w:sz w:val="32"/>
        </w:rPr>
        <w:t>中央对地方转移支付区域绩效目标表</w:t>
      </w:r>
    </w:p>
    <w:p>
      <w:pPr>
        <w:spacing w:after="0"/>
        <w:ind w:left="48"/>
        <w:jc w:val="center"/>
      </w:pPr>
      <w:r>
        <w:rPr>
          <w:sz w:val="18"/>
        </w:rPr>
        <w:t>（2024年度）</w:t>
      </w:r>
    </w:p>
    <w:tbl>
      <w:tblPr>
        <w:tblStyle w:val="13"/>
        <w:tblW w:w="9977" w:type="dxa"/>
        <w:tblInd w:w="-91" w:type="dxa"/>
        <w:tblLayout w:type="autofit"/>
        <w:tblCellMar>
          <w:top w:w="92" w:type="dxa"/>
          <w:left w:w="0" w:type="dxa"/>
          <w:bottom w:w="0" w:type="dxa"/>
          <w:right w:w="0" w:type="dxa"/>
        </w:tblCellMar>
      </w:tblPr>
      <w:tblGrid>
        <w:gridCol w:w="892"/>
        <w:gridCol w:w="963"/>
        <w:gridCol w:w="1661"/>
        <w:gridCol w:w="2543"/>
        <w:gridCol w:w="1899"/>
        <w:gridCol w:w="2019"/>
      </w:tblGrid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5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0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项目名称</w:t>
            </w:r>
          </w:p>
        </w:tc>
        <w:tc>
          <w:tcPr>
            <w:tcW w:w="64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14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基本公共卫生服务补助资金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5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88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中央主管部门</w:t>
            </w:r>
          </w:p>
        </w:tc>
        <w:tc>
          <w:tcPr>
            <w:tcW w:w="64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09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国家卫生健康委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5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74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省级财政部门</w:t>
            </w:r>
          </w:p>
        </w:tc>
        <w:tc>
          <w:tcPr>
            <w:tcW w:w="2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4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湖南省财政厅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4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省级主管部门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68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湖南省卫生健康委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87"/>
              <w:jc w:val="lef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87"/>
              <w:jc w:val="lef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87"/>
              <w:jc w:val="left"/>
              <w:textAlignment w:val="auto"/>
              <w:rPr>
                <w:rFonts w:hint="eastAsia" w:eastAsia="微软雅黑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26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7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年度金额：</w:t>
            </w:r>
          </w:p>
        </w:tc>
        <w:tc>
          <w:tcPr>
            <w:tcW w:w="64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-11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其中：中央补助</w:t>
            </w:r>
          </w:p>
        </w:tc>
        <w:tc>
          <w:tcPr>
            <w:tcW w:w="64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04"/>
              <w:jc w:val="center"/>
              <w:textAlignment w:val="auto"/>
              <w:rPr>
                <w:rFonts w:hint="defaul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414022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-2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地方补助</w:t>
            </w:r>
          </w:p>
        </w:tc>
        <w:tc>
          <w:tcPr>
            <w:tcW w:w="64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07" w:hanging="23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年度总体目标</w:t>
            </w:r>
          </w:p>
        </w:tc>
        <w:tc>
          <w:tcPr>
            <w:tcW w:w="90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77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1.免费向</w:t>
            </w:r>
            <w:bookmarkStart w:id="0" w:name="_GoBack"/>
            <w:bookmarkEnd w:id="0"/>
            <w:r>
              <w:rPr>
                <w:sz w:val="20"/>
                <w:szCs w:val="20"/>
              </w:rPr>
              <w:t>城乡居民提供基本公共卫生服务。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67" w:hanging="5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2·保持重点地方病防治措施全面落实。开展职业病防治，最大限度地保护放射工作人员、患者和公众的健康权益。同时推进妇幼卫生、健康素养促进、医养结合和老年健康服务、卫生应急等方面工作。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36" w:right="168" w:firstLine="10"/>
              <w:textAlignment w:val="auto"/>
            </w:pPr>
            <w:r>
              <w:rPr>
                <w:sz w:val="20"/>
              </w:rPr>
              <w:t>绩效指标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5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一级指标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8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二级指标</w:t>
            </w: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13"/>
              <w:jc w:val="center"/>
              <w:textAlignment w:val="auto"/>
            </w:pPr>
            <w:r>
              <w:rPr>
                <w:sz w:val="20"/>
              </w:rPr>
              <w:t>三级指标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0"/>
              <w:jc w:val="center"/>
              <w:textAlignment w:val="auto"/>
            </w:pPr>
            <w:r>
              <w:rPr>
                <w:sz w:val="20"/>
              </w:rPr>
              <w:t>指标值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9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91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产出指标</w:t>
            </w:r>
          </w:p>
        </w:tc>
        <w:tc>
          <w:tcPr>
            <w:tcW w:w="16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35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数量指标</w:t>
            </w: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1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适龄</w:t>
            </w:r>
            <w:r>
              <w:rPr>
                <w:rFonts w:hint="eastAsia"/>
                <w:sz w:val="20"/>
                <w:szCs w:val="20"/>
                <w:lang w:eastAsia="zh-CN"/>
              </w:rPr>
              <w:t>儿童</w:t>
            </w:r>
            <w:r>
              <w:rPr>
                <w:sz w:val="20"/>
                <w:szCs w:val="20"/>
              </w:rPr>
              <w:t>国家免疫规划疫苗接种率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5"/>
              <w:jc w:val="center"/>
              <w:textAlignment w:val="auto"/>
            </w:pPr>
            <w:r>
              <w:rPr>
                <w:sz w:val="20"/>
              </w:rPr>
              <w:t>&gt;90％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6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</w:rPr>
              <w:t>一6岁儿童健康管理率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5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90％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6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</w:rPr>
              <w:t>一6岁儿童眼保健和视力检查覆盖率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0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90％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6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孕产妇系统管理率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5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90％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6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3岁以下儿童系统管理率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6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90％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6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高血压患者管理人数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6"/>
              <w:jc w:val="center"/>
              <w:textAlignment w:val="auto"/>
            </w:pPr>
            <w:r>
              <w:rPr>
                <w:sz w:val="18"/>
              </w:rPr>
              <w:t>497万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7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2型糖尿病患者管理人数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6"/>
              <w:jc w:val="center"/>
              <w:textAlignment w:val="auto"/>
            </w:pPr>
            <w:r>
              <w:rPr>
                <w:sz w:val="20"/>
              </w:rPr>
              <w:t>178万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7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肺结核患者管理率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6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90％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社区在册居家严重精神障碍患者规范管理率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6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80％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丿L童中医药健康管理率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6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84％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老年人中医药健康管理率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55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≥74％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卫生监督协管各专业年巡查（访）2次完成率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8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90％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8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职业健康检查服务覆盖率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13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90％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8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地方病防治完成率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45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95％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宫颈癌、乳腺癌筛查目标人群覆盖率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23"/>
              <w:jc w:val="center"/>
              <w:textAlignment w:val="auto"/>
            </w:pPr>
            <w:r>
              <w:rPr>
                <w:sz w:val="20"/>
              </w:rPr>
              <w:t>较上年提高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脱贫地区儿童营养改善项目重点县覆盖率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/>
              <w:jc w:val="center"/>
              <w:textAlignment w:val="auto"/>
            </w:pPr>
            <w:r>
              <w:rPr>
                <w:sz w:val="20"/>
              </w:rPr>
              <w:t>100％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8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质量指标</w:t>
            </w: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居民规范化电子健康档案覆盖率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32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18"/>
              </w:rPr>
              <w:t>64％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8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高血压患者基层规范管理服务率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37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64％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3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2型糖尿病患者基层规范管理服务率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37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18"/>
              </w:rPr>
              <w:t>64％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7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65岁及以上老年人城乡社区规范健康管理服务率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37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18"/>
              </w:rPr>
              <w:t>64％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7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传染病和突发公共卫生事件报告率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37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95％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9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77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效益指标</w:t>
            </w:r>
          </w:p>
        </w:tc>
        <w:tc>
          <w:tcPr>
            <w:tcW w:w="16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13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社会效益指标</w:t>
            </w: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7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城乡居民获得基本公共卫生服务差距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52"/>
              <w:jc w:val="center"/>
              <w:textAlignment w:val="auto"/>
            </w:pPr>
            <w:r>
              <w:rPr>
                <w:sz w:val="20"/>
              </w:rPr>
              <w:t>较上年缩小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22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居民健康素养水平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52"/>
              <w:jc w:val="center"/>
              <w:textAlignment w:val="auto"/>
            </w:pPr>
            <w:r>
              <w:rPr>
                <w:sz w:val="20"/>
              </w:rPr>
              <w:t>较上年提高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07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可持续影响指标</w:t>
            </w: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4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基本公共卫生服务均等化水平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56"/>
              <w:jc w:val="center"/>
              <w:textAlignment w:val="auto"/>
            </w:pPr>
            <w:r>
              <w:rPr>
                <w:sz w:val="20"/>
              </w:rPr>
              <w:t>较上年提高</w:t>
            </w:r>
          </w:p>
        </w:tc>
      </w:tr>
      <w:tr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</w:pP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69" w:right="46" w:hanging="101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满意度指标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14" w:right="310" w:firstLine="77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服务对象满意度指标</w:t>
            </w:r>
          </w:p>
        </w:tc>
        <w:tc>
          <w:tcPr>
            <w:tcW w:w="4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27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基本公共卫生服务重点人群调查满意度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07"/>
              <w:jc w:val="center"/>
              <w:textAlignment w:val="auto"/>
            </w:pPr>
            <w:r>
              <w:rPr>
                <w:rFonts w:hint="eastAsia"/>
                <w:sz w:val="20"/>
                <w:lang w:eastAsia="zh-CN"/>
              </w:rPr>
              <w:t>≥</w:t>
            </w:r>
            <w:r>
              <w:rPr>
                <w:sz w:val="20"/>
              </w:rPr>
              <w:t>70％</w:t>
            </w:r>
          </w:p>
        </w:tc>
      </w:tr>
    </w:tbl>
    <w:p/>
    <w:sectPr>
      <w:footnotePr>
        <w:numRestart w:val="eachPage"/>
      </w:footnotePr>
      <w:pgSz w:w="11904" w:h="16834"/>
      <w:pgMar w:top="742" w:right="1344" w:bottom="691" w:left="70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50"/>
    <w:rsid w:val="000304BC"/>
    <w:rsid w:val="00181750"/>
    <w:rsid w:val="005E5D8D"/>
    <w:rsid w:val="00C60887"/>
    <w:rsid w:val="0F2B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0" w:line="259" w:lineRule="auto"/>
      <w:ind w:left="946" w:hanging="10"/>
      <w:outlineLvl w:val="0"/>
    </w:pPr>
    <w:rPr>
      <w:rFonts w:ascii="微软雅黑" w:hAnsi="微软雅黑" w:eastAsia="微软雅黑" w:cs="微软雅黑"/>
      <w:color w:val="000000"/>
      <w:kern w:val="2"/>
      <w:sz w:val="82"/>
      <w:szCs w:val="24"/>
      <w:lang w:val="en-US" w:eastAsia="zh-CN" w:bidi="ar-SA"/>
      <w14:ligatures w14:val="standardContextual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755" w:line="216" w:lineRule="auto"/>
      <w:ind w:left="850" w:right="936"/>
      <w:jc w:val="center"/>
      <w:outlineLvl w:val="1"/>
    </w:pPr>
    <w:rPr>
      <w:rFonts w:ascii="微软雅黑" w:hAnsi="微软雅黑" w:eastAsia="微软雅黑" w:cs="微软雅黑"/>
      <w:color w:val="000000"/>
      <w:kern w:val="2"/>
      <w:sz w:val="46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字符"/>
    <w:link w:val="3"/>
    <w:qFormat/>
    <w:uiPriority w:val="0"/>
    <w:rPr>
      <w:rFonts w:ascii="微软雅黑" w:hAnsi="微软雅黑" w:eastAsia="微软雅黑" w:cs="微软雅黑"/>
      <w:color w:val="000000"/>
      <w:sz w:val="46"/>
    </w:rPr>
  </w:style>
  <w:style w:type="character" w:customStyle="1" w:styleId="9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82"/>
    </w:rPr>
  </w:style>
  <w:style w:type="paragraph" w:customStyle="1" w:styleId="10">
    <w:name w:val="footnote description"/>
    <w:next w:val="1"/>
    <w:link w:val="11"/>
    <w:qFormat/>
    <w:uiPriority w:val="0"/>
    <w:pPr>
      <w:spacing w:after="0" w:line="259" w:lineRule="auto"/>
      <w:ind w:left="1181"/>
    </w:pPr>
    <w:rPr>
      <w:rFonts w:ascii="微软雅黑" w:hAnsi="微软雅黑" w:eastAsia="微软雅黑" w:cs="微软雅黑"/>
      <w:color w:val="000000"/>
      <w:kern w:val="2"/>
      <w:sz w:val="42"/>
      <w:szCs w:val="24"/>
      <w:lang w:val="en-US" w:eastAsia="zh-CN" w:bidi="ar-SA"/>
      <w14:ligatures w14:val="standardContextual"/>
    </w:rPr>
  </w:style>
  <w:style w:type="character" w:customStyle="1" w:styleId="11">
    <w:name w:val="footnote description Char"/>
    <w:link w:val="10"/>
    <w:qFormat/>
    <w:uiPriority w:val="0"/>
    <w:rPr>
      <w:rFonts w:ascii="微软雅黑" w:hAnsi="微软雅黑" w:eastAsia="微软雅黑" w:cs="微软雅黑"/>
      <w:color w:val="000000"/>
      <w:sz w:val="42"/>
    </w:rPr>
  </w:style>
  <w:style w:type="character" w:customStyle="1" w:styleId="12">
    <w:name w:val="footnote mark"/>
    <w:qFormat/>
    <w:uiPriority w:val="0"/>
    <w:rPr>
      <w:rFonts w:ascii="微软雅黑" w:hAnsi="微软雅黑" w:eastAsia="微软雅黑" w:cs="微软雅黑"/>
      <w:color w:val="000000"/>
      <w:sz w:val="42"/>
      <w:vertAlign w:val="superscript"/>
    </w:rPr>
  </w:style>
  <w:style w:type="table" w:customStyle="1" w:styleId="13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783</Characters>
  <Lines>6</Lines>
  <Paragraphs>1</Paragraphs>
  <TotalTime>1</TotalTime>
  <ScaleCrop>false</ScaleCrop>
  <LinksUpToDate>false</LinksUpToDate>
  <CharactersWithSpaces>919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2024-06-13T10:35:00Z</dcterms:created>
  <dc:creator>珊珊 龙</dc:creator>
  <cp:lastModifiedBy>greatwall</cp:lastModifiedBy>
  <dcterms:modified xsi:type="dcterms:W3CDTF">2024-06-13T11:33:16Z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6CE046D20F261A3D7C686A662555AB2F</vt:lpwstr>
  </property>
</Properties>
</file>