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9DB0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附表1</w:t>
      </w:r>
    </w:p>
    <w:p w14:paraId="7A09F90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2026年地方政府新增债务限额安排方案</w:t>
      </w:r>
    </w:p>
    <w:p w14:paraId="102B931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755"/>
        <w:gridCol w:w="931"/>
        <w:gridCol w:w="903"/>
        <w:gridCol w:w="985"/>
        <w:gridCol w:w="4880"/>
      </w:tblGrid>
      <w:tr w14:paraId="525C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tblHeader/>
          <w:jc w:val="center"/>
        </w:trPr>
        <w:tc>
          <w:tcPr>
            <w:tcW w:w="824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4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 号</w:t>
            </w:r>
          </w:p>
        </w:tc>
        <w:tc>
          <w:tcPr>
            <w:tcW w:w="175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62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  <w:tc>
          <w:tcPr>
            <w:tcW w:w="931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A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计</w:t>
            </w:r>
          </w:p>
        </w:tc>
        <w:tc>
          <w:tcPr>
            <w:tcW w:w="903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0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第一批</w:t>
            </w:r>
          </w:p>
        </w:tc>
        <w:tc>
          <w:tcPr>
            <w:tcW w:w="98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2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第二批</w:t>
            </w:r>
          </w:p>
        </w:tc>
        <w:tc>
          <w:tcPr>
            <w:tcW w:w="4880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07A3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 w14:paraId="0057E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5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4F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35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73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88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06BD35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D3B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3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5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安排省级</w:t>
            </w: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E3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143.6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D1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36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59E70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其中一般债务115亿元，专项债务28.6亿元</w:t>
            </w:r>
          </w:p>
        </w:tc>
      </w:tr>
      <w:tr w14:paraId="3BB8D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2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23BB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0CE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衔接推进乡村振兴补助</w:t>
            </w:r>
          </w:p>
        </w:tc>
        <w:tc>
          <w:tcPr>
            <w:tcW w:w="93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20B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64D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32B10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0604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加上财力安排的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年省级共安排衔接推进乡村振兴补助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</w:t>
            </w:r>
          </w:p>
        </w:tc>
      </w:tr>
      <w:tr w14:paraId="77EC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B6C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BD4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高标准农田</w:t>
            </w:r>
          </w:p>
          <w:p w14:paraId="56E0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F2F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551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DE7F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3DE07B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48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C59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E32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重大水利工程建设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1D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05D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88B9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3E6E9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加上财力安排的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年省级水利投入共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</w:t>
            </w:r>
          </w:p>
        </w:tc>
      </w:tr>
      <w:tr w14:paraId="001A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39BA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257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高校基建和设备购置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898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121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EE3AD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8D8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加上通过财力安排的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年省属高校基建和设备购置资金共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</w:t>
            </w:r>
          </w:p>
        </w:tc>
      </w:tr>
      <w:tr w14:paraId="44935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CAF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EA9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铁路建设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869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D3B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95A35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9D171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加上财力安排的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年省级共安排铁路建设资金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</w:t>
            </w:r>
          </w:p>
        </w:tc>
      </w:tr>
      <w:tr w14:paraId="59A7A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7C90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2A2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机场建设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B12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66D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705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FE08E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亿元为一般债，第二批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亿元为专项债</w:t>
            </w:r>
          </w:p>
        </w:tc>
      </w:tr>
      <w:tr w14:paraId="7124F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340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9E6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城镇老旧小区改造等保障性住房建设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34DF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EFE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88F44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7B0D55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D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  <w:jc w:val="center"/>
        </w:trPr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29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BC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省属高校建设</w:t>
            </w:r>
          </w:p>
        </w:tc>
        <w:tc>
          <w:tcPr>
            <w:tcW w:w="9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3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9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D38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8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48B95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为专项债，包括：南华大学医学教育实验楼项目1000万元，湖南理工学院学生宿舍21-23号栋建设项目2000万元，湘南学院公共卫生与临床医学实训中心项目4800万元，湖南人文科技学院阳光公寓8号楼项目2700万元，湖南财政经济学院实验实训大楼项目6000万元，湖南农业大学碧柳湖学生宿舍、食堂项目1000万元，湖南女子学院养老托幼实训楼项目2800万元，湖南工业大学生物医学与健康大楼项目2000万元，湖南司法警官职业学院实训教学楼建设项目1200万元，湖南工学院学生食堂建设项目2000万元，湖南工商大学月亮岛校区科技实训综合楼（A、B栋）建设项目2000万元，衡阳师范学院东校区学生公寓16号</w:t>
            </w:r>
          </w:p>
        </w:tc>
      </w:tr>
      <w:tr w14:paraId="762B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  <w:jc w:val="center"/>
        </w:trPr>
        <w:tc>
          <w:tcPr>
            <w:tcW w:w="824" w:type="dxa"/>
            <w:tcBorders>
              <w:top w:val="single" w:color="000000" w:sz="8" w:space="0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62B90D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671A238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409D1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3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45D78D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6E3003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80" w:type="dxa"/>
            <w:tcBorders>
              <w:top w:val="single" w:color="000000" w:sz="8" w:space="0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50F84B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项目3100万元，湖南环境生物职业技术学院医学实习实训综合楼（一期工程）建设项目400万元，张家界航空工业职业技术学院学生宿舍3号楼项目6100万元，湖南医药学院产教融合实训中心建设项目3000万元、学生公寓E9-E10栋建设项目4600万元，湖南工业大学东湖学生食堂项目2000万元，湖南第一师范学院东方红校区文科综合楼项目4000万元，湖南机电职业技术学院工程实训中心项目1000万元，湖南中医药高等专科学校整体搬迁建设项目6000万元</w:t>
            </w:r>
          </w:p>
        </w:tc>
      </w:tr>
      <w:tr w14:paraId="7B92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55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公立医院建设</w:t>
            </w:r>
          </w:p>
        </w:tc>
        <w:tc>
          <w:tcPr>
            <w:tcW w:w="9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8E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9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EECB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56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48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0E4141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此为专项债，包括：湖南省人民医院马王堆院区住院门诊医技综合大楼项目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万元，湖南中医药大学第一附属医院岳麓院区（一期）项目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476BE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24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78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FF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转贷市县</w:t>
            </w:r>
          </w:p>
        </w:tc>
        <w:tc>
          <w:tcPr>
            <w:tcW w:w="931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D4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1674.4</w:t>
            </w:r>
          </w:p>
        </w:tc>
        <w:tc>
          <w:tcPr>
            <w:tcW w:w="903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8C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40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695.4</w:t>
            </w:r>
          </w:p>
        </w:tc>
        <w:tc>
          <w:tcPr>
            <w:tcW w:w="4880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nil"/>
            </w:tcBorders>
            <w:noWrap w:val="0"/>
            <w:vAlign w:val="center"/>
          </w:tcPr>
          <w:p w14:paraId="2F11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转贷1674.4亿元，占总额的92.1%，其中一般债务216亿元，专项债务1458.4亿元</w:t>
            </w:r>
          </w:p>
        </w:tc>
      </w:tr>
    </w:tbl>
    <w:p w14:paraId="0362E00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附表2</w:t>
      </w:r>
    </w:p>
    <w:p w14:paraId="4B3A592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2026年省级一般公共预算收入调整方案（草案）</w:t>
      </w:r>
    </w:p>
    <w:p w14:paraId="72FA16C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2"/>
        <w:gridCol w:w="1602"/>
        <w:gridCol w:w="1602"/>
        <w:gridCol w:w="1602"/>
      </w:tblGrid>
      <w:tr w14:paraId="78E0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14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 目</w:t>
            </w:r>
          </w:p>
        </w:tc>
        <w:tc>
          <w:tcPr>
            <w:tcW w:w="1602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2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602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8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1602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3B5C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 动</w:t>
            </w:r>
          </w:p>
        </w:tc>
      </w:tr>
      <w:tr w14:paraId="2C51C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4C0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一、一般公共预算地方收入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FBE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388.0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E34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388.0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50E26A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71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9078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二、中央补助收入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820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493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DEB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300.0</w:t>
            </w:r>
          </w:p>
        </w:tc>
      </w:tr>
      <w:tr w14:paraId="4D27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70D8A8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返还性收入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D36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309.3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652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309.3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6298C3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31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9CC97B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一般性转移支付收入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BDD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B5B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9D1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300.0</w:t>
            </w:r>
          </w:p>
        </w:tc>
      </w:tr>
      <w:tr w14:paraId="54136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B939CB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专项转移支付收入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747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120.7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6BB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120.7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58D28D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725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A0C0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三、地方政府一般债务收入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563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A9E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01E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</w:t>
            </w:r>
          </w:p>
        </w:tc>
      </w:tr>
      <w:tr w14:paraId="693A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7415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四、市县上解收入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5D6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0CC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C2E3C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E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42DF9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五、动用预算稳定调节基金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676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EF8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1D9319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F11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7178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六、调入资金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972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8A7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0406C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80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AE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七、上年结转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83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180.4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E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180.4</w:t>
            </w:r>
          </w:p>
        </w:tc>
        <w:tc>
          <w:tcPr>
            <w:tcW w:w="160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1224B9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0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572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37C7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70AA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6674.4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7109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7090.4</w:t>
            </w:r>
          </w:p>
        </w:tc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nil"/>
            </w:tcBorders>
            <w:noWrap w:val="0"/>
            <w:vAlign w:val="center"/>
          </w:tcPr>
          <w:p w14:paraId="34CD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416.0</w:t>
            </w:r>
          </w:p>
        </w:tc>
      </w:tr>
    </w:tbl>
    <w:p w14:paraId="4183760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附表3</w:t>
      </w:r>
    </w:p>
    <w:p w14:paraId="7A866E8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2026年省级一般公共预算支出调整方案（草案）</w:t>
      </w:r>
    </w:p>
    <w:p w14:paraId="51B474B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635"/>
        <w:gridCol w:w="1635"/>
        <w:gridCol w:w="1635"/>
      </w:tblGrid>
      <w:tr w14:paraId="0079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B5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  <w:tc>
          <w:tcPr>
            <w:tcW w:w="163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5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63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9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163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3D2C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 动</w:t>
            </w:r>
          </w:p>
        </w:tc>
      </w:tr>
      <w:tr w14:paraId="3589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F6D58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一、省本级支出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6F67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1400.0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AF7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1410.0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5A75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</w:t>
            </w:r>
          </w:p>
        </w:tc>
      </w:tr>
      <w:tr w14:paraId="3E2C4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85C2A6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其中：社会保障和就业支出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21A9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ECA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466D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</w:t>
            </w:r>
          </w:p>
        </w:tc>
      </w:tr>
      <w:tr w14:paraId="4EE56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55690B4">
            <w:pPr>
              <w:keepNext w:val="0"/>
              <w:keepLines w:val="0"/>
              <w:widowControl/>
              <w:suppressLineNumbers w:val="0"/>
              <w:ind w:left="1315" w:leftChars="312" w:hanging="660" w:hanging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其中：财政对基本养老保险基金的补助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13DB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14EE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6BBF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</w:t>
            </w:r>
          </w:p>
        </w:tc>
      </w:tr>
      <w:tr w14:paraId="3415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38A2D57A">
            <w:pPr>
              <w:keepNext w:val="0"/>
              <w:keepLines w:val="0"/>
              <w:widowControl/>
              <w:suppressLineNumbers w:val="0"/>
              <w:ind w:left="874" w:leftChars="416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财政对企业职工基本养老保险基金的补助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0C8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136C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804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</w:t>
            </w:r>
          </w:p>
        </w:tc>
      </w:tr>
      <w:tr w14:paraId="5EB8E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332568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二、上解中央支出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BC0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5D7B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E5228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F62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E880C8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体制上解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68C4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2C45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2E091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6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1AABA3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专项上解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15E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560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6068B6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B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24E9C81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三、补助市县支出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1CFD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4060.5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715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4350.5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3A29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290.0</w:t>
            </w:r>
          </w:p>
        </w:tc>
      </w:tr>
      <w:tr w14:paraId="0413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687FA4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返还性支出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34D7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225.8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699F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225.8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302755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3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4858E2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一般性转移支付支出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4959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49A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3705.0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50A3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290.0</w:t>
            </w:r>
          </w:p>
        </w:tc>
      </w:tr>
      <w:tr w14:paraId="11C42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D8AF8A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专项转移支付支出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4FE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419.7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2883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419.7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E190C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C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D63B2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四、预备费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4FE7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2998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3332A8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2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69138E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五、一般债务还本支出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46CE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5EE6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6260FF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2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CB5381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六、一般债务转贷支出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F7E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1066.1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509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1182.1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1062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</w:t>
            </w:r>
          </w:p>
        </w:tc>
      </w:tr>
      <w:tr w14:paraId="395C1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24B358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七、调出资金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1DB4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C0E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551325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F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029EC6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八、补充预算稳定调节基金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20E87B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7A7AA0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4A2BE6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F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0D3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九、结转下年</w:t>
            </w: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05BA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9BF2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48637A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99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473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3A7B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noWrap/>
            <w:vAlign w:val="center"/>
          </w:tcPr>
          <w:p w14:paraId="1102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6674.4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noWrap/>
            <w:vAlign w:val="center"/>
          </w:tcPr>
          <w:p w14:paraId="57D2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7090.4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nil"/>
            </w:tcBorders>
            <w:noWrap/>
            <w:vAlign w:val="center"/>
          </w:tcPr>
          <w:p w14:paraId="7A6F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416.0</w:t>
            </w:r>
          </w:p>
        </w:tc>
      </w:tr>
    </w:tbl>
    <w:p w14:paraId="02BFB1F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附表4</w:t>
      </w:r>
    </w:p>
    <w:p w14:paraId="12C5208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spacing w:val="-11"/>
          <w:kern w:val="21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spacing w:val="-11"/>
          <w:kern w:val="21"/>
          <w:sz w:val="40"/>
          <w:szCs w:val="40"/>
          <w:u w:val="none"/>
          <w:lang w:val="en-US" w:eastAsia="zh-CN" w:bidi="ar"/>
        </w:rPr>
        <w:t>2026年省级政府性基金预算收入调整方案（草案）</w:t>
      </w:r>
    </w:p>
    <w:p w14:paraId="5EB678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1221"/>
        <w:gridCol w:w="1317"/>
        <w:gridCol w:w="1222"/>
      </w:tblGrid>
      <w:tr w14:paraId="179BF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1B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  <w:tc>
          <w:tcPr>
            <w:tcW w:w="1221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22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317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C0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预算调整数</w:t>
            </w:r>
          </w:p>
        </w:tc>
        <w:tc>
          <w:tcPr>
            <w:tcW w:w="1222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4E8A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 动</w:t>
            </w:r>
          </w:p>
        </w:tc>
      </w:tr>
      <w:tr w14:paraId="34306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single" w:color="000000" w:sz="8" w:space="0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63B4D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一、本年收入</w:t>
            </w:r>
          </w:p>
        </w:tc>
        <w:tc>
          <w:tcPr>
            <w:tcW w:w="1221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3B3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</w:t>
            </w:r>
          </w:p>
        </w:tc>
        <w:tc>
          <w:tcPr>
            <w:tcW w:w="1317" w:type="dxa"/>
            <w:tcBorders>
              <w:top w:val="single" w:color="000000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FE0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1BF5AF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9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6DFA0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二、地方政府专项债务收入</w:t>
            </w:r>
          </w:p>
        </w:tc>
        <w:tc>
          <w:tcPr>
            <w:tcW w:w="122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374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3247.3</w:t>
            </w:r>
          </w:p>
        </w:tc>
        <w:tc>
          <w:tcPr>
            <w:tcW w:w="131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4E1C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3855.3</w:t>
            </w:r>
          </w:p>
        </w:tc>
        <w:tc>
          <w:tcPr>
            <w:tcW w:w="122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4FFF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608.0</w:t>
            </w:r>
          </w:p>
        </w:tc>
      </w:tr>
      <w:tr w14:paraId="3D91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6BE9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三、中央补助收入</w:t>
            </w:r>
          </w:p>
        </w:tc>
        <w:tc>
          <w:tcPr>
            <w:tcW w:w="122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28F9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</w:t>
            </w:r>
          </w:p>
        </w:tc>
        <w:tc>
          <w:tcPr>
            <w:tcW w:w="131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33C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</w:t>
            </w:r>
          </w:p>
        </w:tc>
        <w:tc>
          <w:tcPr>
            <w:tcW w:w="122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072CDC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20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24C42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四、市县上解收入</w:t>
            </w:r>
          </w:p>
        </w:tc>
        <w:tc>
          <w:tcPr>
            <w:tcW w:w="122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4B3D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31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1F66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22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1B2855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B6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3CE4C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五、调入资金</w:t>
            </w:r>
          </w:p>
        </w:tc>
        <w:tc>
          <w:tcPr>
            <w:tcW w:w="122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3ABF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31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EA7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</w:t>
            </w:r>
          </w:p>
        </w:tc>
        <w:tc>
          <w:tcPr>
            <w:tcW w:w="122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5AA318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27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332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六、上年结转</w:t>
            </w:r>
          </w:p>
        </w:tc>
        <w:tc>
          <w:tcPr>
            <w:tcW w:w="12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79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</w:t>
            </w:r>
          </w:p>
        </w:tc>
        <w:tc>
          <w:tcPr>
            <w:tcW w:w="13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C3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</w:t>
            </w:r>
          </w:p>
        </w:tc>
        <w:tc>
          <w:tcPr>
            <w:tcW w:w="122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center"/>
          </w:tcPr>
          <w:p w14:paraId="53C700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8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617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6F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221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97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3483.8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41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4091.8</w:t>
            </w:r>
          </w:p>
        </w:tc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nil"/>
            </w:tcBorders>
            <w:noWrap/>
            <w:vAlign w:val="center"/>
          </w:tcPr>
          <w:p w14:paraId="40D7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608.0</w:t>
            </w:r>
          </w:p>
        </w:tc>
      </w:tr>
    </w:tbl>
    <w:p w14:paraId="21666B4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附表5</w:t>
      </w:r>
    </w:p>
    <w:p w14:paraId="646C1E7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spacing w:val="-11"/>
          <w:kern w:val="21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spacing w:val="-11"/>
          <w:kern w:val="21"/>
          <w:sz w:val="40"/>
          <w:szCs w:val="40"/>
          <w:u w:val="none"/>
          <w:lang w:val="en-US" w:eastAsia="zh-CN" w:bidi="ar"/>
        </w:rPr>
        <w:t>2026年省级政府性基金预算支出调整方案（草案）</w:t>
      </w:r>
    </w:p>
    <w:p w14:paraId="309C75E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9"/>
        <w:gridCol w:w="1512"/>
        <w:gridCol w:w="1514"/>
        <w:gridCol w:w="1512"/>
      </w:tblGrid>
      <w:tr w14:paraId="78D0E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CB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C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51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FD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7415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 动</w:t>
            </w:r>
          </w:p>
        </w:tc>
      </w:tr>
      <w:tr w14:paraId="3952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787C6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一、本年支出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6504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</w:t>
            </w:r>
          </w:p>
        </w:tc>
        <w:tc>
          <w:tcPr>
            <w:tcW w:w="151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43E3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2753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</w:tr>
      <w:tr w14:paraId="253C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4FDACB6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137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523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1FE900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7F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23B1639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1B0E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788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026EB2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8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3382385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19DB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082A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6E3055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B1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4A4757C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4EC4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47C5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4DBD0C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60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02F68CB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1A4C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17.9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4608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259D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</w:tr>
      <w:tr w14:paraId="38D0E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5C468D73">
            <w:pPr>
              <w:keepNext w:val="0"/>
              <w:keepLines w:val="0"/>
              <w:widowControl/>
              <w:suppressLineNumbers w:val="0"/>
              <w:ind w:left="437" w:leftChars="208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其中：其他政府性基金及对应专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项债务收入安排的支出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0444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35E0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6E55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</w:tr>
      <w:tr w14:paraId="2FFF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FD2CBCB">
            <w:pPr>
              <w:keepNext w:val="0"/>
              <w:keepLines w:val="0"/>
              <w:widowControl/>
              <w:suppressLineNumbers w:val="0"/>
              <w:ind w:left="657" w:leftChars="208" w:hanging="220" w:hanging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其他地方自行试点项目收益专项债券收入安排的支出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092AB7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7C8F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780D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</w:tr>
      <w:tr w14:paraId="2F09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5D13A59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A54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25AB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6CE9B4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C9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5A18C9F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03FB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2693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125C41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88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43E29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二、补助市县支出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7B0D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104.3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A85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104.3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70BF64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9A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2CBDA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三、专项债务还本支出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3E96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2F93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3F1BA8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11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450D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四、专项债务转贷支出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CA5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3119.5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D98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3698.9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1679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579.4</w:t>
            </w:r>
          </w:p>
        </w:tc>
      </w:tr>
      <w:tr w14:paraId="76BE3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718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五、结转下年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60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</w:t>
            </w:r>
          </w:p>
        </w:tc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74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</w:t>
            </w:r>
          </w:p>
        </w:tc>
        <w:tc>
          <w:tcPr>
            <w:tcW w:w="151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center"/>
          </w:tcPr>
          <w:p w14:paraId="452B11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54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383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59A2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5E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3483.8</w:t>
            </w:r>
          </w:p>
        </w:tc>
        <w:tc>
          <w:tcPr>
            <w:tcW w:w="151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FF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4091.8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nil"/>
            </w:tcBorders>
            <w:noWrap/>
            <w:vAlign w:val="center"/>
          </w:tcPr>
          <w:p w14:paraId="5FD3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608.0</w:t>
            </w:r>
          </w:p>
        </w:tc>
      </w:tr>
    </w:tbl>
    <w:p w14:paraId="2931EEB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附表6</w:t>
      </w:r>
    </w:p>
    <w:p w14:paraId="356DE4E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2026年底地方政府债务限额、余额预计情况表</w:t>
      </w:r>
    </w:p>
    <w:p w14:paraId="79A8E5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073"/>
        <w:gridCol w:w="1128"/>
        <w:gridCol w:w="1131"/>
        <w:gridCol w:w="1073"/>
        <w:gridCol w:w="1130"/>
        <w:gridCol w:w="1130"/>
      </w:tblGrid>
      <w:tr w14:paraId="5442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712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8572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 区</w:t>
            </w:r>
          </w:p>
        </w:tc>
        <w:tc>
          <w:tcPr>
            <w:tcW w:w="333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43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债务限额</w:t>
            </w:r>
          </w:p>
        </w:tc>
        <w:tc>
          <w:tcPr>
            <w:tcW w:w="3333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center"/>
          </w:tcPr>
          <w:p w14:paraId="4C4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债务余额</w:t>
            </w:r>
          </w:p>
        </w:tc>
      </w:tr>
      <w:tr w14:paraId="527BB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2CEBE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82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99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6A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E4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F1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center"/>
          </w:tcPr>
          <w:p w14:paraId="7D18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</w:tr>
      <w:tr w14:paraId="0C3C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0C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F0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27734.31 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77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9248.02 </w:t>
            </w:r>
          </w:p>
        </w:tc>
        <w:tc>
          <w:tcPr>
            <w:tcW w:w="1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3C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18486.29 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1B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27172.44 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F1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8958.24 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center"/>
          </w:tcPr>
          <w:p w14:paraId="204D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18214.19 </w:t>
            </w:r>
          </w:p>
        </w:tc>
      </w:tr>
      <w:tr w14:paraId="05F0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712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0098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省本级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5153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3029.42 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72D8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2223.29 </w:t>
            </w:r>
          </w:p>
        </w:tc>
        <w:tc>
          <w:tcPr>
            <w:tcW w:w="113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3DBD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806.12 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6F5C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2844.63 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/>
            <w:vAlign w:val="center"/>
          </w:tcPr>
          <w:p w14:paraId="3D3D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2090.82 </w:t>
            </w:r>
          </w:p>
        </w:tc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noWrap/>
            <w:vAlign w:val="center"/>
          </w:tcPr>
          <w:p w14:paraId="606A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753.81 </w:t>
            </w:r>
          </w:p>
        </w:tc>
      </w:tr>
      <w:tr w14:paraId="7947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71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DB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市县小计</w:t>
            </w:r>
          </w:p>
        </w:tc>
        <w:tc>
          <w:tcPr>
            <w:tcW w:w="1073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6A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24704.89 </w:t>
            </w:r>
          </w:p>
        </w:tc>
        <w:tc>
          <w:tcPr>
            <w:tcW w:w="1128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AB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7024.73 </w:t>
            </w:r>
          </w:p>
        </w:tc>
        <w:tc>
          <w:tcPr>
            <w:tcW w:w="1131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D6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17680.17 </w:t>
            </w:r>
          </w:p>
        </w:tc>
        <w:tc>
          <w:tcPr>
            <w:tcW w:w="1073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00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24327.81 </w:t>
            </w:r>
          </w:p>
        </w:tc>
        <w:tc>
          <w:tcPr>
            <w:tcW w:w="1130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23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6867.42 </w:t>
            </w:r>
          </w:p>
        </w:tc>
        <w:tc>
          <w:tcPr>
            <w:tcW w:w="1130" w:type="dxa"/>
            <w:tcBorders>
              <w:top w:val="nil"/>
              <w:left w:val="single" w:color="auto" w:sz="8" w:space="0"/>
              <w:bottom w:val="single" w:color="auto" w:sz="12" w:space="0"/>
              <w:right w:val="nil"/>
            </w:tcBorders>
            <w:noWrap/>
            <w:vAlign w:val="center"/>
          </w:tcPr>
          <w:p w14:paraId="3262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17460.38 </w:t>
            </w:r>
          </w:p>
        </w:tc>
      </w:tr>
    </w:tbl>
    <w:p w14:paraId="23BFAA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附表7</w:t>
      </w:r>
    </w:p>
    <w:p w14:paraId="35FB72D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spacing w:val="-11"/>
          <w:kern w:val="21"/>
          <w:sz w:val="40"/>
          <w:szCs w:val="40"/>
          <w:u w:val="none"/>
          <w:lang w:val="en-US" w:eastAsia="zh-CN" w:bidi="ar"/>
        </w:rPr>
        <w:t>2026年地方政府债务发行及还本付息预计情况表</w:t>
      </w:r>
    </w:p>
    <w:p w14:paraId="598FA0E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单位：亿元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1358"/>
        <w:gridCol w:w="1358"/>
        <w:gridCol w:w="1359"/>
      </w:tblGrid>
      <w:tr w14:paraId="22CC5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tblHeader/>
          <w:jc w:val="center"/>
        </w:trPr>
        <w:tc>
          <w:tcPr>
            <w:tcW w:w="4305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30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目</w:t>
            </w:r>
          </w:p>
        </w:tc>
        <w:tc>
          <w:tcPr>
            <w:tcW w:w="1358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48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358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83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省本级</w:t>
            </w:r>
          </w:p>
        </w:tc>
        <w:tc>
          <w:tcPr>
            <w:tcW w:w="1359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7DBA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市县合计</w:t>
            </w:r>
          </w:p>
        </w:tc>
      </w:tr>
      <w:tr w14:paraId="7FB7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2B01B27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年末地方政府债务余额执行数</w:t>
            </w:r>
          </w:p>
        </w:tc>
        <w:tc>
          <w:tcPr>
            <w:tcW w:w="135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A24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24289.0</w:t>
            </w:r>
          </w:p>
        </w:tc>
        <w:tc>
          <w:tcPr>
            <w:tcW w:w="135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D18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2705.8</w:t>
            </w:r>
          </w:p>
        </w:tc>
        <w:tc>
          <w:tcPr>
            <w:tcW w:w="1359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6A4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21583.3</w:t>
            </w:r>
          </w:p>
        </w:tc>
      </w:tr>
      <w:tr w14:paraId="79C3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FF3F6AB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B08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8726.3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817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1977.0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7BC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6749.3</w:t>
            </w:r>
          </w:p>
        </w:tc>
      </w:tr>
      <w:tr w14:paraId="7D01B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20DE967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EE4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15562.7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46A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728.7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7CD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14834.0</w:t>
            </w:r>
          </w:p>
        </w:tc>
      </w:tr>
      <w:tr w14:paraId="6C9C5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1D5739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年地方政府债务限额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130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25916.3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0FA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4161.7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C39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21754.6</w:t>
            </w:r>
          </w:p>
        </w:tc>
      </w:tr>
      <w:tr w14:paraId="120D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367A20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4C3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8917.0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3EF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2108.3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06A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6808.7</w:t>
            </w:r>
          </w:p>
        </w:tc>
      </w:tr>
      <w:tr w14:paraId="4977F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996913B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459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16999.3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A4A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2053.5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B5B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14945.8</w:t>
            </w:r>
          </w:p>
        </w:tc>
      </w:tr>
      <w:tr w14:paraId="58C4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8ABF32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年地方政府债务发行预计数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D28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5195.3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5DF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314.3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A9C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4881.0</w:t>
            </w:r>
          </w:p>
        </w:tc>
      </w:tr>
      <w:tr w14:paraId="7950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37B3D91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新增一般债券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B13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311.4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AA0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115.0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44E9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196.4</w:t>
            </w:r>
          </w:p>
        </w:tc>
      </w:tr>
      <w:tr w14:paraId="0522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F978E9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再融资一般债券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4BE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1009.0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556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42.9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E4C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966.1</w:t>
            </w:r>
          </w:p>
        </w:tc>
      </w:tr>
      <w:tr w14:paraId="62E08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4DF67F38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新增专项债券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E62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1487.0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86A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1769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1458.4</w:t>
            </w:r>
          </w:p>
        </w:tc>
      </w:tr>
      <w:tr w14:paraId="63D5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2453916C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再融资专项债券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75F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2368.3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874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127.8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1323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2240.5</w:t>
            </w:r>
          </w:p>
        </w:tc>
      </w:tr>
      <w:tr w14:paraId="6EF7A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105D35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国际金融组织和外国政府贷款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670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19.6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E58D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2EF6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19.6</w:t>
            </w:r>
          </w:p>
        </w:tc>
      </w:tr>
      <w:tr w14:paraId="1F8C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5BDC65C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年地方政府债务还本预计数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46D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3596.3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F3C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188.2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7FA0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3408.1</w:t>
            </w:r>
          </w:p>
        </w:tc>
      </w:tr>
      <w:tr w14:paraId="5C29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A65D63C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B09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1103.5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36A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054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1059.7</w:t>
            </w:r>
          </w:p>
        </w:tc>
      </w:tr>
      <w:tr w14:paraId="6E75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CE5407E">
            <w:pPr>
              <w:keepNext w:val="0"/>
              <w:keepLines w:val="0"/>
              <w:widowControl/>
              <w:suppressLineNumbers w:val="0"/>
              <w:ind w:firstLine="660" w:firstLineChars="3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其中：国际金融组织和外国政府贷款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BCF20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80F9B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single" w:color="auto" w:sz="8" w:space="0"/>
              <w:right w:val="nil"/>
            </w:tcBorders>
            <w:noWrap/>
            <w:vAlign w:val="center"/>
          </w:tcPr>
          <w:p w14:paraId="0DF13E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8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3D02624E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single" w:color="auto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618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2492.8</w:t>
            </w:r>
          </w:p>
        </w:tc>
        <w:tc>
          <w:tcPr>
            <w:tcW w:w="1358" w:type="dxa"/>
            <w:tcBorders>
              <w:top w:val="single" w:color="auto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935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</w:t>
            </w:r>
          </w:p>
        </w:tc>
        <w:tc>
          <w:tcPr>
            <w:tcW w:w="1359" w:type="dxa"/>
            <w:tcBorders>
              <w:top w:val="single" w:color="auto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FEC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2348.4</w:t>
            </w:r>
          </w:p>
        </w:tc>
      </w:tr>
      <w:tr w14:paraId="0D8DE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69230C1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年地方政府债务付息预计数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380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682.6</w:t>
            </w:r>
          </w:p>
        </w:tc>
        <w:tc>
          <w:tcPr>
            <w:tcW w:w="135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5432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</w:t>
            </w:r>
          </w:p>
        </w:tc>
        <w:tc>
          <w:tcPr>
            <w:tcW w:w="1359" w:type="dxa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3EA1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593.4</w:t>
            </w:r>
          </w:p>
        </w:tc>
      </w:tr>
      <w:tr w14:paraId="0A40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4CBCE70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615F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243.6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3D15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65.7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67AC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177.9</w:t>
            </w:r>
          </w:p>
        </w:tc>
      </w:tr>
      <w:tr w14:paraId="1123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5085671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7287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439.0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335A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56ED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415.5</w:t>
            </w:r>
          </w:p>
        </w:tc>
      </w:tr>
      <w:tr w14:paraId="4A83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07DB225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年末地方政府债务余额预计数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707A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27172.4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0D99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2844.6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2823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24327.8</w:t>
            </w:r>
          </w:p>
        </w:tc>
      </w:tr>
      <w:tr w14:paraId="7D89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49A762DE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07C5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8958.2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4621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2090.8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2803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6867.4</w:t>
            </w:r>
          </w:p>
        </w:tc>
      </w:tr>
      <w:tr w14:paraId="113D8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334199D2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391B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18214.2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1BC0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753.8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34A4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17460.4</w:t>
            </w:r>
          </w:p>
        </w:tc>
      </w:tr>
      <w:tr w14:paraId="10F5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075CFBF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年地方政府债务限额预计数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06D5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27734.3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1FC5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3029.4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616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24704.9</w:t>
            </w:r>
          </w:p>
        </w:tc>
      </w:tr>
      <w:tr w14:paraId="1605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 w14:paraId="7888A02E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5ADA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9248.0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33DC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2223.3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center"/>
          </w:tcPr>
          <w:p w14:paraId="7487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7024.7</w:t>
            </w:r>
          </w:p>
        </w:tc>
      </w:tr>
      <w:tr w14:paraId="47F4D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4305" w:type="dxa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noWrap/>
            <w:vAlign w:val="center"/>
          </w:tcPr>
          <w:p w14:paraId="05D3B2C1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专项债务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noWrap w:val="0"/>
            <w:vAlign w:val="center"/>
          </w:tcPr>
          <w:p w14:paraId="1256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18486.3</w:t>
            </w:r>
          </w:p>
        </w:tc>
        <w:tc>
          <w:tcPr>
            <w:tcW w:w="1358" w:type="dxa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noWrap w:val="0"/>
            <w:vAlign w:val="center"/>
          </w:tcPr>
          <w:p w14:paraId="2931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806.1</w:t>
            </w:r>
          </w:p>
        </w:tc>
        <w:tc>
          <w:tcPr>
            <w:tcW w:w="1359" w:type="dxa"/>
            <w:tcBorders>
              <w:top w:val="nil"/>
              <w:left w:val="single" w:color="auto" w:sz="8" w:space="0"/>
              <w:bottom w:val="single" w:color="000000" w:sz="12" w:space="0"/>
              <w:right w:val="nil"/>
            </w:tcBorders>
            <w:noWrap w:val="0"/>
            <w:vAlign w:val="center"/>
          </w:tcPr>
          <w:p w14:paraId="5B92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17680.2</w:t>
            </w:r>
          </w:p>
        </w:tc>
      </w:tr>
    </w:tbl>
    <w:p w14:paraId="5B82A229">
      <w:pPr>
        <w:rPr>
          <w:rFonts w:hint="default" w:ascii="Times New Roman" w:hAnsi="Times New Roman" w:cs="Times New Roman"/>
        </w:rPr>
      </w:pPr>
    </w:p>
    <w:p w14:paraId="03204C37"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1569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3A7366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3A7366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43B7E"/>
    <w:rsid w:val="1444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annotation subject"/>
    <w:basedOn w:val="5"/>
    <w:next w:val="1"/>
    <w:qFormat/>
    <w:uiPriority w:val="0"/>
    <w:rPr>
      <w:b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  <w:style w:type="paragraph" w:styleId="7">
    <w:name w:val="Body Text Indent 2"/>
    <w:basedOn w:val="1"/>
    <w:qFormat/>
    <w:uiPriority w:val="0"/>
    <w:pPr>
      <w:widowControl w:val="0"/>
      <w:spacing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2026-08-12T03:02:00Z</dcterms:created>
  <dc:creator>lewuo</dc:creator>
  <cp:lastModifiedBy>lewuo</cp:lastModifiedBy>
  <dcterms:modified xsi:type="dcterms:W3CDTF">2026-08-12T03:02:58Z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49E62EA517354A769380B9CC2CDBE78A_11</vt:lpwstr>
  </property>
  <property fmtid="{D5CDD505-2E9C-101B-9397-08002B2CF9AE}" pid="4" name="KSOTemplateDocerSaveRecord">
    <vt:lpwstr>eyJoZGlkIjoiOGZkNGFhOWVkYjg0MzczNjllNmVmYWUxNmQyMjgxNjgiLCJ1c2VySWQiOiI0NDYyOTE3OTQifQ==</vt:lpwstr>
  </property>
</Properties>
</file>