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9FF80">
      <w:pPr>
        <w:spacing w:line="600" w:lineRule="exact"/>
        <w:jc w:val="both"/>
        <w:rPr>
          <w:rFonts w:hint="default" w:ascii="Times New Roman" w:hAnsi="Times New Roman" w:eastAsia="黑体" w:cs="Times New Roman"/>
          <w:bCs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HNPR-2026-10015</w:t>
      </w:r>
    </w:p>
    <w:p w14:paraId="6DA0451F">
      <w:pPr>
        <w:spacing w:line="1460" w:lineRule="exact"/>
        <w:jc w:val="both"/>
        <w:rPr>
          <w:rFonts w:hint="default" w:ascii="Times New Roman" w:hAnsi="Times New Roman" w:eastAsia="黑体" w:cs="Times New Roman"/>
          <w:bCs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FC0A6D6">
      <w:pPr>
        <w:spacing w:line="400" w:lineRule="exact"/>
        <w:rPr>
          <w:rFonts w:hint="default" w:ascii="Times New Roman" w:hAnsi="Times New Roman" w:cs="Times New Roman"/>
        </w:rPr>
      </w:pPr>
      <w:bookmarkStart w:id="0" w:name="_GoBack"/>
      <w:bookmarkEnd w:id="0"/>
    </w:p>
    <w:p w14:paraId="3CA1F1E1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湘财资环〔</w:t>
      </w:r>
      <w:r>
        <w:rPr>
          <w:rFonts w:ascii="Times New Roman" w:hAnsi="Times New Roman" w:eastAsia="仿宋_GB2312" w:cs="Times New Roman"/>
          <w:spacing w:val="-6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2602E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00" w:lineRule="exact"/>
        <w:textAlignment w:val="auto"/>
        <w:rPr>
          <w:rFonts w:ascii="Times New Roman" w:hAnsi="Times New Roman" w:cs="Times New Roman"/>
        </w:rPr>
      </w:pPr>
    </w:p>
    <w:p w14:paraId="078115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-11"/>
          <w:sz w:val="44"/>
        </w:rPr>
      </w:pPr>
      <w:r>
        <w:rPr>
          <w:rFonts w:hint="default" w:ascii="Times New Roman" w:hAnsi="Times New Roman" w:eastAsia="方正小标宋_GBK" w:cs="Times New Roman"/>
          <w:spacing w:val="-11"/>
          <w:sz w:val="44"/>
        </w:rPr>
        <w:t>关于印发《湖南省生态保护补偿</w:t>
      </w:r>
    </w:p>
    <w:p w14:paraId="014AE7C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-11"/>
          <w:sz w:val="44"/>
        </w:rPr>
      </w:pPr>
      <w:r>
        <w:rPr>
          <w:rFonts w:hint="default" w:ascii="Times New Roman" w:hAnsi="Times New Roman" w:eastAsia="方正小标宋_GBK" w:cs="Times New Roman"/>
          <w:spacing w:val="-11"/>
          <w:sz w:val="44"/>
        </w:rPr>
        <w:t>实施方案》的通知</w:t>
      </w:r>
    </w:p>
    <w:p w14:paraId="5130D0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</w:rPr>
      </w:pPr>
    </w:p>
    <w:p w14:paraId="2313B8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</w:t>
      </w:r>
      <w:r>
        <w:rPr>
          <w:rFonts w:ascii="Times New Roman" w:hAnsi="Times New Roman" w:eastAsia="仿宋_GB2312" w:cs="Times New Roman"/>
          <w:sz w:val="32"/>
          <w:szCs w:val="32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州</w:t>
      </w:r>
      <w:r>
        <w:rPr>
          <w:rFonts w:ascii="Times New Roman" w:hAnsi="Times New Roman" w:eastAsia="仿宋_GB2312" w:cs="Times New Roman"/>
          <w:sz w:val="32"/>
          <w:szCs w:val="32"/>
        </w:rPr>
        <w:t>、县市区财政局、生态环境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局（分局）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林业主管部门、</w:t>
      </w:r>
      <w:r>
        <w:rPr>
          <w:rFonts w:ascii="Times New Roman" w:hAnsi="Times New Roman" w:eastAsia="仿宋_GB2312" w:cs="Times New Roman"/>
          <w:sz w:val="32"/>
          <w:szCs w:val="32"/>
        </w:rPr>
        <w:t>水利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、发展和改革委员会（局）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4B86E2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为深入贯彻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习近平生态文明思想，进一步建立健全我省生态保护补偿机制，根据</w:t>
      </w:r>
      <w:r>
        <w:rPr>
          <w:rFonts w:ascii="Times New Roman" w:hAnsi="Times New Roman" w:eastAsia="仿宋_GB2312" w:cs="Times New Roman"/>
          <w:sz w:val="32"/>
          <w:szCs w:val="32"/>
        </w:rPr>
        <w:t>《生态保护补偿条例》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、《国家发展改革委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财政部关于印发〈推进生态综合补偿实施方案〉的通知》（发改振兴〔2026〕697号）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财政部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等五部委</w:t>
      </w:r>
      <w:r>
        <w:rPr>
          <w:rFonts w:ascii="Times New Roman" w:hAnsi="Times New Roman" w:eastAsia="仿宋_GB2312" w:cs="Times New Roman"/>
          <w:sz w:val="32"/>
          <w:szCs w:val="32"/>
        </w:rPr>
        <w:t>《关于进一步健全横向生态保护补偿机制的意见》（财资环〔2025〕49号）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《关于深入推进大江大河干流横向生态保护补偿机制建设的实施方案》（财资环〔2025〕50号）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等文件精神，我们制定了《湖南省生态保护补偿实施方案》，现予印发，请遵照执行。</w:t>
      </w:r>
    </w:p>
    <w:p w14:paraId="3AF537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62D7C9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Lines="0"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湖南省生态保护补偿实施方案</w:t>
      </w:r>
    </w:p>
    <w:p w14:paraId="0B207F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F29EF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AB2AE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湖南省财政厅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  <w:t>湖南省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  <w:t>生态环境厅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  <w:t>湖南省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林业局</w:t>
      </w:r>
    </w:p>
    <w:p w14:paraId="27FB7B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 w14:paraId="63268FE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 w14:paraId="0FC582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 w14:paraId="32BFD6B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  <w:t>湖南省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水利厅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湖南省发展改革委</w:t>
      </w:r>
    </w:p>
    <w:p w14:paraId="6EDBBB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afterLines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     2026年9月29日</w:t>
      </w:r>
    </w:p>
    <w:p w14:paraId="1AB74D50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6CC90FC0">
      <w:pPr>
        <w:overflowPunct w:val="0"/>
        <w:autoSpaceDE/>
        <w:autoSpaceDN/>
        <w:spacing w:beforeLines="0" w:afterLines="0"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11764EE8">
      <w:pPr>
        <w:overflowPunct w:val="0"/>
        <w:autoSpaceDE/>
        <w:autoSpaceDN/>
        <w:spacing w:beforeLines="0" w:afterLines="0"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6E666FFE">
      <w:pPr>
        <w:pStyle w:val="2"/>
        <w:keepNext w:val="0"/>
        <w:keepLines w:val="0"/>
        <w:overflowPunct w:val="0"/>
        <w:autoSpaceDE/>
        <w:spacing w:before="0" w:beforeLines="0" w:after="0" w:afterLines="0" w:line="600" w:lineRule="exact"/>
        <w:jc w:val="center"/>
        <w:rPr>
          <w:rFonts w:ascii="Times New Roman" w:hAnsi="Times New Roman" w:eastAsia="方正小标宋简体"/>
          <w:b w:val="0"/>
          <w:sz w:val="40"/>
          <w:szCs w:val="40"/>
        </w:rPr>
      </w:pPr>
      <w:r>
        <w:rPr>
          <w:rFonts w:ascii="Times New Roman" w:hAnsi="Times New Roman" w:eastAsia="方正小标宋简体"/>
          <w:b w:val="0"/>
          <w:sz w:val="40"/>
          <w:szCs w:val="40"/>
        </w:rPr>
        <w:t>湖南省生态保护补偿实施方案</w:t>
      </w:r>
    </w:p>
    <w:p w14:paraId="5B3F8766">
      <w:pPr>
        <w:overflowPunct w:val="0"/>
        <w:autoSpaceDE/>
        <w:spacing w:beforeLines="0" w:afterLines="0" w:line="60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</w:p>
    <w:p w14:paraId="6E8E815A">
      <w:pPr>
        <w:shd w:val="clear"/>
        <w:overflowPunct w:val="0"/>
        <w:autoSpaceDE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根据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《生态保护补偿条例》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《国家发展改革委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财政部关于印发〈推进生态综合补偿实施方案〉的通知》（发改振兴〔2026〕697号）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财政部、生态环境部、国家发展改革委、水利部、国家林草局《关于进一步健全横向生态保护补偿机制的意见》（财资环〔2025〕49号）《关于深入推进大江大河干流横向生态保护补偿机制建设的实施方案》（财资环〔2025〕50号）等文件要求，结合我省实际，制定本实施方案。</w:t>
      </w:r>
    </w:p>
    <w:p w14:paraId="66F3C5C6">
      <w:pPr>
        <w:shd w:val="clear"/>
        <w:overflowPunct w:val="0"/>
        <w:spacing w:beforeLines="0" w:afterLines="0" w:line="600" w:lineRule="exact"/>
        <w:ind w:firstLine="640" w:firstLineChars="200"/>
        <w:outlineLvl w:val="0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一、总体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思路</w:t>
      </w:r>
    </w:p>
    <w:p w14:paraId="2726524F">
      <w:pPr>
        <w:shd w:val="clear"/>
        <w:overflowPunct w:val="0"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坚持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“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受益者补偿、保护者受偿、损害者赔偿、受害者受偿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”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原则，统筹构建纵向支撑有力、横向协调联动的生态保护补偿体系，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重点围绕生态环境要素补偿、生态功能重要区域补偿、激励措施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个方面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推动建立覆盖更加全面、权责更加清晰、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激励更加有效、运行更加规范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财政资金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补偿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体系。同时，鼓励各地因地制宜探索市场化、多元化补偿方式。</w:t>
      </w:r>
    </w:p>
    <w:p w14:paraId="01A0F190">
      <w:pPr>
        <w:shd w:val="clear"/>
        <w:overflowPunct w:val="0"/>
        <w:spacing w:beforeLines="0" w:afterLines="0" w:line="600" w:lineRule="exact"/>
        <w:ind w:firstLine="640" w:firstLineChars="200"/>
        <w:outlineLvl w:val="0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</w:t>
      </w:r>
      <w:r>
        <w:rPr>
          <w:rFonts w:ascii="Times New Roman" w:hAnsi="Times New Roman" w:eastAsia="黑体" w:cs="Times New Roman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生态环境要素补偿</w:t>
      </w:r>
    </w:p>
    <w:p w14:paraId="0B7843BA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  <w:t>（一）水流</w:t>
      </w:r>
    </w:p>
    <w:p w14:paraId="56F89417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1. 纵向补偿</w:t>
      </w:r>
    </w:p>
    <w:p w14:paraId="1681F306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对省控及以上断面月度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水质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达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标的市州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，按断面达标率给予分档补偿；对地区及重点断面总磷浓度达到年度目标的市州，给予年度补偿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；对重要河湖及水工程控制断面最小下泄流量及生态流量达标的市州，按断面达标率给予分档补偿。</w:t>
      </w:r>
    </w:p>
    <w:p w14:paraId="3C29FB30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断面达标率（水质）=年内各月度断面达标次数之和/断面实际监测次数之和。</w:t>
      </w:r>
    </w:p>
    <w:p w14:paraId="68A10D66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断面达标率（最小下泄流量及生态流量）=年内各断面达标天数之和/断面实际纳入评价天数之和。</w:t>
      </w:r>
    </w:p>
    <w:p w14:paraId="01EAAB9D">
      <w:pPr>
        <w:shd w:val="clear"/>
        <w:overflowPunct w:val="0"/>
        <w:spacing w:beforeLines="0" w:afterLines="0" w:line="600" w:lineRule="exact"/>
        <w:ind w:firstLine="643" w:firstLineChars="200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2. 横向补偿</w:t>
      </w:r>
    </w:p>
    <w:p w14:paraId="3645F6AF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14个市州每年各出资500万元，构成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水流要素横向补偿资金池，省级根据空间、时间两个维度的水质变化情况将资金池资金分配至市州。空间维度，省控以上出境断面年度水质较入境断面改善的市州，可获得补偿；较入境断面恶化的，需进行出资。时间维度，辖区内省控以上断面年度水质较上年改善的市州，可获得补偿；较上年恶化的，需进行出资。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水质指标选取高锰酸盐指数、氨氮、总磷三项污染物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浓度指标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，权重分别为30%、30%、40%。</w:t>
      </w:r>
    </w:p>
    <w:p w14:paraId="73EFBCD6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3. 数据来源</w:t>
      </w:r>
    </w:p>
    <w:p w14:paraId="1C7C1894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省生态环境厅、省水利厅。</w:t>
      </w:r>
    </w:p>
    <w:p w14:paraId="40448B50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  <w:t>（二）大气</w:t>
      </w:r>
    </w:p>
    <w:p w14:paraId="25C73D0D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eastAsia="zh-CN"/>
        </w:rPr>
        <w:t>纵向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补偿</w:t>
      </w:r>
    </w:p>
    <w:p w14:paraId="6D645B1F">
      <w:pPr>
        <w:shd w:val="clear"/>
        <w:overflowPunct w:val="0"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对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年度空气质量达到《环境空气质量标准》（GB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3095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"/>
        </w:rPr>
        <w:t>—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26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）一级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或二级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标准的市州，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分档给予补偿，首次达标提高补偿标准；对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全年未发生重污染天数的市州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给予补偿；对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年度空气质量达标的市州（非重点城市），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给予补偿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符合以上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多个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条件的，按就高原则执行，不重复补偿。</w:t>
      </w:r>
    </w:p>
    <w:p w14:paraId="5FC3F80C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横向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补偿</w:t>
      </w:r>
    </w:p>
    <w:p w14:paraId="05160BDC">
      <w:pPr>
        <w:shd w:val="clear"/>
        <w:tabs>
          <w:tab w:val="left" w:pos="168"/>
        </w:tabs>
        <w:overflowPunct w:val="0"/>
        <w:spacing w:beforeLines="0" w:afterLines="0" w:line="600" w:lineRule="exact"/>
        <w:ind w:firstLine="628" w:firstLineChars="200"/>
        <w:jc w:val="both"/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</w:pP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  <w:t>空气质量指标较上年改善的</w:t>
      </w: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  <w:lang w:eastAsia="zh-CN"/>
        </w:rPr>
        <w:t>市州</w:t>
      </w: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  <w:t>，可获得补偿；较上年恶化的，需进行出资。空气质量指标包括污染物浓度、重污染天数、城市环境空气质量优良天数，其中污染物浓度选取细颗粒物（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PM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vertAlign w:val="subscript"/>
        </w:rPr>
        <w:t>2.5</w:t>
      </w: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  <w:t>）、臭氧（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O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vertAlign w:val="subscript"/>
        </w:rPr>
        <w:t>3</w:t>
      </w: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  <w:t>）、二氧化氮（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NO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  <w:t>），权重分别为70%、20%、10%。</w:t>
      </w:r>
    </w:p>
    <w:p w14:paraId="3565FFB9">
      <w:pPr>
        <w:shd w:val="clear"/>
        <w:overflowPunct w:val="0"/>
        <w:spacing w:beforeLines="0" w:afterLines="0"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pacing w:val="2"/>
          <w:sz w:val="31"/>
          <w:szCs w:val="31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对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长沙市、株洲市、湘潭市、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衡阳市、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岳阳市、常德市、益阳市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、娄底市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等重点城市，每完成一项年度目标任务（城市环境空气质量优良天数比率、PM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vertAlign w:val="subscript"/>
        </w:rPr>
        <w:t>2.5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年均浓度、重污染天数），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均可获得补偿；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每有一项年度目标任务未完成（城市环境空气质量优良天数比率、PM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2.5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年均浓度、重污染天数），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均需进行出资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6173B994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3. 数据来源</w:t>
      </w:r>
    </w:p>
    <w:p w14:paraId="59138756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省生态环境厅。</w:t>
      </w:r>
    </w:p>
    <w:p w14:paraId="32872D1E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  <w:t>（三）林草湿荒</w:t>
      </w:r>
    </w:p>
    <w:p w14:paraId="34A51E71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3" w:firstLineChars="200"/>
        <w:textAlignment w:val="auto"/>
        <w:outlineLvl w:val="2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  <w:lang w:val="en-US" w:eastAsia="zh-CN"/>
        </w:rPr>
        <w:t>1. 森林生态保护纵向补偿</w:t>
      </w:r>
    </w:p>
    <w:p w14:paraId="4251F815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/>
          <w:lang w:val="en-US" w:eastAsia="zh-CN"/>
        </w:rPr>
        <w:t>以经核定的国家级公益林、省级公益林以及纳入补偿范围的天然商品林为依据实施补偿，包括非国有林生态保护补偿和森林保护修复补偿。其中，非国有林生态保护补偿按林权权利人所有的国家级公益林、省级公益林以及天然商品林面积给予补偿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  <w:lang w:eastAsia="zh-CN"/>
        </w:rPr>
        <w:t>森林保护修复补偿通过项目法实施补偿。</w:t>
      </w:r>
    </w:p>
    <w:p w14:paraId="694686EA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3" w:firstLineChars="200"/>
        <w:textAlignment w:val="auto"/>
        <w:outlineLvl w:val="2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</w:rPr>
        <w:t>草原生态保护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  <w:lang w:eastAsia="zh-CN"/>
        </w:rPr>
        <w:t>纵向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28"/>
          <w:highlight w:val="none"/>
        </w:rPr>
        <w:t>补偿</w:t>
      </w:r>
    </w:p>
    <w:p w14:paraId="6D5A7DDB">
      <w:pPr>
        <w:keepNext w:val="0"/>
        <w:keepLines w:val="0"/>
        <w:pageBreakBefore w:val="0"/>
        <w:widowControl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</w:rPr>
        <w:t>以经核定的草原、基本草原及草原生态保护成效为依据，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  <w:lang w:val="en-US" w:eastAsia="zh-CN"/>
        </w:rPr>
        <w:t>对各地开展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</w:rPr>
        <w:t>草原生态保护修复、草种繁育、草原有害生物防治、草原防火等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  <w:lang w:eastAsia="zh-CN"/>
        </w:rPr>
        <w:t>工作，通过项目法实施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  <w:lang w:val="en-US" w:eastAsia="zh-CN"/>
        </w:rPr>
        <w:t>补偿</w:t>
      </w:r>
      <w:r>
        <w:rPr>
          <w:rFonts w:hint="default" w:ascii="Times New Roman" w:hAnsi="Times New Roman" w:eastAsia="仿宋_GB2312" w:cs="Times New Roman"/>
          <w:color w:val="auto"/>
          <w:sz w:val="32"/>
          <w:szCs w:val="28"/>
          <w:highlight w:val="none"/>
        </w:rPr>
        <w:t>。</w:t>
      </w:r>
    </w:p>
    <w:p w14:paraId="29E1F344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3.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湿地生态保护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eastAsia="zh-CN"/>
        </w:rPr>
        <w:t>纵向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补偿</w:t>
      </w:r>
    </w:p>
    <w:p w14:paraId="3F4CBFBB">
      <w:pPr>
        <w:shd w:val="clear"/>
        <w:overflowPunct w:val="0"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以依法划定的国际重要湿地、国家重要湿地、省级重要湿地范围及面积为依据，以一般湿地范围及面积为补充，对开展湿地保护工作的单位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通过项目法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实施补偿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。对国际重要湿地、国家重要湿地、省级重要湿地内，因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生态保护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相关活动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造成集体湿地所有者或使用者合法权益受到损害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的，给予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补偿。</w:t>
      </w:r>
    </w:p>
    <w:p w14:paraId="44E91199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</w:pP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4.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林草湿荒生态系统服务价值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eastAsia="zh-CN"/>
        </w:rPr>
        <w:t>横向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补偿</w:t>
      </w:r>
    </w:p>
    <w:p w14:paraId="68A31579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林草湿荒生态系统服务价值总量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较上年增加的市州，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可获得补偿；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较上年减少的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，需进行出资。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该指数以国家认可并由全省统一发布的年度生态监测数据（包括林地面积、森林覆盖率、森林蓄积量、草地面积、重要湿地面积、自然保护地面积、乔木林面积等）为基础，通过模拟核算区域内生态系统提供的物质产品、调节服务以及文化服务的经济总值。</w:t>
      </w:r>
    </w:p>
    <w:p w14:paraId="21E464EA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5. 数据来源</w:t>
      </w:r>
    </w:p>
    <w:p w14:paraId="3FEB48CF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省林业局。</w:t>
      </w:r>
    </w:p>
    <w:p w14:paraId="53BD5C8A">
      <w:pPr>
        <w:shd w:val="clear"/>
        <w:overflowPunct w:val="0"/>
        <w:spacing w:beforeLines="0" w:afterLines="0" w:line="600" w:lineRule="exact"/>
        <w:ind w:firstLine="640" w:firstLineChars="200"/>
        <w:outlineLvl w:val="0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生态功能重要区域补偿</w:t>
      </w:r>
    </w:p>
    <w:p w14:paraId="5FD0239B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 w:bidi="ar"/>
        </w:rPr>
        <w:t>（一）重点生态功能区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en-US" w:eastAsia="zh-CN" w:bidi="ar"/>
        </w:rPr>
        <w:t>补偿</w:t>
      </w:r>
    </w:p>
    <w:p w14:paraId="61CB1897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eastAsia="zh-CN"/>
        </w:rPr>
        <w:t>基础补偿</w:t>
      </w:r>
    </w:p>
    <w:p w14:paraId="31BC4A1F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依据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《湖南省国家重点生态功能区转移支付办法》，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对财政部明确为重点补助名单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县市，给予重点补助；对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生态环境部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《全国生态功能区划》中明确的生态功能区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县市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，给予引导性补助；对禁止开发区域的生态保护和维护运行，给予适当补助；对污染防治攻坚重大项目和重点区域，给予适当补助等。</w:t>
      </w:r>
    </w:p>
    <w:p w14:paraId="40A7B09F">
      <w:pPr>
        <w:shd w:val="clear"/>
        <w:overflowPunct w:val="0"/>
        <w:autoSpaceDE/>
        <w:spacing w:beforeLines="0" w:afterLines="0" w:line="60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其中，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重点补助和引导性补助根据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国土面积、标准收支缺口、生态保护红线面积等客观因素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进行测算分配；禁止开发区域补助根据国家级禁止开发区域的面积和个数测算分配；污染防治攻坚重大项目和重点区域补助根据整治任务、自身努力程度、财政困难程度等因素测算分配。</w:t>
      </w:r>
    </w:p>
    <w:p w14:paraId="1D4C2D67">
      <w:pPr>
        <w:shd w:val="clear"/>
        <w:overflowPunct w:val="0"/>
        <w:spacing w:beforeLines="0" w:afterLines="0" w:line="600" w:lineRule="exact"/>
        <w:ind w:firstLine="643" w:firstLineChars="200"/>
        <w:outlineLvl w:val="2"/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highlight w:val="none"/>
          <w:lang w:eastAsia="zh-CN"/>
        </w:rPr>
        <w:t>奖惩机制</w:t>
      </w:r>
    </w:p>
    <w:p w14:paraId="34C4910E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根据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重点生态功能区县域生态环境质量监测与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评估结果给予相应奖惩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对生态环境质量变好的县市，适当增加补偿资金；对非因不可控因素而导致生态环境质量变差的县市，适当扣减补偿资金。选取PM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vertAlign w:val="subscript"/>
          <w:lang w:eastAsia="zh-CN"/>
        </w:rPr>
        <w:t>2.5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浓度、空气质量优良天数比率、重度及以上污染天数比例、地表水水质达到或好于Ⅱ类水体比例、集中式饮用水水源水质达标率、受污染耕地安全利用率、重点建设用地安全利用率、生态质量指数（EQI）、森林覆盖率等指标，根据指标改善情况实施奖惩。</w:t>
      </w:r>
    </w:p>
    <w:p w14:paraId="070704FD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 w:bidi="ar"/>
        </w:rPr>
        <w:t>（二）自然保护地补偿</w:t>
      </w:r>
    </w:p>
    <w:p w14:paraId="76E58334">
      <w:pPr>
        <w:keepNext w:val="0"/>
        <w:keepLines w:val="0"/>
        <w:pageBreakBefore w:val="0"/>
        <w:widowControl w:val="0"/>
        <w:suppressLineNumbers w:val="0"/>
        <w:shd w:val="clear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bidi="ar"/>
        </w:rPr>
        <w:t>对国家公园、自然保护区、自然公园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通过项目法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bidi="ar"/>
        </w:rPr>
        <w:t>实施补偿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依据《国家公园生态环境保护成效评估技术规范（试行）》（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 w:bidi="ar"/>
        </w:rPr>
        <w:t>HJ 1435—2025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）、《自然保护区生态环境保护成效评估标准（试行）》（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 w:bidi="ar"/>
        </w:rPr>
        <w:t>HJ 1203—2021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）、《自然公园生态环境保护成效评估技术规范（试行）》（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 w:bidi="ar"/>
        </w:rPr>
        <w:t>HJ 1436—2025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）、《湖南省自然保护区生态环境保护成效评估技术指南（试行）》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（湘环发〔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 w:bidi="ar"/>
        </w:rPr>
        <w:t>2026〕39号）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eastAsia="zh-CN" w:bidi="ar"/>
        </w:rPr>
        <w:t>对自然保护地进行年度分类评估，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bidi="ar"/>
        </w:rPr>
        <w:t>对保护成效显著、生态价值提升明显的自然保护地给予倾斜支持；对保护不力、问题突出的，相应核减补偿资金。</w:t>
      </w:r>
    </w:p>
    <w:p w14:paraId="2344D36B">
      <w:pPr>
        <w:shd w:val="clear"/>
        <w:overflowPunct w:val="0"/>
        <w:spacing w:beforeLines="0" w:afterLines="0" w:line="600" w:lineRule="exact"/>
        <w:ind w:firstLine="643" w:firstLineChars="200"/>
        <w:outlineLvl w:val="1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eastAsia="zh-CN" w:bidi="ar"/>
        </w:rPr>
        <w:t>（三）长株潭生态绿心补偿</w:t>
      </w:r>
    </w:p>
    <w:p w14:paraId="672A3FA9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依据《关于优化长株潭生态绿心地区生态补偿机制的实施意见》（湘发改区域规〔2025〕661号），对《长株潭生态绿心高水平保护和高质量发展规划（2024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</w:rPr>
        <w:t>2035年）》确定的绿心区域范围实施补偿。</w:t>
      </w:r>
    </w:p>
    <w:p w14:paraId="50E13B75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激励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措施</w:t>
      </w:r>
    </w:p>
    <w:p w14:paraId="128711E2">
      <w:pPr>
        <w:shd w:val="clear"/>
        <w:overflowPunct w:val="0"/>
        <w:autoSpaceDE/>
        <w:spacing w:beforeLines="0" w:afterLines="0" w:line="600" w:lineRule="exact"/>
        <w:ind w:firstLine="643" w:firstLineChars="200"/>
        <w:outlineLvl w:val="1"/>
        <w:rPr>
          <w:rFonts w:ascii="Times New Roman" w:hAnsi="Times New Roman" w:eastAsia="楷体_GB2312" w:cs="Times New Roman"/>
          <w:b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bidi="ar"/>
        </w:rPr>
        <w:t>（一）</w:t>
      </w:r>
      <w:r>
        <w:rPr>
          <w:rFonts w:ascii="Times New Roman" w:hAnsi="Times New Roman" w:eastAsia="楷体_GB2312" w:cs="Times New Roman"/>
          <w:b/>
          <w:sz w:val="32"/>
          <w:szCs w:val="32"/>
          <w:highlight w:val="none"/>
          <w:lang w:bidi="ar"/>
        </w:rPr>
        <w:t>机制建设奖</w:t>
      </w:r>
    </w:p>
    <w:p w14:paraId="4B730EF2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机制建设奖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=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市州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间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横向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补偿协议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签订数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×奖励系数×奖励标准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+既有补偿协议当年实际结算净出资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×50%×调整系数</w:t>
      </w:r>
    </w:p>
    <w:p w14:paraId="246E6446">
      <w:pPr>
        <w:shd w:val="clear"/>
        <w:overflowPunct w:val="0"/>
        <w:spacing w:beforeLines="0" w:afterLines="0"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就四水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干流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及洞庭湖流域签订协议的，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奖励系数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；就四水支流及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其他流域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签订协议的，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奖励系数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0.5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对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其他生态环境要素签订横向补偿协议的，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奖励系数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就多个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生态环境要素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签订横向补偿协议的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系数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按就高原则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执行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，不重复计算。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每个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横向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补偿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协议在协议期内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安排一次性奖励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，协议有效期原则上不低于3年，协议在有效期内提前终止或实质性变更的，可视情况追回或调整已发放奖励。</w:t>
      </w:r>
    </w:p>
    <w:p w14:paraId="1B039A93">
      <w:pPr>
        <w:shd w:val="clear"/>
        <w:overflowPunct w:val="0"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出资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方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调整系数为1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受偿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方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调整系数为0.2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若同时涉及多个出资</w:t>
      </w:r>
      <w:r>
        <w:rPr>
          <w:rFonts w:hint="eastAsia" w:ascii="Times New Roman" w:hAnsi="Times New Roman" w:eastAsia="仿宋_GB2312" w:cs="Times New Roman"/>
          <w:sz w:val="32"/>
          <w:szCs w:val="28"/>
          <w:highlight w:val="none"/>
          <w:lang w:eastAsia="zh-CN"/>
        </w:rPr>
        <w:t>（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受偿</w:t>
      </w:r>
      <w:r>
        <w:rPr>
          <w:rFonts w:hint="eastAsia" w:ascii="Times New Roman" w:hAnsi="Times New Roman" w:eastAsia="仿宋_GB2312" w:cs="Times New Roman"/>
          <w:sz w:val="32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方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，按各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方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出资</w:t>
      </w:r>
      <w:r>
        <w:rPr>
          <w:rFonts w:hint="eastAsia" w:ascii="Times New Roman" w:hAnsi="Times New Roman" w:eastAsia="仿宋_GB2312" w:cs="Times New Roman"/>
          <w:sz w:val="32"/>
          <w:szCs w:val="28"/>
          <w:highlight w:val="none"/>
          <w:lang w:eastAsia="zh-CN"/>
        </w:rPr>
        <w:t>（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受偿</w:t>
      </w:r>
      <w:r>
        <w:rPr>
          <w:rFonts w:hint="eastAsia" w:ascii="Times New Roman" w:hAnsi="Times New Roman" w:eastAsia="仿宋_GB2312" w:cs="Times New Roman"/>
          <w:sz w:val="32"/>
          <w:szCs w:val="28"/>
          <w:highlight w:val="none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金额比例予以分配。</w:t>
      </w:r>
    </w:p>
    <w:p w14:paraId="7C916355">
      <w:pPr>
        <w:shd w:val="clear"/>
        <w:overflowPunct w:val="0"/>
        <w:autoSpaceDE/>
        <w:spacing w:beforeLines="0" w:afterLines="0" w:line="600" w:lineRule="exact"/>
        <w:ind w:firstLine="643" w:firstLineChars="200"/>
        <w:outlineLvl w:val="1"/>
        <w:rPr>
          <w:rFonts w:ascii="Times New Roman" w:hAnsi="Times New Roman" w:eastAsia="楷体_GB2312" w:cs="Times New Roman"/>
          <w:b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bidi="ar"/>
        </w:rPr>
        <w:t>（二）机制创新奖</w:t>
      </w:r>
    </w:p>
    <w:p w14:paraId="1626A160">
      <w:pPr>
        <w:shd w:val="clear"/>
        <w:overflowPunct w:val="0"/>
        <w:spacing w:beforeLines="0" w:afterLines="0"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对以下实际发生补偿且经省级认可的创新案例给予创新奖励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具体创新实践包括：</w:t>
      </w:r>
    </w:p>
    <w:p w14:paraId="09AC2B5C">
      <w:pPr>
        <w:shd w:val="clear"/>
        <w:overflowPunct w:val="0"/>
        <w:spacing w:beforeLines="0" w:afterLines="0"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丰富补偿要素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水流补偿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将常规水质指标以外的特征污染物、水量、水生态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、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流域功能定位、供水安全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等列为补偿要素，以及探索将大气、森林、草原、湿地等其他生态环境要素纳入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val="en-US" w:eastAsia="zh-CN"/>
        </w:rPr>
        <w:t>横向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补偿范围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。</w:t>
      </w:r>
    </w:p>
    <w:p w14:paraId="12F6DC3F">
      <w:pPr>
        <w:shd w:val="clear"/>
        <w:overflowPunct w:val="0"/>
        <w:spacing w:beforeLines="0" w:afterLines="0"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完善补偿标准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结合生态环境保护修复成本和发展机会成本、污染责任划分等因素，综合确定补偿标准，以及探索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将生态产品价值核算结果、生态产品实物量及质量纳入综合补偿标准等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  <w:lang w:eastAsia="zh-CN"/>
        </w:rPr>
        <w:t>。</w:t>
      </w:r>
    </w:p>
    <w:p w14:paraId="3328E856">
      <w:pPr>
        <w:shd w:val="clear"/>
        <w:overflowPunct w:val="0"/>
        <w:spacing w:beforeLines="0" w:afterLines="0" w:line="600" w:lineRule="exact"/>
        <w:ind w:firstLine="643" w:firstLineChars="200"/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3.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/>
          <w:bCs/>
          <w:sz w:val="32"/>
          <w:szCs w:val="28"/>
          <w:highlight w:val="none"/>
        </w:rPr>
        <w:t>创新补偿形式</w:t>
      </w:r>
      <w:r>
        <w:rPr>
          <w:rFonts w:hint="default" w:ascii="Times New Roman" w:hAnsi="Times New Roman" w:eastAsia="仿宋_GB2312" w:cs="Times New Roman"/>
          <w:b/>
          <w:bCs/>
          <w:sz w:val="32"/>
          <w:szCs w:val="28"/>
          <w:highlight w:val="none"/>
        </w:rPr>
        <w:t>。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补偿方式从财政补偿向市场化补偿拓展，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吸引社会资本参与开发利用和保护修复的不同环节，建立开发利用主体和保护修复主体利益链接机制；</w:t>
      </w:r>
      <w:r>
        <w:rPr>
          <w:rFonts w:ascii="Times New Roman" w:hAnsi="Times New Roman" w:eastAsia="仿宋_GB2312" w:cs="Times New Roman"/>
          <w:sz w:val="32"/>
          <w:szCs w:val="28"/>
          <w:highlight w:val="none"/>
        </w:rPr>
        <w:t>从资金补偿向多元化补偿拓展</w:t>
      </w:r>
      <w:r>
        <w:rPr>
          <w:rFonts w:hint="default" w:ascii="Times New Roman" w:hAnsi="Times New Roman" w:eastAsia="仿宋_GB2312" w:cs="Times New Roman"/>
          <w:sz w:val="32"/>
          <w:szCs w:val="28"/>
          <w:highlight w:val="none"/>
        </w:rPr>
        <w:t>，通过联建生态产业园区、技术援助、智力支持、定向人才培养、定向招工等创新补偿形式。</w:t>
      </w:r>
    </w:p>
    <w:p w14:paraId="02E5B65C">
      <w:pPr>
        <w:shd w:val="clear"/>
        <w:overflowPunct w:val="0"/>
        <w:spacing w:beforeLines="0" w:afterLines="0" w:line="600" w:lineRule="exact"/>
        <w:ind w:firstLine="640" w:firstLineChars="200"/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本方案自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公布之日起施行，有效期5年。</w:t>
      </w:r>
    </w:p>
    <w:p w14:paraId="6B21FE37">
      <w:pPr>
        <w:overflowPunct/>
        <w:autoSpaceDE/>
        <w:spacing w:line="600" w:lineRule="exact"/>
        <w:ind w:firstLine="640" w:firstLineChars="200"/>
        <w:rPr>
          <w:rFonts w:hint="default" w:ascii="Times New Roman" w:hAnsi="Times New Roman" w:cs="Times New Roman" w:eastAsiaTheme="minorEastAsia"/>
          <w:sz w:val="32"/>
          <w:szCs w:val="32"/>
          <w:lang w:val="en-US" w:eastAsia="zh-CN" w:bidi="ar"/>
        </w:rPr>
        <w:sectPr>
          <w:footerReference r:id="rId3" w:type="default"/>
          <w:pgSz w:w="11906" w:h="16838"/>
          <w:pgMar w:top="1417" w:right="1587" w:bottom="1417" w:left="1587" w:header="851" w:footer="1304" w:gutter="0"/>
          <w:pgNumType w:fmt="numberInDash"/>
          <w:cols w:space="0" w:num="1"/>
          <w:rtlGutter w:val="0"/>
          <w:docGrid w:type="lines" w:linePitch="312" w:charSpace="0"/>
        </w:sectPr>
      </w:pPr>
    </w:p>
    <w:p w14:paraId="114B5001">
      <w:pPr>
        <w:spacing w:line="600" w:lineRule="exact"/>
        <w:rPr>
          <w:rFonts w:hint="eastAsia" w:ascii="黑体" w:eastAsia="黑体"/>
          <w:szCs w:val="28"/>
        </w:rPr>
      </w:pPr>
    </w:p>
    <w:p w14:paraId="47A1D294">
      <w:pPr>
        <w:spacing w:line="600" w:lineRule="exact"/>
        <w:rPr>
          <w:rFonts w:hint="eastAsia" w:ascii="黑体" w:eastAsia="黑体"/>
          <w:szCs w:val="28"/>
        </w:rPr>
        <w:sectPr>
          <w:pgSz w:w="11906" w:h="16838"/>
          <w:pgMar w:top="1417" w:right="1587" w:bottom="1417" w:left="1587" w:header="851" w:footer="1304" w:gutter="0"/>
          <w:pgNumType w:fmt="numberInDash"/>
          <w:cols w:space="0" w:num="1"/>
          <w:titlePg/>
          <w:rtlGutter w:val="0"/>
          <w:docGrid w:type="lines" w:linePitch="312" w:charSpace="0"/>
        </w:sectPr>
      </w:pPr>
    </w:p>
    <w:p w14:paraId="7DAAC643">
      <w:pPr>
        <w:spacing w:line="600" w:lineRule="exact"/>
        <w:rPr>
          <w:rFonts w:hint="eastAsia" w:ascii="黑体" w:eastAsia="黑体"/>
          <w:szCs w:val="28"/>
        </w:rPr>
        <w:sectPr>
          <w:pgSz w:w="11906" w:h="16838"/>
          <w:pgMar w:top="1417" w:right="1587" w:bottom="1417" w:left="1587" w:header="851" w:footer="1304" w:gutter="0"/>
          <w:pgNumType w:fmt="numberInDash"/>
          <w:cols w:space="0" w:num="1"/>
          <w:titlePg/>
          <w:rtlGutter w:val="0"/>
          <w:docGrid w:type="lines" w:linePitch="312" w:charSpace="0"/>
        </w:sectPr>
      </w:pPr>
    </w:p>
    <w:p w14:paraId="29F95B71">
      <w:pPr>
        <w:spacing w:line="600" w:lineRule="exact"/>
        <w:rPr>
          <w:rFonts w:hint="eastAsia" w:ascii="黑体" w:eastAsia="黑体"/>
          <w:szCs w:val="28"/>
        </w:rPr>
      </w:pPr>
    </w:p>
    <w:p w14:paraId="7389D4FD">
      <w:pPr>
        <w:spacing w:line="600" w:lineRule="exact"/>
        <w:rPr>
          <w:rFonts w:hint="eastAsia" w:ascii="黑体" w:eastAsia="黑体"/>
          <w:szCs w:val="28"/>
        </w:rPr>
      </w:pPr>
    </w:p>
    <w:p w14:paraId="51F97407">
      <w:pPr>
        <w:spacing w:line="600" w:lineRule="exact"/>
        <w:rPr>
          <w:rFonts w:hint="eastAsia" w:ascii="黑体" w:eastAsia="黑体"/>
          <w:szCs w:val="28"/>
        </w:rPr>
      </w:pPr>
    </w:p>
    <w:p w14:paraId="5C7ABC4E">
      <w:pPr>
        <w:spacing w:line="600" w:lineRule="exact"/>
        <w:rPr>
          <w:rFonts w:hint="eastAsia" w:ascii="黑体" w:eastAsia="黑体"/>
          <w:szCs w:val="28"/>
        </w:rPr>
      </w:pPr>
    </w:p>
    <w:p w14:paraId="15B7495B">
      <w:pPr>
        <w:spacing w:line="600" w:lineRule="exact"/>
        <w:rPr>
          <w:rFonts w:hint="eastAsia" w:ascii="黑体" w:eastAsia="黑体"/>
          <w:szCs w:val="28"/>
        </w:rPr>
      </w:pPr>
    </w:p>
    <w:p w14:paraId="47EB6797">
      <w:pPr>
        <w:spacing w:line="600" w:lineRule="exact"/>
        <w:rPr>
          <w:rFonts w:hint="eastAsia" w:ascii="黑体" w:eastAsia="黑体"/>
          <w:szCs w:val="28"/>
        </w:rPr>
      </w:pPr>
    </w:p>
    <w:p w14:paraId="5D715569">
      <w:pPr>
        <w:spacing w:line="600" w:lineRule="exact"/>
        <w:rPr>
          <w:rFonts w:hint="eastAsia" w:ascii="黑体" w:eastAsia="黑体"/>
          <w:szCs w:val="28"/>
        </w:rPr>
      </w:pPr>
    </w:p>
    <w:p w14:paraId="3ECD7529">
      <w:pPr>
        <w:spacing w:line="600" w:lineRule="exact"/>
        <w:rPr>
          <w:rFonts w:hint="eastAsia" w:ascii="黑体" w:eastAsia="黑体"/>
          <w:szCs w:val="28"/>
        </w:rPr>
      </w:pPr>
    </w:p>
    <w:p w14:paraId="204B84FC">
      <w:pPr>
        <w:spacing w:line="600" w:lineRule="exact"/>
        <w:rPr>
          <w:rFonts w:hint="eastAsia" w:ascii="黑体" w:eastAsia="黑体"/>
          <w:szCs w:val="28"/>
        </w:rPr>
      </w:pPr>
    </w:p>
    <w:p w14:paraId="1E3F14ED">
      <w:pPr>
        <w:spacing w:line="600" w:lineRule="exact"/>
        <w:rPr>
          <w:rFonts w:hint="eastAsia" w:ascii="黑体" w:eastAsia="黑体"/>
          <w:szCs w:val="28"/>
        </w:rPr>
      </w:pPr>
    </w:p>
    <w:p w14:paraId="61996E01">
      <w:pPr>
        <w:spacing w:line="600" w:lineRule="exact"/>
        <w:rPr>
          <w:rFonts w:hint="eastAsia" w:ascii="黑体" w:eastAsia="黑体"/>
          <w:szCs w:val="28"/>
        </w:rPr>
      </w:pPr>
    </w:p>
    <w:p w14:paraId="7D040662">
      <w:pPr>
        <w:spacing w:line="600" w:lineRule="exact"/>
        <w:rPr>
          <w:rFonts w:hint="eastAsia" w:ascii="黑体" w:eastAsia="黑体"/>
          <w:szCs w:val="28"/>
        </w:rPr>
      </w:pPr>
    </w:p>
    <w:p w14:paraId="73C69381">
      <w:pPr>
        <w:spacing w:line="600" w:lineRule="exact"/>
        <w:rPr>
          <w:rFonts w:hint="eastAsia" w:ascii="黑体" w:eastAsia="黑体"/>
          <w:szCs w:val="28"/>
        </w:rPr>
      </w:pPr>
    </w:p>
    <w:p w14:paraId="7D294C81">
      <w:pPr>
        <w:spacing w:line="600" w:lineRule="exact"/>
        <w:rPr>
          <w:rFonts w:hint="eastAsia" w:ascii="黑体" w:eastAsia="黑体"/>
          <w:szCs w:val="28"/>
        </w:rPr>
      </w:pPr>
    </w:p>
    <w:p w14:paraId="25FBEDB6">
      <w:pPr>
        <w:spacing w:line="600" w:lineRule="exact"/>
        <w:rPr>
          <w:rFonts w:hint="eastAsia" w:ascii="黑体" w:eastAsia="黑体"/>
          <w:szCs w:val="28"/>
        </w:rPr>
      </w:pPr>
    </w:p>
    <w:p w14:paraId="20178E22">
      <w:pPr>
        <w:spacing w:line="600" w:lineRule="exact"/>
        <w:rPr>
          <w:rFonts w:hint="eastAsia" w:ascii="黑体" w:eastAsia="黑体"/>
          <w:szCs w:val="28"/>
        </w:rPr>
      </w:pPr>
    </w:p>
    <w:p w14:paraId="26D79EBE">
      <w:pPr>
        <w:spacing w:line="600" w:lineRule="exact"/>
        <w:rPr>
          <w:rFonts w:hint="eastAsia" w:ascii="黑体" w:eastAsia="黑体"/>
          <w:szCs w:val="28"/>
        </w:rPr>
      </w:pPr>
    </w:p>
    <w:p w14:paraId="24563D82">
      <w:pPr>
        <w:spacing w:line="600" w:lineRule="exact"/>
        <w:rPr>
          <w:rFonts w:hint="eastAsia" w:ascii="黑体" w:eastAsia="黑体"/>
          <w:szCs w:val="28"/>
        </w:rPr>
      </w:pPr>
    </w:p>
    <w:p w14:paraId="46E478C9">
      <w:pPr>
        <w:spacing w:line="600" w:lineRule="exact"/>
        <w:rPr>
          <w:rFonts w:hint="eastAsia" w:ascii="黑体" w:eastAsia="黑体"/>
          <w:szCs w:val="28"/>
        </w:rPr>
      </w:pPr>
    </w:p>
    <w:p w14:paraId="2802DBDF">
      <w:pPr>
        <w:spacing w:line="600" w:lineRule="exact"/>
        <w:rPr>
          <w:rFonts w:hint="eastAsia" w:ascii="黑体" w:eastAsia="黑体"/>
          <w:szCs w:val="28"/>
        </w:rPr>
      </w:pPr>
    </w:p>
    <w:p w14:paraId="0658ADE0">
      <w:pPr>
        <w:spacing w:line="600" w:lineRule="exact"/>
        <w:rPr>
          <w:rFonts w:hint="eastAsia" w:ascii="黑体" w:eastAsia="黑体"/>
          <w:szCs w:val="28"/>
        </w:rPr>
      </w:pPr>
    </w:p>
    <w:p w14:paraId="33E4A089">
      <w:pPr>
        <w:spacing w:line="600" w:lineRule="exact"/>
        <w:rPr>
          <w:rFonts w:hint="default" w:ascii="Times New Roman" w:hAnsi="Times New Roman" w:eastAsia="黑体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信息公开选项:</w:t>
      </w: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主动公开</w:t>
      </w:r>
    </w:p>
    <w:p w14:paraId="5D7CA717">
      <w:pPr>
        <w:overflowPunct/>
        <w:autoSpaceDE/>
        <w:spacing w:line="600" w:lineRule="exact"/>
        <w:ind w:firstLine="0" w:firstLineChars="0"/>
        <w:rPr>
          <w:rFonts w:hint="default" w:ascii="Times New Roman" w:hAnsi="Times New Roman" w:cs="Times New Roman" w:eastAsiaTheme="minorEastAsia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32pt;z-index:251660288;mso-width-relative:page;mso-height-relative:page;" filled="f" stroked="t" coordsize="21600,21600" o:gfxdata="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9uT7jPAAAAAgEAAA8AAAAAAAAAAQAgAAAAIgAAAGRycy9kb3ducmV2LnhtbFBLAQIUABQAAAAI&#10;AIdO4kADrFT79gEAAOUDAAAOAAAAAAAAAAEAIAAAAB4BAABkcnMvZTJvRG9jLnhtbFBLBQYAAAAA&#10;BgAGAFkBAACG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381000</wp:posOffset>
                </wp:positionV>
                <wp:extent cx="5486400" cy="0"/>
                <wp:effectExtent l="0" t="9525" r="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0pt;height:0pt;width:432pt;z-index:251661312;mso-width-relative:page;mso-height-relative:page;" filled="f" stroked="t" coordsize="21600,21600" o:gfxdata="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W5dVE0wAAAAYBAAAPAAAAAAAAAAEAIAAAACIAAABkcnMvZG93bnJldi54bWxQSwECFAAU&#10;AAAACACHTuJAFDHqXvYBAADlAwAADgAAAAAAAAABACAAAAAiAQAAZHJzL2Uyb0RvYy54bWxQSwUG&#10;AAAAAAYABgBZAQAAi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Times New Roman"/>
          <w:sz w:val="28"/>
          <w:szCs w:val="28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湖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南省财政厅办公室</w:t>
      </w:r>
      <w:r>
        <w:rPr>
          <w:rFonts w:ascii="Times New Roman" w:hAnsi="Times New Roman" w:eastAsia="仿宋_GB2312" w:cs="Times New Roman"/>
          <w:spacing w:val="-6"/>
          <w:sz w:val="28"/>
          <w:szCs w:val="28"/>
        </w:rPr>
        <w:t xml:space="preserve">         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spacing w:val="-6"/>
          <w:sz w:val="28"/>
          <w:szCs w:val="28"/>
        </w:rPr>
        <w:t xml:space="preserve">        20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/>
        </w:rPr>
        <w:t>2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/>
        </w:rPr>
        <w:t>1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/>
        </w:rPr>
        <w:t>1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日印发</w:t>
      </w:r>
    </w:p>
    <w:sectPr>
      <w:pgSz w:w="11906" w:h="16838"/>
      <w:pgMar w:top="1417" w:right="1587" w:bottom="1417" w:left="1587" w:header="851" w:footer="1304" w:gutter="0"/>
      <w:pgNumType w:fmt="numberInDash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2E22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8FB797">
                          <w:pPr>
                            <w:pStyle w:val="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8FB797">
                    <w:pPr>
                      <w:pStyle w:val="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C0515"/>
    <w:multiLevelType w:val="multilevel"/>
    <w:tmpl w:val="ECAC0515"/>
    <w:lvl w:ilvl="0" w:tentative="0">
      <w:start w:val="1"/>
      <w:numFmt w:val="decimal"/>
      <w:suff w:val="space"/>
      <w:lvlText w:val="%1"/>
      <w:lvlJc w:val="left"/>
      <w:pPr>
        <w:tabs>
          <w:tab w:val="left" w:pos="420"/>
        </w:tabs>
        <w:ind w:left="284" w:hanging="284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420"/>
        </w:tabs>
        <w:ind w:left="244" w:hanging="284"/>
      </w:pPr>
      <w:rPr>
        <w:rFonts w:hint="default" w:ascii="Times New Roman" w:hAnsi="Times New Roman" w:eastAsia="楷体_GB2312" w:cs="Times New Roman"/>
        <w:sz w:val="32"/>
        <w:szCs w:val="32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420"/>
        </w:tabs>
        <w:ind w:left="583" w:hanging="283"/>
      </w:pPr>
      <w:rPr>
        <w:rFonts w:hint="default" w:ascii="Times New Roman" w:hAnsi="Times New Roman" w:eastAsia="宋体" w:cs="Times New Roman"/>
        <w:sz w:val="32"/>
        <w:szCs w:val="32"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420"/>
        </w:tabs>
        <w:ind w:left="284" w:hanging="284"/>
      </w:pPr>
      <w:rPr>
        <w:rFonts w:hint="default" w:ascii="Times New Roman" w:hAnsi="Times New Roman" w:eastAsia="宋体" w:cs="Times New Roman"/>
        <w:sz w:val="32"/>
        <w:szCs w:val="32"/>
      </w:rPr>
    </w:lvl>
    <w:lvl w:ilvl="4" w:tentative="0">
      <w:start w:val="1"/>
      <w:numFmt w:val="decimal"/>
      <w:lvlText w:val="（%5）"/>
      <w:lvlJc w:val="left"/>
      <w:pPr>
        <w:tabs>
          <w:tab w:val="left" w:pos="420"/>
        </w:tabs>
        <w:ind w:left="284" w:hanging="284"/>
      </w:pPr>
      <w:rPr>
        <w:rFonts w:hint="default" w:ascii="Times New Roman" w:hAnsi="Times New Roman" w:eastAsia="仿宋_GB2312" w:cs="Times New Roman"/>
        <w:sz w:val="32"/>
        <w:szCs w:val="32"/>
      </w:rPr>
    </w:lvl>
    <w:lvl w:ilvl="5" w:tentative="0">
      <w:start w:val="1"/>
      <w:numFmt w:val="decimal"/>
      <w:lvlText w:val="%6）"/>
      <w:lvlJc w:val="left"/>
      <w:pPr>
        <w:ind w:left="-16" w:hanging="284"/>
      </w:pPr>
      <w:rPr>
        <w:rFonts w:hint="default" w:ascii="Times New Roman" w:hAnsi="Times New Roman" w:eastAsia="仿宋_GB2312" w:cs="Times New Roman"/>
        <w:sz w:val="32"/>
        <w:szCs w:val="32"/>
      </w:rPr>
    </w:lvl>
    <w:lvl w:ilvl="6" w:tentative="0">
      <w:start w:val="1"/>
      <w:numFmt w:val="decimal"/>
      <w:lvlRestart w:val="1"/>
      <w:lvlText w:val="表%1-%7"/>
      <w:lvlJc w:val="center"/>
      <w:pPr>
        <w:tabs>
          <w:tab w:val="left" w:pos="2258"/>
        </w:tabs>
        <w:ind w:left="2122" w:firstLine="4"/>
      </w:pPr>
      <w:rPr>
        <w:rFonts w:hint="default" w:ascii="宋体" w:hAnsi="宋体" w:eastAsia="宋体" w:cs="宋体"/>
      </w:rPr>
    </w:lvl>
    <w:lvl w:ilvl="7" w:tentative="0">
      <w:start w:val="1"/>
      <w:numFmt w:val="decimal"/>
      <w:lvlRestart w:val="1"/>
      <w:lvlText w:val="图%1-%8"/>
      <w:lvlJc w:val="center"/>
      <w:pPr>
        <w:ind w:left="284" w:firstLine="4"/>
      </w:pPr>
      <w:rPr>
        <w:rFonts w:hint="default" w:ascii="宋体" w:hAnsi="宋体" w:eastAsia="宋体" w:cs="宋体"/>
      </w:rPr>
    </w:lvl>
    <w:lvl w:ilvl="8" w:tentative="0">
      <w:start w:val="1"/>
      <w:numFmt w:val="decimal"/>
      <w:lvlText w:val="%1.%2.%3.%4.%5.%6.%7.%8.%9"/>
      <w:lvlJc w:val="left"/>
      <w:pPr>
        <w:ind w:left="284" w:hanging="2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CB2D0E"/>
    <w:rsid w:val="000B0120"/>
    <w:rsid w:val="00222B45"/>
    <w:rsid w:val="002F7CDC"/>
    <w:rsid w:val="003E7424"/>
    <w:rsid w:val="006A5DC7"/>
    <w:rsid w:val="008B7705"/>
    <w:rsid w:val="00A12CA4"/>
    <w:rsid w:val="00D635FA"/>
    <w:rsid w:val="01E44FDB"/>
    <w:rsid w:val="021533E7"/>
    <w:rsid w:val="037D6ABA"/>
    <w:rsid w:val="04EC5FA1"/>
    <w:rsid w:val="05DA3858"/>
    <w:rsid w:val="05F453CA"/>
    <w:rsid w:val="0631475B"/>
    <w:rsid w:val="067D0048"/>
    <w:rsid w:val="06840B3B"/>
    <w:rsid w:val="08732C15"/>
    <w:rsid w:val="0891161B"/>
    <w:rsid w:val="08FC454D"/>
    <w:rsid w:val="0A0628DE"/>
    <w:rsid w:val="0B3B6FFB"/>
    <w:rsid w:val="0B5F1B77"/>
    <w:rsid w:val="0BFB2F46"/>
    <w:rsid w:val="0C0232D1"/>
    <w:rsid w:val="0C6174FF"/>
    <w:rsid w:val="0D475DD6"/>
    <w:rsid w:val="0D9B440F"/>
    <w:rsid w:val="0F1B4006"/>
    <w:rsid w:val="0FDB754C"/>
    <w:rsid w:val="10B417FF"/>
    <w:rsid w:val="115832F0"/>
    <w:rsid w:val="12DE7825"/>
    <w:rsid w:val="13E75935"/>
    <w:rsid w:val="14A02B65"/>
    <w:rsid w:val="14BE16BC"/>
    <w:rsid w:val="14DD1B26"/>
    <w:rsid w:val="15366786"/>
    <w:rsid w:val="15587452"/>
    <w:rsid w:val="18476406"/>
    <w:rsid w:val="18A004E0"/>
    <w:rsid w:val="1A89276C"/>
    <w:rsid w:val="1B786EC8"/>
    <w:rsid w:val="1BC96AA4"/>
    <w:rsid w:val="1C215235"/>
    <w:rsid w:val="1C8A2FAC"/>
    <w:rsid w:val="1C9D24FF"/>
    <w:rsid w:val="1F4725BA"/>
    <w:rsid w:val="1F7F6744"/>
    <w:rsid w:val="1F9FFF97"/>
    <w:rsid w:val="218158B9"/>
    <w:rsid w:val="21A56747"/>
    <w:rsid w:val="21D4060F"/>
    <w:rsid w:val="21EF44A9"/>
    <w:rsid w:val="22FC38F4"/>
    <w:rsid w:val="239D70AC"/>
    <w:rsid w:val="23EC366B"/>
    <w:rsid w:val="24D928EF"/>
    <w:rsid w:val="26DE2187"/>
    <w:rsid w:val="274F6324"/>
    <w:rsid w:val="2796077F"/>
    <w:rsid w:val="27E710E0"/>
    <w:rsid w:val="27FB3DD4"/>
    <w:rsid w:val="286639CB"/>
    <w:rsid w:val="28B409B4"/>
    <w:rsid w:val="28CF5004"/>
    <w:rsid w:val="29F660E8"/>
    <w:rsid w:val="2A8433D1"/>
    <w:rsid w:val="2B390481"/>
    <w:rsid w:val="2B8B4E32"/>
    <w:rsid w:val="2B902B6D"/>
    <w:rsid w:val="2BFF2EB9"/>
    <w:rsid w:val="2C815051"/>
    <w:rsid w:val="2CD94E8D"/>
    <w:rsid w:val="2E9FE4D4"/>
    <w:rsid w:val="2F0B586F"/>
    <w:rsid w:val="2FD9510C"/>
    <w:rsid w:val="2FFD5A14"/>
    <w:rsid w:val="30302A3D"/>
    <w:rsid w:val="312B2407"/>
    <w:rsid w:val="31C72C5F"/>
    <w:rsid w:val="33260700"/>
    <w:rsid w:val="3341553A"/>
    <w:rsid w:val="338B992F"/>
    <w:rsid w:val="36154E14"/>
    <w:rsid w:val="368D2C2A"/>
    <w:rsid w:val="37CD5E31"/>
    <w:rsid w:val="37DB2E2A"/>
    <w:rsid w:val="37E76FAD"/>
    <w:rsid w:val="38907383"/>
    <w:rsid w:val="38FBA592"/>
    <w:rsid w:val="39F03534"/>
    <w:rsid w:val="3AC6527A"/>
    <w:rsid w:val="3B8E4CC3"/>
    <w:rsid w:val="3B96663F"/>
    <w:rsid w:val="3BF6AE95"/>
    <w:rsid w:val="3C587C0F"/>
    <w:rsid w:val="3CCD6091"/>
    <w:rsid w:val="3D410671"/>
    <w:rsid w:val="3DF7E675"/>
    <w:rsid w:val="3E4811F1"/>
    <w:rsid w:val="3E9D9772"/>
    <w:rsid w:val="3EFB6A75"/>
    <w:rsid w:val="3F311A75"/>
    <w:rsid w:val="3F846E42"/>
    <w:rsid w:val="3FA56A1C"/>
    <w:rsid w:val="3FF5FAC9"/>
    <w:rsid w:val="3FF714F8"/>
    <w:rsid w:val="421B7E09"/>
    <w:rsid w:val="43236033"/>
    <w:rsid w:val="44C71617"/>
    <w:rsid w:val="44CD2D65"/>
    <w:rsid w:val="453E3FCF"/>
    <w:rsid w:val="45464A34"/>
    <w:rsid w:val="456F8311"/>
    <w:rsid w:val="45A51959"/>
    <w:rsid w:val="45B96D3D"/>
    <w:rsid w:val="45D10A88"/>
    <w:rsid w:val="46FBCABD"/>
    <w:rsid w:val="47544B14"/>
    <w:rsid w:val="48174852"/>
    <w:rsid w:val="48425B85"/>
    <w:rsid w:val="4A6C495C"/>
    <w:rsid w:val="4B1F03FF"/>
    <w:rsid w:val="4B2A63DE"/>
    <w:rsid w:val="4B3E5972"/>
    <w:rsid w:val="4B5F4A44"/>
    <w:rsid w:val="4BDC5DA6"/>
    <w:rsid w:val="4C86669B"/>
    <w:rsid w:val="4CF55AA3"/>
    <w:rsid w:val="4D102FCE"/>
    <w:rsid w:val="4D635A3A"/>
    <w:rsid w:val="4E5A1A99"/>
    <w:rsid w:val="4E672A0B"/>
    <w:rsid w:val="4EC05A55"/>
    <w:rsid w:val="4EFD7BD5"/>
    <w:rsid w:val="4FDD6961"/>
    <w:rsid w:val="4FFE6835"/>
    <w:rsid w:val="50112D4A"/>
    <w:rsid w:val="50252009"/>
    <w:rsid w:val="50672AE4"/>
    <w:rsid w:val="50ED5210"/>
    <w:rsid w:val="50F648E0"/>
    <w:rsid w:val="51CB2D0E"/>
    <w:rsid w:val="521E3449"/>
    <w:rsid w:val="52276286"/>
    <w:rsid w:val="541B7A0B"/>
    <w:rsid w:val="546D92D7"/>
    <w:rsid w:val="546F3D1B"/>
    <w:rsid w:val="54982858"/>
    <w:rsid w:val="54C87412"/>
    <w:rsid w:val="5518180C"/>
    <w:rsid w:val="55FB2BF2"/>
    <w:rsid w:val="56FC8311"/>
    <w:rsid w:val="57B7F914"/>
    <w:rsid w:val="58F702C5"/>
    <w:rsid w:val="58FB06AB"/>
    <w:rsid w:val="59443DCF"/>
    <w:rsid w:val="59EF6693"/>
    <w:rsid w:val="5AFF146A"/>
    <w:rsid w:val="5B277F80"/>
    <w:rsid w:val="5BBCB736"/>
    <w:rsid w:val="5BFEBA85"/>
    <w:rsid w:val="5C817D43"/>
    <w:rsid w:val="5CEE6856"/>
    <w:rsid w:val="5CF94DB1"/>
    <w:rsid w:val="5CFFD701"/>
    <w:rsid w:val="5D9562FF"/>
    <w:rsid w:val="5DDE53C2"/>
    <w:rsid w:val="5DFF033D"/>
    <w:rsid w:val="5ED5D92D"/>
    <w:rsid w:val="5EF9E95C"/>
    <w:rsid w:val="5F26D6E2"/>
    <w:rsid w:val="5F6DB895"/>
    <w:rsid w:val="5F780537"/>
    <w:rsid w:val="5F95D1DB"/>
    <w:rsid w:val="5FB77F26"/>
    <w:rsid w:val="5FB78EB1"/>
    <w:rsid w:val="5FBBD8A1"/>
    <w:rsid w:val="5FC1162D"/>
    <w:rsid w:val="5FCF3164"/>
    <w:rsid w:val="5FDFE729"/>
    <w:rsid w:val="5FFB7A54"/>
    <w:rsid w:val="605E35A7"/>
    <w:rsid w:val="6191009E"/>
    <w:rsid w:val="635A36BE"/>
    <w:rsid w:val="63EA54D1"/>
    <w:rsid w:val="654B8994"/>
    <w:rsid w:val="65DFF07A"/>
    <w:rsid w:val="674F8E90"/>
    <w:rsid w:val="676F5951"/>
    <w:rsid w:val="680C3CA9"/>
    <w:rsid w:val="6994390F"/>
    <w:rsid w:val="699F4A31"/>
    <w:rsid w:val="69FF4E3A"/>
    <w:rsid w:val="6A9B1582"/>
    <w:rsid w:val="6AA35B99"/>
    <w:rsid w:val="6BBFC769"/>
    <w:rsid w:val="6BE7C59D"/>
    <w:rsid w:val="6D2E042E"/>
    <w:rsid w:val="6E223812"/>
    <w:rsid w:val="6E3D61FD"/>
    <w:rsid w:val="6F122E4B"/>
    <w:rsid w:val="6FE5D38B"/>
    <w:rsid w:val="6FE71A65"/>
    <w:rsid w:val="6FEF749B"/>
    <w:rsid w:val="70C67CB8"/>
    <w:rsid w:val="70F225AC"/>
    <w:rsid w:val="712B442D"/>
    <w:rsid w:val="715674E5"/>
    <w:rsid w:val="726A2B3A"/>
    <w:rsid w:val="73003212"/>
    <w:rsid w:val="73BF9919"/>
    <w:rsid w:val="73F25E01"/>
    <w:rsid w:val="73F268D4"/>
    <w:rsid w:val="73FB0979"/>
    <w:rsid w:val="73FF7B65"/>
    <w:rsid w:val="747B19B8"/>
    <w:rsid w:val="74D5E22F"/>
    <w:rsid w:val="74E37262"/>
    <w:rsid w:val="75EFA1F2"/>
    <w:rsid w:val="766DC6DD"/>
    <w:rsid w:val="76FDB245"/>
    <w:rsid w:val="76FEB23B"/>
    <w:rsid w:val="771F1BD1"/>
    <w:rsid w:val="7737BFC0"/>
    <w:rsid w:val="77771092"/>
    <w:rsid w:val="77ABC291"/>
    <w:rsid w:val="77BC962A"/>
    <w:rsid w:val="77BFD8A7"/>
    <w:rsid w:val="77DF209E"/>
    <w:rsid w:val="77EE18CE"/>
    <w:rsid w:val="77FFB8BA"/>
    <w:rsid w:val="7831493E"/>
    <w:rsid w:val="786B5714"/>
    <w:rsid w:val="78B74F24"/>
    <w:rsid w:val="78C7075E"/>
    <w:rsid w:val="7A794B87"/>
    <w:rsid w:val="7AAE440C"/>
    <w:rsid w:val="7B06747B"/>
    <w:rsid w:val="7B1B3E90"/>
    <w:rsid w:val="7B7D7929"/>
    <w:rsid w:val="7BD515A5"/>
    <w:rsid w:val="7BFF3365"/>
    <w:rsid w:val="7CFD0713"/>
    <w:rsid w:val="7D539B7A"/>
    <w:rsid w:val="7D6FC610"/>
    <w:rsid w:val="7D7B333F"/>
    <w:rsid w:val="7DD95E84"/>
    <w:rsid w:val="7DE7B5EC"/>
    <w:rsid w:val="7DEFC5DD"/>
    <w:rsid w:val="7DF424D6"/>
    <w:rsid w:val="7DF5E2D2"/>
    <w:rsid w:val="7DFF7BDC"/>
    <w:rsid w:val="7E8D719D"/>
    <w:rsid w:val="7EBC482C"/>
    <w:rsid w:val="7EC42148"/>
    <w:rsid w:val="7F6BF27F"/>
    <w:rsid w:val="7F6DD8C6"/>
    <w:rsid w:val="7F7BDE04"/>
    <w:rsid w:val="7F7E471C"/>
    <w:rsid w:val="7F7F7AFD"/>
    <w:rsid w:val="7F7FABDA"/>
    <w:rsid w:val="7F9DD47E"/>
    <w:rsid w:val="7F9E5D93"/>
    <w:rsid w:val="7FAFCC36"/>
    <w:rsid w:val="7FAFDCD6"/>
    <w:rsid w:val="7FBB1B0A"/>
    <w:rsid w:val="7FCF6F61"/>
    <w:rsid w:val="7FD7116F"/>
    <w:rsid w:val="7FEBC45A"/>
    <w:rsid w:val="7FEDB70F"/>
    <w:rsid w:val="7FF3C4E5"/>
    <w:rsid w:val="7FF432FB"/>
    <w:rsid w:val="7FFD45D3"/>
    <w:rsid w:val="7FFDEAB8"/>
    <w:rsid w:val="87A36F80"/>
    <w:rsid w:val="8C9B514F"/>
    <w:rsid w:val="8FE85003"/>
    <w:rsid w:val="93EB4B09"/>
    <w:rsid w:val="A79D4190"/>
    <w:rsid w:val="A7FFA3E8"/>
    <w:rsid w:val="ABBFAFC7"/>
    <w:rsid w:val="ADE62E1C"/>
    <w:rsid w:val="AE2D0E35"/>
    <w:rsid w:val="B2FF1A50"/>
    <w:rsid w:val="B4F196B2"/>
    <w:rsid w:val="B7DF292D"/>
    <w:rsid w:val="B7ED0782"/>
    <w:rsid w:val="B89EF06C"/>
    <w:rsid w:val="B9F75390"/>
    <w:rsid w:val="BB9F67B3"/>
    <w:rsid w:val="BBFD6272"/>
    <w:rsid w:val="BDD8C8B3"/>
    <w:rsid w:val="BE418D97"/>
    <w:rsid w:val="BE7A3BA1"/>
    <w:rsid w:val="BE9B7448"/>
    <w:rsid w:val="BEB66513"/>
    <w:rsid w:val="BEB7508D"/>
    <w:rsid w:val="BF5E730C"/>
    <w:rsid w:val="BFBAA681"/>
    <w:rsid w:val="BFD77573"/>
    <w:rsid w:val="BFDF7893"/>
    <w:rsid w:val="BFDF9FA6"/>
    <w:rsid w:val="BFF7CA8E"/>
    <w:rsid w:val="BFFD29E2"/>
    <w:rsid w:val="BFFF26C9"/>
    <w:rsid w:val="C7725F38"/>
    <w:rsid w:val="C7F7AC2B"/>
    <w:rsid w:val="CC57079D"/>
    <w:rsid w:val="CF79D33F"/>
    <w:rsid w:val="CFE7CF66"/>
    <w:rsid w:val="CFFCFE28"/>
    <w:rsid w:val="D1DAFBDD"/>
    <w:rsid w:val="D3EF10F0"/>
    <w:rsid w:val="D758447D"/>
    <w:rsid w:val="D7D3EB95"/>
    <w:rsid w:val="D7F72CFD"/>
    <w:rsid w:val="D9BE9D3D"/>
    <w:rsid w:val="D9FB074A"/>
    <w:rsid w:val="DAED7311"/>
    <w:rsid w:val="DD94038D"/>
    <w:rsid w:val="DDFDBC3D"/>
    <w:rsid w:val="DECCB52F"/>
    <w:rsid w:val="DEE594BA"/>
    <w:rsid w:val="DEE67302"/>
    <w:rsid w:val="DEED3A6B"/>
    <w:rsid w:val="DF7B3794"/>
    <w:rsid w:val="DF7BA4E0"/>
    <w:rsid w:val="DF7F6B58"/>
    <w:rsid w:val="DFEF0A5D"/>
    <w:rsid w:val="DFF757F2"/>
    <w:rsid w:val="DFFD802C"/>
    <w:rsid w:val="DFFECC64"/>
    <w:rsid w:val="DFFF3ACB"/>
    <w:rsid w:val="E25FDE70"/>
    <w:rsid w:val="E6FF8C1E"/>
    <w:rsid w:val="E96F1BC8"/>
    <w:rsid w:val="E9E9284B"/>
    <w:rsid w:val="EAD3F734"/>
    <w:rsid w:val="EAFFE359"/>
    <w:rsid w:val="EB5D492F"/>
    <w:rsid w:val="EB7AF120"/>
    <w:rsid w:val="EB8F5FF4"/>
    <w:rsid w:val="EBFB527C"/>
    <w:rsid w:val="EBFF8144"/>
    <w:rsid w:val="ED291A29"/>
    <w:rsid w:val="EDFD3BDF"/>
    <w:rsid w:val="EE5F08DA"/>
    <w:rsid w:val="EF5DB056"/>
    <w:rsid w:val="EF6F5FCC"/>
    <w:rsid w:val="EFAFA130"/>
    <w:rsid w:val="EFBFF420"/>
    <w:rsid w:val="EFEF6299"/>
    <w:rsid w:val="EFFD660A"/>
    <w:rsid w:val="F23FC96E"/>
    <w:rsid w:val="F396E458"/>
    <w:rsid w:val="F4FF03EA"/>
    <w:rsid w:val="F4FFACA3"/>
    <w:rsid w:val="F5DEB304"/>
    <w:rsid w:val="F5EF8FB2"/>
    <w:rsid w:val="F5EFF442"/>
    <w:rsid w:val="F6ABA6AC"/>
    <w:rsid w:val="F77F2981"/>
    <w:rsid w:val="F7BF795D"/>
    <w:rsid w:val="F7D7A2B5"/>
    <w:rsid w:val="F7EED198"/>
    <w:rsid w:val="F7FABA54"/>
    <w:rsid w:val="F7FFAB2F"/>
    <w:rsid w:val="F8F1D1ED"/>
    <w:rsid w:val="F8F6C2BB"/>
    <w:rsid w:val="F97CD294"/>
    <w:rsid w:val="FAA7DE13"/>
    <w:rsid w:val="FAFEFD2A"/>
    <w:rsid w:val="FB3E8F10"/>
    <w:rsid w:val="FB5E33C1"/>
    <w:rsid w:val="FB7E4BB5"/>
    <w:rsid w:val="FBFD8617"/>
    <w:rsid w:val="FBFD9280"/>
    <w:rsid w:val="FCE77691"/>
    <w:rsid w:val="FCF5550D"/>
    <w:rsid w:val="FCFFC198"/>
    <w:rsid w:val="FCFFC846"/>
    <w:rsid w:val="FDF844EF"/>
    <w:rsid w:val="FDFF0781"/>
    <w:rsid w:val="FDFF4F3F"/>
    <w:rsid w:val="FDFFA043"/>
    <w:rsid w:val="FE6345FE"/>
    <w:rsid w:val="FEA50A88"/>
    <w:rsid w:val="FEB5C32E"/>
    <w:rsid w:val="FEDF4C0D"/>
    <w:rsid w:val="FF3D6D4D"/>
    <w:rsid w:val="FF6BD132"/>
    <w:rsid w:val="FF6DC239"/>
    <w:rsid w:val="FF6F1C4E"/>
    <w:rsid w:val="FF8F60CD"/>
    <w:rsid w:val="FF9F2F32"/>
    <w:rsid w:val="FFA94A85"/>
    <w:rsid w:val="FFBE8F9B"/>
    <w:rsid w:val="FFBF5E0C"/>
    <w:rsid w:val="FFCEBD0B"/>
    <w:rsid w:val="FFE77246"/>
    <w:rsid w:val="FFF394FB"/>
    <w:rsid w:val="FFFA9717"/>
    <w:rsid w:val="FFFE0F06"/>
    <w:rsid w:val="FFFFC1BB"/>
    <w:rsid w:val="FFFFD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after="220"/>
      <w:outlineLvl w:val="0"/>
    </w:pPr>
    <w:rPr>
      <w:rFonts w:ascii="Arial" w:hAnsi="Arial" w:eastAsia="微软雅黑" w:cs="Times New Roman"/>
      <w:b/>
      <w:bCs/>
      <w:kern w:val="44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before="120" w:after="120"/>
      <w:ind w:firstLine="0"/>
      <w:outlineLvl w:val="1"/>
    </w:pPr>
    <w:rPr>
      <w:rFonts w:eastAsia="黑体" w:cs="Times New Roman"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3142</Words>
  <Characters>3271</Characters>
  <Lines>83</Lines>
  <Paragraphs>23</Paragraphs>
  <TotalTime>6</TotalTime>
  <ScaleCrop>false</ScaleCrop>
  <LinksUpToDate>false</LinksUpToDate>
  <CharactersWithSpaces>3275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2026-04-01T09:10:00Z</dcterms:created>
  <dc:creator>cljunjun</dc:creator>
  <cp:lastModifiedBy>kylin</cp:lastModifiedBy>
  <cp:lastPrinted>2026-08-25T16:55:00Z</cp:lastPrinted>
  <dcterms:modified xsi:type="dcterms:W3CDTF">2026-10-20T16:58:52Z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7F4592F697C10B7FFD7AD56A3756C28F_43</vt:lpwstr>
  </property>
  <property fmtid="{D5CDD505-2E9C-101B-9397-08002B2CF9AE}" pid="4" name="KSOTemplateDocerSaveRecord">
    <vt:lpwstr>eyJoZGlkIjoiMzU1MTA2ZWE1ZDQ3NjU3NzBhZjcwODMxOWUyNTc3ODMiLCJ1c2VySWQiOiIxMzk5MDU4NTQifQ==</vt:lpwstr>
  </property>
</Properties>
</file>