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E8298">
      <w:pPr>
        <w:pStyle w:val="6"/>
        <w:spacing w:line="360" w:lineRule="auto"/>
        <w:ind w:left="0"/>
        <w:rPr>
          <w:rFonts w:hint="default" w:ascii="Times New Roman" w:hAnsi="Times New Roman"/>
          <w:sz w:val="32"/>
          <w:szCs w:val="32"/>
          <w:lang w:val="en-US" w:eastAsia="zh-CN"/>
        </w:rPr>
      </w:pPr>
      <w:r>
        <w:rPr>
          <w:rFonts w:hint="default" w:ascii="Times New Roman" w:hAnsi="Times New Roman"/>
          <w:sz w:val="32"/>
          <w:szCs w:val="32"/>
          <w:lang w:val="en-US" w:eastAsia="zh-CN"/>
        </w:rPr>
        <w:t>HNPR-2026-10014</w:t>
      </w:r>
    </w:p>
    <w:p w14:paraId="0A5D012E">
      <w:pPr>
        <w:spacing w:line="800" w:lineRule="exact"/>
        <w:rPr>
          <w:rFonts w:hint="default" w:ascii="Times New Roman" w:hAnsi="Times New Roman" w:cs="Times New Roman"/>
        </w:rPr>
      </w:pPr>
    </w:p>
    <w:p w14:paraId="2E5416BC">
      <w:pPr>
        <w:tabs>
          <w:tab w:val="left" w:pos="6708"/>
        </w:tabs>
        <w:ind w:right="-78" w:rightChars="-37"/>
        <w:jc w:val="center"/>
        <w:rPr>
          <w:rFonts w:hint="default" w:ascii="Times New Roman" w:hAnsi="Times New Roman" w:eastAsia="仿宋_GB2312" w:cs="Times New Roman"/>
          <w:sz w:val="32"/>
        </w:rPr>
      </w:pPr>
      <w:bookmarkStart w:id="0" w:name="_GoBack"/>
      <w:bookmarkEnd w:id="0"/>
      <w:r>
        <w:rPr>
          <w:rFonts w:hint="default" w:ascii="Times New Roman" w:hAnsi="Times New Roman" w:eastAsia="仿宋_GB2312" w:cs="Times New Roman"/>
          <w:sz w:val="32"/>
        </w:rPr>
        <w:t>湘财</w:t>
      </w:r>
      <w:r>
        <w:rPr>
          <w:rFonts w:hint="default" w:ascii="Times New Roman" w:hAnsi="Times New Roman" w:eastAsia="仿宋_GB2312" w:cs="Times New Roman"/>
          <w:sz w:val="32"/>
          <w:lang w:eastAsia="zh-CN"/>
        </w:rPr>
        <w:t>文</w:t>
      </w:r>
      <w:r>
        <w:rPr>
          <w:rFonts w:hint="default" w:ascii="Times New Roman" w:hAnsi="Times New Roman" w:eastAsia="仿宋_GB2312" w:cs="Times New Roman"/>
          <w:sz w:val="32"/>
        </w:rPr>
        <w:t>〔20</w:t>
      </w:r>
      <w:r>
        <w:rPr>
          <w:rFonts w:hint="default" w:ascii="Times New Roman" w:hAnsi="Times New Roman" w:eastAsia="仿宋_GB2312" w:cs="Times New Roman"/>
          <w:sz w:val="32"/>
          <w:lang w:val="en-US" w:eastAsia="zh-CN"/>
        </w:rPr>
        <w:t>26</w:t>
      </w:r>
      <w:r>
        <w:rPr>
          <w:rFonts w:hint="default" w:ascii="Times New Roman" w:hAnsi="Times New Roman" w:eastAsia="仿宋_GB2312" w:cs="Times New Roman"/>
          <w:sz w:val="32"/>
        </w:rPr>
        <w:t>〕</w:t>
      </w:r>
      <w:r>
        <w:rPr>
          <w:rFonts w:hint="default" w:ascii="Times New Roman" w:hAnsi="Times New Roman" w:eastAsia="仿宋_GB2312" w:cs="Times New Roman"/>
          <w:sz w:val="32"/>
          <w:lang w:val="en-US"/>
        </w:rPr>
        <w:t>19</w:t>
      </w:r>
      <w:r>
        <w:rPr>
          <w:rFonts w:hint="default" w:ascii="Times New Roman" w:hAnsi="Times New Roman" w:eastAsia="仿宋_GB2312" w:cs="Times New Roman"/>
          <w:sz w:val="32"/>
        </w:rPr>
        <w:t>号</w:t>
      </w:r>
    </w:p>
    <w:p w14:paraId="05273EEF">
      <w:pPr>
        <w:spacing w:line="900" w:lineRule="exact"/>
        <w:rPr>
          <w:rFonts w:hint="default" w:ascii="Times New Roman" w:hAnsi="Times New Roman" w:cs="Times New Roman"/>
        </w:rPr>
      </w:pPr>
    </w:p>
    <w:p w14:paraId="28130905">
      <w:pPr>
        <w:overflowPunct w:val="0"/>
        <w:autoSpaceDE w:val="0"/>
        <w:autoSpaceDN w:val="0"/>
        <w:adjustRightInd w:val="0"/>
        <w:snapToGrid w:val="0"/>
        <w:spacing w:line="660" w:lineRule="exact"/>
        <w:jc w:val="center"/>
        <w:rPr>
          <w:rFonts w:ascii="Times New Roman" w:hAnsi="Times New Roman" w:eastAsia="方正小标宋_GBK" w:cs="Times New Roman"/>
          <w:color w:val="auto"/>
          <w:spacing w:val="-8"/>
          <w:sz w:val="44"/>
          <w:highlight w:val="none"/>
          <w:lang w:val="en"/>
        </w:rPr>
      </w:pPr>
      <w:r>
        <w:rPr>
          <w:rFonts w:ascii="Times New Roman" w:hAnsi="Times New Roman" w:eastAsia="方正小标宋_GBK" w:cs="Times New Roman"/>
          <w:color w:val="auto"/>
          <w:spacing w:val="-8"/>
          <w:sz w:val="44"/>
          <w:highlight w:val="none"/>
        </w:rPr>
        <w:t>湖南省财政厅 湖南省</w:t>
      </w:r>
      <w:r>
        <w:rPr>
          <w:rFonts w:ascii="Times New Roman" w:hAnsi="Times New Roman" w:eastAsia="方正小标宋_GBK" w:cs="Times New Roman"/>
          <w:color w:val="auto"/>
          <w:spacing w:val="-8"/>
          <w:sz w:val="44"/>
          <w:highlight w:val="none"/>
          <w:lang w:val="en"/>
        </w:rPr>
        <w:t>文化</w:t>
      </w:r>
      <w:r>
        <w:rPr>
          <w:rFonts w:ascii="Times New Roman" w:hAnsi="Times New Roman" w:eastAsia="方正小标宋_GBK" w:cs="Times New Roman"/>
          <w:color w:val="auto"/>
          <w:spacing w:val="-8"/>
          <w:sz w:val="44"/>
          <w:highlight w:val="none"/>
        </w:rPr>
        <w:t>和</w:t>
      </w:r>
      <w:r>
        <w:rPr>
          <w:rFonts w:ascii="Times New Roman" w:hAnsi="Times New Roman" w:eastAsia="方正小标宋_GBK" w:cs="Times New Roman"/>
          <w:color w:val="auto"/>
          <w:spacing w:val="-8"/>
          <w:sz w:val="44"/>
          <w:highlight w:val="none"/>
          <w:lang w:val="en"/>
        </w:rPr>
        <w:t>旅游厅</w:t>
      </w:r>
    </w:p>
    <w:p w14:paraId="06337AF2">
      <w:pPr>
        <w:keepNext w:val="0"/>
        <w:keepLines w:val="0"/>
        <w:pageBreakBefore w:val="0"/>
        <w:widowControl/>
        <w:kinsoku/>
        <w:wordWrap/>
        <w:overflowPunct w:val="0"/>
        <w:topLinePunct w:val="0"/>
        <w:autoSpaceDE w:val="0"/>
        <w:autoSpaceDN w:val="0"/>
        <w:bidi w:val="0"/>
        <w:adjustRightInd w:val="0"/>
        <w:snapToGrid w:val="0"/>
        <w:spacing w:line="660" w:lineRule="exact"/>
        <w:jc w:val="center"/>
        <w:textAlignment w:val="auto"/>
        <w:rPr>
          <w:rFonts w:hint="default" w:ascii="Times New Roman" w:hAnsi="Times New Roman" w:eastAsia="方正小标宋简体" w:cs="Times New Roman"/>
          <w:color w:val="auto"/>
          <w:sz w:val="44"/>
          <w:szCs w:val="44"/>
          <w:highlight w:val="none"/>
        </w:rPr>
      </w:pPr>
      <w:r>
        <w:rPr>
          <w:rFonts w:ascii="Times New Roman" w:hAnsi="Times New Roman" w:eastAsia="方正小标宋_GBK" w:cs="Times New Roman"/>
          <w:color w:val="auto"/>
          <w:spacing w:val="-8"/>
          <w:sz w:val="44"/>
          <w:highlight w:val="none"/>
        </w:rPr>
        <w:t>关于印发《</w:t>
      </w:r>
      <w:r>
        <w:rPr>
          <w:rFonts w:hint="default" w:ascii="Times New Roman" w:hAnsi="Times New Roman" w:eastAsia="方正小标宋简体" w:cs="Times New Roman"/>
          <w:color w:val="auto"/>
          <w:sz w:val="44"/>
          <w:szCs w:val="44"/>
          <w:highlight w:val="none"/>
        </w:rPr>
        <w:t>湖南省文化旅游和文物保护</w:t>
      </w:r>
    </w:p>
    <w:p w14:paraId="5BDDD895">
      <w:pPr>
        <w:keepNext w:val="0"/>
        <w:keepLines w:val="0"/>
        <w:pageBreakBefore w:val="0"/>
        <w:widowControl/>
        <w:kinsoku/>
        <w:wordWrap/>
        <w:overflowPunct w:val="0"/>
        <w:topLinePunct w:val="0"/>
        <w:autoSpaceDE w:val="0"/>
        <w:autoSpaceDN w:val="0"/>
        <w:bidi w:val="0"/>
        <w:adjustRightInd w:val="0"/>
        <w:snapToGrid w:val="0"/>
        <w:spacing w:line="660" w:lineRule="exact"/>
        <w:jc w:val="center"/>
        <w:textAlignment w:val="auto"/>
        <w:rPr>
          <w:rFonts w:ascii="Times New Roman" w:hAnsi="Times New Roman" w:eastAsia="方正小标宋_GBK" w:cs="Times New Roman"/>
          <w:color w:val="auto"/>
          <w:spacing w:val="-8"/>
          <w:sz w:val="44"/>
          <w:highlight w:val="none"/>
        </w:rPr>
      </w:pPr>
      <w:r>
        <w:rPr>
          <w:rFonts w:hint="default" w:ascii="Times New Roman" w:hAnsi="Times New Roman" w:eastAsia="方正小标宋简体" w:cs="Times New Roman"/>
          <w:color w:val="auto"/>
          <w:sz w:val="44"/>
          <w:szCs w:val="44"/>
          <w:highlight w:val="none"/>
        </w:rPr>
        <w:t>专项资金管理办法</w:t>
      </w:r>
      <w:r>
        <w:rPr>
          <w:rFonts w:ascii="Times New Roman" w:hAnsi="Times New Roman" w:eastAsia="方正小标宋_GBK" w:cs="Times New Roman"/>
          <w:color w:val="auto"/>
          <w:spacing w:val="-8"/>
          <w:sz w:val="44"/>
          <w:highlight w:val="none"/>
        </w:rPr>
        <w:t>》的通知</w:t>
      </w:r>
    </w:p>
    <w:p w14:paraId="4B62AC98">
      <w:pPr>
        <w:overflowPunct w:val="0"/>
        <w:autoSpaceDE w:val="0"/>
        <w:autoSpaceDN w:val="0"/>
        <w:adjustRightInd w:val="0"/>
        <w:snapToGrid w:val="0"/>
        <w:spacing w:line="660" w:lineRule="exact"/>
        <w:ind w:firstLine="0" w:firstLineChars="0"/>
        <w:jc w:val="center"/>
        <w:rPr>
          <w:rFonts w:ascii="Times New Roman" w:hAnsi="Times New Roman" w:eastAsia="方正小标宋_GBK" w:cs="Times New Roman"/>
          <w:color w:val="auto"/>
          <w:spacing w:val="-8"/>
          <w:sz w:val="44"/>
          <w:highlight w:val="none"/>
        </w:rPr>
      </w:pPr>
    </w:p>
    <w:p w14:paraId="0E014899">
      <w:pPr>
        <w:overflowPunct w:val="0"/>
        <w:autoSpaceDE w:val="0"/>
        <w:autoSpaceDN w:val="0"/>
        <w:spacing w:line="660" w:lineRule="exact"/>
        <w:ind w:firstLine="0" w:firstLineChars="0"/>
        <w:rPr>
          <w:rFonts w:hint="default" w:ascii="Times New Roman" w:hAnsi="Times New Roman" w:eastAsia="仿宋_GB2312" w:cs="Times New Roman"/>
          <w:color w:val="auto"/>
          <w:sz w:val="32"/>
          <w:highlight w:val="none"/>
          <w:lang w:val="en"/>
        </w:rPr>
      </w:pPr>
      <w:r>
        <w:rPr>
          <w:rFonts w:hint="default" w:ascii="Times New Roman" w:hAnsi="Times New Roman" w:eastAsia="仿宋_GB2312" w:cs="Times New Roman"/>
          <w:color w:val="auto"/>
          <w:sz w:val="32"/>
          <w:highlight w:val="none"/>
          <w:lang w:val="en" w:eastAsia="zh-CN"/>
        </w:rPr>
        <w:t>各</w:t>
      </w:r>
      <w:r>
        <w:rPr>
          <w:rFonts w:hint="default" w:ascii="Times New Roman" w:hAnsi="Times New Roman" w:eastAsia="仿宋_GB2312" w:cs="Times New Roman"/>
          <w:color w:val="auto"/>
          <w:sz w:val="32"/>
          <w:highlight w:val="none"/>
          <w:lang w:val="en-US" w:eastAsia="zh-CN"/>
        </w:rPr>
        <w:t>省直有关单位，</w:t>
      </w:r>
      <w:r>
        <w:rPr>
          <w:rFonts w:hint="default" w:ascii="Times New Roman" w:hAnsi="Times New Roman" w:eastAsia="仿宋_GB2312" w:cs="Times New Roman"/>
          <w:color w:val="auto"/>
          <w:sz w:val="32"/>
          <w:highlight w:val="none"/>
          <w:lang w:val="en"/>
        </w:rPr>
        <w:t>各市州</w:t>
      </w:r>
      <w:r>
        <w:rPr>
          <w:rFonts w:hint="default" w:ascii="Times New Roman" w:hAnsi="Times New Roman" w:eastAsia="仿宋_GB2312" w:cs="Times New Roman"/>
          <w:color w:val="auto"/>
          <w:sz w:val="32"/>
          <w:highlight w:val="none"/>
          <w:lang w:val="en" w:eastAsia="zh-CN"/>
        </w:rPr>
        <w:t>、</w:t>
      </w:r>
      <w:r>
        <w:rPr>
          <w:rFonts w:hint="default" w:ascii="Times New Roman" w:hAnsi="Times New Roman" w:eastAsia="仿宋_GB2312" w:cs="Times New Roman"/>
          <w:color w:val="auto"/>
          <w:sz w:val="32"/>
          <w:highlight w:val="none"/>
          <w:lang w:val="en"/>
        </w:rPr>
        <w:t>省直管县财政局、文旅广</w:t>
      </w:r>
      <w:r>
        <w:rPr>
          <w:rFonts w:hint="default" w:ascii="Times New Roman" w:hAnsi="Times New Roman" w:eastAsia="仿宋_GB2312" w:cs="Times New Roman"/>
          <w:color w:val="auto"/>
          <w:sz w:val="32"/>
          <w:highlight w:val="none"/>
          <w:lang w:val="en" w:eastAsia="zh-CN"/>
        </w:rPr>
        <w:t>（体）</w:t>
      </w:r>
      <w:r>
        <w:rPr>
          <w:rFonts w:hint="default" w:ascii="Times New Roman" w:hAnsi="Times New Roman" w:eastAsia="仿宋_GB2312" w:cs="Times New Roman"/>
          <w:color w:val="auto"/>
          <w:sz w:val="32"/>
          <w:highlight w:val="none"/>
          <w:lang w:val="en"/>
        </w:rPr>
        <w:t>局：</w:t>
      </w:r>
    </w:p>
    <w:p w14:paraId="521DA643">
      <w:pPr>
        <w:overflowPunct w:val="0"/>
        <w:autoSpaceDE w:val="0"/>
        <w:autoSpaceDN w:val="0"/>
        <w:adjustRightInd/>
        <w:snapToGrid/>
        <w:spacing w:line="660" w:lineRule="exact"/>
        <w:ind w:firstLine="640" w:firstLineChars="200"/>
        <w:rPr>
          <w:rFonts w:hint="default" w:ascii="Times New Roman" w:hAnsi="Times New Roman" w:eastAsia="仿宋_GB2312" w:cs="Times New Roman"/>
          <w:color w:val="auto"/>
          <w:sz w:val="32"/>
          <w:szCs w:val="20"/>
          <w:highlight w:val="none"/>
          <w:lang w:val="en"/>
        </w:rPr>
      </w:pPr>
      <w:r>
        <w:rPr>
          <w:rFonts w:hint="default" w:ascii="Times New Roman" w:hAnsi="Times New Roman" w:eastAsia="仿宋_GB2312" w:cs="Times New Roman"/>
          <w:color w:val="auto"/>
          <w:sz w:val="32"/>
          <w:szCs w:val="20"/>
          <w:highlight w:val="none"/>
          <w:lang w:val="en"/>
        </w:rPr>
        <w:t>根据中央和省关于</w:t>
      </w:r>
      <w:r>
        <w:rPr>
          <w:rFonts w:hint="default" w:ascii="Times New Roman" w:hAnsi="Times New Roman" w:eastAsia="仿宋_GB2312" w:cs="Times New Roman"/>
          <w:color w:val="auto"/>
          <w:sz w:val="32"/>
          <w:szCs w:val="20"/>
          <w:highlight w:val="none"/>
          <w:lang w:val="en" w:eastAsia="zh-CN"/>
        </w:rPr>
        <w:t>资金管理相关文件精神和</w:t>
      </w:r>
      <w:r>
        <w:rPr>
          <w:rFonts w:hint="default" w:ascii="Times New Roman" w:hAnsi="Times New Roman" w:eastAsia="仿宋_GB2312" w:cs="Times New Roman"/>
          <w:color w:val="auto"/>
          <w:sz w:val="32"/>
          <w:szCs w:val="20"/>
          <w:highlight w:val="none"/>
          <w:lang w:val="en"/>
        </w:rPr>
        <w:t>全面</w:t>
      </w:r>
      <w:r>
        <w:rPr>
          <w:rFonts w:hint="default" w:ascii="Times New Roman" w:hAnsi="Times New Roman" w:eastAsia="仿宋_GB2312" w:cs="Times New Roman"/>
          <w:color w:val="auto"/>
          <w:sz w:val="32"/>
          <w:szCs w:val="20"/>
          <w:highlight w:val="none"/>
          <w:lang w:val="en" w:eastAsia="zh-CN"/>
        </w:rPr>
        <w:t>实</w:t>
      </w:r>
      <w:r>
        <w:rPr>
          <w:rFonts w:hint="default" w:ascii="Times New Roman" w:hAnsi="Times New Roman" w:eastAsia="仿宋_GB2312" w:cs="Times New Roman"/>
          <w:color w:val="auto"/>
          <w:sz w:val="32"/>
          <w:szCs w:val="20"/>
          <w:highlight w:val="none"/>
          <w:lang w:val="en"/>
        </w:rPr>
        <w:t>施预算绩效管理有关规定，</w:t>
      </w:r>
      <w:r>
        <w:rPr>
          <w:rFonts w:hint="default" w:ascii="Times New Roman" w:hAnsi="Times New Roman" w:eastAsia="仿宋_GB2312" w:cs="Times New Roman"/>
          <w:color w:val="auto"/>
          <w:sz w:val="32"/>
          <w:szCs w:val="20"/>
          <w:highlight w:val="none"/>
          <w:lang w:val="en" w:eastAsia="zh-CN"/>
        </w:rPr>
        <w:t>为规范和加强我省文化旅游和文物保护专项资金管理和使用，</w:t>
      </w:r>
      <w:r>
        <w:rPr>
          <w:rFonts w:hint="default" w:ascii="Times New Roman" w:hAnsi="Times New Roman" w:eastAsia="仿宋_GB2312" w:cs="Times New Roman"/>
          <w:color w:val="auto"/>
          <w:sz w:val="32"/>
          <w:szCs w:val="20"/>
          <w:highlight w:val="none"/>
          <w:lang w:val="en"/>
        </w:rPr>
        <w:t>我们修订了</w:t>
      </w:r>
      <w:r>
        <w:rPr>
          <w:rFonts w:hint="default" w:ascii="Times New Roman" w:hAnsi="Times New Roman" w:eastAsia="仿宋_GB2312" w:cs="Times New Roman"/>
          <w:color w:val="auto"/>
          <w:spacing w:val="0"/>
          <w:sz w:val="32"/>
          <w:szCs w:val="20"/>
          <w:highlight w:val="none"/>
          <w:lang w:val="en"/>
        </w:rPr>
        <w:t>《</w:t>
      </w:r>
      <w:r>
        <w:rPr>
          <w:rFonts w:hint="default" w:ascii="Times New Roman" w:hAnsi="Times New Roman" w:eastAsia="仿宋_GB2312" w:cs="Times New Roman"/>
          <w:b w:val="0"/>
          <w:color w:val="auto"/>
          <w:spacing w:val="0"/>
          <w:sz w:val="32"/>
          <w:szCs w:val="32"/>
          <w:highlight w:val="none"/>
        </w:rPr>
        <w:t>湖南省</w:t>
      </w:r>
      <w:r>
        <w:rPr>
          <w:rFonts w:hint="default" w:ascii="Times New Roman" w:hAnsi="Times New Roman" w:eastAsia="仿宋_GB2312" w:cs="Times New Roman"/>
          <w:b w:val="0"/>
          <w:color w:val="auto"/>
          <w:spacing w:val="0"/>
          <w:sz w:val="32"/>
          <w:szCs w:val="32"/>
          <w:highlight w:val="none"/>
          <w:lang w:eastAsia="zh-CN"/>
        </w:rPr>
        <w:t>文化旅游和文物保护专项资金管理</w:t>
      </w:r>
      <w:r>
        <w:rPr>
          <w:rFonts w:hint="default" w:ascii="Times New Roman" w:hAnsi="Times New Roman" w:eastAsia="仿宋_GB2312" w:cs="Times New Roman"/>
          <w:b w:val="0"/>
          <w:color w:val="auto"/>
          <w:spacing w:val="0"/>
          <w:sz w:val="32"/>
          <w:szCs w:val="32"/>
          <w:highlight w:val="none"/>
        </w:rPr>
        <w:t>办法</w:t>
      </w:r>
      <w:r>
        <w:rPr>
          <w:rFonts w:hint="default" w:ascii="Times New Roman" w:hAnsi="Times New Roman" w:eastAsia="仿宋_GB2312" w:cs="Times New Roman"/>
          <w:color w:val="auto"/>
          <w:spacing w:val="0"/>
          <w:sz w:val="32"/>
          <w:szCs w:val="20"/>
          <w:highlight w:val="none"/>
          <w:lang w:val="en"/>
        </w:rPr>
        <w:t>》</w:t>
      </w:r>
      <w:r>
        <w:rPr>
          <w:rFonts w:hint="default" w:ascii="Times New Roman" w:hAnsi="Times New Roman" w:eastAsia="仿宋_GB2312" w:cs="Times New Roman"/>
          <w:color w:val="auto"/>
          <w:sz w:val="32"/>
          <w:szCs w:val="20"/>
          <w:highlight w:val="none"/>
          <w:lang w:val="en"/>
        </w:rPr>
        <w:t>，现予印发，请遵照执行。</w:t>
      </w:r>
    </w:p>
    <w:p w14:paraId="13EF6841">
      <w:pPr>
        <w:overflowPunct w:val="0"/>
        <w:autoSpaceDE/>
        <w:autoSpaceDN/>
        <w:adjustRightInd/>
        <w:snapToGrid/>
        <w:spacing w:line="660" w:lineRule="exact"/>
        <w:ind w:firstLine="0" w:firstLineChars="0"/>
        <w:rPr>
          <w:rFonts w:hint="default" w:ascii="Times New Roman" w:hAnsi="Times New Roman" w:eastAsia="仿宋_GB2312" w:cs="Times New Roman"/>
          <w:color w:val="auto"/>
          <w:sz w:val="32"/>
          <w:szCs w:val="20"/>
          <w:highlight w:val="none"/>
          <w:lang w:val="en"/>
        </w:rPr>
      </w:pPr>
    </w:p>
    <w:p w14:paraId="3F186183">
      <w:pPr>
        <w:overflowPunct w:val="0"/>
        <w:autoSpaceDE/>
        <w:autoSpaceDN/>
        <w:spacing w:line="66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附件：</w:t>
      </w:r>
      <w:r>
        <w:rPr>
          <w:rFonts w:hint="default" w:ascii="Times New Roman" w:hAnsi="Times New Roman" w:eastAsia="仿宋_GB2312" w:cs="Times New Roman"/>
          <w:b w:val="0"/>
          <w:color w:val="auto"/>
          <w:spacing w:val="0"/>
          <w:sz w:val="32"/>
          <w:szCs w:val="32"/>
          <w:highlight w:val="none"/>
        </w:rPr>
        <w:t>湖南省</w:t>
      </w:r>
      <w:r>
        <w:rPr>
          <w:rFonts w:hint="default" w:ascii="Times New Roman" w:hAnsi="Times New Roman" w:eastAsia="仿宋_GB2312" w:cs="Times New Roman"/>
          <w:b w:val="0"/>
          <w:color w:val="auto"/>
          <w:spacing w:val="0"/>
          <w:sz w:val="32"/>
          <w:szCs w:val="32"/>
          <w:highlight w:val="none"/>
          <w:lang w:eastAsia="zh-CN"/>
        </w:rPr>
        <w:t>文化旅游</w:t>
      </w:r>
      <w:r>
        <w:rPr>
          <w:rFonts w:hint="default" w:ascii="Times New Roman" w:hAnsi="Times New Roman" w:eastAsia="仿宋_GB2312" w:cs="Times New Roman"/>
          <w:b w:val="0"/>
          <w:color w:val="auto"/>
          <w:spacing w:val="0"/>
          <w:sz w:val="32"/>
          <w:szCs w:val="32"/>
          <w:highlight w:val="none"/>
          <w:lang w:eastAsia="zh-CN"/>
        </w:rPr>
        <w:t>和文物保护</w:t>
      </w:r>
      <w:r>
        <w:rPr>
          <w:rFonts w:hint="default" w:ascii="Times New Roman" w:hAnsi="Times New Roman" w:eastAsia="仿宋_GB2312" w:cs="Times New Roman"/>
          <w:b w:val="0"/>
          <w:color w:val="auto"/>
          <w:spacing w:val="0"/>
          <w:sz w:val="32"/>
          <w:szCs w:val="32"/>
          <w:highlight w:val="none"/>
          <w:lang w:eastAsia="zh-CN"/>
        </w:rPr>
        <w:t>专项资金管理</w:t>
      </w:r>
      <w:r>
        <w:rPr>
          <w:rFonts w:hint="default" w:ascii="Times New Roman" w:hAnsi="Times New Roman" w:eastAsia="仿宋_GB2312" w:cs="Times New Roman"/>
          <w:b w:val="0"/>
          <w:color w:val="auto"/>
          <w:spacing w:val="0"/>
          <w:sz w:val="32"/>
          <w:szCs w:val="32"/>
          <w:highlight w:val="none"/>
        </w:rPr>
        <w:t>办法</w:t>
      </w:r>
    </w:p>
    <w:p w14:paraId="4463B513">
      <w:pPr>
        <w:overflowPunct w:val="0"/>
        <w:autoSpaceDE/>
        <w:autoSpaceDN/>
        <w:spacing w:line="660" w:lineRule="exact"/>
        <w:rPr>
          <w:rFonts w:hint="default" w:ascii="Times New Roman" w:hAnsi="Times New Roman" w:eastAsia="仿宋_GB2312" w:cs="Times New Roman"/>
          <w:color w:val="auto"/>
          <w:sz w:val="32"/>
          <w:highlight w:val="none"/>
        </w:rPr>
      </w:pPr>
    </w:p>
    <w:p w14:paraId="0886FA7C">
      <w:pPr>
        <w:overflowPunct w:val="0"/>
        <w:autoSpaceDE/>
        <w:autoSpaceDN/>
        <w:spacing w:line="660" w:lineRule="exact"/>
        <w:rPr>
          <w:rFonts w:hint="default" w:ascii="Times New Roman" w:hAnsi="Times New Roman" w:eastAsia="仿宋_GB2312" w:cs="Times New Roman"/>
          <w:color w:val="auto"/>
          <w:sz w:val="32"/>
          <w:highlight w:val="none"/>
        </w:rPr>
      </w:pPr>
    </w:p>
    <w:p w14:paraId="11AE0177">
      <w:pPr>
        <w:overflowPunct w:val="0"/>
        <w:autoSpaceDE/>
        <w:autoSpaceDN/>
        <w:spacing w:line="660" w:lineRule="exact"/>
        <w:jc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 xml:space="preserve">湖南省财政厅      </w:t>
      </w:r>
      <w:r>
        <w:rPr>
          <w:rFonts w:hint="default" w:ascii="Times New Roman" w:hAnsi="Times New Roman" w:eastAsia="仿宋_GB2312" w:cs="Times New Roman"/>
          <w:color w:val="auto"/>
          <w:sz w:val="32"/>
          <w:highlight w:val="none"/>
          <w:lang w:val="en-US"/>
        </w:rPr>
        <w:t xml:space="preserve">  </w:t>
      </w:r>
      <w:r>
        <w:rPr>
          <w:rFonts w:hint="default" w:ascii="Times New Roman" w:hAnsi="Times New Roman" w:eastAsia="仿宋_GB2312" w:cs="Times New Roman"/>
          <w:color w:val="auto"/>
          <w:sz w:val="32"/>
          <w:highlight w:val="none"/>
        </w:rPr>
        <w:t xml:space="preserve">  </w:t>
      </w:r>
      <w:r>
        <w:rPr>
          <w:rFonts w:hint="default" w:ascii="Times New Roman" w:hAnsi="Times New Roman" w:eastAsia="仿宋_GB2312" w:cs="Times New Roman"/>
          <w:color w:val="auto"/>
          <w:sz w:val="32"/>
          <w:highlight w:val="none"/>
          <w:lang w:val="en-US"/>
        </w:rPr>
        <w:t xml:space="preserve">    </w:t>
      </w:r>
      <w:r>
        <w:rPr>
          <w:rFonts w:hint="default" w:ascii="Times New Roman" w:hAnsi="Times New Roman" w:eastAsia="仿宋_GB2312" w:cs="Times New Roman"/>
          <w:color w:val="auto"/>
          <w:sz w:val="32"/>
          <w:highlight w:val="none"/>
        </w:rPr>
        <w:t xml:space="preserve">    湖南省文化</w:t>
      </w:r>
      <w:r>
        <w:rPr>
          <w:rFonts w:hint="default" w:ascii="Times New Roman" w:hAnsi="Times New Roman" w:eastAsia="仿宋_GB2312" w:cs="Times New Roman"/>
          <w:color w:val="auto"/>
          <w:sz w:val="32"/>
          <w:highlight w:val="none"/>
          <w:lang w:eastAsia="zh-CN"/>
        </w:rPr>
        <w:t>和旅游</w:t>
      </w:r>
      <w:r>
        <w:rPr>
          <w:rFonts w:hint="default" w:ascii="Times New Roman" w:hAnsi="Times New Roman" w:eastAsia="仿宋_GB2312" w:cs="Times New Roman"/>
          <w:color w:val="auto"/>
          <w:sz w:val="32"/>
          <w:highlight w:val="none"/>
        </w:rPr>
        <w:t>厅</w:t>
      </w:r>
    </w:p>
    <w:p w14:paraId="6D10CE2A">
      <w:pPr>
        <w:overflowPunct w:val="0"/>
        <w:autoSpaceDE/>
        <w:autoSpaceDN/>
        <w:spacing w:line="660" w:lineRule="exact"/>
        <w:ind w:firstLine="720" w:firstLineChars="225"/>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 xml:space="preserve">                </w:t>
      </w:r>
      <w:r>
        <w:rPr>
          <w:rFonts w:hint="default" w:ascii="Times New Roman" w:hAnsi="Times New Roman" w:eastAsia="仿宋_GB2312" w:cs="Times New Roman"/>
          <w:color w:val="auto"/>
          <w:sz w:val="32"/>
          <w:highlight w:val="none"/>
          <w:lang w:val="en-US"/>
        </w:rPr>
        <w:t xml:space="preserve"> </w:t>
      </w:r>
      <w:r>
        <w:rPr>
          <w:rFonts w:hint="default" w:ascii="Times New Roman" w:hAnsi="Times New Roman" w:eastAsia="仿宋_GB2312" w:cs="Times New Roman"/>
          <w:color w:val="auto"/>
          <w:sz w:val="32"/>
          <w:highlight w:val="none"/>
        </w:rPr>
        <w:t xml:space="preserve">   </w:t>
      </w:r>
      <w:r>
        <w:rPr>
          <w:rFonts w:hint="default" w:ascii="Times New Roman" w:hAnsi="Times New Roman" w:eastAsia="仿宋_GB2312" w:cs="Times New Roman"/>
          <w:color w:val="auto"/>
          <w:sz w:val="32"/>
          <w:highlight w:val="none"/>
          <w:lang w:val="en-US"/>
        </w:rPr>
        <w:t xml:space="preserve">   </w:t>
      </w:r>
      <w:r>
        <w:rPr>
          <w:rFonts w:hint="default" w:ascii="Times New Roman" w:hAnsi="Times New Roman" w:eastAsia="仿宋_GB2312" w:cs="Times New Roman"/>
          <w:color w:val="auto"/>
          <w:sz w:val="32"/>
          <w:highlight w:val="none"/>
        </w:rPr>
        <w:t xml:space="preserve">       20</w:t>
      </w:r>
      <w:r>
        <w:rPr>
          <w:rFonts w:hint="default" w:ascii="Times New Roman" w:hAnsi="Times New Roman" w:eastAsia="仿宋_GB2312" w:cs="Times New Roman"/>
          <w:color w:val="auto"/>
          <w:sz w:val="32"/>
          <w:highlight w:val="none"/>
          <w:lang w:val="en-US" w:eastAsia="zh-CN"/>
        </w:rPr>
        <w:t>2</w:t>
      </w:r>
      <w:r>
        <w:rPr>
          <w:rFonts w:hint="default" w:ascii="Times New Roman" w:hAnsi="Times New Roman" w:eastAsia="仿宋_GB2312" w:cs="Times New Roman"/>
          <w:color w:val="auto"/>
          <w:sz w:val="32"/>
          <w:highlight w:val="none"/>
          <w:lang w:val="en-US" w:eastAsia="zh-CN"/>
        </w:rPr>
        <w:t>6</w:t>
      </w:r>
      <w:r>
        <w:rPr>
          <w:rFonts w:hint="default" w:ascii="Times New Roman" w:hAnsi="Times New Roman" w:eastAsia="仿宋_GB2312" w:cs="Times New Roman"/>
          <w:color w:val="auto"/>
          <w:sz w:val="32"/>
          <w:highlight w:val="none"/>
        </w:rPr>
        <w:t>年</w:t>
      </w:r>
      <w:r>
        <w:rPr>
          <w:rFonts w:hint="default" w:ascii="Times New Roman" w:hAnsi="Times New Roman" w:eastAsia="仿宋_GB2312" w:cs="Times New Roman"/>
          <w:color w:val="auto"/>
          <w:sz w:val="32"/>
          <w:highlight w:val="none"/>
          <w:lang w:val="en-US" w:eastAsia="zh-CN"/>
        </w:rPr>
        <w:t>9</w:t>
      </w:r>
      <w:r>
        <w:rPr>
          <w:rFonts w:hint="default" w:ascii="Times New Roman" w:hAnsi="Times New Roman" w:eastAsia="仿宋_GB2312" w:cs="Times New Roman"/>
          <w:color w:val="auto"/>
          <w:sz w:val="32"/>
          <w:highlight w:val="none"/>
        </w:rPr>
        <w:t>月</w:t>
      </w:r>
      <w:r>
        <w:rPr>
          <w:rFonts w:hint="default" w:ascii="Times New Roman" w:hAnsi="Times New Roman" w:eastAsia="仿宋_GB2312" w:cs="Times New Roman"/>
          <w:color w:val="auto"/>
          <w:sz w:val="32"/>
          <w:highlight w:val="none"/>
          <w:lang w:val="en-US" w:eastAsia="zh-CN"/>
        </w:rPr>
        <w:t>23</w:t>
      </w:r>
      <w:r>
        <w:rPr>
          <w:rFonts w:hint="default" w:ascii="Times New Roman" w:hAnsi="Times New Roman" w:eastAsia="仿宋_GB2312" w:cs="Times New Roman"/>
          <w:color w:val="auto"/>
          <w:sz w:val="32"/>
          <w:highlight w:val="none"/>
        </w:rPr>
        <w:t>日</w:t>
      </w:r>
    </w:p>
    <w:p w14:paraId="75E74097">
      <w:pPr>
        <w:overflowPunct/>
        <w:autoSpaceDE/>
        <w:autoSpaceDN/>
        <w:spacing w:afterLines="-2147483648" w:line="240" w:lineRule="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br w:type="page"/>
      </w:r>
    </w:p>
    <w:p w14:paraId="775A0B21">
      <w:pPr>
        <w:overflowPunct w:val="0"/>
        <w:autoSpaceDE/>
        <w:autoSpaceDN/>
        <w:spacing w:afterLines="0" w:line="600" w:lineRule="exact"/>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附件</w:t>
      </w:r>
    </w:p>
    <w:p w14:paraId="4A5E509B">
      <w:pPr>
        <w:keepNext w:val="0"/>
        <w:keepLines w:val="0"/>
        <w:pageBreakBefore w:val="0"/>
        <w:widowControl w:val="0"/>
        <w:kinsoku/>
        <w:wordWrap/>
        <w:overflowPunct w:val="0"/>
        <w:topLinePunct w:val="0"/>
        <w:autoSpaceDE/>
        <w:autoSpaceDN/>
        <w:bidi w:val="0"/>
        <w:adjustRightInd/>
        <w:snapToGrid w:val="0"/>
        <w:spacing w:line="600" w:lineRule="exact"/>
        <w:jc w:val="both"/>
        <w:textAlignment w:val="auto"/>
        <w:rPr>
          <w:rFonts w:hint="default" w:ascii="Times New Roman" w:hAnsi="Times New Roman" w:eastAsia="方正小标宋简体" w:cs="Times New Roman"/>
          <w:color w:val="auto"/>
          <w:sz w:val="44"/>
          <w:szCs w:val="44"/>
          <w:highlight w:val="none"/>
        </w:rPr>
      </w:pPr>
    </w:p>
    <w:p w14:paraId="7D4693E7">
      <w:pPr>
        <w:keepNext w:val="0"/>
        <w:keepLines w:val="0"/>
        <w:pageBreakBefore w:val="0"/>
        <w:widowControl w:val="0"/>
        <w:kinsoku/>
        <w:wordWrap/>
        <w:overflowPunct w:val="0"/>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color w:val="auto"/>
          <w:sz w:val="40"/>
          <w:szCs w:val="40"/>
          <w:highlight w:val="none"/>
        </w:rPr>
      </w:pPr>
      <w:r>
        <w:rPr>
          <w:rFonts w:hint="default" w:ascii="Times New Roman" w:hAnsi="Times New Roman" w:eastAsia="方正小标宋简体" w:cs="Times New Roman"/>
          <w:color w:val="auto"/>
          <w:sz w:val="40"/>
          <w:szCs w:val="40"/>
          <w:highlight w:val="none"/>
        </w:rPr>
        <w:t>湖南省文化旅游和文物保护专项资金管理办法</w:t>
      </w:r>
    </w:p>
    <w:p w14:paraId="1AFBD57D">
      <w:pPr>
        <w:overflowPunct w:val="0"/>
        <w:snapToGrid w:val="0"/>
        <w:spacing w:line="600" w:lineRule="exact"/>
        <w:jc w:val="center"/>
        <w:rPr>
          <w:rFonts w:hint="default" w:ascii="Times New Roman" w:hAnsi="Times New Roman" w:eastAsia="仿宋_GB2312" w:cs="Times New Roman"/>
          <w:color w:val="auto"/>
          <w:sz w:val="32"/>
          <w:szCs w:val="32"/>
          <w:highlight w:val="none"/>
        </w:rPr>
      </w:pPr>
    </w:p>
    <w:p w14:paraId="4D32E54F">
      <w:pPr>
        <w:overflowPunct w:val="0"/>
        <w:autoSpaceDE/>
        <w:autoSpaceDN/>
        <w:adjustRightInd/>
        <w:snapToGrid w:val="0"/>
        <w:spacing w:before="157" w:beforeLines="50" w:after="313" w:afterLines="100" w:line="600" w:lineRule="exact"/>
        <w:jc w:val="center"/>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黑体" w:cs="Times New Roman"/>
          <w:color w:val="auto"/>
          <w:sz w:val="32"/>
          <w:szCs w:val="20"/>
          <w:highlight w:val="none"/>
          <w:lang w:val="en" w:eastAsia="zh-CN"/>
        </w:rPr>
        <w:t>第一章</w:t>
      </w:r>
      <w:r>
        <w:rPr>
          <w:rFonts w:hint="default" w:ascii="Times New Roman" w:hAnsi="Times New Roman" w:eastAsia="黑体" w:cs="Times New Roman"/>
          <w:color w:val="auto"/>
          <w:sz w:val="32"/>
          <w:szCs w:val="20"/>
          <w:highlight w:val="none"/>
          <w:lang w:val="en-US" w:eastAsia="zh-CN"/>
        </w:rPr>
        <w:t xml:space="preserve">  </w:t>
      </w:r>
      <w:r>
        <w:rPr>
          <w:rFonts w:hint="default" w:ascii="Times New Roman" w:hAnsi="Times New Roman" w:eastAsia="黑体" w:cs="Times New Roman"/>
          <w:color w:val="auto"/>
          <w:sz w:val="32"/>
          <w:szCs w:val="20"/>
          <w:highlight w:val="none"/>
          <w:lang w:val="en" w:eastAsia="zh-CN"/>
        </w:rPr>
        <w:t>总</w:t>
      </w:r>
      <w:r>
        <w:rPr>
          <w:rFonts w:hint="default" w:ascii="Times New Roman" w:hAnsi="Times New Roman" w:eastAsia="黑体" w:cs="Times New Roman"/>
          <w:color w:val="auto"/>
          <w:sz w:val="32"/>
          <w:szCs w:val="20"/>
          <w:highlight w:val="none"/>
          <w:lang w:val="en-US" w:eastAsia="zh-CN"/>
        </w:rPr>
        <w:t xml:space="preserve">  </w:t>
      </w:r>
      <w:r>
        <w:rPr>
          <w:rFonts w:hint="default" w:ascii="Times New Roman" w:hAnsi="Times New Roman" w:eastAsia="黑体" w:cs="Times New Roman"/>
          <w:color w:val="auto"/>
          <w:sz w:val="32"/>
          <w:szCs w:val="20"/>
          <w:highlight w:val="none"/>
          <w:lang w:val="en" w:eastAsia="zh-CN"/>
        </w:rPr>
        <w:t>则</w:t>
      </w:r>
    </w:p>
    <w:p w14:paraId="6769C963">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第一条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为规范和加强我省文化旅游和文物保护专项资金（以下简称专项资金）管理和使用，提高资金使用绩效，根据《中华人民共和国预算法》及其实施条例、《中华人民共和国公共文化服务保障法》《中华人民共和国旅游法》《中华人民共和国文物保护法》《湖南省文物保护条例》等法律法规，以及省级财政专项资金和预算管理的有关规定，结合我省文化旅游和文物保护工作实际，制定本办法。</w:t>
      </w:r>
    </w:p>
    <w:p w14:paraId="35EF9D71">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第二条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本办法所称专项资金，是指经省人民政府批准设立，由省级财政预算安排的资金。</w:t>
      </w:r>
    </w:p>
    <w:p w14:paraId="5707A7A3">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第三条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专项资金的分配、使用和管理应当贯彻落实</w:t>
      </w:r>
      <w:r>
        <w:rPr>
          <w:rFonts w:hint="default" w:ascii="Times New Roman" w:hAnsi="Times New Roman" w:eastAsia="仿宋_GB2312" w:cs="Times New Roman"/>
          <w:color w:val="auto"/>
          <w:sz w:val="32"/>
          <w:szCs w:val="20"/>
          <w:highlight w:val="none"/>
          <w:lang w:val="en" w:eastAsia="zh-CN"/>
        </w:rPr>
        <w:t>中央</w:t>
      </w:r>
      <w:r>
        <w:rPr>
          <w:rFonts w:hint="default" w:ascii="Times New Roman" w:hAnsi="Times New Roman" w:eastAsia="仿宋_GB2312" w:cs="Times New Roman"/>
          <w:color w:val="auto"/>
          <w:sz w:val="32"/>
          <w:szCs w:val="20"/>
          <w:highlight w:val="none"/>
          <w:lang w:val="en" w:eastAsia="zh-CN"/>
        </w:rPr>
        <w:t>决策部署</w:t>
      </w:r>
      <w:r>
        <w:rPr>
          <w:rFonts w:hint="default" w:ascii="Times New Roman" w:hAnsi="Times New Roman" w:eastAsia="仿宋_GB2312" w:cs="Times New Roman"/>
          <w:color w:val="auto"/>
          <w:sz w:val="32"/>
          <w:szCs w:val="20"/>
          <w:highlight w:val="none"/>
          <w:lang w:val="en" w:eastAsia="zh-CN"/>
        </w:rPr>
        <w:t>和省委省政府工作安排</w:t>
      </w: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符合国家和湖南省文化旅游和文物保护工作发展规划、政策，</w:t>
      </w:r>
      <w:r>
        <w:rPr>
          <w:rFonts w:hint="default" w:ascii="Times New Roman" w:hAnsi="Times New Roman" w:eastAsia="仿宋_GB2312" w:cs="Times New Roman"/>
          <w:color w:val="auto"/>
          <w:sz w:val="32"/>
          <w:szCs w:val="20"/>
          <w:highlight w:val="none"/>
          <w:lang w:val="en" w:eastAsia="zh-CN"/>
        </w:rPr>
        <w:t>严格执行财政预算管理有关规定</w:t>
      </w:r>
      <w:r>
        <w:rPr>
          <w:rFonts w:hint="default" w:ascii="Times New Roman" w:hAnsi="Times New Roman" w:eastAsia="仿宋_GB2312" w:cs="Times New Roman"/>
          <w:color w:val="auto"/>
          <w:sz w:val="32"/>
          <w:szCs w:val="20"/>
          <w:highlight w:val="none"/>
          <w:lang w:val="en-US" w:eastAsia="zh-CN"/>
        </w:rPr>
        <w:t>，坚持“规划先行、突出重点，以零为基、以事定钱，省级补助、分级负责，加强监督、注重绩效”。</w:t>
      </w:r>
    </w:p>
    <w:p w14:paraId="3E4BDB43">
      <w:pPr>
        <w:keepNext w:val="0"/>
        <w:keepLines w:val="0"/>
        <w:pageBreakBefore w:val="0"/>
        <w:widowControl w:val="0"/>
        <w:kinsoku/>
        <w:wordWrap/>
        <w:overflowPunct w:val="0"/>
        <w:topLinePunct w:val="0"/>
        <w:autoSpaceDE/>
        <w:autoSpaceDN/>
        <w:bidi w:val="0"/>
        <w:adjustRightInd/>
        <w:snapToGrid w:val="0"/>
        <w:spacing w:line="60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第四条</w:t>
      </w:r>
      <w:r>
        <w:rPr>
          <w:rFonts w:hint="default" w:ascii="Times New Roman" w:hAnsi="Times New Roman" w:eastAsia="仿宋_GB2312" w:cs="Times New Roman"/>
          <w:color w:val="auto"/>
          <w:sz w:val="32"/>
          <w:szCs w:val="20"/>
          <w:highlight w:val="none"/>
          <w:lang w:val="en-US" w:eastAsia="zh-CN"/>
        </w:rPr>
        <w:t xml:space="preserve">  专项资金按项目法和因素法进行分配。项目法分配</w:t>
      </w:r>
      <w:r>
        <w:rPr>
          <w:rFonts w:hint="default" w:ascii="Times New Roman" w:hAnsi="Times New Roman" w:eastAsia="仿宋_GB2312" w:cs="Times New Roman"/>
          <w:color w:val="auto"/>
          <w:sz w:val="32"/>
          <w:szCs w:val="20"/>
          <w:highlight w:val="none"/>
          <w:lang w:val="en" w:eastAsia="zh-CN"/>
        </w:rPr>
        <w:t>建立项目</w:t>
      </w:r>
      <w:r>
        <w:rPr>
          <w:rFonts w:hint="default" w:ascii="Times New Roman" w:hAnsi="Times New Roman" w:eastAsia="仿宋_GB2312" w:cs="Times New Roman"/>
          <w:color w:val="auto"/>
          <w:sz w:val="32"/>
          <w:szCs w:val="20"/>
          <w:highlight w:val="none"/>
          <w:lang w:val="en-US" w:eastAsia="zh-CN"/>
        </w:rPr>
        <w:t>储备</w:t>
      </w:r>
      <w:r>
        <w:rPr>
          <w:rFonts w:hint="default" w:ascii="Times New Roman" w:hAnsi="Times New Roman" w:eastAsia="仿宋_GB2312" w:cs="Times New Roman"/>
          <w:color w:val="auto"/>
          <w:sz w:val="32"/>
          <w:szCs w:val="20"/>
          <w:highlight w:val="none"/>
          <w:lang w:val="en" w:eastAsia="zh-CN"/>
        </w:rPr>
        <w:t>库管理机制，项目</w:t>
      </w:r>
      <w:r>
        <w:rPr>
          <w:rFonts w:hint="default" w:ascii="Times New Roman" w:hAnsi="Times New Roman" w:eastAsia="仿宋_GB2312" w:cs="Times New Roman"/>
          <w:color w:val="auto"/>
          <w:sz w:val="32"/>
          <w:szCs w:val="20"/>
          <w:highlight w:val="none"/>
          <w:lang w:val="en-US" w:eastAsia="zh-CN"/>
        </w:rPr>
        <w:t>储备</w:t>
      </w:r>
      <w:r>
        <w:rPr>
          <w:rFonts w:hint="default" w:ascii="Times New Roman" w:hAnsi="Times New Roman" w:eastAsia="仿宋_GB2312" w:cs="Times New Roman"/>
          <w:color w:val="auto"/>
          <w:sz w:val="32"/>
          <w:szCs w:val="20"/>
          <w:highlight w:val="none"/>
          <w:lang w:val="en" w:eastAsia="zh-CN"/>
        </w:rPr>
        <w:t>库实行动态管理。</w:t>
      </w:r>
      <w:r>
        <w:rPr>
          <w:rFonts w:hint="default" w:ascii="Times New Roman" w:hAnsi="Times New Roman" w:eastAsia="仿宋_GB2312" w:cs="Times New Roman"/>
          <w:color w:val="auto"/>
          <w:sz w:val="32"/>
          <w:szCs w:val="32"/>
          <w:highlight w:val="none"/>
          <w:lang w:val="en-US" w:eastAsia="zh-CN"/>
        </w:rPr>
        <w:t>因素法分配主要用于对市县的一般性补助，根据基本因素</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权重为30%，包含省级及以上文物保护单位数量、省级及以上非物质文化遗产代表性项目数量、国家等级旅游景区数量等</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、业务因素</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权重为40%，包含年度文物保护项目实施数量、非遗保护传承任务完成情况、文旅融合发展重点任务推进情况等</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和绩效因素</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权重为30%，包含上年度专项资金绩效评价结果、资金预算执行率等</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确定补助金额。</w:t>
      </w:r>
    </w:p>
    <w:p w14:paraId="61558C9E">
      <w:pPr>
        <w:keepNext w:val="0"/>
        <w:keepLines w:val="0"/>
        <w:pageBreakBefore w:val="0"/>
        <w:widowControl w:val="0"/>
        <w:kinsoku/>
        <w:wordWrap/>
        <w:overflowPunct w:val="0"/>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32"/>
          <w:highlight w:val="none"/>
          <w:lang w:val="en-US" w:eastAsia="zh-CN"/>
        </w:rPr>
        <w:t>省财政厅会同省文化和旅游厅、省文物局可根据年度工作重点对上述因素及权重作适当调整，并在年度项目申报通知中予以明确。</w:t>
      </w:r>
    </w:p>
    <w:p w14:paraId="2FFDF249">
      <w:pPr>
        <w:overflowPunct w:val="0"/>
        <w:autoSpaceDE/>
        <w:autoSpaceDN/>
        <w:adjustRightInd/>
        <w:snapToGrid w:val="0"/>
        <w:spacing w:before="313" w:beforeLines="100" w:after="313" w:afterLines="100" w:line="600" w:lineRule="exact"/>
        <w:jc w:val="center"/>
        <w:rPr>
          <w:rFonts w:hint="default" w:ascii="Times New Roman" w:hAnsi="Times New Roman" w:eastAsia="黑体" w:cs="Times New Roman"/>
          <w:color w:val="auto"/>
          <w:sz w:val="32"/>
          <w:szCs w:val="20"/>
          <w:highlight w:val="none"/>
          <w:lang w:val="en-US" w:eastAsia="zh-CN"/>
        </w:rPr>
      </w:pPr>
      <w:r>
        <w:rPr>
          <w:rFonts w:hint="default" w:ascii="Times New Roman" w:hAnsi="Times New Roman" w:eastAsia="黑体" w:cs="Times New Roman"/>
          <w:color w:val="auto"/>
          <w:sz w:val="32"/>
          <w:szCs w:val="20"/>
          <w:highlight w:val="none"/>
          <w:lang w:val="en-US" w:eastAsia="zh-CN"/>
        </w:rPr>
        <w:t>第二章  职责分工</w:t>
      </w:r>
    </w:p>
    <w:p w14:paraId="228553D8">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五</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专项资金由省财政厅和省文化和旅游厅、省文物局共同管理。各市州、县市区财政</w:t>
      </w:r>
      <w:r>
        <w:rPr>
          <w:rFonts w:hint="default" w:ascii="Times New Roman" w:hAnsi="Times New Roman" w:eastAsia="仿宋_GB2312" w:cs="Times New Roman"/>
          <w:color w:val="auto"/>
          <w:sz w:val="32"/>
          <w:szCs w:val="20"/>
          <w:highlight w:val="none"/>
          <w:lang w:val="en" w:eastAsia="zh-CN"/>
        </w:rPr>
        <w:t>及</w:t>
      </w:r>
      <w:r>
        <w:rPr>
          <w:rFonts w:hint="default" w:ascii="Times New Roman" w:hAnsi="Times New Roman" w:eastAsia="仿宋_GB2312" w:cs="Times New Roman"/>
          <w:color w:val="auto"/>
          <w:sz w:val="32"/>
          <w:szCs w:val="20"/>
          <w:highlight w:val="none"/>
          <w:lang w:val="en" w:eastAsia="zh-CN"/>
        </w:rPr>
        <w:t>文化和旅游、</w:t>
      </w:r>
      <w:r>
        <w:rPr>
          <w:rFonts w:hint="default" w:ascii="Times New Roman" w:hAnsi="Times New Roman" w:eastAsia="仿宋_GB2312" w:cs="Times New Roman"/>
          <w:color w:val="auto"/>
          <w:sz w:val="32"/>
          <w:szCs w:val="20"/>
          <w:highlight w:val="none"/>
          <w:lang w:val="en-US" w:eastAsia="zh-CN"/>
        </w:rPr>
        <w:t>文物</w:t>
      </w:r>
      <w:r>
        <w:rPr>
          <w:rFonts w:hint="default" w:ascii="Times New Roman" w:hAnsi="Times New Roman" w:eastAsia="仿宋_GB2312" w:cs="Times New Roman"/>
          <w:color w:val="auto"/>
          <w:sz w:val="32"/>
          <w:szCs w:val="20"/>
          <w:highlight w:val="none"/>
          <w:lang w:val="en" w:eastAsia="zh-CN"/>
        </w:rPr>
        <w:t>行政部门按职能分工各负其责，密切配合，协同做好专项资金的申报、使用和管理工作。</w:t>
      </w:r>
    </w:p>
    <w:p w14:paraId="43E4A84B">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六</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省财政厅主要管理职责</w:t>
      </w:r>
      <w:r>
        <w:rPr>
          <w:rFonts w:hint="default" w:ascii="Times New Roman" w:hAnsi="Times New Roman" w:eastAsia="仿宋_GB2312" w:cs="Times New Roman"/>
          <w:color w:val="auto"/>
          <w:sz w:val="32"/>
          <w:szCs w:val="20"/>
          <w:highlight w:val="none"/>
          <w:lang w:eastAsia="zh-CN"/>
        </w:rPr>
        <w:t>:</w:t>
      </w:r>
    </w:p>
    <w:p w14:paraId="4E3C5685">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（一）负责专项资金设立、调整和撤销等事项的审核工作，并按程序报省政府审批。</w:t>
      </w:r>
    </w:p>
    <w:p w14:paraId="1B37D1E4">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（二）会同省文化和旅游厅、省文物局制定和完善专项资金管理办法，规范专项资金管理。</w:t>
      </w:r>
    </w:p>
    <w:p w14:paraId="506F368B">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（三）会同省文化和旅游厅、省文物局按照年度专项资金预算，研究专项资金</w:t>
      </w:r>
      <w:r>
        <w:rPr>
          <w:rFonts w:hint="default" w:ascii="Times New Roman" w:hAnsi="Times New Roman" w:eastAsia="仿宋_GB2312" w:cs="Times New Roman"/>
          <w:color w:val="auto"/>
          <w:sz w:val="32"/>
          <w:szCs w:val="20"/>
          <w:highlight w:val="none"/>
          <w:lang w:val="en" w:eastAsia="zh-CN"/>
        </w:rPr>
        <w:t>拟</w:t>
      </w:r>
      <w:r>
        <w:rPr>
          <w:rFonts w:hint="default" w:ascii="Times New Roman" w:hAnsi="Times New Roman" w:eastAsia="仿宋_GB2312" w:cs="Times New Roman"/>
          <w:color w:val="auto"/>
          <w:sz w:val="32"/>
          <w:szCs w:val="20"/>
          <w:highlight w:val="none"/>
          <w:lang w:val="en" w:eastAsia="zh-CN"/>
        </w:rPr>
        <w:t>支持方案，按程序报批后下达专项资金。</w:t>
      </w:r>
    </w:p>
    <w:p w14:paraId="58AAC00E">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（四）会同省文化和旅游厅、省文物局对专项资金使用和项目实施情况进行监督和绩效管理。</w:t>
      </w:r>
    </w:p>
    <w:p w14:paraId="7ED6886C">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（五）法律、法规、规章规定的其他职责。</w:t>
      </w:r>
    </w:p>
    <w:p w14:paraId="223166BA">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七</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省文化和旅游厅、省文物局主要管理职责</w:t>
      </w:r>
      <w:r>
        <w:rPr>
          <w:rFonts w:hint="default" w:ascii="Times New Roman" w:hAnsi="Times New Roman" w:eastAsia="仿宋_GB2312" w:cs="Times New Roman"/>
          <w:color w:val="auto"/>
          <w:sz w:val="32"/>
          <w:szCs w:val="20"/>
          <w:highlight w:val="none"/>
          <w:lang w:eastAsia="zh-CN"/>
        </w:rPr>
        <w:t>:</w:t>
      </w:r>
    </w:p>
    <w:p w14:paraId="7359D628">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（一）会同省财政厅制定和完善专项资金管理办法，规范和完善专项资金管理流程。</w:t>
      </w:r>
    </w:p>
    <w:p w14:paraId="27A2C27C">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（二）会同省财政厅组织开展专项资金项目申报、审核、评审等工作，提出资金分配建议方案，会同省财政厅拟定、研究专项资金支持方案。</w:t>
      </w:r>
    </w:p>
    <w:p w14:paraId="04D929AF">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三</w:t>
      </w:r>
      <w:r>
        <w:rPr>
          <w:rFonts w:hint="default" w:ascii="Times New Roman" w:hAnsi="Times New Roman" w:eastAsia="仿宋_GB2312" w:cs="Times New Roman"/>
          <w:color w:val="auto"/>
          <w:sz w:val="32"/>
          <w:szCs w:val="20"/>
          <w:highlight w:val="none"/>
          <w:lang w:val="en" w:eastAsia="zh-CN"/>
        </w:rPr>
        <w:t>）建立专项资金项目库和项目评审专家库，并实行动态管理；建立健全项目</w:t>
      </w:r>
      <w:r>
        <w:rPr>
          <w:rFonts w:hint="default" w:ascii="Times New Roman" w:hAnsi="Times New Roman" w:eastAsia="仿宋_GB2312" w:cs="Times New Roman"/>
          <w:color w:val="auto"/>
          <w:sz w:val="32"/>
          <w:szCs w:val="20"/>
          <w:highlight w:val="none"/>
          <w:lang w:val="en-US" w:eastAsia="zh-CN"/>
        </w:rPr>
        <w:t>绩效目标编制、审核</w:t>
      </w:r>
      <w:r>
        <w:rPr>
          <w:rFonts w:hint="default" w:ascii="Times New Roman" w:hAnsi="Times New Roman" w:eastAsia="仿宋_GB2312" w:cs="Times New Roman"/>
          <w:color w:val="auto"/>
          <w:sz w:val="32"/>
          <w:szCs w:val="20"/>
          <w:highlight w:val="none"/>
          <w:lang w:val="en" w:eastAsia="zh-CN"/>
        </w:rPr>
        <w:t>和绩效评价等机制，</w:t>
      </w:r>
      <w:r>
        <w:rPr>
          <w:rFonts w:hint="default" w:ascii="Times New Roman" w:hAnsi="Times New Roman" w:eastAsia="仿宋_GB2312" w:cs="Times New Roman"/>
          <w:color w:val="auto"/>
          <w:sz w:val="32"/>
          <w:szCs w:val="20"/>
          <w:highlight w:val="none"/>
          <w:lang w:val="en-US" w:eastAsia="zh-CN"/>
        </w:rPr>
        <w:t>强化项目监管、验收</w:t>
      </w:r>
      <w:r>
        <w:rPr>
          <w:rFonts w:hint="default" w:ascii="Times New Roman" w:hAnsi="Times New Roman" w:eastAsia="仿宋_GB2312" w:cs="Times New Roman"/>
          <w:color w:val="auto"/>
          <w:sz w:val="32"/>
          <w:szCs w:val="20"/>
          <w:highlight w:val="none"/>
          <w:lang w:val="en" w:eastAsia="zh-CN"/>
        </w:rPr>
        <w:t>。</w:t>
      </w:r>
    </w:p>
    <w:p w14:paraId="3C6C5BF3">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四</w:t>
      </w:r>
      <w:r>
        <w:rPr>
          <w:rFonts w:hint="default" w:ascii="Times New Roman" w:hAnsi="Times New Roman" w:eastAsia="仿宋_GB2312" w:cs="Times New Roman"/>
          <w:color w:val="auto"/>
          <w:sz w:val="32"/>
          <w:szCs w:val="20"/>
          <w:highlight w:val="none"/>
          <w:lang w:val="en" w:eastAsia="zh-CN"/>
        </w:rPr>
        <w:t>）法律、法规、规章规定的其他职责。</w:t>
      </w:r>
    </w:p>
    <w:p w14:paraId="35AF50E0">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八</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省直有关单位和</w:t>
      </w:r>
      <w:r>
        <w:rPr>
          <w:rFonts w:hint="default" w:ascii="Times New Roman" w:hAnsi="Times New Roman" w:eastAsia="仿宋_GB2312" w:cs="Times New Roman"/>
          <w:color w:val="auto"/>
          <w:sz w:val="32"/>
          <w:szCs w:val="20"/>
          <w:highlight w:val="none"/>
          <w:lang w:val="en-US" w:eastAsia="zh-CN"/>
        </w:rPr>
        <w:t>县市区</w:t>
      </w:r>
      <w:r>
        <w:rPr>
          <w:rFonts w:hint="default" w:ascii="Times New Roman" w:hAnsi="Times New Roman" w:eastAsia="仿宋_GB2312" w:cs="Times New Roman"/>
          <w:color w:val="auto"/>
          <w:sz w:val="32"/>
          <w:szCs w:val="20"/>
          <w:highlight w:val="none"/>
          <w:lang w:val="en" w:eastAsia="zh-CN"/>
        </w:rPr>
        <w:t>财政、文化和旅游、</w:t>
      </w:r>
      <w:r>
        <w:rPr>
          <w:rFonts w:hint="default" w:ascii="Times New Roman" w:hAnsi="Times New Roman" w:eastAsia="仿宋_GB2312" w:cs="Times New Roman"/>
          <w:color w:val="auto"/>
          <w:sz w:val="32"/>
          <w:szCs w:val="20"/>
          <w:highlight w:val="none"/>
          <w:lang w:val="en-US" w:eastAsia="zh-CN"/>
        </w:rPr>
        <w:t>文物部门</w:t>
      </w:r>
      <w:r>
        <w:rPr>
          <w:rFonts w:hint="default" w:ascii="Times New Roman" w:hAnsi="Times New Roman" w:eastAsia="仿宋_GB2312" w:cs="Times New Roman"/>
          <w:color w:val="auto"/>
          <w:sz w:val="32"/>
          <w:szCs w:val="20"/>
          <w:highlight w:val="none"/>
          <w:lang w:val="en" w:eastAsia="zh-CN"/>
        </w:rPr>
        <w:t>主要管理职责</w:t>
      </w:r>
      <w:r>
        <w:rPr>
          <w:rFonts w:hint="default" w:ascii="Times New Roman" w:hAnsi="Times New Roman" w:eastAsia="仿宋_GB2312" w:cs="Times New Roman"/>
          <w:color w:val="auto"/>
          <w:sz w:val="32"/>
          <w:szCs w:val="20"/>
          <w:highlight w:val="none"/>
          <w:lang w:eastAsia="zh-CN"/>
        </w:rPr>
        <w:t>:</w:t>
      </w:r>
    </w:p>
    <w:p w14:paraId="3B0F0F69">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（一）省直有关单位和</w:t>
      </w:r>
      <w:r>
        <w:rPr>
          <w:rFonts w:hint="default" w:ascii="Times New Roman" w:hAnsi="Times New Roman" w:eastAsia="仿宋_GB2312" w:cs="Times New Roman"/>
          <w:color w:val="auto"/>
          <w:sz w:val="32"/>
          <w:szCs w:val="20"/>
          <w:highlight w:val="none"/>
          <w:lang w:val="en-US" w:eastAsia="zh-CN"/>
        </w:rPr>
        <w:t>县市区</w:t>
      </w:r>
      <w:r>
        <w:rPr>
          <w:rFonts w:hint="default" w:ascii="Times New Roman" w:hAnsi="Times New Roman" w:eastAsia="仿宋_GB2312" w:cs="Times New Roman"/>
          <w:color w:val="auto"/>
          <w:sz w:val="32"/>
          <w:szCs w:val="20"/>
          <w:highlight w:val="none"/>
          <w:lang w:val="en" w:eastAsia="zh-CN"/>
        </w:rPr>
        <w:t>财政、文化和旅游、</w:t>
      </w:r>
      <w:r>
        <w:rPr>
          <w:rFonts w:hint="default" w:ascii="Times New Roman" w:hAnsi="Times New Roman" w:eastAsia="仿宋_GB2312" w:cs="Times New Roman"/>
          <w:color w:val="auto"/>
          <w:sz w:val="32"/>
          <w:szCs w:val="20"/>
          <w:highlight w:val="none"/>
          <w:lang w:val="en-US" w:eastAsia="zh-CN"/>
        </w:rPr>
        <w:t>文物部门</w:t>
      </w:r>
      <w:r>
        <w:rPr>
          <w:rFonts w:hint="default" w:ascii="Times New Roman" w:hAnsi="Times New Roman" w:eastAsia="仿宋_GB2312" w:cs="Times New Roman"/>
          <w:color w:val="auto"/>
          <w:sz w:val="32"/>
          <w:szCs w:val="20"/>
          <w:highlight w:val="none"/>
          <w:lang w:val="en" w:eastAsia="zh-CN"/>
        </w:rPr>
        <w:t>分别负责组织本系统、本地区申报项目的审核、推荐等工作，督促做好专项资金项目实施、资金管理和绩效</w:t>
      </w:r>
      <w:r>
        <w:rPr>
          <w:rFonts w:hint="default" w:ascii="Times New Roman" w:hAnsi="Times New Roman" w:eastAsia="仿宋_GB2312" w:cs="Times New Roman"/>
          <w:color w:val="auto"/>
          <w:sz w:val="32"/>
          <w:szCs w:val="20"/>
          <w:highlight w:val="none"/>
          <w:lang w:val="en-US" w:eastAsia="zh-CN"/>
        </w:rPr>
        <w:t>管理</w:t>
      </w:r>
      <w:r>
        <w:rPr>
          <w:rFonts w:hint="default" w:ascii="Times New Roman" w:hAnsi="Times New Roman" w:eastAsia="仿宋_GB2312" w:cs="Times New Roman"/>
          <w:color w:val="auto"/>
          <w:sz w:val="32"/>
          <w:szCs w:val="20"/>
          <w:highlight w:val="none"/>
          <w:lang w:val="en" w:eastAsia="zh-CN"/>
        </w:rPr>
        <w:t>等工作。</w:t>
      </w:r>
    </w:p>
    <w:p w14:paraId="170032B6">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（二）</w:t>
      </w:r>
      <w:r>
        <w:rPr>
          <w:rFonts w:hint="default" w:ascii="Times New Roman" w:hAnsi="Times New Roman" w:eastAsia="仿宋_GB2312" w:cs="Times New Roman"/>
          <w:color w:val="auto"/>
          <w:sz w:val="32"/>
          <w:szCs w:val="20"/>
          <w:highlight w:val="none"/>
          <w:lang w:val="en-US" w:eastAsia="zh-CN"/>
        </w:rPr>
        <w:t>县市区</w:t>
      </w:r>
      <w:r>
        <w:rPr>
          <w:rFonts w:hint="default" w:ascii="Times New Roman" w:hAnsi="Times New Roman" w:eastAsia="仿宋_GB2312" w:cs="Times New Roman"/>
          <w:color w:val="auto"/>
          <w:sz w:val="32"/>
          <w:szCs w:val="20"/>
          <w:highlight w:val="none"/>
          <w:lang w:val="en" w:eastAsia="zh-CN"/>
        </w:rPr>
        <w:t>财政部门配合同级文化和旅游、</w:t>
      </w:r>
      <w:r>
        <w:rPr>
          <w:rFonts w:hint="default" w:ascii="Times New Roman" w:hAnsi="Times New Roman" w:eastAsia="仿宋_GB2312" w:cs="Times New Roman"/>
          <w:color w:val="auto"/>
          <w:sz w:val="32"/>
          <w:szCs w:val="20"/>
          <w:highlight w:val="none"/>
          <w:lang w:val="en-US" w:eastAsia="zh-CN"/>
        </w:rPr>
        <w:t>文物</w:t>
      </w:r>
      <w:r>
        <w:rPr>
          <w:rFonts w:hint="default" w:ascii="Times New Roman" w:hAnsi="Times New Roman" w:eastAsia="仿宋_GB2312" w:cs="Times New Roman"/>
          <w:color w:val="auto"/>
          <w:sz w:val="32"/>
          <w:szCs w:val="20"/>
          <w:highlight w:val="none"/>
          <w:lang w:val="en" w:eastAsia="zh-CN"/>
        </w:rPr>
        <w:t>部门组织项目审核、推荐等工作，对项目进行程序性审查；严格按照国库集中支付规定及时审核拨付资金；加强资金使用、管理和监督等工作，</w:t>
      </w:r>
      <w:r>
        <w:rPr>
          <w:rFonts w:hint="default" w:ascii="Times New Roman" w:hAnsi="Times New Roman" w:eastAsia="仿宋_GB2312" w:cs="Times New Roman"/>
          <w:color w:val="auto"/>
          <w:sz w:val="32"/>
          <w:szCs w:val="20"/>
          <w:highlight w:val="none"/>
          <w:lang w:val="en-US" w:eastAsia="zh-CN"/>
        </w:rPr>
        <w:t>定期对专项资金使用情况开展检查</w:t>
      </w:r>
      <w:r>
        <w:rPr>
          <w:rFonts w:hint="default" w:ascii="Times New Roman" w:hAnsi="Times New Roman" w:eastAsia="仿宋_GB2312" w:cs="Times New Roman"/>
          <w:color w:val="auto"/>
          <w:sz w:val="32"/>
          <w:szCs w:val="20"/>
          <w:highlight w:val="none"/>
          <w:lang w:val="en" w:eastAsia="zh-CN"/>
        </w:rPr>
        <w:t>。</w:t>
      </w:r>
    </w:p>
    <w:p w14:paraId="70191334">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（三）法律、法规、规章规定的其他职责。</w:t>
      </w:r>
    </w:p>
    <w:p w14:paraId="1DC47721">
      <w:pPr>
        <w:overflowPunct w:val="0"/>
        <w:autoSpaceDE/>
        <w:autoSpaceDN/>
        <w:adjustRightInd/>
        <w:snapToGrid w:val="0"/>
        <w:spacing w:line="600" w:lineRule="exact"/>
        <w:ind w:firstLine="643" w:firstLineChars="200"/>
        <w:rPr>
          <w:rFonts w:hint="default" w:ascii="Times New Roman" w:hAnsi="Times New Roman" w:eastAsia="仿宋_GB2312" w:cs="Times New Roman"/>
          <w:b/>
          <w:bCs/>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九</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b/>
          <w:bCs/>
          <w:color w:val="auto"/>
          <w:sz w:val="32"/>
          <w:szCs w:val="20"/>
          <w:highlight w:val="none"/>
          <w:lang w:val="en-US" w:eastAsia="zh-CN"/>
        </w:rPr>
        <w:t xml:space="preserve">  </w:t>
      </w:r>
      <w:r>
        <w:rPr>
          <w:rFonts w:hint="default" w:ascii="Times New Roman" w:hAnsi="Times New Roman" w:eastAsia="仿宋_GB2312" w:cs="Times New Roman"/>
          <w:b/>
          <w:bCs/>
          <w:color w:val="auto"/>
          <w:sz w:val="32"/>
          <w:szCs w:val="20"/>
          <w:highlight w:val="none"/>
          <w:lang w:val="en" w:eastAsia="zh-CN"/>
        </w:rPr>
        <w:t>项目实施单位主要职责</w:t>
      </w:r>
      <w:r>
        <w:rPr>
          <w:rFonts w:hint="default" w:ascii="Times New Roman" w:hAnsi="Times New Roman" w:eastAsia="仿宋_GB2312" w:cs="Times New Roman"/>
          <w:color w:val="auto"/>
          <w:sz w:val="32"/>
          <w:szCs w:val="20"/>
          <w:highlight w:val="none"/>
          <w:lang w:eastAsia="zh-CN"/>
        </w:rPr>
        <w:t>:</w:t>
      </w:r>
    </w:p>
    <w:p w14:paraId="3FC150E8">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（一）负责专项资金项目申报、</w:t>
      </w:r>
      <w:r>
        <w:rPr>
          <w:rFonts w:hint="default" w:ascii="Times New Roman" w:hAnsi="Times New Roman" w:eastAsia="仿宋_GB2312" w:cs="Times New Roman"/>
          <w:color w:val="auto"/>
          <w:sz w:val="32"/>
          <w:szCs w:val="20"/>
          <w:highlight w:val="none"/>
          <w:lang w:val="en-US" w:eastAsia="zh-CN"/>
        </w:rPr>
        <w:t>项目绩效目标编制，</w:t>
      </w:r>
      <w:r>
        <w:rPr>
          <w:rFonts w:hint="default" w:ascii="Times New Roman" w:hAnsi="Times New Roman" w:eastAsia="仿宋_GB2312" w:cs="Times New Roman"/>
          <w:color w:val="auto"/>
          <w:sz w:val="32"/>
          <w:szCs w:val="20"/>
          <w:highlight w:val="none"/>
          <w:lang w:val="en" w:eastAsia="zh-CN"/>
        </w:rPr>
        <w:t>并对申报项目及相关材料的真实性、完整性、合规性等承担法律责任。</w:t>
      </w:r>
    </w:p>
    <w:p w14:paraId="71D62E41">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（二）建立健全财务管理和内部控制制度，将专项资金纳入单位财务统一管理，实行专项管理、分账核算、专款专用，并对专项资金使用的合规性、有效性和安全性负责。</w:t>
      </w:r>
    </w:p>
    <w:p w14:paraId="0AC64D21">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（三）严格按照经批准的项目实施方案和绩效目标等组织项目实施，并按照规定开展专项资金绩效自评。</w:t>
      </w:r>
    </w:p>
    <w:p w14:paraId="7774A539">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（四）严格执行国家有关法律法规和财务规章制度等规定，自觉接受党委宣传、纪检监察、审计和财政等部门的监督。</w:t>
      </w:r>
    </w:p>
    <w:p w14:paraId="06FA65B8">
      <w:pPr>
        <w:overflowPunct w:val="0"/>
        <w:autoSpaceDE/>
        <w:autoSpaceDN/>
        <w:adjustRightInd/>
        <w:snapToGrid w:val="0"/>
        <w:spacing w:line="600" w:lineRule="exact"/>
        <w:ind w:firstLine="640" w:firstLineChars="200"/>
        <w:rPr>
          <w:rFonts w:hint="default" w:ascii="Times New Roman" w:hAnsi="Times New Roman" w:cs="Times New Roman"/>
          <w:color w:val="auto"/>
          <w:highlight w:val="none"/>
          <w:lang w:val="en" w:eastAsia="zh-CN"/>
        </w:rPr>
      </w:pPr>
      <w:r>
        <w:rPr>
          <w:rFonts w:hint="default" w:ascii="Times New Roman" w:hAnsi="Times New Roman" w:eastAsia="仿宋_GB2312" w:cs="Times New Roman"/>
          <w:color w:val="auto"/>
          <w:sz w:val="32"/>
          <w:szCs w:val="20"/>
          <w:highlight w:val="none"/>
          <w:lang w:val="en" w:eastAsia="zh-CN"/>
        </w:rPr>
        <w:t>（五）法律、法规、规章规定的其他职责。</w:t>
      </w:r>
    </w:p>
    <w:p w14:paraId="2F2F9706">
      <w:pPr>
        <w:overflowPunct w:val="0"/>
        <w:autoSpaceDE/>
        <w:autoSpaceDN/>
        <w:adjustRightInd/>
        <w:snapToGrid w:val="0"/>
        <w:spacing w:before="313" w:beforeLines="100" w:after="313" w:afterLines="100" w:line="600" w:lineRule="exact"/>
        <w:ind w:firstLine="0" w:firstLineChars="0"/>
        <w:jc w:val="center"/>
        <w:rPr>
          <w:rFonts w:hint="default" w:ascii="Times New Roman" w:hAnsi="Times New Roman" w:eastAsia="黑体" w:cs="Times New Roman"/>
          <w:color w:val="auto"/>
          <w:sz w:val="32"/>
          <w:szCs w:val="20"/>
          <w:highlight w:val="none"/>
          <w:lang w:val="en-US" w:eastAsia="zh-CN"/>
        </w:rPr>
      </w:pPr>
      <w:r>
        <w:rPr>
          <w:rFonts w:hint="default" w:ascii="Times New Roman" w:hAnsi="Times New Roman" w:eastAsia="黑体" w:cs="Times New Roman"/>
          <w:color w:val="auto"/>
          <w:sz w:val="32"/>
          <w:szCs w:val="20"/>
          <w:highlight w:val="none"/>
          <w:lang w:val="en-US" w:eastAsia="zh-CN"/>
        </w:rPr>
        <w:t>第三章  支持范围</w:t>
      </w:r>
    </w:p>
    <w:p w14:paraId="708EE848">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十</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专项资金支持范围主要包括：</w:t>
      </w:r>
    </w:p>
    <w:p w14:paraId="61F9EE80">
      <w:pPr>
        <w:keepNext w:val="0"/>
        <w:keepLines w:val="0"/>
        <w:pageBreakBefore w:val="0"/>
        <w:widowControl w:val="0"/>
        <w:kinsoku/>
        <w:wordWrap/>
        <w:overflowPunct w:val="0"/>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（一）文物保护利用。</w:t>
      </w:r>
    </w:p>
    <w:p w14:paraId="4A4D92F0">
      <w:pPr>
        <w:keepNext w:val="0"/>
        <w:keepLines w:val="0"/>
        <w:pageBreakBefore w:val="0"/>
        <w:widowControl w:val="0"/>
        <w:kinsoku/>
        <w:wordWrap/>
        <w:overflowPunct w:val="0"/>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省级文物保护单位保护：主要包括文物调查和保护规划方案编制，文物本体维修保护，安防、消防、防雷等保护性设施建设，文物本体保护范围内保存环境治理，陈列展示，数字化保护，预防性保护及病虫害综合防治等。对非国有的省级文物保护单位，可在项目完成并经文物行政部门评估验收后，申请适当补助。</w:t>
      </w:r>
    </w:p>
    <w:p w14:paraId="730A3981">
      <w:pPr>
        <w:keepNext w:val="0"/>
        <w:keepLines w:val="0"/>
        <w:pageBreakBefore w:val="0"/>
        <w:widowControl w:val="0"/>
        <w:kinsoku/>
        <w:wordWrap/>
        <w:overflowPunct w:val="0"/>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2.市级及以下文物保护单位保护：主要包括文物调查，文物本体维修保护，安防、消防、防雷等保护性设施建设，陈列展示等。</w:t>
      </w:r>
    </w:p>
    <w:p w14:paraId="105985AC">
      <w:pPr>
        <w:keepNext w:val="0"/>
        <w:keepLines w:val="0"/>
        <w:pageBreakBefore w:val="0"/>
        <w:widowControl w:val="0"/>
        <w:kinsoku/>
        <w:wordWrap/>
        <w:overflowPunct w:val="0"/>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3.考古：主要包括考古（含水下考古）调查、勘探和发掘，重要考古遗迹现场保护，重要出土（出水）文物检测、现场保护与修复、现场数字化保护，考古装备购置，重要考古资料整理和出版，公众考古等。</w:t>
      </w:r>
    </w:p>
    <w:p w14:paraId="084C9FD7">
      <w:pPr>
        <w:keepNext w:val="0"/>
        <w:keepLines w:val="0"/>
        <w:pageBreakBefore w:val="0"/>
        <w:widowControl w:val="0"/>
        <w:kinsoku/>
        <w:wordWrap/>
        <w:overflowPunct w:val="0"/>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可移动文物保护：主要包括国有文物收藏单位馆藏三级以上珍贵文物的保护方案编制，预防性保护，文物技术保护（含文物本体修复），数字化保护，陈列展示，保护修复报告出版，一般可移动文物调查、鉴定，以及国有博物馆、重点文物库房安全防护设施建设。对已在省文物局备案的非国有博物馆馆藏三级以上珍贵文物的本体修复和陈列展示，可在项目完成并经文物行政部门评估验收后，申请适当补助。</w:t>
      </w:r>
    </w:p>
    <w:p w14:paraId="007B00F0">
      <w:pPr>
        <w:keepNext w:val="0"/>
        <w:keepLines w:val="0"/>
        <w:pageBreakBefore w:val="0"/>
        <w:widowControl w:val="0"/>
        <w:kinsoku/>
        <w:wordWrap/>
        <w:overflowPunct w:val="0"/>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5.省财政厅、省文化和旅游厅、省文物局批准的其他文物保护项目。</w:t>
      </w:r>
    </w:p>
    <w:p w14:paraId="25C91114">
      <w:pPr>
        <w:keepNext w:val="0"/>
        <w:keepLines w:val="0"/>
        <w:pageBreakBefore w:val="0"/>
        <w:widowControl w:val="0"/>
        <w:kinsoku/>
        <w:wordWrap/>
        <w:overflowPunct w:val="0"/>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二）文化遗产保护传承。主要包括省级非物质文化遗产保护传承、省级代表性传承人开展传承活动；省级文化生态保护区、省级非遗基地、省级非遗工坊（村镇、街区）建设及非遗与旅游融合发展，非遗相关品牌活动展示推广、加强传统手工艺、创意设计、数字非遗等文旅特色产业集约发展。省级及以上文物保护单位在统筹文物本体和周边环境保护管控前提下的文旅服务设施提质改造；国有文博单位、省级及以上爱国主义教育基地精品展陈、数字展示；古籍资源保护利用。</w:t>
      </w:r>
    </w:p>
    <w:p w14:paraId="5B7FB507">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u w:val="none"/>
          <w:lang w:val="en" w:eastAsia="zh-CN"/>
        </w:rPr>
        <w:t>（</w:t>
      </w:r>
      <w:r>
        <w:rPr>
          <w:rFonts w:hint="default" w:ascii="Times New Roman" w:hAnsi="Times New Roman" w:eastAsia="仿宋_GB2312" w:cs="Times New Roman"/>
          <w:color w:val="auto"/>
          <w:sz w:val="32"/>
          <w:szCs w:val="20"/>
          <w:highlight w:val="none"/>
          <w:u w:val="none"/>
          <w:lang w:val="en-US" w:eastAsia="zh-CN"/>
        </w:rPr>
        <w:t>三</w:t>
      </w:r>
      <w:r>
        <w:rPr>
          <w:rFonts w:hint="default" w:ascii="Times New Roman" w:hAnsi="Times New Roman" w:eastAsia="仿宋_GB2312" w:cs="Times New Roman"/>
          <w:color w:val="auto"/>
          <w:sz w:val="32"/>
          <w:szCs w:val="20"/>
          <w:highlight w:val="none"/>
          <w:u w:val="none"/>
          <w:lang w:val="en" w:eastAsia="zh-CN"/>
        </w:rPr>
        <w:t>）文旅基础设施提升。主要包括：文化和旅游行政</w:t>
      </w:r>
      <w:r>
        <w:rPr>
          <w:rFonts w:hint="default" w:ascii="Times New Roman" w:hAnsi="Times New Roman" w:eastAsia="仿宋_GB2312" w:cs="Times New Roman"/>
          <w:color w:val="auto"/>
          <w:sz w:val="32"/>
          <w:szCs w:val="20"/>
          <w:highlight w:val="none"/>
          <w:lang w:val="en" w:eastAsia="zh-CN"/>
        </w:rPr>
        <w:t>管理部门所属的文旅（教育）基础设施提质改造、设备配置；推进乡村旅游提质增效，围绕区域发展和乡村振兴建设，挖掘保护传承</w:t>
      </w:r>
      <w:r>
        <w:rPr>
          <w:rFonts w:hint="default" w:ascii="Times New Roman" w:hAnsi="Times New Roman" w:eastAsia="仿宋_GB2312" w:cs="Times New Roman"/>
          <w:color w:val="auto"/>
          <w:spacing w:val="-6"/>
          <w:sz w:val="32"/>
          <w:szCs w:val="20"/>
          <w:highlight w:val="none"/>
          <w:lang w:val="en" w:eastAsia="zh-CN"/>
        </w:rPr>
        <w:t>乡村文化和旅游资源，因地制宜开展文旅事业、文旅产业赋能乡村振兴试点。</w:t>
      </w:r>
    </w:p>
    <w:p w14:paraId="1798E3E2">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四</w:t>
      </w:r>
      <w:r>
        <w:rPr>
          <w:rFonts w:hint="default" w:ascii="Times New Roman" w:hAnsi="Times New Roman" w:eastAsia="仿宋_GB2312" w:cs="Times New Roman"/>
          <w:color w:val="auto"/>
          <w:sz w:val="32"/>
          <w:szCs w:val="20"/>
          <w:highlight w:val="none"/>
          <w:lang w:val="en" w:eastAsia="zh-CN"/>
        </w:rPr>
        <w:t>）文化和旅游融合发展。主要包括：舞台艺术精品、美术、群众文艺作品和相关艺术门类作品创排、展演；</w:t>
      </w:r>
      <w:r>
        <w:rPr>
          <w:rFonts w:hint="default" w:ascii="Times New Roman" w:hAnsi="Times New Roman" w:eastAsia="仿宋_GB2312" w:cs="Times New Roman"/>
          <w:color w:val="auto"/>
          <w:sz w:val="32"/>
          <w:szCs w:val="20"/>
          <w:highlight w:val="none"/>
          <w:lang w:val="en-US" w:eastAsia="zh-CN"/>
        </w:rPr>
        <w:t>红色资源保护管理和运用，红色文化教育；旅游演艺等“文旅+”“+文旅”产业融合发展。</w:t>
      </w:r>
    </w:p>
    <w:p w14:paraId="48F1EB2B">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五</w:t>
      </w:r>
      <w:r>
        <w:rPr>
          <w:rFonts w:hint="default" w:ascii="Times New Roman" w:hAnsi="Times New Roman" w:eastAsia="仿宋_GB2312" w:cs="Times New Roman"/>
          <w:color w:val="auto"/>
          <w:sz w:val="32"/>
          <w:szCs w:val="20"/>
          <w:highlight w:val="none"/>
          <w:lang w:val="en" w:eastAsia="zh-CN"/>
        </w:rPr>
        <w:t>）文旅产业升级。主要包括：精品旅游线路产品，高品质旅游住宿业发展，文创产品开发</w:t>
      </w:r>
      <w:r>
        <w:rPr>
          <w:rFonts w:hint="default" w:ascii="Times New Roman" w:hAnsi="Times New Roman" w:eastAsia="仿宋_GB2312" w:cs="Times New Roman"/>
          <w:color w:val="auto"/>
          <w:sz w:val="32"/>
          <w:szCs w:val="20"/>
          <w:highlight w:val="none"/>
          <w:lang w:val="en" w:eastAsia="zh"/>
        </w:rPr>
        <w:t>（含文博）</w:t>
      </w:r>
      <w:r>
        <w:rPr>
          <w:rFonts w:hint="default" w:ascii="Times New Roman" w:hAnsi="Times New Roman" w:eastAsia="仿宋_GB2312" w:cs="Times New Roman"/>
          <w:color w:val="auto"/>
          <w:sz w:val="32"/>
          <w:szCs w:val="20"/>
          <w:highlight w:val="none"/>
          <w:lang w:val="en" w:eastAsia="zh-CN"/>
        </w:rPr>
        <w:t>；研学旅游，数字化智慧化文旅建设；文旅</w:t>
      </w:r>
      <w:r>
        <w:rPr>
          <w:rFonts w:hint="default" w:ascii="Times New Roman" w:hAnsi="Times New Roman" w:eastAsia="仿宋_GB2312" w:cs="Times New Roman"/>
          <w:color w:val="auto"/>
          <w:sz w:val="32"/>
          <w:szCs w:val="20"/>
          <w:highlight w:val="none"/>
          <w:lang w:val="en-US" w:eastAsia="zh-CN"/>
        </w:rPr>
        <w:t>产业</w:t>
      </w:r>
      <w:r>
        <w:rPr>
          <w:rFonts w:hint="default" w:ascii="Times New Roman" w:hAnsi="Times New Roman" w:eastAsia="仿宋_GB2312" w:cs="Times New Roman"/>
          <w:color w:val="auto"/>
          <w:sz w:val="32"/>
          <w:szCs w:val="20"/>
          <w:highlight w:val="none"/>
          <w:lang w:val="en" w:eastAsia="zh-CN"/>
        </w:rPr>
        <w:t>规划、标准制订、</w:t>
      </w:r>
      <w:r>
        <w:rPr>
          <w:rFonts w:hint="default" w:ascii="Times New Roman" w:hAnsi="Times New Roman" w:eastAsia="仿宋_GB2312" w:cs="Times New Roman"/>
          <w:color w:val="auto"/>
          <w:sz w:val="32"/>
          <w:szCs w:val="20"/>
          <w:highlight w:val="none"/>
          <w:lang w:val="en-US" w:eastAsia="zh-CN"/>
        </w:rPr>
        <w:t>统计调查，文旅市场规范和服务质量提升</w:t>
      </w: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促进文化和旅游消费。</w:t>
      </w:r>
    </w:p>
    <w:p w14:paraId="5CE4B337">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（六）文旅宣传推广。主要包括：重大文化、旅游、文物活动，全省性文艺展演（展览）和全民阅读推广、全民艺术普及、演艺惠民、</w:t>
      </w:r>
      <w:r>
        <w:rPr>
          <w:rFonts w:hint="default" w:ascii="Times New Roman" w:hAnsi="Times New Roman" w:eastAsia="仿宋_GB2312" w:cs="Times New Roman"/>
          <w:color w:val="auto"/>
          <w:sz w:val="32"/>
          <w:szCs w:val="20"/>
          <w:highlight w:val="none"/>
          <w:lang w:val="en-US" w:eastAsia="zh-CN"/>
        </w:rPr>
        <w:t>经备案的</w:t>
      </w:r>
      <w:r>
        <w:rPr>
          <w:rFonts w:hint="default" w:ascii="Times New Roman" w:hAnsi="Times New Roman" w:eastAsia="仿宋_GB2312" w:cs="Times New Roman"/>
          <w:color w:val="auto"/>
          <w:sz w:val="32"/>
          <w:szCs w:val="20"/>
          <w:highlight w:val="none"/>
          <w:lang w:val="en" w:eastAsia="zh-CN"/>
        </w:rPr>
        <w:t>文化旅游节庆论坛、文旅志愿服务等活动；组织参加或承办国家级文化和旅游活动；境内外及港澳台文化和旅游宣传推广和交流活动。</w:t>
      </w:r>
    </w:p>
    <w:p w14:paraId="4D45C927">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（七）人才队伍建设。主要包括：文化人才培养培训；文旅一线从业人员的技能提升和职业发展；文旅、文物科研科技课题和产教融合；文物从业人员培训培养、技能竞赛。</w:t>
      </w:r>
    </w:p>
    <w:p w14:paraId="36E9F160">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（八）贯彻落实中央和省委省政府关于文化旅游和文物保护工作重大决策部署开展的活动和项目。</w:t>
      </w:r>
    </w:p>
    <w:p w14:paraId="5D000601">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第十</w:t>
      </w:r>
      <w:r>
        <w:rPr>
          <w:rFonts w:hint="default" w:ascii="Times New Roman" w:hAnsi="Times New Roman" w:eastAsia="仿宋_GB2312" w:cs="Times New Roman"/>
          <w:b/>
          <w:bCs/>
          <w:color w:val="auto"/>
          <w:sz w:val="32"/>
          <w:szCs w:val="20"/>
          <w:highlight w:val="none"/>
          <w:lang w:val="en-US" w:eastAsia="zh-CN"/>
        </w:rPr>
        <w:t>一</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专项资金不得用于支付各种罚款、捐款、赞助、投资等支出，不得用于</w:t>
      </w:r>
      <w:r>
        <w:rPr>
          <w:rFonts w:hint="default" w:ascii="Times New Roman" w:hAnsi="Times New Roman" w:eastAsia="仿宋_GB2312" w:cs="Times New Roman"/>
          <w:color w:val="auto"/>
          <w:sz w:val="32"/>
          <w:szCs w:val="20"/>
          <w:highlight w:val="none"/>
          <w:lang w:val="en-US" w:eastAsia="zh-CN"/>
        </w:rPr>
        <w:t>编制内在职人员的工资性支出、津贴补贴、奖金福利等人员经费支出，不得用于离退人员离退休费支出，</w:t>
      </w:r>
      <w:r>
        <w:rPr>
          <w:rFonts w:hint="default" w:ascii="Times New Roman" w:hAnsi="Times New Roman" w:eastAsia="仿宋_GB2312" w:cs="Times New Roman"/>
          <w:color w:val="auto"/>
          <w:sz w:val="32"/>
          <w:szCs w:val="20"/>
          <w:highlight w:val="none"/>
          <w:lang w:val="en" w:eastAsia="zh-CN"/>
        </w:rPr>
        <w:t>不得用于</w:t>
      </w:r>
      <w:r>
        <w:rPr>
          <w:rFonts w:hint="default" w:ascii="Times New Roman" w:hAnsi="Times New Roman" w:eastAsia="仿宋_GB2312" w:cs="Times New Roman"/>
          <w:color w:val="auto"/>
          <w:sz w:val="32"/>
          <w:szCs w:val="20"/>
          <w:highlight w:val="none"/>
          <w:lang w:val="en-US" w:eastAsia="zh-CN"/>
        </w:rPr>
        <w:t>行政运行经费、工作经费等一般性开支</w:t>
      </w: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不得用于文物保护项目所需的征地拆迁、基础建设等，不得用于国家规定禁止列入的其他支出。</w:t>
      </w:r>
    </w:p>
    <w:p w14:paraId="2C161C3E">
      <w:pPr>
        <w:overflowPunct w:val="0"/>
        <w:autoSpaceDE/>
        <w:autoSpaceDN/>
        <w:adjustRightInd/>
        <w:snapToGrid w:val="0"/>
        <w:spacing w:before="313" w:beforeLines="100" w:after="313" w:afterLines="100" w:line="600" w:lineRule="exact"/>
        <w:ind w:firstLine="0" w:firstLineChars="0"/>
        <w:jc w:val="center"/>
        <w:rPr>
          <w:rFonts w:hint="default" w:ascii="Times New Roman" w:hAnsi="Times New Roman" w:eastAsia="黑体" w:cs="Times New Roman"/>
          <w:color w:val="auto"/>
          <w:sz w:val="32"/>
          <w:szCs w:val="20"/>
          <w:highlight w:val="none"/>
          <w:lang w:val="en-US" w:eastAsia="zh-CN"/>
        </w:rPr>
      </w:pPr>
      <w:r>
        <w:rPr>
          <w:rFonts w:hint="default" w:ascii="Times New Roman" w:hAnsi="Times New Roman" w:eastAsia="黑体" w:cs="Times New Roman"/>
          <w:color w:val="auto"/>
          <w:sz w:val="32"/>
          <w:szCs w:val="20"/>
          <w:highlight w:val="none"/>
          <w:lang w:val="en-US" w:eastAsia="zh-CN"/>
        </w:rPr>
        <w:t>第四章  项目申报与审核</w:t>
      </w:r>
    </w:p>
    <w:p w14:paraId="5FDF768E">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第十</w:t>
      </w:r>
      <w:r>
        <w:rPr>
          <w:rFonts w:hint="default" w:ascii="Times New Roman" w:hAnsi="Times New Roman" w:eastAsia="仿宋_GB2312" w:cs="Times New Roman"/>
          <w:b/>
          <w:bCs/>
          <w:color w:val="auto"/>
          <w:sz w:val="32"/>
          <w:szCs w:val="20"/>
          <w:highlight w:val="none"/>
          <w:lang w:val="en-US" w:eastAsia="zh-CN"/>
        </w:rPr>
        <w:t>二</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每年</w:t>
      </w:r>
      <w:r>
        <w:rPr>
          <w:rFonts w:hint="default" w:ascii="Times New Roman" w:hAnsi="Times New Roman" w:eastAsia="仿宋_GB2312" w:cs="Times New Roman"/>
          <w:color w:val="auto"/>
          <w:sz w:val="32"/>
          <w:szCs w:val="20"/>
          <w:highlight w:val="none"/>
          <w:lang w:val="en-US" w:eastAsia="zh-CN"/>
        </w:rPr>
        <w:t>第</w:t>
      </w:r>
      <w:r>
        <w:rPr>
          <w:rFonts w:hint="default" w:ascii="Times New Roman" w:hAnsi="Times New Roman" w:eastAsia="仿宋_GB2312" w:cs="Times New Roman"/>
          <w:color w:val="auto"/>
          <w:sz w:val="32"/>
          <w:szCs w:val="20"/>
          <w:highlight w:val="none"/>
          <w:lang w:val="en" w:eastAsia="zh-CN"/>
        </w:rPr>
        <w:t>三季度，省文化和旅游厅、省文物局会同省财政厅根据省委省政府关于文化旅游和文物保护工作的重点任务，编制发布下一年度项目申报通知，明确支持重点、申报程序及要求等。</w:t>
      </w:r>
      <w:r>
        <w:rPr>
          <w:rFonts w:hint="default" w:ascii="Times New Roman" w:hAnsi="Times New Roman" w:eastAsia="仿宋_GB2312" w:cs="Times New Roman"/>
          <w:color w:val="auto"/>
          <w:sz w:val="32"/>
          <w:szCs w:val="20"/>
          <w:highlight w:val="none"/>
          <w:lang w:val="en-US" w:eastAsia="zh-CN"/>
        </w:rPr>
        <w:t>未在规定时间内申报的项目原则上不予受理。</w:t>
      </w:r>
    </w:p>
    <w:p w14:paraId="7735CA68">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第十</w:t>
      </w:r>
      <w:r>
        <w:rPr>
          <w:rFonts w:hint="default" w:ascii="Times New Roman" w:hAnsi="Times New Roman" w:eastAsia="仿宋_GB2312" w:cs="Times New Roman"/>
          <w:b/>
          <w:bCs/>
          <w:color w:val="auto"/>
          <w:sz w:val="32"/>
          <w:szCs w:val="20"/>
          <w:highlight w:val="none"/>
          <w:lang w:val="en-US" w:eastAsia="zh-CN"/>
        </w:rPr>
        <w:t>三</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专项资金申报项目须具备以下条件：</w:t>
      </w:r>
    </w:p>
    <w:p w14:paraId="22F3CD6C">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（一）申报主体应</w:t>
      </w:r>
      <w:r>
        <w:rPr>
          <w:rFonts w:hint="default" w:ascii="Times New Roman" w:hAnsi="Times New Roman" w:eastAsia="仿宋_GB2312" w:cs="Times New Roman"/>
          <w:color w:val="auto"/>
          <w:sz w:val="32"/>
          <w:szCs w:val="20"/>
          <w:highlight w:val="none"/>
          <w:lang w:eastAsia="zh-CN"/>
        </w:rPr>
        <w:t>当</w:t>
      </w:r>
      <w:r>
        <w:rPr>
          <w:rFonts w:hint="default" w:ascii="Times New Roman" w:hAnsi="Times New Roman" w:eastAsia="仿宋_GB2312" w:cs="Times New Roman"/>
          <w:color w:val="auto"/>
          <w:sz w:val="32"/>
          <w:szCs w:val="20"/>
          <w:highlight w:val="none"/>
          <w:lang w:val="en" w:eastAsia="zh-CN"/>
        </w:rPr>
        <w:t>具有法人资格</w:t>
      </w:r>
      <w:r>
        <w:rPr>
          <w:rFonts w:ascii="Times New Roman" w:hAnsi="Times New Roman" w:cs="Times New Roman"/>
          <w:color w:val="auto"/>
          <w:highlight w:val="none"/>
        </w:rPr>
        <w:commentReference w:id="0"/>
      </w:r>
      <w:r>
        <w:rPr>
          <w:rFonts w:hint="default" w:ascii="Times New Roman" w:hAnsi="Times New Roman" w:eastAsia="仿宋_GB2312" w:cs="Times New Roman"/>
          <w:color w:val="auto"/>
          <w:sz w:val="32"/>
          <w:szCs w:val="20"/>
          <w:highlight w:val="none"/>
          <w:lang w:val="en" w:eastAsia="zh-CN"/>
        </w:rPr>
        <w:t>，申报项目应符合国家和我省文化旅游和文物保护发展规划及相关政策，项目内容在专项资金支持范围之内。</w:t>
      </w:r>
    </w:p>
    <w:p w14:paraId="19B46FE4">
      <w:pPr>
        <w:overflowPunct w:val="0"/>
        <w:autoSpaceDE/>
        <w:autoSpaceDN/>
        <w:snapToGrid w:val="0"/>
        <w:spacing w:line="600" w:lineRule="exact"/>
        <w:ind w:firstLine="640" w:firstLineChars="200"/>
        <w:jc w:val="both"/>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（二）申报项目</w:t>
      </w:r>
      <w:r>
        <w:rPr>
          <w:rFonts w:hint="default" w:ascii="Times New Roman" w:hAnsi="Times New Roman" w:eastAsia="仿宋_GB2312" w:cs="Times New Roman"/>
          <w:color w:val="auto"/>
          <w:sz w:val="32"/>
          <w:szCs w:val="20"/>
          <w:highlight w:val="none"/>
          <w:lang w:eastAsia="zh-CN"/>
        </w:rPr>
        <w:t>应当</w:t>
      </w:r>
      <w:r>
        <w:rPr>
          <w:rFonts w:hint="default" w:ascii="Times New Roman" w:hAnsi="Times New Roman" w:eastAsia="仿宋_GB2312" w:cs="Times New Roman"/>
          <w:color w:val="auto"/>
          <w:sz w:val="32"/>
          <w:szCs w:val="20"/>
          <w:highlight w:val="none"/>
          <w:lang w:val="en" w:eastAsia="zh-CN"/>
        </w:rPr>
        <w:t>符合国家和我省文化旅游、文物发展政策和规划；涉及相关课题研究、规划编制、法律法规起草、咨询等事项，需符合党政机关过紧日子相关规定；涉及市场主</w:t>
      </w:r>
      <w:r>
        <w:rPr>
          <w:rFonts w:hint="default" w:ascii="Times New Roman" w:hAnsi="Times New Roman" w:eastAsia="仿宋_GB2312" w:cs="Times New Roman"/>
          <w:color w:val="auto"/>
          <w:sz w:val="32"/>
          <w:szCs w:val="20"/>
          <w:highlight w:val="none"/>
          <w:lang w:val="en-US" w:eastAsia="zh-CN"/>
        </w:rPr>
        <w:t>体</w:t>
      </w:r>
      <w:r>
        <w:rPr>
          <w:rFonts w:hint="default" w:ascii="Times New Roman" w:hAnsi="Times New Roman" w:eastAsia="仿宋_GB2312" w:cs="Times New Roman"/>
          <w:color w:val="auto"/>
          <w:sz w:val="32"/>
          <w:szCs w:val="20"/>
          <w:highlight w:val="none"/>
          <w:lang w:val="en" w:eastAsia="zh-CN"/>
        </w:rPr>
        <w:t>补助事项不得</w:t>
      </w:r>
      <w:r>
        <w:rPr>
          <w:rFonts w:hint="default" w:ascii="Times New Roman" w:hAnsi="Times New Roman" w:eastAsia="仿宋_GB2312" w:cs="Times New Roman"/>
          <w:color w:val="auto"/>
          <w:sz w:val="32"/>
          <w:szCs w:val="20"/>
          <w:highlight w:val="none"/>
          <w:lang w:val="en-US" w:eastAsia="zh-CN"/>
        </w:rPr>
        <w:t>影响全国统一大市场建设</w:t>
      </w:r>
      <w:r>
        <w:rPr>
          <w:rFonts w:hint="default" w:ascii="Times New Roman" w:hAnsi="Times New Roman" w:eastAsia="仿宋_GB2312" w:cs="Times New Roman"/>
          <w:color w:val="auto"/>
          <w:sz w:val="32"/>
          <w:szCs w:val="20"/>
          <w:highlight w:val="none"/>
          <w:lang w:val="en-US" w:eastAsia="zh"/>
        </w:rPr>
        <w:t>，不得违反</w:t>
      </w:r>
      <w:r>
        <w:rPr>
          <w:rFonts w:hint="default" w:ascii="Times New Roman" w:hAnsi="Times New Roman" w:eastAsia="仿宋_GB2312" w:cs="Times New Roman"/>
          <w:color w:val="auto"/>
          <w:sz w:val="32"/>
          <w:szCs w:val="20"/>
          <w:highlight w:val="none"/>
          <w:lang w:val="en-US" w:eastAsia="zh-CN"/>
        </w:rPr>
        <w:t>地方财政补贴负面清单管理机制等</w:t>
      </w:r>
      <w:r>
        <w:rPr>
          <w:rFonts w:hint="default" w:ascii="Times New Roman" w:hAnsi="Times New Roman" w:eastAsia="仿宋_GB2312" w:cs="Times New Roman"/>
          <w:color w:val="auto"/>
          <w:sz w:val="32"/>
          <w:szCs w:val="20"/>
          <w:highlight w:val="none"/>
          <w:lang w:val="en" w:eastAsia="zh-CN"/>
        </w:rPr>
        <w:t>国家禁止性规定</w:t>
      </w:r>
      <w:r>
        <w:rPr>
          <w:rFonts w:hint="default" w:ascii="Times New Roman" w:hAnsi="Times New Roman" w:eastAsia="仿宋_GB2312" w:cs="Times New Roman"/>
          <w:color w:val="auto"/>
          <w:sz w:val="32"/>
          <w:szCs w:val="20"/>
          <w:highlight w:val="none"/>
          <w:lang w:val="en" w:eastAsia="zh"/>
        </w:rPr>
        <w:t>；</w:t>
      </w:r>
      <w:r>
        <w:rPr>
          <w:rFonts w:hint="default" w:ascii="Times New Roman" w:hAnsi="Times New Roman" w:eastAsia="仿宋_GB2312" w:cs="Times New Roman"/>
          <w:color w:val="auto"/>
          <w:sz w:val="32"/>
          <w:szCs w:val="20"/>
          <w:highlight w:val="none"/>
          <w:lang w:val="en-US" w:eastAsia="zh-CN"/>
        </w:rPr>
        <w:t>不得造成国有资产流失，不得实行隐性违规优惠的政策。</w:t>
      </w:r>
    </w:p>
    <w:p w14:paraId="71408D27">
      <w:pPr>
        <w:numPr>
          <w:ilvl w:val="0"/>
          <w:numId w:val="0"/>
        </w:num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color w:val="auto"/>
          <w:sz w:val="32"/>
          <w:szCs w:val="20"/>
          <w:highlight w:val="none"/>
          <w:lang w:val="en-US" w:eastAsia="zh-CN"/>
        </w:rPr>
        <w:t>（三）申报项目应</w:t>
      </w:r>
      <w:r>
        <w:rPr>
          <w:rFonts w:hint="default" w:ascii="Times New Roman" w:hAnsi="Times New Roman" w:eastAsia="仿宋_GB2312" w:cs="Times New Roman"/>
          <w:color w:val="auto"/>
          <w:sz w:val="32"/>
          <w:szCs w:val="20"/>
          <w:highlight w:val="none"/>
          <w:lang w:eastAsia="zh-CN"/>
        </w:rPr>
        <w:t>当</w:t>
      </w:r>
      <w:r>
        <w:rPr>
          <w:rFonts w:hint="default" w:ascii="Times New Roman" w:hAnsi="Times New Roman" w:eastAsia="仿宋_GB2312" w:cs="Times New Roman"/>
          <w:color w:val="auto"/>
          <w:sz w:val="32"/>
          <w:szCs w:val="20"/>
          <w:highlight w:val="none"/>
          <w:lang w:val="en-US" w:eastAsia="zh-CN"/>
        </w:rPr>
        <w:t>同时编制明确、可量化的绩效目标。绩效目标应当包括成本、产出、效益、满意度等指标，与项目实施方案相匹配，作为项目入库评审、预算编制和绩效运行监控及事后绩效评价的依据。</w:t>
      </w:r>
    </w:p>
    <w:p w14:paraId="098A4A7D">
      <w:pPr>
        <w:numPr>
          <w:ilvl w:val="0"/>
          <w:numId w:val="0"/>
        </w:num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US" w:eastAsia="zh-CN"/>
        </w:rPr>
        <w:t>（四）文物保护申报项目应</w:t>
      </w:r>
      <w:r>
        <w:rPr>
          <w:rFonts w:hint="default" w:ascii="Times New Roman" w:hAnsi="Times New Roman" w:eastAsia="仿宋_GB2312" w:cs="Times New Roman"/>
          <w:color w:val="auto"/>
          <w:sz w:val="32"/>
          <w:szCs w:val="20"/>
          <w:highlight w:val="none"/>
          <w:lang w:eastAsia="zh-CN"/>
        </w:rPr>
        <w:t>当</w:t>
      </w:r>
      <w:r>
        <w:rPr>
          <w:rFonts w:hint="default" w:ascii="Times New Roman" w:hAnsi="Times New Roman" w:eastAsia="仿宋_GB2312" w:cs="Times New Roman"/>
          <w:color w:val="auto"/>
          <w:sz w:val="32"/>
          <w:szCs w:val="20"/>
          <w:highlight w:val="none"/>
          <w:lang w:val="en-US" w:eastAsia="zh-CN"/>
        </w:rPr>
        <w:t>以批复的技术方案和审核意见为基础编制预（概）算书，按规定送同级财政评审；延续项目须提供施工合同、监理合同、设计合同、招标代理合同及支付凭证。项目预算评审由省文物局组织，委托具有相应资质的第三方评审机构或专家组，依据批准的保护方案和相关技术标准，按照最小干预、预防性保护与抢救性保护并重的原则，重点审核项目支出内容、实施周期及预算控制数的合规性、必要性、可行性和合理性。评审中可根据需要对项目申报信息进行现场核查，省文物局根据评审结果确定项目总预算控制数。</w:t>
      </w:r>
    </w:p>
    <w:p w14:paraId="6B8995B0">
      <w:pPr>
        <w:numPr>
          <w:ilvl w:val="-1"/>
          <w:numId w:val="0"/>
        </w:num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US" w:eastAsia="zh-CN"/>
        </w:rPr>
        <w:t>（五）</w:t>
      </w:r>
      <w:r>
        <w:rPr>
          <w:rFonts w:hint="default" w:ascii="Times New Roman" w:hAnsi="Times New Roman" w:eastAsia="仿宋_GB2312" w:cs="Times New Roman"/>
          <w:color w:val="auto"/>
          <w:sz w:val="32"/>
          <w:szCs w:val="20"/>
          <w:highlight w:val="none"/>
          <w:lang w:val="en-US" w:eastAsia="zh-CN"/>
        </w:rPr>
        <w:t>同一项目已通过其他渠道获得中央、省级财政资金支持的，不得重复申报。</w:t>
      </w:r>
    </w:p>
    <w:p w14:paraId="006C771D">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第十</w:t>
      </w:r>
      <w:r>
        <w:rPr>
          <w:rFonts w:hint="default" w:ascii="Times New Roman" w:hAnsi="Times New Roman" w:eastAsia="仿宋_GB2312" w:cs="Times New Roman"/>
          <w:b/>
          <w:bCs/>
          <w:color w:val="auto"/>
          <w:sz w:val="32"/>
          <w:szCs w:val="20"/>
          <w:highlight w:val="none"/>
          <w:lang w:val="en-US" w:eastAsia="zh-CN"/>
        </w:rPr>
        <w:t>四</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申报程序按归口和属地管理原则进行。</w:t>
      </w:r>
    </w:p>
    <w:p w14:paraId="21D8C4A0">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（一）</w:t>
      </w:r>
      <w:r>
        <w:rPr>
          <w:rFonts w:hint="default" w:ascii="Times New Roman" w:hAnsi="Times New Roman" w:eastAsia="仿宋_GB2312" w:cs="Times New Roman"/>
          <w:color w:val="auto"/>
          <w:sz w:val="32"/>
          <w:szCs w:val="20"/>
          <w:highlight w:val="none"/>
          <w:lang w:val="en-US" w:eastAsia="zh-CN"/>
        </w:rPr>
        <w:t>县市区</w:t>
      </w:r>
      <w:r>
        <w:rPr>
          <w:rFonts w:hint="default" w:ascii="Times New Roman" w:hAnsi="Times New Roman" w:eastAsia="仿宋_GB2312" w:cs="Times New Roman"/>
          <w:color w:val="auto"/>
          <w:sz w:val="32"/>
          <w:szCs w:val="20"/>
          <w:highlight w:val="none"/>
          <w:lang w:val="en" w:eastAsia="zh-CN"/>
        </w:rPr>
        <w:t>项目由同级文化和旅游、</w:t>
      </w:r>
      <w:r>
        <w:rPr>
          <w:rFonts w:hint="default" w:ascii="Times New Roman" w:hAnsi="Times New Roman" w:eastAsia="仿宋_GB2312" w:cs="Times New Roman"/>
          <w:color w:val="auto"/>
          <w:sz w:val="32"/>
          <w:szCs w:val="20"/>
          <w:highlight w:val="none"/>
          <w:lang w:val="en-US" w:eastAsia="zh-CN"/>
        </w:rPr>
        <w:t>文物和</w:t>
      </w:r>
      <w:r>
        <w:rPr>
          <w:rFonts w:hint="default" w:ascii="Times New Roman" w:hAnsi="Times New Roman" w:eastAsia="仿宋_GB2312" w:cs="Times New Roman"/>
          <w:color w:val="auto"/>
          <w:sz w:val="32"/>
          <w:szCs w:val="20"/>
          <w:highlight w:val="none"/>
          <w:lang w:val="en" w:eastAsia="zh-CN"/>
        </w:rPr>
        <w:t>财政部门对本地申报项目进行审核汇总后，联合行文上报市州文化和旅游、</w:t>
      </w:r>
      <w:r>
        <w:rPr>
          <w:rFonts w:hint="default" w:ascii="Times New Roman" w:hAnsi="Times New Roman" w:eastAsia="仿宋_GB2312" w:cs="Times New Roman"/>
          <w:color w:val="auto"/>
          <w:sz w:val="32"/>
          <w:szCs w:val="20"/>
          <w:highlight w:val="none"/>
          <w:lang w:val="en-US" w:eastAsia="zh-CN"/>
        </w:rPr>
        <w:t>文物和</w:t>
      </w:r>
      <w:r>
        <w:rPr>
          <w:rFonts w:hint="default" w:ascii="Times New Roman" w:hAnsi="Times New Roman" w:eastAsia="仿宋_GB2312" w:cs="Times New Roman"/>
          <w:color w:val="auto"/>
          <w:sz w:val="32"/>
          <w:szCs w:val="20"/>
          <w:highlight w:val="none"/>
          <w:lang w:val="en" w:eastAsia="zh-CN"/>
        </w:rPr>
        <w:t>财政部门。</w:t>
      </w:r>
    </w:p>
    <w:p w14:paraId="1BAB200D">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（二）市州项目由同级文化和旅游、</w:t>
      </w:r>
      <w:r>
        <w:rPr>
          <w:rFonts w:hint="default" w:ascii="Times New Roman" w:hAnsi="Times New Roman" w:eastAsia="仿宋_GB2312" w:cs="Times New Roman"/>
          <w:color w:val="auto"/>
          <w:sz w:val="32"/>
          <w:szCs w:val="20"/>
          <w:highlight w:val="none"/>
          <w:lang w:val="en-US" w:eastAsia="zh-CN"/>
        </w:rPr>
        <w:t>文物和</w:t>
      </w:r>
      <w:r>
        <w:rPr>
          <w:rFonts w:hint="default" w:ascii="Times New Roman" w:hAnsi="Times New Roman" w:eastAsia="仿宋_GB2312" w:cs="Times New Roman"/>
          <w:color w:val="auto"/>
          <w:sz w:val="32"/>
          <w:szCs w:val="20"/>
          <w:highlight w:val="none"/>
          <w:lang w:val="en" w:eastAsia="zh-CN"/>
        </w:rPr>
        <w:t>财政部门对本级申报项目进行审核，连同所辖县市</w:t>
      </w:r>
      <w:r>
        <w:rPr>
          <w:rFonts w:hint="default" w:ascii="Times New Roman" w:hAnsi="Times New Roman" w:eastAsia="仿宋_GB2312" w:cs="Times New Roman"/>
          <w:color w:val="auto"/>
          <w:sz w:val="32"/>
          <w:szCs w:val="20"/>
          <w:highlight w:val="none"/>
          <w:lang w:val="en" w:eastAsia="zh-CN"/>
        </w:rPr>
        <w:t>区</w:t>
      </w:r>
      <w:r>
        <w:rPr>
          <w:rFonts w:hint="default" w:ascii="Times New Roman" w:hAnsi="Times New Roman" w:eastAsia="仿宋_GB2312" w:cs="Times New Roman"/>
          <w:color w:val="auto"/>
          <w:sz w:val="32"/>
          <w:szCs w:val="20"/>
          <w:highlight w:val="none"/>
          <w:lang w:val="en" w:eastAsia="zh-CN"/>
        </w:rPr>
        <w:t>上报项目一并审核汇总后，联合行文上报省文化和旅游厅、省文物局、省财政厅。</w:t>
      </w:r>
    </w:p>
    <w:p w14:paraId="4DCA7930">
      <w:pPr>
        <w:overflowPunct w:val="0"/>
        <w:autoSpaceDE/>
        <w:autoSpaceDN/>
        <w:adjustRightInd/>
        <w:snapToGrid w:val="0"/>
        <w:spacing w:line="600" w:lineRule="exact"/>
        <w:ind w:firstLine="640" w:firstLineChars="200"/>
        <w:rPr>
          <w:rFonts w:hint="default" w:ascii="Times New Roman" w:hAnsi="Times New Roman" w:cs="Times New Roman"/>
          <w:color w:val="auto"/>
          <w:highlight w:val="none"/>
          <w:lang w:val="en" w:eastAsia="zh-CN"/>
        </w:rPr>
      </w:pPr>
      <w:r>
        <w:rPr>
          <w:rFonts w:hint="default" w:ascii="Times New Roman" w:hAnsi="Times New Roman" w:eastAsia="仿宋_GB2312" w:cs="Times New Roman"/>
          <w:color w:val="auto"/>
          <w:sz w:val="32"/>
          <w:szCs w:val="20"/>
          <w:highlight w:val="none"/>
          <w:lang w:val="en" w:eastAsia="zh-CN"/>
        </w:rPr>
        <w:t>（三）部属、省属单位项目直接向省文化和旅游厅、省文物局、省财政厅申报。</w:t>
      </w:r>
    </w:p>
    <w:p w14:paraId="57915483">
      <w:pPr>
        <w:overflowPunct w:val="0"/>
        <w:autoSpaceDE/>
        <w:autoSpaceDN/>
        <w:adjustRightInd/>
        <w:snapToGrid w:val="0"/>
        <w:spacing w:line="600" w:lineRule="exact"/>
        <w:ind w:firstLine="640" w:firstLineChars="200"/>
        <w:rPr>
          <w:rFonts w:hint="default" w:ascii="Times New Roman" w:hAnsi="Times New Roman" w:eastAsia="仿宋_GB2312" w:cs="Times New Roman"/>
          <w:b/>
          <w:bCs/>
          <w:color w:val="auto"/>
          <w:sz w:val="32"/>
          <w:szCs w:val="20"/>
          <w:highlight w:val="none"/>
          <w:lang w:val="en" w:eastAsia="zh-CN"/>
        </w:rPr>
      </w:pPr>
      <w:r>
        <w:rPr>
          <w:rFonts w:hint="default" w:ascii="Times New Roman" w:hAnsi="Times New Roman" w:eastAsia="仿宋_GB2312" w:cs="Times New Roman"/>
          <w:b w:val="0"/>
          <w:bCs w:val="0"/>
          <w:color w:val="auto"/>
          <w:sz w:val="32"/>
          <w:szCs w:val="20"/>
          <w:highlight w:val="none"/>
          <w:lang w:val="en" w:eastAsia="zh-CN"/>
        </w:rPr>
        <w:t>（</w:t>
      </w:r>
      <w:r>
        <w:rPr>
          <w:rFonts w:hint="default" w:ascii="Times New Roman" w:hAnsi="Times New Roman" w:eastAsia="仿宋_GB2312" w:cs="Times New Roman"/>
          <w:b w:val="0"/>
          <w:bCs w:val="0"/>
          <w:color w:val="auto"/>
          <w:sz w:val="32"/>
          <w:szCs w:val="20"/>
          <w:highlight w:val="none"/>
          <w:lang w:val="en-US" w:eastAsia="zh-CN"/>
        </w:rPr>
        <w:t>四</w:t>
      </w:r>
      <w:r>
        <w:rPr>
          <w:rFonts w:hint="default" w:ascii="Times New Roman" w:hAnsi="Times New Roman" w:eastAsia="仿宋_GB2312" w:cs="Times New Roman"/>
          <w:b w:val="0"/>
          <w:bCs w:val="0"/>
          <w:color w:val="auto"/>
          <w:sz w:val="32"/>
          <w:szCs w:val="20"/>
          <w:highlight w:val="none"/>
          <w:lang w:val="en" w:eastAsia="zh-CN"/>
        </w:rPr>
        <w:t>）</w:t>
      </w:r>
      <w:r>
        <w:rPr>
          <w:rFonts w:hint="default" w:ascii="Times New Roman" w:hAnsi="Times New Roman" w:eastAsia="仿宋_GB2312" w:cs="Times New Roman"/>
          <w:b w:val="0"/>
          <w:bCs w:val="0"/>
          <w:color w:val="auto"/>
          <w:sz w:val="32"/>
          <w:szCs w:val="20"/>
          <w:highlight w:val="none"/>
          <w:lang w:val="en-US" w:eastAsia="zh-CN"/>
        </w:rPr>
        <w:t>各</w:t>
      </w:r>
      <w:r>
        <w:rPr>
          <w:rFonts w:hint="default" w:ascii="Times New Roman" w:hAnsi="Times New Roman" w:eastAsia="仿宋_GB2312" w:cs="Times New Roman"/>
          <w:color w:val="auto"/>
          <w:kern w:val="0"/>
          <w:sz w:val="32"/>
          <w:szCs w:val="32"/>
          <w:highlight w:val="none"/>
        </w:rPr>
        <w:t>市</w:t>
      </w:r>
      <w:r>
        <w:rPr>
          <w:rFonts w:hint="default" w:ascii="Times New Roman" w:hAnsi="Times New Roman" w:eastAsia="仿宋_GB2312" w:cs="Times New Roman"/>
          <w:color w:val="auto"/>
          <w:kern w:val="0"/>
          <w:sz w:val="32"/>
          <w:szCs w:val="32"/>
          <w:highlight w:val="none"/>
          <w:lang w:eastAsia="zh-CN"/>
        </w:rPr>
        <w:t>州</w:t>
      </w:r>
      <w:r>
        <w:rPr>
          <w:rFonts w:hint="default" w:ascii="Times New Roman" w:hAnsi="Times New Roman" w:eastAsia="仿宋_GB2312" w:cs="Times New Roman"/>
          <w:color w:val="auto"/>
          <w:kern w:val="0"/>
          <w:sz w:val="32"/>
          <w:szCs w:val="32"/>
          <w:highlight w:val="none"/>
        </w:rPr>
        <w:t>、县</w:t>
      </w:r>
      <w:r>
        <w:rPr>
          <w:rFonts w:hint="default" w:ascii="Times New Roman" w:hAnsi="Times New Roman" w:eastAsia="仿宋_GB2312" w:cs="Times New Roman"/>
          <w:color w:val="auto"/>
          <w:kern w:val="0"/>
          <w:sz w:val="32"/>
          <w:szCs w:val="32"/>
          <w:highlight w:val="none"/>
          <w:lang w:eastAsia="zh-CN"/>
        </w:rPr>
        <w:t>市区</w:t>
      </w:r>
      <w:r>
        <w:rPr>
          <w:rFonts w:hint="default" w:ascii="Times New Roman" w:hAnsi="Times New Roman" w:eastAsia="仿宋_GB2312" w:cs="Times New Roman"/>
          <w:color w:val="auto"/>
          <w:kern w:val="0"/>
          <w:sz w:val="32"/>
          <w:szCs w:val="32"/>
          <w:highlight w:val="none"/>
          <w:lang w:val="en-US" w:eastAsia="zh-CN"/>
        </w:rPr>
        <w:t>文化旅游、</w:t>
      </w:r>
      <w:r>
        <w:rPr>
          <w:rFonts w:hint="default" w:ascii="Times New Roman" w:hAnsi="Times New Roman" w:eastAsia="仿宋_GB2312" w:cs="Times New Roman"/>
          <w:color w:val="auto"/>
          <w:kern w:val="0"/>
          <w:sz w:val="32"/>
          <w:szCs w:val="32"/>
          <w:highlight w:val="none"/>
        </w:rPr>
        <w:t>文物</w:t>
      </w:r>
      <w:r>
        <w:rPr>
          <w:rFonts w:hint="default" w:ascii="Times New Roman" w:hAnsi="Times New Roman" w:eastAsia="仿宋_GB2312" w:cs="Times New Roman"/>
          <w:color w:val="auto"/>
          <w:kern w:val="0"/>
          <w:sz w:val="32"/>
          <w:szCs w:val="32"/>
          <w:highlight w:val="none"/>
          <w:lang w:val="en-US" w:eastAsia="zh-CN"/>
        </w:rPr>
        <w:t>和财政部门</w:t>
      </w:r>
      <w:r>
        <w:rPr>
          <w:rFonts w:hint="default" w:ascii="Times New Roman" w:hAnsi="Times New Roman" w:eastAsia="仿宋_GB2312" w:cs="Times New Roman"/>
          <w:color w:val="auto"/>
          <w:kern w:val="0"/>
          <w:sz w:val="32"/>
          <w:szCs w:val="32"/>
          <w:highlight w:val="none"/>
        </w:rPr>
        <w:t>应当切实履行项目审核责任，重点审核申报材料的真实性、合规性、准确性、完整性。</w:t>
      </w:r>
    </w:p>
    <w:p w14:paraId="5286A77F">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第十</w:t>
      </w:r>
      <w:r>
        <w:rPr>
          <w:rFonts w:hint="default" w:ascii="Times New Roman" w:hAnsi="Times New Roman" w:eastAsia="仿宋_GB2312" w:cs="Times New Roman"/>
          <w:b/>
          <w:bCs/>
          <w:color w:val="auto"/>
          <w:sz w:val="32"/>
          <w:szCs w:val="20"/>
          <w:highlight w:val="none"/>
          <w:lang w:val="en-US" w:eastAsia="zh-CN"/>
        </w:rPr>
        <w:t>五</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省文化和旅游厅、省文物局对上报的项目资料进行审核，审核主要内容包括：申报单位是否符合申报条件、项目内容是否符合专项资金支持范围、申报资料是否完整、绩效目标是否明确等。</w:t>
      </w:r>
    </w:p>
    <w:p w14:paraId="0F676F82">
      <w:pPr>
        <w:keepNext w:val="0"/>
        <w:keepLines w:val="0"/>
        <w:widowControl w:val="0"/>
        <w:suppressLineNumbers w:val="0"/>
        <w:overflowPunct w:val="0"/>
        <w:snapToGrid w:val="0"/>
        <w:spacing w:line="600" w:lineRule="exact"/>
        <w:ind w:firstLine="643" w:firstLineChars="200"/>
        <w:jc w:val="both"/>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第十</w:t>
      </w:r>
      <w:r>
        <w:rPr>
          <w:rFonts w:hint="default" w:ascii="Times New Roman" w:hAnsi="Times New Roman" w:eastAsia="仿宋_GB2312" w:cs="Times New Roman"/>
          <w:b/>
          <w:bCs/>
          <w:color w:val="auto"/>
          <w:sz w:val="32"/>
          <w:szCs w:val="20"/>
          <w:highlight w:val="none"/>
          <w:lang w:val="en-US" w:eastAsia="zh-CN"/>
        </w:rPr>
        <w:t>六</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32"/>
          <w:highlight w:val="none"/>
        </w:rPr>
        <w:t>经初审合格的项目（文物保护利用项目除外）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由省文化和旅游厅、省文物局组织专家或委托第三方评估机构进行评审。同时，将项目绩效目标的</w:t>
      </w:r>
      <w:r>
        <w:rPr>
          <w:rFonts w:hint="default" w:ascii="Times New Roman" w:hAnsi="Times New Roman" w:eastAsia="仿宋_GB2312" w:cs="Times New Roman"/>
          <w:color w:val="auto"/>
          <w:sz w:val="32"/>
          <w:szCs w:val="32"/>
          <w:highlight w:val="none"/>
          <w:lang w:eastAsia="zh-CN"/>
        </w:rPr>
        <w:t>完整性、</w:t>
      </w:r>
      <w:r>
        <w:rPr>
          <w:rFonts w:hint="default" w:ascii="Times New Roman" w:hAnsi="Times New Roman" w:eastAsia="仿宋_GB2312" w:cs="Times New Roman"/>
          <w:color w:val="auto"/>
          <w:sz w:val="32"/>
          <w:szCs w:val="32"/>
          <w:highlight w:val="none"/>
        </w:rPr>
        <w:t>相关性、</w:t>
      </w:r>
      <w:r>
        <w:rPr>
          <w:rFonts w:hint="default" w:ascii="Times New Roman" w:hAnsi="Times New Roman" w:eastAsia="仿宋_GB2312" w:cs="Times New Roman"/>
          <w:color w:val="auto"/>
          <w:sz w:val="32"/>
          <w:szCs w:val="32"/>
          <w:highlight w:val="none"/>
          <w:lang w:eastAsia="zh-CN"/>
        </w:rPr>
        <w:t>适当</w:t>
      </w:r>
      <w:r>
        <w:rPr>
          <w:rFonts w:hint="default" w:ascii="Times New Roman" w:hAnsi="Times New Roman" w:eastAsia="仿宋_GB2312" w:cs="Times New Roman"/>
          <w:color w:val="auto"/>
          <w:sz w:val="32"/>
          <w:szCs w:val="32"/>
          <w:highlight w:val="none"/>
        </w:rPr>
        <w:t>性、可</w:t>
      </w:r>
      <w:r>
        <w:rPr>
          <w:rFonts w:hint="default" w:ascii="Times New Roman" w:hAnsi="Times New Roman" w:eastAsia="仿宋_GB2312" w:cs="Times New Roman"/>
          <w:color w:val="auto"/>
          <w:sz w:val="32"/>
          <w:szCs w:val="32"/>
          <w:highlight w:val="none"/>
          <w:lang w:eastAsia="zh-CN"/>
        </w:rPr>
        <w:t>行</w:t>
      </w:r>
      <w:r>
        <w:rPr>
          <w:rFonts w:hint="default" w:ascii="Times New Roman" w:hAnsi="Times New Roman" w:eastAsia="仿宋_GB2312" w:cs="Times New Roman"/>
          <w:color w:val="auto"/>
          <w:sz w:val="32"/>
          <w:szCs w:val="32"/>
          <w:highlight w:val="none"/>
        </w:rPr>
        <w:t>性作为评审的重要内容。</w:t>
      </w:r>
      <w:r>
        <w:rPr>
          <w:rFonts w:hint="default" w:ascii="Times New Roman" w:hAnsi="Times New Roman" w:eastAsia="仿宋_GB2312" w:cs="Times New Roman"/>
          <w:color w:val="auto"/>
          <w:sz w:val="32"/>
          <w:szCs w:val="20"/>
          <w:highlight w:val="none"/>
          <w:lang w:val="en" w:eastAsia="zh-CN"/>
        </w:rPr>
        <w:t>对需要现场考察的项目，由省文化和旅游厅、省文物局组织实施考察。省文化和旅游厅、省文物局根据年度工作重点、资金预算、专家评审意见、项目轻重缓急</w:t>
      </w: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 w:eastAsia="zh-CN"/>
        </w:rPr>
        <w:t>项目实施进度</w:t>
      </w:r>
      <w:r>
        <w:rPr>
          <w:rFonts w:hint="default" w:ascii="Times New Roman" w:hAnsi="Times New Roman" w:eastAsia="仿宋_GB2312" w:cs="Times New Roman"/>
          <w:color w:val="auto"/>
          <w:sz w:val="32"/>
          <w:szCs w:val="20"/>
          <w:highlight w:val="none"/>
          <w:lang w:val="en-US" w:eastAsia="zh-CN"/>
        </w:rPr>
        <w:t>和年度决算</w:t>
      </w:r>
      <w:r>
        <w:rPr>
          <w:rFonts w:hint="default" w:ascii="Times New Roman" w:hAnsi="Times New Roman" w:eastAsia="仿宋_GB2312" w:cs="Times New Roman"/>
          <w:color w:val="auto"/>
          <w:sz w:val="32"/>
          <w:szCs w:val="20"/>
          <w:highlight w:val="none"/>
          <w:lang w:val="en" w:eastAsia="zh-CN"/>
        </w:rPr>
        <w:t>等，提出资金项目安排方案，报省财政厅审核。</w:t>
      </w:r>
    </w:p>
    <w:p w14:paraId="7CC623D0">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第十</w:t>
      </w:r>
      <w:r>
        <w:rPr>
          <w:rFonts w:hint="default" w:ascii="Times New Roman" w:hAnsi="Times New Roman" w:eastAsia="仿宋_GB2312" w:cs="Times New Roman"/>
          <w:b/>
          <w:bCs/>
          <w:color w:val="auto"/>
          <w:sz w:val="32"/>
          <w:szCs w:val="20"/>
          <w:highlight w:val="none"/>
          <w:lang w:val="en-US" w:eastAsia="zh-CN"/>
        </w:rPr>
        <w:t>七</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省财政厅根据省文化和旅游厅、省文物局建议的分配方案，综合考虑专项资金年度预算、资金预算管理要求以及专家评审意见等，审核研究当年资金和项目分配方案。市级及以下文物保护单位保护项目预算不超过专项资金年度预算规模的15%，</w:t>
      </w:r>
      <w:r>
        <w:rPr>
          <w:rFonts w:hint="default" w:ascii="Times New Roman" w:hAnsi="Times New Roman" w:eastAsia="仿宋_GB2312" w:cs="Times New Roman"/>
          <w:color w:val="auto"/>
          <w:sz w:val="32"/>
          <w:szCs w:val="20"/>
          <w:highlight w:val="none"/>
          <w:lang w:val="en-US" w:eastAsia="zh-CN"/>
        </w:rPr>
        <w:t>确因工作需要突破上述比例的，应经省财政厅、省文化和旅游厅、省文物局共同研究同意。</w:t>
      </w:r>
    </w:p>
    <w:p w14:paraId="2AEEB0A7">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十八</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有下列情形之一的专项资金不予支持：</w:t>
      </w:r>
    </w:p>
    <w:p w14:paraId="0045E022">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（一）根据监督检查、绩效评价结果反映，近三年专项资金项目存在资金使用不规范、预算执行严重滞后、项目实施未达到预定绩效目标的。</w:t>
      </w:r>
    </w:p>
    <w:p w14:paraId="026E79FB">
      <w:pPr>
        <w:overflowPunct w:val="0"/>
        <w:autoSpaceDE/>
        <w:autoSpaceDN/>
        <w:adjustRightInd/>
        <w:snapToGrid w:val="0"/>
        <w:spacing w:line="600" w:lineRule="exact"/>
        <w:ind w:firstLine="640" w:firstLineChars="200"/>
        <w:rPr>
          <w:rFonts w:hint="default" w:ascii="Times New Roman" w:hAnsi="Times New Roman" w:cs="Times New Roman"/>
          <w:color w:val="auto"/>
          <w:highlight w:val="none"/>
          <w:lang w:val="en" w:eastAsia="zh-CN"/>
        </w:rPr>
      </w:pPr>
      <w:r>
        <w:rPr>
          <w:rFonts w:hint="default" w:ascii="Times New Roman" w:hAnsi="Times New Roman" w:eastAsia="仿宋_GB2312" w:cs="Times New Roman"/>
          <w:color w:val="auto"/>
          <w:sz w:val="32"/>
          <w:szCs w:val="20"/>
          <w:highlight w:val="none"/>
          <w:lang w:val="en" w:eastAsia="zh-CN"/>
        </w:rPr>
        <w:t>（二）未经过规范的申报程序</w:t>
      </w:r>
      <w:r>
        <w:rPr>
          <w:rFonts w:hint="default" w:ascii="Times New Roman" w:hAnsi="Times New Roman" w:eastAsia="仿宋_GB2312" w:cs="Times New Roman"/>
          <w:color w:val="auto"/>
          <w:sz w:val="32"/>
          <w:szCs w:val="20"/>
          <w:highlight w:val="none"/>
          <w:lang w:eastAsia="zh-CN"/>
        </w:rPr>
        <w:t>或</w:t>
      </w:r>
      <w:r>
        <w:rPr>
          <w:rFonts w:hint="default" w:ascii="Times New Roman" w:hAnsi="Times New Roman" w:eastAsia="仿宋_GB2312" w:cs="Times New Roman"/>
          <w:color w:val="auto"/>
          <w:sz w:val="32"/>
          <w:szCs w:val="20"/>
          <w:highlight w:val="none"/>
          <w:lang w:val="en" w:eastAsia="zh-CN"/>
        </w:rPr>
        <w:t>申报材料不合规的。</w:t>
      </w:r>
    </w:p>
    <w:p w14:paraId="7C23FC22">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三</w:t>
      </w:r>
      <w:r>
        <w:rPr>
          <w:rFonts w:hint="default" w:ascii="Times New Roman" w:hAnsi="Times New Roman" w:eastAsia="仿宋_GB2312" w:cs="Times New Roman"/>
          <w:color w:val="auto"/>
          <w:sz w:val="32"/>
          <w:szCs w:val="20"/>
          <w:highlight w:val="none"/>
          <w:lang w:val="en" w:eastAsia="zh-CN"/>
        </w:rPr>
        <w:t>）在</w:t>
      </w:r>
      <w:r>
        <w:rPr>
          <w:rFonts w:hint="default" w:ascii="Times New Roman" w:hAnsi="Times New Roman" w:eastAsia="仿宋_GB2312" w:cs="Times New Roman"/>
          <w:color w:val="auto"/>
          <w:sz w:val="32"/>
          <w:szCs w:val="20"/>
          <w:highlight w:val="none"/>
          <w:lang w:val="en-US" w:eastAsia="zh-CN"/>
        </w:rPr>
        <w:t>整改期限内未完成整改的。</w:t>
      </w:r>
    </w:p>
    <w:p w14:paraId="5042F95F">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color w:val="auto"/>
          <w:sz w:val="32"/>
          <w:szCs w:val="20"/>
          <w:highlight w:val="none"/>
          <w:lang w:val="en-US" w:eastAsia="zh-CN"/>
        </w:rPr>
        <w:t>（四）申报单位被列入严重失信主体名单的。</w:t>
      </w:r>
    </w:p>
    <w:p w14:paraId="230ABC53">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十九</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US" w:eastAsia="zh-CN"/>
        </w:rPr>
        <w:t>对项目</w:t>
      </w:r>
      <w:r>
        <w:rPr>
          <w:rFonts w:hint="default" w:ascii="Times New Roman" w:hAnsi="Times New Roman" w:eastAsia="仿宋_GB2312" w:cs="Times New Roman"/>
          <w:color w:val="auto"/>
          <w:sz w:val="32"/>
          <w:szCs w:val="20"/>
          <w:highlight w:val="none"/>
          <w:lang w:val="en" w:eastAsia="zh-CN"/>
        </w:rPr>
        <w:t>绩效评价结果</w:t>
      </w:r>
      <w:r>
        <w:rPr>
          <w:rFonts w:hint="default" w:ascii="Times New Roman" w:hAnsi="Times New Roman" w:eastAsia="仿宋_GB2312" w:cs="Times New Roman"/>
          <w:color w:val="auto"/>
          <w:sz w:val="32"/>
          <w:szCs w:val="20"/>
          <w:highlight w:val="none"/>
          <w:lang w:val="en" w:eastAsia="zh-CN"/>
        </w:rPr>
        <w:t>较好的视情况予以支持</w:t>
      </w:r>
      <w:r>
        <w:rPr>
          <w:rFonts w:hint="default" w:ascii="Times New Roman" w:hAnsi="Times New Roman" w:eastAsia="仿宋_GB2312" w:cs="Times New Roman"/>
          <w:color w:val="auto"/>
          <w:sz w:val="32"/>
          <w:szCs w:val="20"/>
          <w:highlight w:val="none"/>
          <w:lang w:val="en" w:eastAsia="zh-CN"/>
        </w:rPr>
        <w:t>。</w:t>
      </w:r>
    </w:p>
    <w:p w14:paraId="094DC91C">
      <w:pPr>
        <w:overflowPunct w:val="0"/>
        <w:autoSpaceDE/>
        <w:autoSpaceDN/>
        <w:adjustRightInd/>
        <w:snapToGrid w:val="0"/>
        <w:spacing w:before="313" w:beforeLines="100" w:after="313" w:afterLines="100" w:line="600" w:lineRule="exact"/>
        <w:ind w:firstLine="0" w:firstLineChars="0"/>
        <w:jc w:val="center"/>
        <w:rPr>
          <w:rFonts w:hint="default" w:ascii="Times New Roman" w:hAnsi="Times New Roman" w:eastAsia="黑体" w:cs="Times New Roman"/>
          <w:color w:val="auto"/>
          <w:sz w:val="32"/>
          <w:szCs w:val="20"/>
          <w:highlight w:val="none"/>
          <w:lang w:val="en-US" w:eastAsia="zh-CN"/>
        </w:rPr>
      </w:pPr>
      <w:r>
        <w:rPr>
          <w:rFonts w:hint="default" w:ascii="Times New Roman" w:hAnsi="Times New Roman" w:eastAsia="黑体" w:cs="Times New Roman"/>
          <w:color w:val="auto"/>
          <w:sz w:val="32"/>
          <w:szCs w:val="20"/>
          <w:highlight w:val="none"/>
          <w:lang w:val="en-US" w:eastAsia="zh-CN"/>
        </w:rPr>
        <w:t>第五章  资金下达与管理</w:t>
      </w:r>
    </w:p>
    <w:p w14:paraId="057B4006">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二十</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经审核、公示无异议的项目，由省文化和旅游厅、省文物局会同省财政厅</w:t>
      </w:r>
      <w:r>
        <w:rPr>
          <w:rFonts w:hint="default" w:ascii="Times New Roman" w:hAnsi="Times New Roman" w:eastAsia="仿宋_GB2312" w:cs="Times New Roman"/>
          <w:color w:val="auto"/>
          <w:sz w:val="32"/>
          <w:szCs w:val="20"/>
          <w:highlight w:val="none"/>
          <w:lang w:val="en-US" w:eastAsia="zh-CN"/>
        </w:rPr>
        <w:t>研究提出资金安排方案，因素法分配部分，由省文化和旅游厅、省文物局根据</w:t>
      </w:r>
      <w:r>
        <w:rPr>
          <w:rFonts w:hint="default" w:ascii="Times New Roman" w:hAnsi="Times New Roman" w:eastAsia="仿宋_GB2312" w:cs="Times New Roman"/>
          <w:color w:val="auto"/>
          <w:sz w:val="32"/>
          <w:szCs w:val="20"/>
          <w:highlight w:val="none"/>
          <w:lang w:eastAsia="zh-CN"/>
        </w:rPr>
        <w:t>本办法</w:t>
      </w:r>
      <w:r>
        <w:rPr>
          <w:rFonts w:hint="default" w:ascii="Times New Roman" w:hAnsi="Times New Roman" w:eastAsia="仿宋_GB2312" w:cs="Times New Roman"/>
          <w:color w:val="auto"/>
          <w:sz w:val="32"/>
          <w:szCs w:val="20"/>
          <w:highlight w:val="none"/>
          <w:lang w:val="en-US" w:eastAsia="zh-CN"/>
        </w:rPr>
        <w:t>第四条规定的因素和权重提出对各市县的分配方案。资金分配方案经省文化和旅游厅党组审议</w:t>
      </w:r>
      <w:r>
        <w:rPr>
          <w:rFonts w:hint="default" w:ascii="Times New Roman" w:hAnsi="Times New Roman" w:eastAsia="仿宋_GB2312" w:cs="Times New Roman"/>
          <w:color w:val="auto"/>
          <w:sz w:val="32"/>
          <w:szCs w:val="20"/>
          <w:highlight w:val="none"/>
          <w:lang w:val="en" w:eastAsia="zh-CN"/>
        </w:rPr>
        <w:t>，</w:t>
      </w:r>
      <w:r>
        <w:rPr>
          <w:rFonts w:hint="default" w:ascii="Times New Roman" w:hAnsi="Times New Roman" w:eastAsia="仿宋_GB2312" w:cs="Times New Roman"/>
          <w:color w:val="auto"/>
          <w:sz w:val="32"/>
          <w:szCs w:val="20"/>
          <w:highlight w:val="none"/>
          <w:lang w:val="en-US" w:eastAsia="zh-CN"/>
        </w:rPr>
        <w:t>省财政厅审核，</w:t>
      </w:r>
      <w:r>
        <w:rPr>
          <w:rFonts w:hint="default" w:ascii="Times New Roman" w:hAnsi="Times New Roman" w:eastAsia="仿宋_GB2312" w:cs="Times New Roman"/>
          <w:color w:val="auto"/>
          <w:sz w:val="32"/>
          <w:szCs w:val="20"/>
          <w:highlight w:val="none"/>
          <w:lang w:val="en" w:eastAsia="zh-CN"/>
        </w:rPr>
        <w:t>按程序报省政府审定</w:t>
      </w:r>
      <w:r>
        <w:rPr>
          <w:rFonts w:hint="default" w:ascii="Times New Roman" w:hAnsi="Times New Roman" w:eastAsia="仿宋_GB2312" w:cs="Times New Roman"/>
          <w:color w:val="auto"/>
          <w:sz w:val="32"/>
          <w:szCs w:val="20"/>
          <w:highlight w:val="none"/>
          <w:lang w:val="en-US" w:eastAsia="zh-CN"/>
        </w:rPr>
        <w:t>后，</w:t>
      </w:r>
      <w:r>
        <w:rPr>
          <w:rFonts w:hint="default" w:ascii="Times New Roman" w:hAnsi="Times New Roman" w:eastAsia="仿宋_GB2312" w:cs="Times New Roman"/>
          <w:color w:val="auto"/>
          <w:sz w:val="32"/>
          <w:szCs w:val="20"/>
          <w:highlight w:val="none"/>
          <w:lang w:val="en" w:eastAsia="zh-CN"/>
        </w:rPr>
        <w:t>下达专项资金</w:t>
      </w:r>
      <w:r>
        <w:rPr>
          <w:rFonts w:hint="default" w:ascii="Times New Roman" w:hAnsi="Times New Roman" w:eastAsia="仿宋_GB2312" w:cs="Times New Roman"/>
          <w:color w:val="auto"/>
          <w:sz w:val="32"/>
          <w:szCs w:val="20"/>
          <w:highlight w:val="none"/>
          <w:lang w:val="en-US" w:eastAsia="zh-CN"/>
        </w:rPr>
        <w:t>，下达时间不得晚于</w:t>
      </w:r>
      <w:r>
        <w:rPr>
          <w:rFonts w:hint="default" w:ascii="Times New Roman" w:hAnsi="Times New Roman" w:eastAsia="仿宋_GB2312" w:cs="Times New Roman"/>
          <w:color w:val="auto"/>
          <w:sz w:val="32"/>
          <w:szCs w:val="20"/>
          <w:highlight w:val="none"/>
          <w:lang w:val="en-US" w:eastAsia="zh-CN"/>
        </w:rPr>
        <w:t>每年</w:t>
      </w:r>
      <w:r>
        <w:rPr>
          <w:rFonts w:hint="default" w:ascii="Times New Roman" w:hAnsi="Times New Roman" w:eastAsia="仿宋_GB2312" w:cs="Times New Roman"/>
          <w:color w:val="auto"/>
          <w:sz w:val="32"/>
          <w:szCs w:val="20"/>
          <w:highlight w:val="none"/>
          <w:lang w:val="en-US" w:eastAsia="zh-CN"/>
        </w:rPr>
        <w:t>6月30日。</w:t>
      </w:r>
    </w:p>
    <w:p w14:paraId="7DD27575">
      <w:pPr>
        <w:keepNext w:val="0"/>
        <w:keepLines w:val="0"/>
        <w:widowControl w:val="0"/>
        <w:suppressLineNumbers w:val="0"/>
        <w:overflowPunct w:val="0"/>
        <w:snapToGrid w:val="0"/>
        <w:spacing w:line="600" w:lineRule="exact"/>
        <w:ind w:firstLine="643" w:firstLineChars="200"/>
        <w:jc w:val="both"/>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第二十</w:t>
      </w:r>
      <w:r>
        <w:rPr>
          <w:rFonts w:hint="default" w:ascii="Times New Roman" w:hAnsi="Times New Roman" w:eastAsia="仿宋_GB2312" w:cs="Times New Roman"/>
          <w:b/>
          <w:bCs/>
          <w:color w:val="auto"/>
          <w:sz w:val="32"/>
          <w:szCs w:val="20"/>
          <w:highlight w:val="none"/>
          <w:lang w:val="en-US" w:eastAsia="zh-CN"/>
        </w:rPr>
        <w:t>一</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市州、县市区财政部门在收到专项资金后，按要求及时下达资金，并将资金下达情况抄送同级文化和旅游、</w:t>
      </w:r>
      <w:r>
        <w:rPr>
          <w:rFonts w:hint="default" w:ascii="Times New Roman" w:hAnsi="Times New Roman" w:eastAsia="仿宋_GB2312" w:cs="Times New Roman"/>
          <w:color w:val="auto"/>
          <w:sz w:val="32"/>
          <w:szCs w:val="20"/>
          <w:highlight w:val="none"/>
          <w:lang w:val="en-US" w:eastAsia="zh-CN"/>
        </w:rPr>
        <w:t>文物</w:t>
      </w:r>
      <w:r>
        <w:rPr>
          <w:rFonts w:hint="default" w:ascii="Times New Roman" w:hAnsi="Times New Roman" w:eastAsia="仿宋_GB2312" w:cs="Times New Roman"/>
          <w:color w:val="auto"/>
          <w:sz w:val="32"/>
          <w:szCs w:val="20"/>
          <w:highlight w:val="none"/>
          <w:lang w:val="en" w:eastAsia="zh-CN"/>
        </w:rPr>
        <w:t>主管部门。同级文化和旅游、</w:t>
      </w:r>
      <w:r>
        <w:rPr>
          <w:rFonts w:hint="default" w:ascii="Times New Roman" w:hAnsi="Times New Roman" w:eastAsia="仿宋_GB2312" w:cs="Times New Roman"/>
          <w:color w:val="auto"/>
          <w:sz w:val="32"/>
          <w:szCs w:val="20"/>
          <w:highlight w:val="none"/>
          <w:lang w:val="en-US" w:eastAsia="zh-CN"/>
        </w:rPr>
        <w:t>文物</w:t>
      </w:r>
      <w:r>
        <w:rPr>
          <w:rFonts w:hint="default" w:ascii="Times New Roman" w:hAnsi="Times New Roman" w:eastAsia="仿宋_GB2312" w:cs="Times New Roman"/>
          <w:color w:val="auto"/>
          <w:sz w:val="32"/>
          <w:szCs w:val="20"/>
          <w:highlight w:val="none"/>
          <w:lang w:val="en" w:eastAsia="zh-CN"/>
        </w:rPr>
        <w:t>主管部门要按项目资金的使用和管理要求，</w:t>
      </w:r>
      <w:r>
        <w:rPr>
          <w:rFonts w:hint="default" w:ascii="Times New Roman" w:hAnsi="Times New Roman" w:eastAsia="仿宋_GB2312" w:cs="Times New Roman"/>
          <w:color w:val="auto"/>
          <w:sz w:val="32"/>
          <w:szCs w:val="20"/>
          <w:highlight w:val="none"/>
          <w:lang w:val="en-US" w:eastAsia="zh-CN"/>
        </w:rPr>
        <w:t>建立专项资金绩效目标执行监控机制，对照经批复的绩效目标，定期采集项目实施进度、资金支出进度和绩效目标实现程度等信息。对偏离绩效目标的项目，应及时督促整改；对预计无法实现绩效目标或预算执行严重滞后的项目，按程序报省文化和旅游厅、省文物局。专项资金支付严格执行国库集中支付制度。</w:t>
      </w:r>
    </w:p>
    <w:p w14:paraId="01A4429C">
      <w:pPr>
        <w:keepNext w:val="0"/>
        <w:keepLines w:val="0"/>
        <w:widowControl w:val="0"/>
        <w:suppressLineNumbers w:val="0"/>
        <w:overflowPunct w:val="0"/>
        <w:snapToGrid w:val="0"/>
        <w:spacing w:line="600" w:lineRule="exact"/>
        <w:ind w:firstLine="643" w:firstLineChars="200"/>
        <w:jc w:val="both"/>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第二十</w:t>
      </w:r>
      <w:r>
        <w:rPr>
          <w:rFonts w:hint="default" w:ascii="Times New Roman" w:hAnsi="Times New Roman" w:eastAsia="仿宋_GB2312" w:cs="Times New Roman"/>
          <w:b/>
          <w:bCs/>
          <w:color w:val="auto"/>
          <w:sz w:val="32"/>
          <w:szCs w:val="20"/>
          <w:highlight w:val="none"/>
          <w:lang w:val="en-US" w:eastAsia="zh-CN"/>
        </w:rPr>
        <w:t>二</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支出严格执行国家有关财务规章制度规定的开支范围和开支标准。项目单位应对专项资金实行单独核算，要严格按照专项资金支出内容和管理规定，专款专用。凡涉及到政府采购、招投标、投资评审等事项的，严格按照有关规定执行。项目执行过程中，如遇特殊情况需要调整使用范围和支持内容的，应报省文化和旅游厅、省文物局和省财政厅批准。</w:t>
      </w:r>
    </w:p>
    <w:p w14:paraId="29406F68">
      <w:pPr>
        <w:keepNext w:val="0"/>
        <w:keepLines w:val="0"/>
        <w:widowControl w:val="0"/>
        <w:suppressLineNumbers w:val="0"/>
        <w:overflowPunct w:val="0"/>
        <w:snapToGrid w:val="0"/>
        <w:spacing w:line="600" w:lineRule="exact"/>
        <w:ind w:firstLine="643" w:firstLineChars="200"/>
        <w:jc w:val="both"/>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第二十</w:t>
      </w:r>
      <w:r>
        <w:rPr>
          <w:rFonts w:hint="default" w:ascii="Times New Roman" w:hAnsi="Times New Roman" w:eastAsia="仿宋_GB2312" w:cs="Times New Roman"/>
          <w:b/>
          <w:bCs/>
          <w:color w:val="auto"/>
          <w:sz w:val="32"/>
          <w:szCs w:val="20"/>
          <w:highlight w:val="none"/>
          <w:lang w:val="en-US" w:eastAsia="zh-CN"/>
        </w:rPr>
        <w:t>三</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专项资金结转结余管理按省财政厅有关规定执行。</w:t>
      </w:r>
      <w:r>
        <w:rPr>
          <w:rFonts w:hint="default" w:ascii="Times New Roman" w:hAnsi="Times New Roman" w:eastAsia="仿宋_GB2312" w:cs="Times New Roman"/>
          <w:color w:val="auto"/>
          <w:sz w:val="32"/>
          <w:szCs w:val="20"/>
          <w:highlight w:val="none"/>
          <w:lang w:val="en-US" w:eastAsia="zh-CN"/>
        </w:rPr>
        <w:t>对未完成阶段资金支出进度和绩效目标的，省财政厅可会同</w:t>
      </w:r>
      <w:r>
        <w:rPr>
          <w:rFonts w:hint="default" w:ascii="Times New Roman" w:hAnsi="Times New Roman" w:eastAsia="仿宋_GB2312" w:cs="Times New Roman"/>
          <w:color w:val="auto"/>
          <w:sz w:val="32"/>
          <w:szCs w:val="20"/>
          <w:highlight w:val="none"/>
          <w:lang w:val="en" w:eastAsia="zh-CN"/>
        </w:rPr>
        <w:t>省文化和旅游厅、省文物局</w:t>
      </w:r>
      <w:r>
        <w:rPr>
          <w:rFonts w:hint="default" w:ascii="Times New Roman" w:hAnsi="Times New Roman" w:eastAsia="仿宋_GB2312" w:cs="Times New Roman"/>
          <w:color w:val="auto"/>
          <w:sz w:val="32"/>
          <w:szCs w:val="20"/>
          <w:highlight w:val="none"/>
          <w:lang w:val="en-US" w:eastAsia="zh-CN"/>
        </w:rPr>
        <w:t>收回资金或调整用于其他项目，并同时调减下一年度预算安排。</w:t>
      </w:r>
    </w:p>
    <w:p w14:paraId="012B5F74">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第二十</w:t>
      </w:r>
      <w:r>
        <w:rPr>
          <w:rFonts w:hint="default" w:ascii="Times New Roman" w:hAnsi="Times New Roman" w:eastAsia="仿宋_GB2312" w:cs="Times New Roman"/>
          <w:b/>
          <w:bCs/>
          <w:color w:val="auto"/>
          <w:sz w:val="32"/>
          <w:szCs w:val="20"/>
          <w:highlight w:val="none"/>
          <w:lang w:val="en-US" w:eastAsia="zh-CN"/>
        </w:rPr>
        <w:t>四</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项目单位使用专项资金形成的资产属于国有资产，其管理、使用和处置按照国有资产管理的有关规定执行；知识产权、专利等无形资产的管理，按照有关知识产权和专利法律法规执行。</w:t>
      </w:r>
    </w:p>
    <w:p w14:paraId="35494A94">
      <w:pPr>
        <w:overflowPunct w:val="0"/>
        <w:autoSpaceDE/>
        <w:autoSpaceDN/>
        <w:adjustRightInd/>
        <w:snapToGrid w:val="0"/>
        <w:spacing w:before="313" w:beforeLines="100" w:after="313" w:afterLines="100" w:line="600" w:lineRule="exact"/>
        <w:ind w:firstLine="0" w:firstLineChars="0"/>
        <w:jc w:val="center"/>
        <w:rPr>
          <w:rFonts w:hint="default" w:ascii="Times New Roman" w:hAnsi="Times New Roman" w:eastAsia="黑体" w:cs="Times New Roman"/>
          <w:color w:val="auto"/>
          <w:sz w:val="32"/>
          <w:szCs w:val="20"/>
          <w:highlight w:val="none"/>
          <w:lang w:val="en-US" w:eastAsia="zh-CN"/>
        </w:rPr>
      </w:pPr>
      <w:r>
        <w:rPr>
          <w:rFonts w:hint="default" w:ascii="Times New Roman" w:hAnsi="Times New Roman" w:eastAsia="黑体" w:cs="Times New Roman"/>
          <w:color w:val="auto"/>
          <w:sz w:val="32"/>
          <w:szCs w:val="20"/>
          <w:highlight w:val="none"/>
          <w:lang w:val="en-US" w:eastAsia="zh-CN"/>
        </w:rPr>
        <w:t>第六章  信息公开</w:t>
      </w:r>
    </w:p>
    <w:p w14:paraId="1F64F8EF">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第二十</w:t>
      </w:r>
      <w:r>
        <w:rPr>
          <w:rFonts w:hint="default" w:ascii="Times New Roman" w:hAnsi="Times New Roman" w:eastAsia="仿宋_GB2312" w:cs="Times New Roman"/>
          <w:b/>
          <w:bCs/>
          <w:color w:val="auto"/>
          <w:sz w:val="32"/>
          <w:szCs w:val="20"/>
          <w:highlight w:val="none"/>
          <w:lang w:val="en-US" w:eastAsia="zh-CN"/>
        </w:rPr>
        <w:t>五</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除报经省政府审定同意不予公开的事项外，专项资金管理全过程在省级预算公开平台和省文化和旅游厅、省文物局门户网站上统一公开，</w:t>
      </w:r>
      <w:r>
        <w:rPr>
          <w:rFonts w:hint="default" w:ascii="Times New Roman" w:hAnsi="Times New Roman" w:eastAsia="仿宋_GB2312" w:cs="Times New Roman"/>
          <w:color w:val="auto"/>
          <w:sz w:val="32"/>
          <w:szCs w:val="20"/>
          <w:highlight w:val="none"/>
          <w:lang w:val="en-US" w:eastAsia="zh-CN"/>
        </w:rPr>
        <w:t>公开内容包括：</w:t>
      </w:r>
      <w:r>
        <w:rPr>
          <w:rFonts w:hint="default" w:ascii="Times New Roman" w:hAnsi="Times New Roman" w:eastAsia="仿宋_GB2312" w:cs="Times New Roman"/>
          <w:color w:val="auto"/>
          <w:sz w:val="32"/>
          <w:szCs w:val="20"/>
          <w:highlight w:val="none"/>
          <w:lang w:val="en" w:eastAsia="zh-CN"/>
        </w:rPr>
        <w:t>专项资金管理办法、</w:t>
      </w:r>
      <w:r>
        <w:rPr>
          <w:rFonts w:hint="default" w:ascii="Times New Roman" w:hAnsi="Times New Roman" w:eastAsia="仿宋_GB2312" w:cs="Times New Roman"/>
          <w:color w:val="auto"/>
          <w:spacing w:val="-6"/>
          <w:sz w:val="32"/>
          <w:szCs w:val="20"/>
          <w:highlight w:val="none"/>
          <w:lang w:val="en" w:eastAsia="zh-CN"/>
        </w:rPr>
        <w:t>专项资金申报通知、</w:t>
      </w:r>
      <w:r>
        <w:rPr>
          <w:rFonts w:hint="default" w:ascii="Times New Roman" w:hAnsi="Times New Roman" w:eastAsia="仿宋_GB2312" w:cs="Times New Roman"/>
          <w:color w:val="auto"/>
          <w:spacing w:val="-6"/>
          <w:sz w:val="32"/>
          <w:szCs w:val="20"/>
          <w:highlight w:val="none"/>
          <w:lang w:val="en-US" w:eastAsia="zh-CN"/>
        </w:rPr>
        <w:t>专项资金支持项目、</w:t>
      </w:r>
      <w:r>
        <w:rPr>
          <w:rFonts w:hint="default" w:ascii="Times New Roman" w:hAnsi="Times New Roman" w:eastAsia="仿宋_GB2312" w:cs="Times New Roman"/>
          <w:color w:val="auto"/>
          <w:spacing w:val="-6"/>
          <w:sz w:val="32"/>
          <w:szCs w:val="20"/>
          <w:highlight w:val="none"/>
          <w:lang w:val="en" w:eastAsia="zh-CN"/>
        </w:rPr>
        <w:t>专项资金绩效评价结果等。</w:t>
      </w:r>
    </w:p>
    <w:p w14:paraId="62B7BFBA">
      <w:pPr>
        <w:overflowPunct w:val="0"/>
        <w:autoSpaceDE/>
        <w:autoSpaceDN/>
        <w:adjustRightInd/>
        <w:snapToGrid w:val="0"/>
        <w:spacing w:line="600" w:lineRule="exact"/>
        <w:ind w:firstLine="640"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color w:val="auto"/>
          <w:sz w:val="32"/>
          <w:szCs w:val="20"/>
          <w:highlight w:val="none"/>
          <w:lang w:val="en" w:eastAsia="zh-CN"/>
        </w:rPr>
        <w:t>涉及国家秘密的，按照相关保密要求办理。</w:t>
      </w:r>
    </w:p>
    <w:p w14:paraId="7AA70B5C">
      <w:pPr>
        <w:overflowPunct w:val="0"/>
        <w:autoSpaceDE/>
        <w:autoSpaceDN/>
        <w:adjustRightInd/>
        <w:snapToGrid w:val="0"/>
        <w:spacing w:before="313" w:beforeLines="100" w:after="313" w:afterLines="100" w:line="600" w:lineRule="exact"/>
        <w:ind w:firstLine="0" w:firstLineChars="0"/>
        <w:jc w:val="center"/>
        <w:rPr>
          <w:rFonts w:hint="default" w:ascii="Times New Roman" w:hAnsi="Times New Roman" w:eastAsia="黑体" w:cs="Times New Roman"/>
          <w:color w:val="auto"/>
          <w:sz w:val="32"/>
          <w:szCs w:val="20"/>
          <w:highlight w:val="none"/>
          <w:lang w:val="en-US" w:eastAsia="zh-CN"/>
        </w:rPr>
      </w:pPr>
      <w:r>
        <w:rPr>
          <w:rFonts w:hint="default" w:ascii="Times New Roman" w:hAnsi="Times New Roman" w:eastAsia="黑体" w:cs="Times New Roman"/>
          <w:color w:val="auto"/>
          <w:sz w:val="32"/>
          <w:szCs w:val="20"/>
          <w:highlight w:val="none"/>
          <w:lang w:val="en-US" w:eastAsia="zh-CN"/>
        </w:rPr>
        <w:t>第七章  监督与绩效评价</w:t>
      </w:r>
    </w:p>
    <w:p w14:paraId="122EFD6F">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第二十</w:t>
      </w:r>
      <w:r>
        <w:rPr>
          <w:rFonts w:hint="default" w:ascii="Times New Roman" w:hAnsi="Times New Roman" w:eastAsia="仿宋_GB2312" w:cs="Times New Roman"/>
          <w:b/>
          <w:bCs/>
          <w:color w:val="auto"/>
          <w:sz w:val="32"/>
          <w:szCs w:val="20"/>
          <w:highlight w:val="none"/>
          <w:lang w:val="en-US" w:eastAsia="zh-CN"/>
        </w:rPr>
        <w:t>六</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各级财政部门、文化和旅游、</w:t>
      </w:r>
      <w:r>
        <w:rPr>
          <w:rFonts w:hint="default" w:ascii="Times New Roman" w:hAnsi="Times New Roman" w:eastAsia="仿宋_GB2312" w:cs="Times New Roman"/>
          <w:color w:val="auto"/>
          <w:sz w:val="32"/>
          <w:szCs w:val="20"/>
          <w:highlight w:val="none"/>
          <w:lang w:val="en-US" w:eastAsia="zh-CN"/>
        </w:rPr>
        <w:t>文物</w:t>
      </w:r>
      <w:r>
        <w:rPr>
          <w:rFonts w:hint="default" w:ascii="Times New Roman" w:hAnsi="Times New Roman" w:eastAsia="仿宋_GB2312" w:cs="Times New Roman"/>
          <w:color w:val="auto"/>
          <w:sz w:val="32"/>
          <w:szCs w:val="20"/>
          <w:highlight w:val="none"/>
          <w:lang w:val="en" w:eastAsia="zh-CN"/>
        </w:rPr>
        <w:t>主管部门按照预算绩效管理的有关要求，完善绩效目标管理，做好绩效监控和绩效评价，确保财政资金安全有效。</w:t>
      </w:r>
    </w:p>
    <w:p w14:paraId="6B384F3C">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US"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二十七</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各市州、县市区文化和旅游、</w:t>
      </w:r>
      <w:r>
        <w:rPr>
          <w:rFonts w:hint="default" w:ascii="Times New Roman" w:hAnsi="Times New Roman" w:eastAsia="仿宋_GB2312" w:cs="Times New Roman"/>
          <w:color w:val="auto"/>
          <w:sz w:val="32"/>
          <w:szCs w:val="20"/>
          <w:highlight w:val="none"/>
          <w:lang w:val="en-US" w:eastAsia="zh-CN"/>
        </w:rPr>
        <w:t>文物</w:t>
      </w:r>
      <w:r>
        <w:rPr>
          <w:rFonts w:hint="default" w:ascii="Times New Roman" w:hAnsi="Times New Roman" w:eastAsia="仿宋_GB2312" w:cs="Times New Roman"/>
          <w:color w:val="auto"/>
          <w:sz w:val="32"/>
          <w:szCs w:val="20"/>
          <w:highlight w:val="none"/>
          <w:lang w:val="en" w:eastAsia="zh-CN"/>
        </w:rPr>
        <w:t>主管部门会同同级财政部门定期或不定期对项目执行和专项资金使用情况进行督查，督促项目承担单位按计划完成项目建设，根据中央和省绩效评价工作相关要求，组织开展绩效评价工作，并按要求（于每年1月底前）将绩效评价报告报送省文化和旅游厅、省文物局。省文化和旅游厅、省文物局每年第一季度组织开展部门评价，省财政厅适时开展重点绩效评价。绩效评价结果作为下年度资金安排、</w:t>
      </w:r>
      <w:r>
        <w:rPr>
          <w:rFonts w:hint="default" w:ascii="Times New Roman" w:hAnsi="Times New Roman" w:eastAsia="仿宋_GB2312" w:cs="Times New Roman"/>
          <w:color w:val="auto"/>
          <w:sz w:val="32"/>
          <w:szCs w:val="20"/>
          <w:highlight w:val="none"/>
          <w:lang w:val="en-US" w:eastAsia="zh-CN"/>
        </w:rPr>
        <w:t>完善政策、改进管理</w:t>
      </w:r>
      <w:r>
        <w:rPr>
          <w:rFonts w:hint="default" w:ascii="Times New Roman" w:hAnsi="Times New Roman" w:eastAsia="仿宋_GB2312" w:cs="Times New Roman"/>
          <w:color w:val="auto"/>
          <w:sz w:val="32"/>
          <w:szCs w:val="20"/>
          <w:highlight w:val="none"/>
          <w:lang w:val="en" w:eastAsia="zh-CN"/>
        </w:rPr>
        <w:t>的重要依据。</w:t>
      </w:r>
      <w:r>
        <w:rPr>
          <w:rFonts w:hint="default" w:ascii="Times New Roman" w:hAnsi="Times New Roman" w:eastAsia="仿宋_GB2312" w:cs="Times New Roman"/>
          <w:color w:val="auto"/>
          <w:sz w:val="32"/>
          <w:szCs w:val="20"/>
          <w:highlight w:val="none"/>
          <w:lang w:val="en-US" w:eastAsia="zh-CN"/>
        </w:rPr>
        <w:t>对绩效评价结果较差的项目，可相应调减或取消下一年度资金安排。</w:t>
      </w:r>
    </w:p>
    <w:p w14:paraId="4A69BB13">
      <w:pPr>
        <w:keepNext w:val="0"/>
        <w:keepLines w:val="0"/>
        <w:widowControl w:val="0"/>
        <w:suppressLineNumbers w:val="0"/>
        <w:overflowPunct w:val="0"/>
        <w:snapToGrid w:val="0"/>
        <w:spacing w:line="600" w:lineRule="exact"/>
        <w:ind w:firstLine="643" w:firstLineChars="200"/>
        <w:jc w:val="both"/>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二十八</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管理和使用应当严格执行国家有关法律法规、财务规章制度，资金使用单位应接受财政、审计、监察等部门的监督检查。各级财政部门和文化和旅游主管部门应当按照各自职责，加强对专项资金分配和使用的监管</w:t>
      </w:r>
      <w:r>
        <w:rPr>
          <w:rFonts w:hint="default" w:ascii="Times New Roman" w:hAnsi="Times New Roman" w:eastAsia="仿宋_GB2312" w:cs="Times New Roman"/>
          <w:color w:val="auto"/>
          <w:sz w:val="32"/>
          <w:szCs w:val="20"/>
          <w:highlight w:val="none"/>
          <w:lang w:val="en-US" w:eastAsia="zh-CN"/>
        </w:rPr>
        <w:t>，</w:t>
      </w:r>
      <w:r>
        <w:rPr>
          <w:rFonts w:hint="default" w:ascii="Times New Roman" w:hAnsi="Times New Roman" w:eastAsia="仿宋_GB2312" w:cs="Times New Roman"/>
          <w:color w:val="auto"/>
          <w:sz w:val="32"/>
          <w:szCs w:val="20"/>
          <w:highlight w:val="none"/>
          <w:lang w:val="en-US" w:eastAsia="zh-CN"/>
        </w:rPr>
        <w:t>建立健全激励约束相容的绩效管理机制，将绩效评价结果作为改进管理、完善政策和下一年度预算安排的重要参考。</w:t>
      </w:r>
      <w:r>
        <w:rPr>
          <w:rFonts w:hint="default" w:ascii="Times New Roman" w:hAnsi="Times New Roman" w:eastAsia="仿宋_GB2312" w:cs="Times New Roman"/>
          <w:color w:val="auto"/>
          <w:sz w:val="32"/>
          <w:szCs w:val="20"/>
          <w:highlight w:val="none"/>
          <w:lang w:val="en" w:eastAsia="zh-CN"/>
        </w:rPr>
        <w:t>项目实施单位应当建立健全内部监督约束机制，确保专项资金管理和使用安全、规范。</w:t>
      </w:r>
    </w:p>
    <w:p w14:paraId="1AE0709A">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w:t>
      </w:r>
      <w:r>
        <w:rPr>
          <w:rFonts w:hint="default" w:ascii="Times New Roman" w:hAnsi="Times New Roman" w:eastAsia="仿宋_GB2312" w:cs="Times New Roman"/>
          <w:b/>
          <w:bCs/>
          <w:color w:val="auto"/>
          <w:sz w:val="32"/>
          <w:szCs w:val="20"/>
          <w:highlight w:val="none"/>
          <w:lang w:val="en-US" w:eastAsia="zh-CN"/>
        </w:rPr>
        <w:t>二十九</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各级财政、文化和旅游、</w:t>
      </w:r>
      <w:r>
        <w:rPr>
          <w:rFonts w:hint="default" w:ascii="Times New Roman" w:hAnsi="Times New Roman" w:eastAsia="仿宋_GB2312" w:cs="Times New Roman"/>
          <w:color w:val="auto"/>
          <w:sz w:val="32"/>
          <w:szCs w:val="20"/>
          <w:highlight w:val="none"/>
          <w:lang w:val="en-US" w:eastAsia="zh-CN"/>
        </w:rPr>
        <w:t>文物</w:t>
      </w:r>
      <w:r>
        <w:rPr>
          <w:rFonts w:hint="default" w:ascii="Times New Roman" w:hAnsi="Times New Roman" w:eastAsia="仿宋_GB2312" w:cs="Times New Roman"/>
          <w:color w:val="auto"/>
          <w:sz w:val="32"/>
          <w:szCs w:val="20"/>
          <w:highlight w:val="none"/>
          <w:lang w:val="en" w:eastAsia="zh-CN"/>
        </w:rPr>
        <w:t>部门及其工作人员在专项资金分配、审核等工作中，存在违反规定分配专项资金、向不符合条件的单位或项目分配专项资金，以及其他滥用职权、玩忽职守、徇私舞弊等违法违纪行为的，按照《中华人民共和国预算法》《中华人民共和国公务员法》《中华人民共和国监察法》《</w:t>
      </w:r>
      <w:r>
        <w:rPr>
          <w:rFonts w:hint="default" w:ascii="Times New Roman" w:hAnsi="Times New Roman" w:eastAsia="仿宋_GB2312" w:cs="Times New Roman"/>
          <w:color w:val="auto"/>
          <w:sz w:val="32"/>
          <w:szCs w:val="20"/>
          <w:highlight w:val="none"/>
          <w:lang w:val="en-US" w:eastAsia="zh-CN"/>
        </w:rPr>
        <w:t>湖南省财政监督条例</w:t>
      </w:r>
      <w:r>
        <w:rPr>
          <w:rFonts w:hint="default" w:ascii="Times New Roman" w:hAnsi="Times New Roman" w:eastAsia="仿宋_GB2312" w:cs="Times New Roman"/>
          <w:color w:val="auto"/>
          <w:sz w:val="32"/>
          <w:szCs w:val="20"/>
          <w:highlight w:val="none"/>
          <w:lang w:val="en" w:eastAsia="zh-CN"/>
        </w:rPr>
        <w:t>》《财政违法行为处罚处分条例》等国家有关规定追究相关责任；涉嫌犯罪的，移送司法机关处理。</w:t>
      </w:r>
    </w:p>
    <w:p w14:paraId="6143FE91">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z w:val="32"/>
          <w:szCs w:val="20"/>
          <w:highlight w:val="none"/>
          <w:lang w:val="en" w:eastAsia="zh-CN"/>
        </w:rPr>
      </w:pPr>
      <w:r>
        <w:rPr>
          <w:rFonts w:hint="default" w:ascii="Times New Roman" w:hAnsi="Times New Roman" w:eastAsia="仿宋_GB2312" w:cs="Times New Roman"/>
          <w:b/>
          <w:bCs/>
          <w:color w:val="auto"/>
          <w:sz w:val="32"/>
          <w:szCs w:val="20"/>
          <w:highlight w:val="none"/>
          <w:lang w:val="en" w:eastAsia="zh-CN"/>
        </w:rPr>
        <w:t>第三十条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专项资金实行“谁使用、谁负责”的责任机制，对虚报、冒领、违规挤占、挪用、虚列、套取专项资金等违法违纪行为，按照《中华人民共和国预算法》《中华人民共和国公务员法》《财政违法行为处罚处分条例》等国家有关规定严肃处理；涉嫌犯罪的，移送司法机关处理。</w:t>
      </w:r>
    </w:p>
    <w:p w14:paraId="53E16508">
      <w:pPr>
        <w:overflowPunct w:val="0"/>
        <w:autoSpaceDE/>
        <w:autoSpaceDN/>
        <w:adjustRightInd/>
        <w:snapToGrid w:val="0"/>
        <w:spacing w:before="313" w:beforeLines="100" w:after="313" w:afterLines="100" w:line="600" w:lineRule="exact"/>
        <w:ind w:left="0" w:leftChars="0" w:firstLine="0" w:firstLineChars="0"/>
        <w:jc w:val="center"/>
        <w:rPr>
          <w:rFonts w:hint="default" w:ascii="Times New Roman" w:hAnsi="Times New Roman" w:eastAsia="黑体" w:cs="Times New Roman"/>
          <w:color w:val="auto"/>
          <w:sz w:val="32"/>
          <w:szCs w:val="20"/>
          <w:highlight w:val="none"/>
          <w:lang w:val="en-US" w:eastAsia="zh-CN"/>
        </w:rPr>
      </w:pPr>
      <w:r>
        <w:rPr>
          <w:rFonts w:hint="default" w:ascii="Times New Roman" w:hAnsi="Times New Roman" w:eastAsia="黑体" w:cs="Times New Roman"/>
          <w:color w:val="auto"/>
          <w:sz w:val="32"/>
          <w:szCs w:val="20"/>
          <w:highlight w:val="none"/>
          <w:lang w:val="en-US" w:eastAsia="zh-CN"/>
        </w:rPr>
        <w:t>第八章  附  则</w:t>
      </w:r>
    </w:p>
    <w:p w14:paraId="5173B1F7">
      <w:pPr>
        <w:overflowPunct w:val="0"/>
        <w:autoSpaceDE/>
        <w:autoSpaceDN/>
        <w:adjustRightInd/>
        <w:snapToGrid w:val="0"/>
        <w:spacing w:line="600" w:lineRule="exact"/>
        <w:ind w:firstLine="643" w:firstLineChars="200"/>
        <w:rPr>
          <w:rFonts w:hint="default" w:ascii="Times New Roman" w:hAnsi="Times New Roman" w:eastAsia="仿宋_GB2312" w:cs="Times New Roman"/>
          <w:color w:val="auto"/>
          <w:spacing w:val="-11"/>
          <w:sz w:val="32"/>
          <w:szCs w:val="20"/>
          <w:highlight w:val="none"/>
          <w:lang w:val="en-US" w:eastAsia="zh-CN"/>
        </w:rPr>
        <w:sectPr>
          <w:footerReference r:id="rId5" w:type="default"/>
          <w:pgSz w:w="11906" w:h="16838"/>
          <w:pgMar w:top="1417" w:right="1587" w:bottom="1417" w:left="1587" w:header="851" w:footer="1304" w:gutter="0"/>
          <w:pgNumType w:fmt="numberInDash" w:start="1"/>
          <w:cols w:space="425" w:num="1"/>
          <w:docGrid w:type="lines" w:linePitch="312" w:charSpace="0"/>
        </w:sectPr>
      </w:pPr>
      <w:r>
        <w:rPr>
          <w:rFonts w:hint="default" w:ascii="Times New Roman" w:hAnsi="Times New Roman" w:eastAsia="仿宋_GB2312" w:cs="Times New Roman"/>
          <w:b/>
          <w:bCs/>
          <w:color w:val="auto"/>
          <w:sz w:val="32"/>
          <w:szCs w:val="20"/>
          <w:highlight w:val="none"/>
          <w:lang w:val="en" w:eastAsia="zh-CN"/>
        </w:rPr>
        <w:t>第三十</w:t>
      </w:r>
      <w:r>
        <w:rPr>
          <w:rFonts w:hint="eastAsia" w:ascii="Times New Roman" w:hAnsi="Times New Roman" w:eastAsia="仿宋_GB2312" w:cs="Times New Roman"/>
          <w:b/>
          <w:bCs/>
          <w:color w:val="auto"/>
          <w:sz w:val="32"/>
          <w:szCs w:val="20"/>
          <w:highlight w:val="none"/>
          <w:lang w:val="en-US" w:eastAsia="zh-CN"/>
        </w:rPr>
        <w:t>一</w:t>
      </w:r>
      <w:r>
        <w:rPr>
          <w:rFonts w:hint="default" w:ascii="Times New Roman" w:hAnsi="Times New Roman" w:eastAsia="仿宋_GB2312" w:cs="Times New Roman"/>
          <w:b/>
          <w:bCs/>
          <w:color w:val="auto"/>
          <w:sz w:val="32"/>
          <w:szCs w:val="20"/>
          <w:highlight w:val="none"/>
          <w:lang w:val="en" w:eastAsia="zh-CN"/>
        </w:rPr>
        <w:t>条</w:t>
      </w:r>
      <w:r>
        <w:rPr>
          <w:rFonts w:hint="default" w:ascii="Times New Roman" w:hAnsi="Times New Roman" w:eastAsia="仿宋_GB2312" w:cs="Times New Roman"/>
          <w:color w:val="auto"/>
          <w:sz w:val="32"/>
          <w:szCs w:val="20"/>
          <w:highlight w:val="none"/>
          <w:lang w:val="en-US" w:eastAsia="zh-CN"/>
        </w:rPr>
        <w:t xml:space="preserve">  </w:t>
      </w:r>
      <w:r>
        <w:rPr>
          <w:rFonts w:hint="default" w:ascii="Times New Roman" w:hAnsi="Times New Roman" w:eastAsia="仿宋_GB2312" w:cs="Times New Roman"/>
          <w:color w:val="auto"/>
          <w:sz w:val="32"/>
          <w:szCs w:val="20"/>
          <w:highlight w:val="none"/>
          <w:lang w:val="en" w:eastAsia="zh-CN"/>
        </w:rPr>
        <w:t>本办法自2026年</w:t>
      </w:r>
      <w:r>
        <w:rPr>
          <w:rFonts w:hint="default" w:ascii="Times New Roman" w:hAnsi="Times New Roman" w:eastAsia="仿宋_GB2312" w:cs="Times New Roman"/>
          <w:color w:val="auto"/>
          <w:sz w:val="32"/>
          <w:szCs w:val="20"/>
          <w:highlight w:val="none"/>
          <w:lang w:val="en-US" w:eastAsia="zh-CN"/>
        </w:rPr>
        <w:t>9</w:t>
      </w:r>
      <w:r>
        <w:rPr>
          <w:rFonts w:hint="default" w:ascii="Times New Roman" w:hAnsi="Times New Roman" w:eastAsia="仿宋_GB2312" w:cs="Times New Roman"/>
          <w:color w:val="auto"/>
          <w:sz w:val="32"/>
          <w:szCs w:val="20"/>
          <w:highlight w:val="none"/>
          <w:lang w:val="en" w:eastAsia="zh-CN"/>
        </w:rPr>
        <w:t>月</w:t>
      </w:r>
      <w:r>
        <w:rPr>
          <w:rFonts w:hint="default" w:ascii="Times New Roman" w:hAnsi="Times New Roman" w:eastAsia="仿宋_GB2312" w:cs="Times New Roman"/>
          <w:color w:val="auto"/>
          <w:sz w:val="32"/>
          <w:szCs w:val="20"/>
          <w:highlight w:val="none"/>
          <w:lang w:val="en-US" w:eastAsia="zh-CN"/>
        </w:rPr>
        <w:t>23</w:t>
      </w:r>
      <w:r>
        <w:rPr>
          <w:rFonts w:hint="default" w:ascii="Times New Roman" w:hAnsi="Times New Roman" w:eastAsia="仿宋_GB2312" w:cs="Times New Roman"/>
          <w:color w:val="auto"/>
          <w:sz w:val="32"/>
          <w:szCs w:val="20"/>
          <w:highlight w:val="none"/>
          <w:lang w:val="en" w:eastAsia="zh-CN"/>
        </w:rPr>
        <w:t>日起施行</w:t>
      </w:r>
      <w:r>
        <w:rPr>
          <w:rFonts w:hint="default" w:ascii="Times New Roman" w:hAnsi="Times New Roman" w:eastAsia="仿宋_GB2312" w:cs="Times New Roman"/>
          <w:color w:val="auto"/>
          <w:sz w:val="32"/>
          <w:szCs w:val="20"/>
          <w:highlight w:val="none"/>
          <w:lang w:eastAsia="zh-CN"/>
        </w:rPr>
        <w:t>，有效期三年，</w:t>
      </w:r>
      <w:r>
        <w:rPr>
          <w:rFonts w:hint="default" w:ascii="Times New Roman" w:hAnsi="Times New Roman" w:eastAsia="仿宋_GB2312" w:cs="Times New Roman"/>
          <w:color w:val="auto"/>
          <w:sz w:val="32"/>
          <w:szCs w:val="20"/>
          <w:highlight w:val="none"/>
          <w:lang w:val="en" w:eastAsia="zh-CN"/>
        </w:rPr>
        <w:t>到期后需延续执行</w:t>
      </w:r>
      <w:r>
        <w:rPr>
          <w:rFonts w:hint="default" w:ascii="Times New Roman" w:hAnsi="Times New Roman" w:eastAsia="仿宋_GB2312" w:cs="Times New Roman"/>
          <w:color w:val="auto"/>
          <w:sz w:val="32"/>
          <w:szCs w:val="20"/>
          <w:highlight w:val="none"/>
          <w:lang w:eastAsia="zh-CN"/>
        </w:rPr>
        <w:t>的</w:t>
      </w:r>
      <w:r>
        <w:rPr>
          <w:rFonts w:hint="default" w:ascii="Times New Roman" w:hAnsi="Times New Roman" w:eastAsia="仿宋_GB2312" w:cs="Times New Roman"/>
          <w:color w:val="auto"/>
          <w:sz w:val="32"/>
          <w:szCs w:val="20"/>
          <w:highlight w:val="none"/>
          <w:lang w:val="en" w:eastAsia="zh-CN"/>
        </w:rPr>
        <w:t>，按省级财政专项资金有关管理办法执行。《</w:t>
      </w:r>
      <w:r>
        <w:rPr>
          <w:rFonts w:hint="default" w:ascii="Times New Roman" w:hAnsi="Times New Roman" w:eastAsia="仿宋_GB2312" w:cs="Times New Roman"/>
          <w:color w:val="auto"/>
          <w:sz w:val="32"/>
          <w:szCs w:val="20"/>
          <w:highlight w:val="none"/>
          <w:lang w:eastAsia="zh-CN"/>
        </w:rPr>
        <w:t>湖南省财政厅 湖南省文物局关于印发〈</w:t>
      </w:r>
      <w:r>
        <w:rPr>
          <w:rFonts w:hint="default" w:ascii="Times New Roman" w:hAnsi="Times New Roman" w:eastAsia="仿宋_GB2312" w:cs="Times New Roman"/>
          <w:color w:val="auto"/>
          <w:sz w:val="32"/>
          <w:szCs w:val="20"/>
          <w:highlight w:val="none"/>
          <w:lang w:val="en" w:eastAsia="zh-CN"/>
        </w:rPr>
        <w:t>湖南省文物保护专项资金管理办法</w:t>
      </w:r>
      <w:r>
        <w:rPr>
          <w:rFonts w:hint="default" w:ascii="Times New Roman" w:hAnsi="Times New Roman" w:eastAsia="仿宋_GB2312" w:cs="Times New Roman"/>
          <w:color w:val="auto"/>
          <w:sz w:val="32"/>
          <w:szCs w:val="20"/>
          <w:highlight w:val="none"/>
          <w:lang w:eastAsia="zh-CN"/>
        </w:rPr>
        <w:t>〉的通知</w:t>
      </w:r>
      <w:r>
        <w:rPr>
          <w:rFonts w:hint="default" w:ascii="Times New Roman" w:hAnsi="Times New Roman" w:eastAsia="仿宋_GB2312" w:cs="Times New Roman"/>
          <w:color w:val="auto"/>
          <w:sz w:val="32"/>
          <w:szCs w:val="20"/>
          <w:highlight w:val="none"/>
          <w:lang w:val="en" w:eastAsia="zh-CN"/>
        </w:rPr>
        <w:t>》（湘财文〔2024〕5号）和《</w:t>
      </w:r>
      <w:r>
        <w:rPr>
          <w:rFonts w:hint="default" w:ascii="Times New Roman" w:hAnsi="Times New Roman" w:eastAsia="仿宋_GB2312" w:cs="Times New Roman"/>
          <w:color w:val="auto"/>
          <w:sz w:val="32"/>
          <w:szCs w:val="20"/>
          <w:highlight w:val="none"/>
          <w:lang w:eastAsia="zh-CN"/>
        </w:rPr>
        <w:t>湖南省财政厅 湖南省文化和旅游厅关于印发〈</w:t>
      </w:r>
      <w:r>
        <w:rPr>
          <w:rFonts w:hint="default" w:ascii="Times New Roman" w:hAnsi="Times New Roman" w:eastAsia="仿宋_GB2312" w:cs="Times New Roman"/>
          <w:color w:val="auto"/>
          <w:sz w:val="32"/>
          <w:szCs w:val="20"/>
          <w:highlight w:val="none"/>
          <w:lang w:val="en" w:eastAsia="zh-CN"/>
        </w:rPr>
        <w:t>湖南省文化旅游发</w:t>
      </w:r>
      <w:r>
        <w:rPr>
          <w:rFonts w:hint="default" w:ascii="Times New Roman" w:hAnsi="Times New Roman" w:eastAsia="仿宋_GB2312" w:cs="Times New Roman"/>
          <w:color w:val="auto"/>
          <w:spacing w:val="-11"/>
          <w:sz w:val="32"/>
          <w:szCs w:val="20"/>
          <w:highlight w:val="none"/>
          <w:lang w:val="en" w:eastAsia="zh-CN"/>
        </w:rPr>
        <w:t>展专项资金管理办法</w:t>
      </w:r>
      <w:r>
        <w:rPr>
          <w:rFonts w:hint="default" w:ascii="Times New Roman" w:hAnsi="Times New Roman" w:eastAsia="仿宋_GB2312" w:cs="Times New Roman"/>
          <w:color w:val="auto"/>
          <w:spacing w:val="-11"/>
          <w:sz w:val="32"/>
          <w:szCs w:val="20"/>
          <w:highlight w:val="none"/>
          <w:lang w:eastAsia="zh-CN"/>
        </w:rPr>
        <w:t>〉的通知</w:t>
      </w:r>
      <w:r>
        <w:rPr>
          <w:rFonts w:hint="default" w:ascii="Times New Roman" w:hAnsi="Times New Roman" w:eastAsia="仿宋_GB2312" w:cs="Times New Roman"/>
          <w:color w:val="auto"/>
          <w:spacing w:val="-11"/>
          <w:sz w:val="32"/>
          <w:szCs w:val="20"/>
          <w:highlight w:val="none"/>
          <w:lang w:val="en" w:eastAsia="zh-CN"/>
        </w:rPr>
        <w:t>》（湘财文〔2024〕6号）同时废止。</w:t>
      </w:r>
      <w:r>
        <w:rPr>
          <w:rFonts w:hint="default" w:ascii="Times New Roman" w:hAnsi="Times New Roman" w:eastAsia="仿宋_GB2312" w:cs="Times New Roman"/>
          <w:color w:val="auto"/>
          <w:spacing w:val="-11"/>
          <w:sz w:val="32"/>
          <w:szCs w:val="20"/>
          <w:highlight w:val="none"/>
          <w:lang w:val="en-US" w:eastAsia="zh-CN"/>
        </w:rPr>
        <w:t>本办法施行前已立项但尚未实施完毕的项目，按照原办法执行。</w:t>
      </w:r>
    </w:p>
    <w:p w14:paraId="17DD5EA1">
      <w:pPr>
        <w:pStyle w:val="2"/>
        <w:rPr>
          <w:rFonts w:ascii="Times New Roman" w:hAnsi="Times New Roman" w:cs="Times New Roman"/>
        </w:rPr>
      </w:pPr>
    </w:p>
    <w:p w14:paraId="02C9338E">
      <w:pPr>
        <w:rPr>
          <w:rFonts w:ascii="Times New Roman" w:hAnsi="Times New Roman" w:cs="Times New Roman"/>
        </w:rPr>
      </w:pPr>
    </w:p>
    <w:p w14:paraId="5647B207">
      <w:pPr>
        <w:rPr>
          <w:rFonts w:ascii="Times New Roman" w:hAnsi="Times New Roman" w:cs="Times New Roman"/>
        </w:rPr>
      </w:pPr>
    </w:p>
    <w:p w14:paraId="71536D4A">
      <w:pPr>
        <w:rPr>
          <w:rFonts w:ascii="Times New Roman" w:hAnsi="Times New Roman" w:cs="Times New Roman"/>
        </w:rPr>
      </w:pPr>
    </w:p>
    <w:p w14:paraId="3D9BB179">
      <w:pPr>
        <w:rPr>
          <w:rFonts w:ascii="Times New Roman" w:hAnsi="Times New Roman" w:cs="Times New Roman"/>
        </w:rPr>
      </w:pPr>
    </w:p>
    <w:p w14:paraId="79D6F70B">
      <w:pPr>
        <w:rPr>
          <w:rFonts w:ascii="Times New Roman" w:hAnsi="Times New Roman" w:cs="Times New Roman"/>
        </w:rPr>
      </w:pPr>
    </w:p>
    <w:p w14:paraId="5BCCACE7">
      <w:pPr>
        <w:rPr>
          <w:rFonts w:ascii="Times New Roman" w:hAnsi="Times New Roman" w:cs="Times New Roman"/>
        </w:rPr>
      </w:pPr>
    </w:p>
    <w:p w14:paraId="08D0A10C">
      <w:pPr>
        <w:rPr>
          <w:rFonts w:ascii="Times New Roman" w:hAnsi="Times New Roman" w:cs="Times New Roman"/>
        </w:rPr>
      </w:pPr>
    </w:p>
    <w:p w14:paraId="1F516571">
      <w:pPr>
        <w:rPr>
          <w:rFonts w:ascii="Times New Roman" w:hAnsi="Times New Roman" w:cs="Times New Roman"/>
        </w:rPr>
      </w:pPr>
    </w:p>
    <w:p w14:paraId="503E31F8">
      <w:pPr>
        <w:rPr>
          <w:rFonts w:ascii="Times New Roman" w:hAnsi="Times New Roman" w:cs="Times New Roman"/>
        </w:rPr>
      </w:pPr>
    </w:p>
    <w:p w14:paraId="6BA3E8E2">
      <w:pPr>
        <w:rPr>
          <w:rFonts w:ascii="Times New Roman" w:hAnsi="Times New Roman" w:cs="Times New Roman"/>
        </w:rPr>
      </w:pPr>
    </w:p>
    <w:p w14:paraId="21E95245">
      <w:pPr>
        <w:rPr>
          <w:rFonts w:ascii="Times New Roman" w:hAnsi="Times New Roman" w:cs="Times New Roman"/>
        </w:rPr>
      </w:pPr>
    </w:p>
    <w:p w14:paraId="01B2871A">
      <w:pPr>
        <w:rPr>
          <w:rFonts w:ascii="Times New Roman" w:hAnsi="Times New Roman" w:cs="Times New Roman"/>
        </w:rPr>
      </w:pPr>
    </w:p>
    <w:p w14:paraId="49AE9FBB">
      <w:pPr>
        <w:rPr>
          <w:rFonts w:ascii="Times New Roman" w:hAnsi="Times New Roman" w:cs="Times New Roman"/>
        </w:rPr>
      </w:pPr>
    </w:p>
    <w:p w14:paraId="4BF64449">
      <w:pPr>
        <w:rPr>
          <w:rFonts w:ascii="Times New Roman" w:hAnsi="Times New Roman" w:cs="Times New Roman"/>
        </w:rPr>
      </w:pPr>
    </w:p>
    <w:p w14:paraId="7196F45C">
      <w:pPr>
        <w:rPr>
          <w:rFonts w:ascii="Times New Roman" w:hAnsi="Times New Roman" w:cs="Times New Roman"/>
        </w:rPr>
      </w:pPr>
    </w:p>
    <w:p w14:paraId="3262DEF2">
      <w:pPr>
        <w:rPr>
          <w:rFonts w:ascii="Times New Roman" w:hAnsi="Times New Roman" w:cs="Times New Roman"/>
        </w:rPr>
      </w:pPr>
    </w:p>
    <w:p w14:paraId="7C45B5C1">
      <w:pPr>
        <w:rPr>
          <w:rFonts w:ascii="Times New Roman" w:hAnsi="Times New Roman" w:cs="Times New Roman"/>
        </w:rPr>
      </w:pPr>
    </w:p>
    <w:p w14:paraId="06A7F875">
      <w:pPr>
        <w:rPr>
          <w:rFonts w:ascii="Times New Roman" w:hAnsi="Times New Roman" w:cs="Times New Roman"/>
        </w:rPr>
      </w:pPr>
    </w:p>
    <w:p w14:paraId="14309DA4">
      <w:pPr>
        <w:rPr>
          <w:rFonts w:ascii="Times New Roman" w:hAnsi="Times New Roman" w:cs="Times New Roman"/>
        </w:rPr>
      </w:pPr>
    </w:p>
    <w:p w14:paraId="5CE16163">
      <w:pPr>
        <w:rPr>
          <w:rFonts w:ascii="Times New Roman" w:hAnsi="Times New Roman" w:cs="Times New Roman"/>
        </w:rPr>
      </w:pPr>
    </w:p>
    <w:p w14:paraId="43D21562">
      <w:pPr>
        <w:rPr>
          <w:rFonts w:ascii="Times New Roman" w:hAnsi="Times New Roman" w:cs="Times New Roman"/>
        </w:rPr>
      </w:pPr>
    </w:p>
    <w:p w14:paraId="2310AD98">
      <w:pPr>
        <w:rPr>
          <w:rFonts w:ascii="Times New Roman" w:hAnsi="Times New Roman" w:cs="Times New Roman"/>
        </w:rPr>
      </w:pPr>
    </w:p>
    <w:p w14:paraId="49F61C7D">
      <w:pPr>
        <w:rPr>
          <w:rFonts w:ascii="Times New Roman" w:hAnsi="Times New Roman" w:cs="Times New Roman"/>
        </w:rPr>
      </w:pPr>
    </w:p>
    <w:p w14:paraId="77C15405">
      <w:pPr>
        <w:rPr>
          <w:rFonts w:ascii="Times New Roman" w:hAnsi="Times New Roman" w:cs="Times New Roman"/>
        </w:rPr>
      </w:pPr>
    </w:p>
    <w:p w14:paraId="7BE0A35E">
      <w:pPr>
        <w:rPr>
          <w:rFonts w:ascii="Times New Roman" w:hAnsi="Times New Roman" w:cs="Times New Roman"/>
        </w:rPr>
      </w:pPr>
    </w:p>
    <w:p w14:paraId="4693DB6C">
      <w:pPr>
        <w:rPr>
          <w:rFonts w:ascii="Times New Roman" w:hAnsi="Times New Roman" w:cs="Times New Roman"/>
        </w:rPr>
      </w:pPr>
    </w:p>
    <w:p w14:paraId="26FAB56A">
      <w:pPr>
        <w:rPr>
          <w:rFonts w:ascii="Times New Roman" w:hAnsi="Times New Roman" w:cs="Times New Roman"/>
        </w:rPr>
      </w:pPr>
    </w:p>
    <w:p w14:paraId="11472EE2">
      <w:pPr>
        <w:rPr>
          <w:rFonts w:ascii="Times New Roman" w:hAnsi="Times New Roman" w:cs="Times New Roman"/>
        </w:rPr>
      </w:pPr>
    </w:p>
    <w:p w14:paraId="56888733">
      <w:pPr>
        <w:rPr>
          <w:rFonts w:ascii="Times New Roman" w:hAnsi="Times New Roman" w:cs="Times New Roman"/>
        </w:rPr>
      </w:pPr>
    </w:p>
    <w:p w14:paraId="5CF89889">
      <w:pPr>
        <w:rPr>
          <w:rFonts w:ascii="Times New Roman" w:hAnsi="Times New Roman" w:cs="Times New Roman"/>
        </w:rPr>
      </w:pPr>
    </w:p>
    <w:p w14:paraId="1C317566">
      <w:pPr>
        <w:rPr>
          <w:rFonts w:ascii="Times New Roman" w:hAnsi="Times New Roman" w:cs="Times New Roman"/>
        </w:rPr>
      </w:pPr>
    </w:p>
    <w:p w14:paraId="1C2EC3AD">
      <w:pPr>
        <w:rPr>
          <w:rFonts w:ascii="Times New Roman" w:hAnsi="Times New Roman" w:cs="Times New Roman"/>
        </w:rPr>
      </w:pPr>
    </w:p>
    <w:p w14:paraId="27800C61">
      <w:pPr>
        <w:rPr>
          <w:rFonts w:ascii="Times New Roman" w:hAnsi="Times New Roman" w:cs="Times New Roman"/>
        </w:rPr>
      </w:pPr>
    </w:p>
    <w:p w14:paraId="2EC8C08C">
      <w:pPr>
        <w:rPr>
          <w:rFonts w:ascii="Times New Roman" w:hAnsi="Times New Roman" w:cs="Times New Roman"/>
        </w:rPr>
      </w:pPr>
    </w:p>
    <w:p w14:paraId="7028EBD1">
      <w:pPr>
        <w:pStyle w:val="2"/>
        <w:rPr>
          <w:rFonts w:ascii="Times New Roman" w:hAnsi="Times New Roman" w:cs="Times New Roman"/>
        </w:rPr>
      </w:pPr>
    </w:p>
    <w:p w14:paraId="439E5AB9">
      <w:pPr>
        <w:rPr>
          <w:rFonts w:ascii="Times New Roman" w:hAnsi="Times New Roman" w:cs="Times New Roman"/>
        </w:rPr>
      </w:pPr>
    </w:p>
    <w:p w14:paraId="28942591">
      <w:pPr>
        <w:rPr>
          <w:rFonts w:ascii="Times New Roman" w:hAnsi="Times New Roman" w:cs="Times New Roman"/>
        </w:rPr>
      </w:pPr>
    </w:p>
    <w:p w14:paraId="477CFA45">
      <w:pPr>
        <w:pStyle w:val="2"/>
        <w:rPr>
          <w:rFonts w:ascii="Times New Roman" w:hAnsi="Times New Roman" w:cs="Times New Roman"/>
        </w:rPr>
      </w:pPr>
    </w:p>
    <w:p w14:paraId="6D76BE8C">
      <w:pPr>
        <w:rPr>
          <w:rFonts w:ascii="Times New Roman" w:hAnsi="Times New Roman" w:cs="Times New Roman"/>
        </w:rPr>
      </w:pPr>
    </w:p>
    <w:p w14:paraId="3FB5C1D7">
      <w:pPr>
        <w:rPr>
          <w:rFonts w:ascii="Times New Roman" w:hAnsi="Times New Roman" w:cs="Times New Roman"/>
        </w:rPr>
      </w:pPr>
    </w:p>
    <w:p w14:paraId="1EAC5F4F">
      <w:pPr>
        <w:spacing w:line="600" w:lineRule="exact"/>
        <w:rPr>
          <w:rFonts w:hint="default" w:ascii="Times New Roman" w:hAnsi="Times New Roman" w:eastAsia="黑体" w:cs="Times New Roman"/>
          <w:b/>
          <w:bCs/>
          <w:sz w:val="28"/>
          <w:szCs w:val="28"/>
          <w:lang w:eastAsia="zh-CN"/>
        </w:rPr>
      </w:pPr>
      <w:r>
        <w:rPr>
          <w:rFonts w:hint="default" w:ascii="Times New Roman" w:hAnsi="Times New Roman" w:eastAsia="黑体" w:cs="Times New Roman"/>
          <w:sz w:val="28"/>
          <w:szCs w:val="28"/>
        </w:rPr>
        <w:t>信息公开选项</w:t>
      </w:r>
      <w:r>
        <w:rPr>
          <w:rFonts w:hint="default" w:ascii="Times New Roman" w:hAnsi="Times New Roman" w:eastAsia="黑体" w:cs="Times New Roman"/>
          <w:sz w:val="28"/>
          <w:szCs w:val="28"/>
          <w:lang w:eastAsia="zh-CN"/>
        </w:rPr>
        <w:t>：主动公开</w:t>
      </w:r>
    </w:p>
    <w:p w14:paraId="02261A91">
      <w:pPr>
        <w:spacing w:line="600" w:lineRule="exact"/>
        <w:rPr>
          <w:rFonts w:ascii="Times New Roman" w:hAnsi="Times New Roman" w:cs="Times New Roman"/>
        </w:rPr>
      </w:pPr>
      <w:r>
        <w:rPr>
          <w:rFonts w:ascii="Times New Roman" w:hAnsi="Times New Roman" w:eastAsia="仿宋_GB2312"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486400" cy="0"/>
                <wp:effectExtent l="0" t="9525" r="0" b="9525"/>
                <wp:wrapNone/>
                <wp:docPr id="5" name="直接连接符 5"/>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pt;height:0pt;width:432pt;z-index:251660288;mso-width-relative:page;mso-height-relative:page;" filled="f" stroked="t" coordsize="21600,21600" o:gfxdata="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9uT7jPAAAAAgEAAA8AAAAAAAAAAQAgAAAAIgAAAGRycy9kb3ducmV2LnhtbFBLAQIUABQAAAAI&#10;AIdO4kADrFT79gEAAOUDAAAOAAAAAAAAAAEAIAAAAB4BAABkcnMvZTJvRG9jLnhtbFBLBQYAAAAA&#10;BgAGAFkBAACGBQAAAAA=&#10;">
                <v:fill on="f" focussize="0,0"/>
                <v:stroke weight="1.5pt" color="#000000" joinstyle="round"/>
                <v:imagedata o:title=""/>
                <o:lock v:ext="edit" aspectratio="f"/>
              </v:line>
            </w:pict>
          </mc:Fallback>
        </mc:AlternateContent>
      </w:r>
      <w:r>
        <w:rPr>
          <w:rFonts w:ascii="Times New Roman" w:hAnsi="Times New Roman" w:eastAsia="仿宋_GB2312" w:cs="Times New Roman"/>
          <w:sz w:val="28"/>
          <w:szCs w:val="28"/>
        </w:rPr>
        <w:t xml:space="preserve">  </w:t>
      </w:r>
      <w:r>
        <w:rPr>
          <w:rFonts w:ascii="Times New Roman" w:hAnsi="Times New Roman" w:eastAsia="仿宋_GB2312"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381000</wp:posOffset>
                </wp:positionV>
                <wp:extent cx="5486400" cy="0"/>
                <wp:effectExtent l="0" t="9525" r="0" b="9525"/>
                <wp:wrapNone/>
                <wp:docPr id="2" name="直接连接符 2"/>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0pt;height:0pt;width:432pt;z-index:251661312;mso-width-relative:page;mso-height-relative:page;" filled="f" stroked="t" coordsize="21600,21600" o:gfxdata="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W5dVE0wAAAAYBAAAPAAAAAAAAAAEAIAAAACIAAABkcnMvZG93bnJldi54bWxQSwECFAAU&#10;AAAACACHTuJAjXU3NPYBAADlAwAADgAAAAAAAAABACAAAAAiAQAAZHJzL2Uyb0RvYy54bWxQSwUG&#10;AAAAAAYABgBZAQAAigUAAAAA&#10;">
                <v:fill on="f" focussize="0,0"/>
                <v:stroke weight="1.5pt" color="#000000" joinstyle="round"/>
                <v:imagedata o:title=""/>
                <o:lock v:ext="edit" aspectratio="f"/>
              </v:line>
            </w:pict>
          </mc:Fallback>
        </mc:AlternateContent>
      </w:r>
      <w:r>
        <w:rPr>
          <w:rFonts w:ascii="Times New Roman" w:hAnsi="Times New Roman" w:eastAsia="仿宋_GB2312" w:cs="Times New Roman"/>
          <w:sz w:val="28"/>
          <w:szCs w:val="28"/>
        </w:rPr>
        <w:t>湖</w:t>
      </w:r>
      <w:r>
        <w:rPr>
          <w:rFonts w:ascii="Times New Roman" w:hAnsi="Times New Roman" w:eastAsia="仿宋_GB2312" w:cs="Times New Roman"/>
          <w:spacing w:val="-6"/>
          <w:sz w:val="28"/>
          <w:szCs w:val="28"/>
        </w:rPr>
        <w:t xml:space="preserve">南省财政厅办公室           </w:t>
      </w:r>
      <w:r>
        <w:rPr>
          <w:rFonts w:hint="default" w:ascii="Times New Roman" w:hAnsi="Times New Roman" w:eastAsia="仿宋_GB2312" w:cs="Times New Roman"/>
          <w:spacing w:val="-6"/>
          <w:sz w:val="28"/>
          <w:szCs w:val="28"/>
          <w:lang w:val="en-US" w:eastAsia="zh-CN"/>
        </w:rPr>
        <w:t xml:space="preserve">   </w:t>
      </w:r>
      <w:r>
        <w:rPr>
          <w:rFonts w:ascii="Times New Roman" w:hAnsi="Times New Roman" w:eastAsia="仿宋_GB2312" w:cs="Times New Roman"/>
          <w:spacing w:val="-6"/>
          <w:sz w:val="28"/>
          <w:szCs w:val="28"/>
        </w:rPr>
        <w:t xml:space="preserve"> </w:t>
      </w:r>
      <w:r>
        <w:rPr>
          <w:rFonts w:hint="default" w:ascii="Times New Roman" w:hAnsi="Times New Roman" w:eastAsia="仿宋_GB2312" w:cs="Times New Roman"/>
          <w:spacing w:val="-6"/>
          <w:sz w:val="28"/>
          <w:szCs w:val="28"/>
          <w:lang w:val="en-US" w:eastAsia="zh-CN"/>
        </w:rPr>
        <w:t xml:space="preserve">   </w:t>
      </w:r>
      <w:r>
        <w:rPr>
          <w:rFonts w:ascii="Times New Roman" w:hAnsi="Times New Roman" w:eastAsia="仿宋_GB2312" w:cs="Times New Roman"/>
          <w:spacing w:val="-6"/>
          <w:sz w:val="28"/>
          <w:szCs w:val="28"/>
        </w:rPr>
        <w:t xml:space="preserve">     </w:t>
      </w:r>
      <w:r>
        <w:rPr>
          <w:rFonts w:hint="default" w:ascii="Times New Roman" w:hAnsi="Times New Roman" w:eastAsia="仿宋_GB2312" w:cs="Times New Roman"/>
          <w:spacing w:val="-6"/>
          <w:sz w:val="28"/>
          <w:szCs w:val="28"/>
        </w:rPr>
        <w:t>20</w:t>
      </w:r>
      <w:r>
        <w:rPr>
          <w:rFonts w:hint="default" w:ascii="Times New Roman" w:hAnsi="Times New Roman" w:eastAsia="仿宋_GB2312" w:cs="Times New Roman"/>
          <w:spacing w:val="-6"/>
          <w:sz w:val="28"/>
          <w:szCs w:val="28"/>
          <w:lang w:val="en-US" w:eastAsia="zh-CN"/>
        </w:rPr>
        <w:t>26</w:t>
      </w:r>
      <w:r>
        <w:rPr>
          <w:rFonts w:ascii="Times New Roman" w:hAnsi="Times New Roman" w:eastAsia="仿宋_GB2312" w:cs="Times New Roman"/>
          <w:spacing w:val="-6"/>
          <w:sz w:val="28"/>
          <w:szCs w:val="28"/>
        </w:rPr>
        <w:t>年10月16日印发</w:t>
      </w:r>
    </w:p>
    <w:sectPr>
      <w:footerReference r:id="rId6" w:type="default"/>
      <w:pgSz w:w="11906" w:h="16838"/>
      <w:pgMar w:top="1417" w:right="1587" w:bottom="1417" w:left="1587" w:header="851" w:footer="1304" w:gutter="0"/>
      <w:pgNumType w:fmt="numberInDash" w:start="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黄珍" w:date="2026-09-09T20:02:19Z" w:initials="">
    <w:p w14:paraId="EAFD4D06">
      <w:pPr>
        <w:pStyle w:val="3"/>
        <w:rPr>
          <w:rFonts w:hint="eastAsia" w:eastAsiaTheme="minorEastAsia"/>
          <w:lang w:eastAsia="zh-CN"/>
        </w:rPr>
      </w:pPr>
      <w:r>
        <w:rPr>
          <w:rFonts w:hint="eastAsia"/>
          <w:lang w:eastAsia="zh-CN"/>
        </w:rPr>
        <w:t>建议修改，涉嫌限制非法人主体，以及限制省内。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EAFD4D0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AC3B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A1FD5">
                          <w:pPr>
                            <w:pStyle w:val="2"/>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FA1FD5">
                    <w:pPr>
                      <w:pStyle w:val="2"/>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DD5A9">
    <w:pPr>
      <w:pStyle w:val="2"/>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珍">
    <w15:presenceInfo w15:providerId="None" w15:userId="黄珍"/>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8721B"/>
    <w:rsid w:val="03C257B6"/>
    <w:rsid w:val="0B9B3E3F"/>
    <w:rsid w:val="11AE2F4A"/>
    <w:rsid w:val="189310B2"/>
    <w:rsid w:val="1A1C7B2F"/>
    <w:rsid w:val="1EB7A023"/>
    <w:rsid w:val="221B2A67"/>
    <w:rsid w:val="23290648"/>
    <w:rsid w:val="335F58A6"/>
    <w:rsid w:val="3CF661BD"/>
    <w:rsid w:val="3E9F5744"/>
    <w:rsid w:val="5AFB2954"/>
    <w:rsid w:val="5B7F1CB4"/>
    <w:rsid w:val="5DDF24DE"/>
    <w:rsid w:val="6208721B"/>
    <w:rsid w:val="67FF38B9"/>
    <w:rsid w:val="6EBC8FC7"/>
    <w:rsid w:val="6F55A0CB"/>
    <w:rsid w:val="76FF6AC8"/>
    <w:rsid w:val="77BF702D"/>
    <w:rsid w:val="77ED36CD"/>
    <w:rsid w:val="77EDCE3A"/>
    <w:rsid w:val="79D51B05"/>
    <w:rsid w:val="7BDFD41E"/>
    <w:rsid w:val="7BFBAF0D"/>
    <w:rsid w:val="7C7B2B44"/>
    <w:rsid w:val="7E536A56"/>
    <w:rsid w:val="7F4F235A"/>
    <w:rsid w:val="7FB1A0B1"/>
    <w:rsid w:val="7FCF0A14"/>
    <w:rsid w:val="7FF7A643"/>
    <w:rsid w:val="7FFEB123"/>
    <w:rsid w:val="7FFF97CF"/>
    <w:rsid w:val="9DDDE413"/>
    <w:rsid w:val="B4D55490"/>
    <w:rsid w:val="B6BFECF4"/>
    <w:rsid w:val="BEDE8CA7"/>
    <w:rsid w:val="BF2CC9AC"/>
    <w:rsid w:val="C927EE78"/>
    <w:rsid w:val="CF796568"/>
    <w:rsid w:val="D9375C82"/>
    <w:rsid w:val="ED4BC10E"/>
    <w:rsid w:val="EEFEC46A"/>
    <w:rsid w:val="EF7EB154"/>
    <w:rsid w:val="EF8B9CCD"/>
    <w:rsid w:val="EFADFDB5"/>
    <w:rsid w:val="FB671F8E"/>
    <w:rsid w:val="FBDAB33D"/>
    <w:rsid w:val="FBDCE0E0"/>
    <w:rsid w:val="FEB71C26"/>
    <w:rsid w:val="FEC5B65B"/>
    <w:rsid w:val="FEF7EEBE"/>
    <w:rsid w:val="FF7360E7"/>
    <w:rsid w:val="FFEF649C"/>
    <w:rsid w:val="FFFC69A1"/>
    <w:rsid w:val="FFFF646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6"/>
      </w:tabs>
      <w:snapToGrid w:val="0"/>
      <w:jc w:val="left"/>
    </w:pPr>
    <w:rPr>
      <w:sz w:val="18"/>
    </w:rPr>
  </w:style>
  <w:style w:type="paragraph" w:styleId="3">
    <w:name w:val="annotation text"/>
    <w:basedOn w:val="1"/>
    <w:qFormat/>
    <w:uiPriority w:val="0"/>
    <w:pPr>
      <w:jc w:val="left"/>
    </w:pPr>
  </w:style>
  <w:style w:type="paragraph" w:styleId="4">
    <w:name w:val="Body Text"/>
    <w:basedOn w:val="1"/>
    <w:qFormat/>
    <w:uiPriority w:val="0"/>
    <w:pPr>
      <w:spacing w:before="142"/>
      <w:ind w:left="111"/>
    </w:pPr>
    <w:rPr>
      <w:rFonts w:ascii="仿宋_GB2312" w:hAnsi="仿宋_GB2312" w:eastAsia="仿宋_GB2312"/>
      <w:sz w:val="32"/>
      <w:szCs w:val="32"/>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index 7"/>
    <w:basedOn w:val="1"/>
    <w:next w:val="1"/>
    <w:qFormat/>
    <w:uiPriority w:val="0"/>
    <w:pPr>
      <w:ind w:left="2520"/>
    </w:pPr>
    <w:rPr>
      <w:rFonts w:ascii="Calibri" w:hAnsi="Calibri" w:eastAsia="宋体" w:cs="Times New Roman"/>
    </w:rPr>
  </w:style>
  <w:style w:type="paragraph" w:styleId="7">
    <w:name w:val="Body Text First Indent"/>
    <w:basedOn w:val="4"/>
    <w:next w:val="1"/>
    <w:qFormat/>
    <w:uiPriority w:val="0"/>
    <w:pPr>
      <w:spacing w:line="500" w:lineRule="exact"/>
      <w:ind w:firstLine="420"/>
      <w:jc w:val="center"/>
    </w:pPr>
    <w:rPr>
      <w:rFonts w:eastAsia="宋体"/>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6817</Words>
  <Characters>6840</Characters>
  <Lines>0</Lines>
  <Paragraphs>0</Paragraphs>
  <TotalTime>19</TotalTime>
  <ScaleCrop>false</ScaleCrop>
  <LinksUpToDate>false</LinksUpToDate>
  <CharactersWithSpaces>6926</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2026-09-04T07:44:00Z</dcterms:created>
  <dc:creator>WPS_1648861387</dc:creator>
  <cp:lastModifiedBy>kylin</cp:lastModifiedBy>
  <cp:lastPrinted>2026-10-20T15:00:00Z</cp:lastPrinted>
  <dcterms:modified xsi:type="dcterms:W3CDTF">2026-10-23T08:47:18Z</dcterms:modified>
  <dc:title>湖南省财政厅</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717FC20EABC33A664C76D86ABA6F9E14_43</vt:lpwstr>
  </property>
  <property fmtid="{D5CDD505-2E9C-101B-9397-08002B2CF9AE}" pid="4" name="KSOTemplateDocerSaveRecord">
    <vt:lpwstr>eyJoZGlkIjoiMTBmNmFkZDcwZjRhZDMxNTNiMzQ3ZTJjMDQzMWFkNzYiLCJ1c2VySWQiOiIxMzQ5NDQ4MTMwIn0=</vt:lpwstr>
  </property>
</Properties>
</file>