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jc w:val="center"/>
        <w:rPr>
          <w:rFonts w:cs="Calibri"/>
          <w:sz w:val="56"/>
          <w:szCs w:val="56"/>
        </w:rPr>
      </w:pPr>
      <w:r>
        <w:rPr>
          <w:sz w:val="56"/>
          <w:szCs w:val="56"/>
        </w:rPr>
        <w:t xml:space="preserve"> </w:t>
      </w:r>
    </w:p>
    <w:p>
      <w:pPr>
        <w:pStyle w:val="15"/>
        <w:jc w:val="center"/>
        <w:rPr>
          <w:rFonts w:cs="Calibri"/>
          <w:sz w:val="56"/>
          <w:szCs w:val="56"/>
        </w:rPr>
      </w:pPr>
    </w:p>
    <w:p>
      <w:pPr>
        <w:pStyle w:val="15"/>
        <w:jc w:val="center"/>
        <w:rPr>
          <w:rFonts w:cs="Calibri"/>
          <w:sz w:val="84"/>
          <w:szCs w:val="84"/>
        </w:rPr>
      </w:pPr>
    </w:p>
    <w:p>
      <w:pPr>
        <w:pStyle w:val="15"/>
        <w:jc w:val="center"/>
        <w:rPr>
          <w:rFonts w:cs="Calibri"/>
          <w:b/>
          <w:bCs/>
          <w:sz w:val="84"/>
          <w:szCs w:val="84"/>
        </w:rPr>
      </w:pPr>
      <w:r>
        <w:rPr>
          <w:rFonts w:hint="eastAsia"/>
          <w:b/>
          <w:bCs/>
          <w:sz w:val="84"/>
          <w:szCs w:val="84"/>
          <w:lang w:eastAsia="zh-CN"/>
        </w:rPr>
        <w:t>2025</w:t>
      </w:r>
      <w:r>
        <w:rPr>
          <w:rFonts w:hint="eastAsia"/>
          <w:b/>
          <w:bCs/>
          <w:sz w:val="84"/>
          <w:szCs w:val="84"/>
        </w:rPr>
        <w:t>年度</w:t>
      </w:r>
    </w:p>
    <w:p>
      <w:pPr>
        <w:pStyle w:val="15"/>
        <w:jc w:val="center"/>
        <w:rPr>
          <w:rFonts w:hint="eastAsia"/>
          <w:b/>
          <w:bCs/>
          <w:sz w:val="84"/>
          <w:szCs w:val="84"/>
        </w:rPr>
      </w:pPr>
      <w:r>
        <w:rPr>
          <w:rFonts w:hint="eastAsia"/>
          <w:b/>
          <w:bCs/>
          <w:sz w:val="84"/>
          <w:szCs w:val="84"/>
        </w:rPr>
        <w:t>湖南省人民政府</w:t>
      </w:r>
    </w:p>
    <w:p>
      <w:pPr>
        <w:pStyle w:val="15"/>
        <w:jc w:val="center"/>
        <w:rPr>
          <w:rFonts w:hint="eastAsia"/>
          <w:b/>
          <w:bCs/>
          <w:sz w:val="84"/>
          <w:szCs w:val="84"/>
        </w:rPr>
      </w:pPr>
      <w:r>
        <w:rPr>
          <w:rFonts w:hint="eastAsia"/>
          <w:b/>
          <w:bCs/>
          <w:sz w:val="84"/>
          <w:szCs w:val="84"/>
        </w:rPr>
        <w:t>驻上海办事处</w:t>
      </w:r>
    </w:p>
    <w:p>
      <w:pPr>
        <w:pStyle w:val="15"/>
        <w:jc w:val="center"/>
        <w:rPr>
          <w:rFonts w:cs="Calibri"/>
          <w:b/>
          <w:bCs/>
          <w:sz w:val="84"/>
          <w:szCs w:val="84"/>
        </w:rPr>
      </w:pPr>
      <w:r>
        <w:rPr>
          <w:rFonts w:hint="eastAsia"/>
          <w:b/>
          <w:bCs/>
          <w:sz w:val="84"/>
          <w:szCs w:val="84"/>
          <w:lang w:val="en-US" w:eastAsia="zh-CN"/>
        </w:rPr>
        <w:t>部门</w:t>
      </w:r>
      <w:r>
        <w:rPr>
          <w:rFonts w:hint="eastAsia"/>
          <w:b/>
          <w:bCs/>
          <w:sz w:val="84"/>
          <w:szCs w:val="84"/>
        </w:rPr>
        <w:t>决算</w:t>
      </w:r>
    </w:p>
    <w:p>
      <w:pPr>
        <w:pStyle w:val="15"/>
        <w:jc w:val="center"/>
        <w:rPr>
          <w:rFonts w:cs="Calibri"/>
          <w:sz w:val="56"/>
          <w:szCs w:val="56"/>
        </w:rPr>
      </w:pPr>
    </w:p>
    <w:p>
      <w:pPr>
        <w:pStyle w:val="15"/>
        <w:jc w:val="center"/>
        <w:rPr>
          <w:rFonts w:cs="Calibri"/>
          <w:sz w:val="56"/>
          <w:szCs w:val="56"/>
        </w:rPr>
      </w:pPr>
    </w:p>
    <w:p>
      <w:pPr>
        <w:pStyle w:val="15"/>
        <w:jc w:val="center"/>
        <w:rPr>
          <w:rFonts w:cs="Calibri"/>
          <w:sz w:val="56"/>
          <w:szCs w:val="56"/>
        </w:rPr>
      </w:pPr>
    </w:p>
    <w:p>
      <w:pPr>
        <w:pStyle w:val="15"/>
        <w:jc w:val="center"/>
        <w:rPr>
          <w:rFonts w:cs="Calibri"/>
          <w:sz w:val="56"/>
          <w:szCs w:val="56"/>
        </w:rPr>
      </w:pPr>
    </w:p>
    <w:p>
      <w:pPr>
        <w:pStyle w:val="15"/>
        <w:jc w:val="center"/>
        <w:rPr>
          <w:rFonts w:cs="Calibri"/>
          <w:sz w:val="56"/>
          <w:szCs w:val="56"/>
        </w:rPr>
      </w:pPr>
    </w:p>
    <w:p>
      <w:pPr>
        <w:pStyle w:val="15"/>
        <w:jc w:val="center"/>
        <w:rPr>
          <w:rFonts w:cs="Calibri"/>
          <w:sz w:val="56"/>
          <w:szCs w:val="56"/>
        </w:rPr>
      </w:pPr>
    </w:p>
    <w:p>
      <w:pPr>
        <w:pStyle w:val="15"/>
        <w:spacing w:line="540" w:lineRule="exact"/>
        <w:jc w:val="both"/>
        <w:rPr>
          <w:rFonts w:cs="Calibri"/>
          <w:sz w:val="56"/>
          <w:szCs w:val="56"/>
        </w:rPr>
        <w:sectPr>
          <w:pgSz w:w="11906" w:h="16838"/>
          <w:pgMar w:top="1440" w:right="1800" w:bottom="1440" w:left="1800" w:header="851" w:footer="992" w:gutter="0"/>
          <w:pgNumType w:fmt="decimal"/>
          <w:cols w:space="425" w:num="1"/>
          <w:docGrid w:type="lines" w:linePitch="312" w:charSpace="0"/>
        </w:sectPr>
      </w:pPr>
    </w:p>
    <w:p>
      <w:pPr>
        <w:pStyle w:val="15"/>
        <w:spacing w:line="540" w:lineRule="exact"/>
        <w:jc w:val="both"/>
        <w:rPr>
          <w:rFonts w:cs="Calibri"/>
          <w:sz w:val="56"/>
          <w:szCs w:val="56"/>
        </w:rPr>
      </w:pPr>
    </w:p>
    <w:p>
      <w:pPr>
        <w:pStyle w:val="15"/>
        <w:spacing w:line="520" w:lineRule="exact"/>
        <w:jc w:val="center"/>
        <w:rPr>
          <w:rFonts w:cs="Calibri"/>
          <w:b/>
          <w:bCs/>
          <w:sz w:val="56"/>
          <w:szCs w:val="56"/>
        </w:rPr>
      </w:pPr>
      <w:r>
        <w:rPr>
          <w:rFonts w:hint="eastAsia"/>
          <w:b/>
          <w:bCs/>
          <w:sz w:val="56"/>
          <w:szCs w:val="56"/>
        </w:rPr>
        <w:t>目</w:t>
      </w:r>
      <w:r>
        <w:rPr>
          <w:b/>
          <w:bCs/>
          <w:sz w:val="56"/>
          <w:szCs w:val="56"/>
        </w:rPr>
        <w:t xml:space="preserve">  </w:t>
      </w:r>
      <w:r>
        <w:rPr>
          <w:rFonts w:hint="eastAsia"/>
          <w:b/>
          <w:bCs/>
          <w:sz w:val="56"/>
          <w:szCs w:val="56"/>
        </w:rPr>
        <w:t>录</w:t>
      </w:r>
    </w:p>
    <w:p>
      <w:pPr>
        <w:pStyle w:val="15"/>
        <w:spacing w:line="360" w:lineRule="auto"/>
        <w:rPr>
          <w:rFonts w:cs="Calibri"/>
          <w:sz w:val="56"/>
          <w:szCs w:val="56"/>
        </w:rPr>
      </w:pPr>
    </w:p>
    <w:p>
      <w:pPr>
        <w:pStyle w:val="15"/>
        <w:spacing w:line="360" w:lineRule="auto"/>
        <w:rPr>
          <w:rFonts w:hint="default" w:ascii="黑体" w:hAnsi="黑体" w:eastAsia="黑体" w:cs="黑体"/>
          <w:b/>
          <w:bCs/>
          <w:sz w:val="32"/>
          <w:szCs w:val="32"/>
          <w:lang w:val="en-US" w:eastAsia="zh-CN"/>
        </w:rPr>
      </w:pPr>
      <w:r>
        <w:rPr>
          <w:rFonts w:hint="eastAsia" w:ascii="黑体" w:hAnsi="黑体" w:eastAsia="黑体" w:cs="黑体"/>
          <w:b/>
          <w:bCs/>
          <w:sz w:val="32"/>
          <w:szCs w:val="32"/>
        </w:rPr>
        <w:t>第一部分</w:t>
      </w:r>
      <w:r>
        <w:rPr>
          <w:rFonts w:hint="eastAsia" w:hAnsi="黑体" w:cs="黑体"/>
          <w:b/>
          <w:bCs/>
          <w:sz w:val="32"/>
          <w:szCs w:val="32"/>
          <w:lang w:val="en-US" w:eastAsia="zh-CN"/>
        </w:rPr>
        <w:t xml:space="preserve"> 湖南省人民政府驻上海办事处概况</w:t>
      </w:r>
    </w:p>
    <w:p>
      <w:pPr>
        <w:pStyle w:val="15"/>
        <w:spacing w:line="360" w:lineRule="auto"/>
        <w:ind w:firstLine="800" w:firstLineChars="250"/>
        <w:rPr>
          <w:rFonts w:hint="eastAsia" w:ascii="仿宋_GB2312" w:hAnsi="宋体" w:eastAsia="仿宋_GB2312" w:cs="仿宋_GB2312"/>
          <w:sz w:val="32"/>
          <w:szCs w:val="32"/>
        </w:rPr>
      </w:pPr>
      <w:r>
        <w:rPr>
          <w:rFonts w:hint="eastAsia" w:ascii="仿宋_GB2312" w:hAnsi="宋体" w:eastAsia="仿宋_GB2312" w:cs="仿宋_GB2312"/>
          <w:sz w:val="32"/>
          <w:szCs w:val="32"/>
        </w:rPr>
        <w:t>一、</w:t>
      </w:r>
      <w:r>
        <w:rPr>
          <w:rFonts w:hint="eastAsia" w:ascii="仿宋_GB2312" w:hAnsi="宋体" w:eastAsia="仿宋_GB2312" w:cs="仿宋_GB2312"/>
          <w:sz w:val="32"/>
          <w:szCs w:val="32"/>
          <w:lang w:val="en-US" w:eastAsia="zh-CN"/>
        </w:rPr>
        <w:t>部门</w:t>
      </w:r>
      <w:r>
        <w:rPr>
          <w:rFonts w:hint="eastAsia" w:ascii="仿宋_GB2312" w:hAnsi="宋体" w:eastAsia="仿宋_GB2312" w:cs="仿宋_GB2312"/>
          <w:sz w:val="32"/>
          <w:szCs w:val="32"/>
        </w:rPr>
        <w:t>职责</w:t>
      </w:r>
    </w:p>
    <w:p>
      <w:pPr>
        <w:pStyle w:val="15"/>
        <w:spacing w:line="360" w:lineRule="auto"/>
        <w:ind w:firstLine="800" w:firstLineChars="250"/>
        <w:rPr>
          <w:rFonts w:ascii="Times New Roman" w:hAnsi="Times New Roman" w:eastAsia="仿宋_GB2312" w:cs="Times New Roman"/>
          <w:sz w:val="32"/>
          <w:szCs w:val="32"/>
        </w:rPr>
      </w:pPr>
      <w:r>
        <w:rPr>
          <w:rFonts w:hint="eastAsia" w:ascii="仿宋_GB2312" w:hAnsi="宋体" w:eastAsia="仿宋_GB2312" w:cs="仿宋_GB2312"/>
          <w:sz w:val="32"/>
          <w:szCs w:val="32"/>
        </w:rPr>
        <w:t>二、</w:t>
      </w:r>
      <w:r>
        <w:rPr>
          <w:rFonts w:ascii="Times New Roman" w:hAnsi="Times New Roman" w:eastAsia="仿宋_GB2312" w:cs="Times New Roman"/>
          <w:sz w:val="32"/>
          <w:szCs w:val="32"/>
        </w:rPr>
        <w:t>机构设置及决算单位构成</w:t>
      </w:r>
    </w:p>
    <w:p>
      <w:pPr>
        <w:pStyle w:val="15"/>
        <w:spacing w:line="360" w:lineRule="auto"/>
        <w:rPr>
          <w:rFonts w:hint="eastAsia" w:ascii="黑体" w:hAnsi="黑体" w:eastAsia="黑体" w:cs="黑体"/>
          <w:b/>
          <w:bCs/>
          <w:sz w:val="32"/>
          <w:szCs w:val="32"/>
        </w:rPr>
      </w:pPr>
      <w:r>
        <w:rPr>
          <w:rFonts w:hint="eastAsia" w:ascii="黑体" w:hAnsi="黑体" w:eastAsia="黑体" w:cs="黑体"/>
          <w:b/>
          <w:bCs/>
          <w:sz w:val="32"/>
          <w:szCs w:val="32"/>
        </w:rPr>
        <w:t>第二部分</w:t>
      </w:r>
      <w:r>
        <w:rPr>
          <w:rFonts w:hint="eastAsia" w:hAnsi="黑体" w:cs="黑体"/>
          <w:b/>
          <w:bCs/>
          <w:sz w:val="32"/>
          <w:szCs w:val="32"/>
          <w:lang w:val="en-US" w:eastAsia="zh-CN"/>
        </w:rPr>
        <w:t xml:space="preserve"> </w:t>
      </w:r>
      <w:r>
        <w:rPr>
          <w:rFonts w:hint="eastAsia" w:ascii="黑体" w:hAnsi="黑体" w:eastAsia="黑体" w:cs="黑体"/>
          <w:b/>
          <w:bCs/>
          <w:sz w:val="32"/>
          <w:szCs w:val="32"/>
        </w:rPr>
        <w:t>部门决算表</w:t>
      </w:r>
    </w:p>
    <w:p>
      <w:pPr>
        <w:pStyle w:val="15"/>
        <w:spacing w:line="360" w:lineRule="auto"/>
        <w:ind w:firstLine="800" w:firstLineChars="250"/>
        <w:rPr>
          <w:rFonts w:ascii="仿宋_GB2312" w:hAnsi="宋体" w:eastAsia="仿宋_GB2312" w:cs="Calibri"/>
          <w:sz w:val="32"/>
          <w:szCs w:val="32"/>
        </w:rPr>
      </w:pPr>
      <w:r>
        <w:rPr>
          <w:rFonts w:hint="eastAsia" w:ascii="仿宋_GB2312" w:hAnsi="宋体" w:eastAsia="仿宋_GB2312" w:cs="仿宋_GB2312"/>
          <w:sz w:val="32"/>
          <w:szCs w:val="32"/>
        </w:rPr>
        <w:t>一、收入支出决算总表</w:t>
      </w:r>
    </w:p>
    <w:p>
      <w:pPr>
        <w:pStyle w:val="15"/>
        <w:spacing w:line="360" w:lineRule="auto"/>
        <w:ind w:firstLine="800" w:firstLineChars="250"/>
        <w:rPr>
          <w:rFonts w:ascii="仿宋_GB2312" w:hAnsi="宋体" w:eastAsia="仿宋_GB2312" w:cs="Calibri"/>
          <w:sz w:val="32"/>
          <w:szCs w:val="32"/>
        </w:rPr>
      </w:pPr>
      <w:r>
        <w:rPr>
          <w:rFonts w:hint="eastAsia" w:ascii="仿宋_GB2312" w:hAnsi="宋体" w:eastAsia="仿宋_GB2312" w:cs="仿宋_GB2312"/>
          <w:sz w:val="32"/>
          <w:szCs w:val="32"/>
        </w:rPr>
        <w:t>二、收入决算表</w:t>
      </w:r>
    </w:p>
    <w:p>
      <w:pPr>
        <w:pStyle w:val="15"/>
        <w:spacing w:line="360" w:lineRule="auto"/>
        <w:ind w:firstLine="800" w:firstLineChars="250"/>
        <w:rPr>
          <w:rFonts w:ascii="仿宋_GB2312" w:hAnsi="宋体" w:eastAsia="仿宋_GB2312" w:cs="Calibri"/>
          <w:sz w:val="32"/>
          <w:szCs w:val="32"/>
        </w:rPr>
      </w:pPr>
      <w:r>
        <w:rPr>
          <w:rFonts w:hint="eastAsia" w:ascii="仿宋_GB2312" w:hAnsi="宋体" w:eastAsia="仿宋_GB2312" w:cs="仿宋_GB2312"/>
          <w:sz w:val="32"/>
          <w:szCs w:val="32"/>
        </w:rPr>
        <w:t>三、支出决算表</w:t>
      </w:r>
    </w:p>
    <w:p>
      <w:pPr>
        <w:pStyle w:val="15"/>
        <w:spacing w:line="360" w:lineRule="auto"/>
        <w:ind w:firstLine="800" w:firstLineChars="250"/>
        <w:rPr>
          <w:rFonts w:ascii="仿宋_GB2312" w:hAnsi="宋体" w:eastAsia="仿宋_GB2312" w:cs="Calibri"/>
          <w:sz w:val="32"/>
          <w:szCs w:val="32"/>
        </w:rPr>
      </w:pPr>
      <w:r>
        <w:rPr>
          <w:rFonts w:hint="eastAsia" w:ascii="仿宋_GB2312" w:hAnsi="宋体" w:eastAsia="仿宋_GB2312" w:cs="仿宋_GB2312"/>
          <w:sz w:val="32"/>
          <w:szCs w:val="32"/>
        </w:rPr>
        <w:t>四、财政拨款收入支出决算总表</w:t>
      </w:r>
    </w:p>
    <w:p>
      <w:pPr>
        <w:pStyle w:val="15"/>
        <w:spacing w:line="360" w:lineRule="auto"/>
        <w:ind w:firstLine="800" w:firstLineChars="250"/>
        <w:rPr>
          <w:rFonts w:ascii="仿宋_GB2312" w:hAnsi="宋体" w:eastAsia="仿宋_GB2312" w:cs="Calibri"/>
          <w:sz w:val="32"/>
          <w:szCs w:val="32"/>
        </w:rPr>
      </w:pPr>
      <w:r>
        <w:rPr>
          <w:rFonts w:hint="eastAsia" w:ascii="仿宋_GB2312" w:hAnsi="宋体" w:eastAsia="仿宋_GB2312" w:cs="仿宋_GB2312"/>
          <w:sz w:val="32"/>
          <w:szCs w:val="32"/>
        </w:rPr>
        <w:t>五、一般公共预算财政拨款支出决算表</w:t>
      </w:r>
    </w:p>
    <w:p>
      <w:pPr>
        <w:pStyle w:val="15"/>
        <w:spacing w:line="360" w:lineRule="auto"/>
        <w:ind w:firstLine="800" w:firstLineChars="250"/>
        <w:rPr>
          <w:rFonts w:ascii="仿宋_GB2312" w:hAnsi="宋体" w:eastAsia="仿宋_GB2312" w:cs="Calibri"/>
          <w:sz w:val="32"/>
          <w:szCs w:val="32"/>
        </w:rPr>
      </w:pPr>
      <w:r>
        <w:rPr>
          <w:rFonts w:hint="eastAsia" w:ascii="仿宋_GB2312" w:hAnsi="宋体" w:eastAsia="仿宋_GB2312" w:cs="仿宋_GB2312"/>
          <w:sz w:val="32"/>
          <w:szCs w:val="32"/>
        </w:rPr>
        <w:t>六、一般公共预算财政拨款基本支出决算</w:t>
      </w:r>
      <w:r>
        <w:rPr>
          <w:rFonts w:hint="eastAsia" w:ascii="仿宋_GB2312" w:hAnsi="宋体" w:eastAsia="仿宋_GB2312" w:cs="仿宋_GB2312"/>
          <w:sz w:val="32"/>
          <w:szCs w:val="32"/>
          <w:lang w:val="en-US" w:eastAsia="zh-CN"/>
        </w:rPr>
        <w:t>明细</w:t>
      </w:r>
      <w:r>
        <w:rPr>
          <w:rFonts w:hint="eastAsia" w:ascii="仿宋_GB2312" w:hAnsi="宋体" w:eastAsia="仿宋_GB2312" w:cs="仿宋_GB2312"/>
          <w:sz w:val="32"/>
          <w:szCs w:val="32"/>
        </w:rPr>
        <w:t>表</w:t>
      </w:r>
    </w:p>
    <w:p>
      <w:pPr>
        <w:pStyle w:val="15"/>
        <w:spacing w:line="360" w:lineRule="auto"/>
        <w:ind w:firstLine="800" w:firstLineChars="250"/>
        <w:rPr>
          <w:rFonts w:hint="eastAsia" w:ascii="仿宋_GB2312" w:hAnsi="宋体" w:eastAsia="仿宋_GB2312" w:cs="仿宋_GB2312"/>
          <w:sz w:val="32"/>
          <w:szCs w:val="32"/>
        </w:rPr>
      </w:pPr>
      <w:r>
        <w:rPr>
          <w:rFonts w:hint="eastAsia" w:ascii="仿宋_GB2312" w:hAnsi="宋体" w:eastAsia="仿宋_GB2312" w:cs="仿宋_GB2312"/>
          <w:sz w:val="32"/>
          <w:szCs w:val="32"/>
          <w:lang w:val="en-US" w:eastAsia="zh-CN"/>
        </w:rPr>
        <w:t>七</w:t>
      </w:r>
      <w:r>
        <w:rPr>
          <w:rFonts w:hint="eastAsia" w:ascii="仿宋_GB2312" w:hAnsi="宋体" w:eastAsia="仿宋_GB2312" w:cs="仿宋_GB2312"/>
          <w:sz w:val="32"/>
          <w:szCs w:val="32"/>
        </w:rPr>
        <w:t>、政府性基金预算财政拨款收入支出决算表</w:t>
      </w:r>
    </w:p>
    <w:p>
      <w:pPr>
        <w:pStyle w:val="15"/>
        <w:spacing w:line="360" w:lineRule="auto"/>
        <w:ind w:firstLine="800" w:firstLineChars="250"/>
        <w:rPr>
          <w:rFonts w:hint="eastAsia" w:ascii="仿宋_GB2312" w:hAnsi="宋体" w:eastAsia="仿宋_GB2312" w:cs="仿宋_GB2312"/>
          <w:sz w:val="32"/>
          <w:szCs w:val="32"/>
          <w:lang w:val="en-US" w:eastAsia="zh-CN"/>
        </w:rPr>
      </w:pPr>
      <w:r>
        <w:rPr>
          <w:rFonts w:hint="eastAsia" w:ascii="仿宋_GB2312" w:hAnsi="宋体" w:eastAsia="仿宋_GB2312" w:cs="仿宋_GB2312"/>
          <w:sz w:val="32"/>
          <w:szCs w:val="32"/>
          <w:lang w:val="en-US" w:eastAsia="zh-CN"/>
        </w:rPr>
        <w:t>八、国有资本经营预算财政拨款支出决算表</w:t>
      </w:r>
    </w:p>
    <w:p>
      <w:pPr>
        <w:pStyle w:val="15"/>
        <w:spacing w:line="360" w:lineRule="auto"/>
        <w:ind w:firstLine="800" w:firstLineChars="250"/>
        <w:rPr>
          <w:rFonts w:hint="default" w:ascii="仿宋_GB2312" w:hAnsi="宋体" w:eastAsia="仿宋_GB2312" w:cs="仿宋_GB2312"/>
          <w:sz w:val="32"/>
          <w:szCs w:val="32"/>
          <w:lang w:val="en-US" w:eastAsia="zh-CN"/>
        </w:rPr>
      </w:pPr>
      <w:r>
        <w:rPr>
          <w:rFonts w:hint="eastAsia" w:ascii="仿宋_GB2312" w:hAnsi="宋体" w:eastAsia="仿宋_GB2312" w:cs="仿宋_GB2312"/>
          <w:sz w:val="32"/>
          <w:szCs w:val="32"/>
          <w:lang w:val="en-US" w:eastAsia="zh-CN"/>
        </w:rPr>
        <w:t>九</w:t>
      </w:r>
      <w:r>
        <w:rPr>
          <w:rFonts w:hint="eastAsia" w:ascii="仿宋_GB2312" w:hAnsi="宋体" w:eastAsia="仿宋_GB2312" w:cs="仿宋_GB2312"/>
          <w:sz w:val="32"/>
          <w:szCs w:val="32"/>
        </w:rPr>
        <w:t>、财政拨款“三公”经费支出决算表</w:t>
      </w:r>
    </w:p>
    <w:p>
      <w:pPr>
        <w:pStyle w:val="15"/>
        <w:spacing w:line="360" w:lineRule="auto"/>
        <w:rPr>
          <w:rFonts w:hint="eastAsia" w:ascii="黑体" w:hAnsi="黑体" w:eastAsia="黑体" w:cs="黑体"/>
          <w:b/>
          <w:bCs/>
          <w:sz w:val="32"/>
          <w:szCs w:val="32"/>
        </w:rPr>
      </w:pPr>
      <w:r>
        <w:rPr>
          <w:rFonts w:hint="eastAsia" w:ascii="黑体" w:hAnsi="黑体" w:eastAsia="黑体" w:cs="黑体"/>
          <w:b/>
          <w:bCs/>
          <w:sz w:val="32"/>
          <w:szCs w:val="32"/>
        </w:rPr>
        <w:t>第三部分</w:t>
      </w:r>
      <w:r>
        <w:rPr>
          <w:rFonts w:hint="eastAsia" w:hAnsi="黑体" w:cs="黑体"/>
          <w:b/>
          <w:bCs/>
          <w:sz w:val="32"/>
          <w:szCs w:val="32"/>
          <w:lang w:val="en-US" w:eastAsia="zh-CN"/>
        </w:rPr>
        <w:t xml:space="preserve"> </w:t>
      </w:r>
      <w:r>
        <w:rPr>
          <w:rFonts w:hint="eastAsia" w:hAnsi="黑体" w:cs="黑体"/>
          <w:b/>
          <w:bCs/>
          <w:sz w:val="32"/>
          <w:szCs w:val="32"/>
          <w:lang w:eastAsia="zh-CN"/>
        </w:rPr>
        <w:t>2025</w:t>
      </w:r>
      <w:r>
        <w:rPr>
          <w:rFonts w:hint="eastAsia" w:ascii="黑体" w:hAnsi="黑体" w:eastAsia="黑体" w:cs="黑体"/>
          <w:b/>
          <w:bCs/>
          <w:sz w:val="32"/>
          <w:szCs w:val="32"/>
        </w:rPr>
        <w:t>年度部门决算情况说明</w:t>
      </w:r>
    </w:p>
    <w:p>
      <w:pPr>
        <w:pStyle w:val="15"/>
        <w:spacing w:line="360" w:lineRule="auto"/>
        <w:ind w:firstLine="800" w:firstLineChars="250"/>
        <w:rPr>
          <w:rFonts w:ascii="仿宋_GB2312" w:hAnsi="宋体" w:eastAsia="仿宋_GB2312" w:cs="Calibri"/>
          <w:sz w:val="32"/>
          <w:szCs w:val="32"/>
        </w:rPr>
      </w:pPr>
      <w:r>
        <w:rPr>
          <w:rFonts w:hint="eastAsia" w:ascii="仿宋_GB2312" w:hAnsi="宋体" w:eastAsia="仿宋_GB2312" w:cs="仿宋_GB2312"/>
          <w:sz w:val="32"/>
          <w:szCs w:val="32"/>
        </w:rPr>
        <w:t>一、收入支出决算总体情况说明</w:t>
      </w:r>
    </w:p>
    <w:p>
      <w:pPr>
        <w:spacing w:line="360" w:lineRule="auto"/>
        <w:ind w:firstLine="800" w:firstLineChars="250"/>
        <w:jc w:val="left"/>
        <w:rPr>
          <w:rFonts w:ascii="仿宋_GB2312" w:hAnsi="宋体" w:eastAsia="仿宋_GB2312"/>
          <w:sz w:val="32"/>
          <w:szCs w:val="32"/>
        </w:rPr>
      </w:pPr>
      <w:r>
        <w:rPr>
          <w:rFonts w:hint="eastAsia" w:ascii="仿宋_GB2312" w:hAnsi="宋体" w:eastAsia="仿宋_GB2312" w:cs="仿宋_GB2312"/>
          <w:sz w:val="32"/>
          <w:szCs w:val="32"/>
        </w:rPr>
        <w:t>二、收入决算情况说明</w:t>
      </w:r>
    </w:p>
    <w:p>
      <w:pPr>
        <w:autoSpaceDE w:val="0"/>
        <w:autoSpaceDN w:val="0"/>
        <w:adjustRightInd w:val="0"/>
        <w:spacing w:line="360" w:lineRule="auto"/>
        <w:ind w:firstLine="800" w:firstLineChars="250"/>
        <w:jc w:val="left"/>
        <w:rPr>
          <w:rFonts w:ascii="仿宋_GB2312" w:hAnsi="宋体" w:eastAsia="仿宋_GB2312"/>
          <w:color w:val="000000"/>
          <w:kern w:val="0"/>
          <w:sz w:val="32"/>
          <w:szCs w:val="32"/>
        </w:rPr>
      </w:pPr>
      <w:r>
        <w:rPr>
          <w:rFonts w:hint="eastAsia" w:ascii="仿宋_GB2312" w:hAnsi="宋体" w:eastAsia="仿宋_GB2312" w:cs="仿宋_GB2312"/>
          <w:color w:val="000000"/>
          <w:kern w:val="0"/>
          <w:sz w:val="32"/>
          <w:szCs w:val="32"/>
        </w:rPr>
        <w:t>三、支出决算情况说明</w:t>
      </w:r>
    </w:p>
    <w:p>
      <w:pPr>
        <w:autoSpaceDE w:val="0"/>
        <w:autoSpaceDN w:val="0"/>
        <w:adjustRightInd w:val="0"/>
        <w:spacing w:line="360" w:lineRule="auto"/>
        <w:ind w:firstLine="800" w:firstLineChars="250"/>
        <w:jc w:val="left"/>
        <w:rPr>
          <w:rFonts w:ascii="仿宋_GB2312" w:hAnsi="宋体" w:eastAsia="仿宋_GB2312"/>
          <w:color w:val="000000"/>
          <w:kern w:val="0"/>
          <w:sz w:val="32"/>
          <w:szCs w:val="32"/>
        </w:rPr>
      </w:pPr>
      <w:r>
        <w:rPr>
          <w:rFonts w:hint="eastAsia" w:ascii="仿宋_GB2312" w:hAnsi="宋体" w:eastAsia="仿宋_GB2312" w:cs="仿宋_GB2312"/>
          <w:color w:val="000000"/>
          <w:kern w:val="0"/>
          <w:sz w:val="32"/>
          <w:szCs w:val="32"/>
        </w:rPr>
        <w:t>四、财政拨款收入支出决算总体情况说明</w:t>
      </w:r>
    </w:p>
    <w:p>
      <w:pPr>
        <w:autoSpaceDE w:val="0"/>
        <w:autoSpaceDN w:val="0"/>
        <w:adjustRightInd w:val="0"/>
        <w:spacing w:line="360" w:lineRule="auto"/>
        <w:ind w:firstLine="800" w:firstLineChars="250"/>
        <w:jc w:val="left"/>
        <w:rPr>
          <w:rFonts w:ascii="仿宋_GB2312" w:hAnsi="宋体" w:eastAsia="仿宋_GB2312"/>
          <w:color w:val="000000"/>
          <w:kern w:val="0"/>
          <w:sz w:val="32"/>
          <w:szCs w:val="32"/>
        </w:rPr>
      </w:pPr>
      <w:r>
        <w:rPr>
          <w:rFonts w:hint="eastAsia" w:ascii="仿宋_GB2312" w:hAnsi="宋体" w:eastAsia="仿宋_GB2312" w:cs="仿宋_GB2312"/>
          <w:color w:val="000000"/>
          <w:kern w:val="0"/>
          <w:sz w:val="32"/>
          <w:szCs w:val="32"/>
        </w:rPr>
        <w:t>五、一般公共预算财政拨款支出决算情况说明</w:t>
      </w:r>
    </w:p>
    <w:p>
      <w:pPr>
        <w:autoSpaceDE w:val="0"/>
        <w:autoSpaceDN w:val="0"/>
        <w:adjustRightInd w:val="0"/>
        <w:spacing w:line="360" w:lineRule="auto"/>
        <w:ind w:firstLine="800" w:firstLineChars="250"/>
        <w:jc w:val="left"/>
        <w:rPr>
          <w:rFonts w:ascii="仿宋_GB2312" w:hAnsi="宋体" w:eastAsia="仿宋_GB2312"/>
          <w:color w:val="000000"/>
          <w:kern w:val="0"/>
          <w:sz w:val="32"/>
          <w:szCs w:val="32"/>
        </w:rPr>
      </w:pPr>
      <w:r>
        <w:rPr>
          <w:rFonts w:hint="eastAsia" w:ascii="仿宋_GB2312" w:hAnsi="宋体" w:eastAsia="仿宋_GB2312" w:cs="仿宋_GB2312"/>
          <w:color w:val="000000"/>
          <w:kern w:val="0"/>
          <w:sz w:val="32"/>
          <w:szCs w:val="32"/>
        </w:rPr>
        <w:t>六、一般公共预算财政拨款基本支出决算情况说明</w:t>
      </w:r>
    </w:p>
    <w:p>
      <w:pPr>
        <w:autoSpaceDE w:val="0"/>
        <w:autoSpaceDN w:val="0"/>
        <w:adjustRightInd w:val="0"/>
        <w:spacing w:line="360" w:lineRule="auto"/>
        <w:ind w:firstLine="800" w:firstLineChars="250"/>
        <w:jc w:val="left"/>
        <w:rPr>
          <w:rFonts w:ascii="仿宋_GB2312" w:hAnsi="宋体" w:eastAsia="仿宋_GB2312"/>
          <w:color w:val="000000"/>
          <w:kern w:val="0"/>
          <w:sz w:val="32"/>
          <w:szCs w:val="32"/>
        </w:rPr>
      </w:pPr>
      <w:r>
        <w:rPr>
          <w:rFonts w:hint="eastAsia" w:ascii="仿宋_GB2312" w:hAnsi="宋体" w:eastAsia="仿宋_GB2312" w:cs="仿宋_GB2312"/>
          <w:color w:val="000000"/>
          <w:kern w:val="0"/>
          <w:sz w:val="32"/>
          <w:szCs w:val="32"/>
        </w:rPr>
        <w:t>七、财政拨款</w:t>
      </w:r>
      <w:r>
        <w:rPr>
          <w:rFonts w:hint="eastAsia" w:ascii="仿宋_GB2312" w:hAnsi="宋体" w:eastAsia="仿宋_GB2312" w:cs="仿宋_GB2312"/>
          <w:color w:val="000000"/>
          <w:kern w:val="0"/>
          <w:sz w:val="32"/>
          <w:szCs w:val="32"/>
          <w:lang w:eastAsia="zh-CN"/>
        </w:rPr>
        <w:t>“</w:t>
      </w:r>
      <w:r>
        <w:rPr>
          <w:rFonts w:hint="eastAsia" w:ascii="仿宋_GB2312" w:hAnsi="宋体" w:eastAsia="仿宋_GB2312" w:cs="仿宋_GB2312"/>
          <w:color w:val="000000"/>
          <w:kern w:val="0"/>
          <w:sz w:val="32"/>
          <w:szCs w:val="32"/>
        </w:rPr>
        <w:t>三公</w:t>
      </w:r>
      <w:r>
        <w:rPr>
          <w:rFonts w:hint="eastAsia" w:ascii="仿宋_GB2312" w:hAnsi="宋体" w:eastAsia="仿宋_GB2312" w:cs="仿宋_GB2312"/>
          <w:color w:val="000000"/>
          <w:kern w:val="0"/>
          <w:sz w:val="32"/>
          <w:szCs w:val="32"/>
          <w:lang w:eastAsia="zh-CN"/>
        </w:rPr>
        <w:t>”</w:t>
      </w:r>
      <w:r>
        <w:rPr>
          <w:rFonts w:hint="eastAsia" w:ascii="仿宋_GB2312" w:hAnsi="宋体" w:eastAsia="仿宋_GB2312" w:cs="仿宋_GB2312"/>
          <w:color w:val="000000"/>
          <w:kern w:val="0"/>
          <w:sz w:val="32"/>
          <w:szCs w:val="32"/>
        </w:rPr>
        <w:t>经费支出决算情况说明</w:t>
      </w:r>
    </w:p>
    <w:p>
      <w:pPr>
        <w:autoSpaceDE w:val="0"/>
        <w:autoSpaceDN w:val="0"/>
        <w:adjustRightInd w:val="0"/>
        <w:spacing w:line="360" w:lineRule="auto"/>
        <w:ind w:firstLine="800" w:firstLineChars="250"/>
        <w:jc w:val="left"/>
        <w:rPr>
          <w:rFonts w:ascii="仿宋_GB2312" w:hAnsi="宋体" w:eastAsia="仿宋_GB2312"/>
          <w:color w:val="000000"/>
          <w:kern w:val="0"/>
          <w:sz w:val="32"/>
          <w:szCs w:val="32"/>
        </w:rPr>
      </w:pPr>
      <w:r>
        <w:rPr>
          <w:rFonts w:hint="eastAsia" w:ascii="仿宋_GB2312" w:hAnsi="宋体" w:eastAsia="仿宋_GB2312" w:cs="仿宋_GB2312"/>
          <w:color w:val="000000"/>
          <w:kern w:val="0"/>
          <w:sz w:val="32"/>
          <w:szCs w:val="32"/>
        </w:rPr>
        <w:t>八、政府性基金预算收入支出决算情况</w:t>
      </w:r>
    </w:p>
    <w:p>
      <w:pPr>
        <w:autoSpaceDE w:val="0"/>
        <w:autoSpaceDN w:val="0"/>
        <w:adjustRightInd w:val="0"/>
        <w:spacing w:line="360" w:lineRule="auto"/>
        <w:ind w:firstLine="800" w:firstLineChars="250"/>
        <w:jc w:val="left"/>
        <w:rPr>
          <w:rFonts w:hint="eastAsia" w:ascii="仿宋_GB2312" w:hAnsi="宋体" w:eastAsia="仿宋_GB2312" w:cs="仿宋_GB2312"/>
          <w:color w:val="000000"/>
          <w:kern w:val="0"/>
          <w:sz w:val="32"/>
          <w:szCs w:val="32"/>
          <w:lang w:val="en-US" w:eastAsia="zh-CN"/>
        </w:rPr>
      </w:pPr>
      <w:r>
        <w:rPr>
          <w:rFonts w:hint="eastAsia" w:ascii="仿宋_GB2312" w:hAnsi="宋体" w:eastAsia="仿宋_GB2312" w:cs="仿宋_GB2312"/>
          <w:color w:val="000000"/>
          <w:kern w:val="0"/>
          <w:sz w:val="32"/>
          <w:szCs w:val="32"/>
        </w:rPr>
        <w:t>九、</w:t>
      </w:r>
      <w:r>
        <w:rPr>
          <w:rFonts w:hint="eastAsia" w:ascii="仿宋_GB2312" w:hAnsi="宋体" w:eastAsia="仿宋_GB2312" w:cs="仿宋_GB2312"/>
          <w:color w:val="000000"/>
          <w:kern w:val="0"/>
          <w:sz w:val="32"/>
          <w:szCs w:val="32"/>
          <w:lang w:val="en-US" w:eastAsia="zh-CN"/>
        </w:rPr>
        <w:t>关于机关运行经费支出说明</w:t>
      </w:r>
    </w:p>
    <w:p>
      <w:pPr>
        <w:autoSpaceDE w:val="0"/>
        <w:autoSpaceDN w:val="0"/>
        <w:adjustRightInd w:val="0"/>
        <w:spacing w:line="360" w:lineRule="auto"/>
        <w:ind w:firstLine="800" w:firstLineChars="250"/>
        <w:jc w:val="left"/>
        <w:rPr>
          <w:rFonts w:hint="default" w:ascii="仿宋_GB2312" w:hAnsi="宋体" w:eastAsia="仿宋_GB2312" w:cs="仿宋_GB2312"/>
          <w:color w:val="000000"/>
          <w:kern w:val="0"/>
          <w:sz w:val="32"/>
          <w:szCs w:val="32"/>
          <w:lang w:val="en-US" w:eastAsia="zh-CN"/>
        </w:rPr>
      </w:pPr>
      <w:r>
        <w:rPr>
          <w:rFonts w:hint="eastAsia" w:ascii="仿宋_GB2312" w:hAnsi="宋体" w:eastAsia="仿宋_GB2312" w:cs="仿宋_GB2312"/>
          <w:color w:val="000000"/>
          <w:kern w:val="0"/>
          <w:sz w:val="32"/>
          <w:szCs w:val="32"/>
          <w:lang w:val="en-US" w:eastAsia="zh-CN"/>
        </w:rPr>
        <w:t>十、一般性支出情况说明</w:t>
      </w:r>
    </w:p>
    <w:p>
      <w:pPr>
        <w:autoSpaceDE w:val="0"/>
        <w:autoSpaceDN w:val="0"/>
        <w:adjustRightInd w:val="0"/>
        <w:spacing w:line="360" w:lineRule="auto"/>
        <w:ind w:firstLine="800" w:firstLineChars="250"/>
        <w:jc w:val="left"/>
        <w:rPr>
          <w:rFonts w:hint="default" w:ascii="仿宋_GB2312" w:hAnsi="宋体" w:eastAsia="仿宋_GB2312" w:cs="仿宋_GB2312"/>
          <w:color w:val="000000"/>
          <w:kern w:val="0"/>
          <w:sz w:val="32"/>
          <w:szCs w:val="32"/>
          <w:lang w:val="en-US" w:eastAsia="zh-CN"/>
        </w:rPr>
      </w:pPr>
      <w:r>
        <w:rPr>
          <w:rFonts w:hint="eastAsia" w:ascii="仿宋_GB2312" w:hAnsi="宋体" w:eastAsia="仿宋_GB2312" w:cs="仿宋_GB2312"/>
          <w:color w:val="000000"/>
          <w:kern w:val="0"/>
          <w:sz w:val="32"/>
          <w:szCs w:val="32"/>
          <w:lang w:val="en-US" w:eastAsia="zh-CN"/>
        </w:rPr>
        <w:t>十一、关于政府采购支出说明</w:t>
      </w:r>
    </w:p>
    <w:p>
      <w:pPr>
        <w:autoSpaceDE w:val="0"/>
        <w:autoSpaceDN w:val="0"/>
        <w:adjustRightInd w:val="0"/>
        <w:spacing w:line="360" w:lineRule="auto"/>
        <w:ind w:firstLine="800" w:firstLineChars="250"/>
        <w:jc w:val="left"/>
        <w:rPr>
          <w:rFonts w:hint="eastAsia" w:ascii="仿宋_GB2312" w:hAnsi="宋体" w:eastAsia="仿宋_GB2312" w:cs="仿宋_GB2312"/>
          <w:color w:val="000000"/>
          <w:kern w:val="0"/>
          <w:sz w:val="32"/>
          <w:szCs w:val="32"/>
          <w:lang w:val="en-US" w:eastAsia="zh-CN"/>
        </w:rPr>
      </w:pPr>
      <w:r>
        <w:rPr>
          <w:rFonts w:hint="eastAsia" w:ascii="仿宋_GB2312" w:hAnsi="宋体" w:eastAsia="仿宋_GB2312" w:cs="仿宋_GB2312"/>
          <w:color w:val="000000"/>
          <w:kern w:val="0"/>
          <w:sz w:val="32"/>
          <w:szCs w:val="32"/>
          <w:lang w:val="en-US" w:eastAsia="zh-CN"/>
        </w:rPr>
        <w:t>十二、关于国有资产占用情况说明</w:t>
      </w:r>
    </w:p>
    <w:p>
      <w:pPr>
        <w:autoSpaceDE w:val="0"/>
        <w:autoSpaceDN w:val="0"/>
        <w:adjustRightInd w:val="0"/>
        <w:spacing w:line="360" w:lineRule="auto"/>
        <w:ind w:firstLine="800" w:firstLineChars="250"/>
        <w:jc w:val="left"/>
        <w:rPr>
          <w:rFonts w:ascii="仿宋_GB2312" w:hAnsi="宋体" w:eastAsia="仿宋_GB2312"/>
          <w:color w:val="000000"/>
          <w:kern w:val="0"/>
          <w:sz w:val="32"/>
          <w:szCs w:val="32"/>
        </w:rPr>
      </w:pPr>
      <w:r>
        <w:rPr>
          <w:rFonts w:hint="eastAsia" w:ascii="仿宋_GB2312" w:hAnsi="宋体" w:eastAsia="仿宋_GB2312" w:cs="仿宋_GB2312"/>
          <w:color w:val="000000"/>
          <w:kern w:val="0"/>
          <w:sz w:val="32"/>
          <w:szCs w:val="32"/>
          <w:lang w:val="en-US" w:eastAsia="zh-CN"/>
        </w:rPr>
        <w:t>十三、</w:t>
      </w:r>
      <w:r>
        <w:rPr>
          <w:rFonts w:ascii="Times New Roman" w:hAnsi="Times New Roman" w:eastAsia="仿宋_GB2312" w:cs="Times New Roman"/>
          <w:sz w:val="32"/>
          <w:szCs w:val="32"/>
        </w:rPr>
        <w:t>关于</w:t>
      </w:r>
      <w:r>
        <w:rPr>
          <w:rFonts w:hint="eastAsia" w:ascii="Times New Roman" w:hAnsi="Times New Roman" w:eastAsia="仿宋_GB2312" w:cs="Times New Roman"/>
          <w:sz w:val="32"/>
          <w:szCs w:val="32"/>
          <w:lang w:eastAsia="zh-CN"/>
        </w:rPr>
        <w:t>2025</w:t>
      </w:r>
      <w:r>
        <w:rPr>
          <w:rFonts w:ascii="Times New Roman" w:hAnsi="Times New Roman" w:eastAsia="仿宋_GB2312" w:cs="Times New Roman"/>
          <w:sz w:val="32"/>
          <w:szCs w:val="32"/>
        </w:rPr>
        <w:t>年度预算绩效管理情况的说明</w:t>
      </w:r>
    </w:p>
    <w:p>
      <w:pPr>
        <w:autoSpaceDE w:val="0"/>
        <w:autoSpaceDN w:val="0"/>
        <w:adjustRightInd w:val="0"/>
        <w:spacing w:line="360" w:lineRule="auto"/>
        <w:jc w:val="left"/>
        <w:rPr>
          <w:rFonts w:hint="eastAsia" w:ascii="黑体" w:hAnsi="黑体" w:eastAsia="黑体" w:cs="黑体"/>
          <w:b/>
          <w:bCs/>
          <w:color w:val="000000"/>
          <w:kern w:val="0"/>
          <w:sz w:val="32"/>
          <w:szCs w:val="32"/>
        </w:rPr>
      </w:pPr>
      <w:r>
        <w:rPr>
          <w:rFonts w:hint="eastAsia" w:ascii="黑体" w:hAnsi="黑体" w:eastAsia="黑体" w:cs="黑体"/>
          <w:b/>
          <w:bCs/>
          <w:color w:val="000000"/>
          <w:kern w:val="0"/>
          <w:sz w:val="32"/>
          <w:szCs w:val="32"/>
        </w:rPr>
        <w:t>第四部分</w:t>
      </w:r>
      <w:r>
        <w:rPr>
          <w:rFonts w:hint="eastAsia" w:ascii="黑体" w:hAnsi="黑体" w:eastAsia="黑体" w:cs="黑体"/>
          <w:b/>
          <w:bCs/>
          <w:color w:val="000000"/>
          <w:kern w:val="0"/>
          <w:sz w:val="32"/>
          <w:szCs w:val="32"/>
          <w:lang w:val="en-US" w:eastAsia="zh-CN"/>
        </w:rPr>
        <w:t xml:space="preserve"> </w:t>
      </w:r>
      <w:r>
        <w:rPr>
          <w:rFonts w:hint="eastAsia" w:ascii="黑体" w:hAnsi="黑体" w:eastAsia="黑体" w:cs="黑体"/>
          <w:b/>
          <w:bCs/>
          <w:color w:val="000000"/>
          <w:kern w:val="0"/>
          <w:sz w:val="32"/>
          <w:szCs w:val="32"/>
        </w:rPr>
        <w:t>名词解释</w:t>
      </w:r>
    </w:p>
    <w:p>
      <w:pPr>
        <w:autoSpaceDE w:val="0"/>
        <w:autoSpaceDN w:val="0"/>
        <w:adjustRightInd w:val="0"/>
        <w:spacing w:line="360" w:lineRule="auto"/>
        <w:jc w:val="left"/>
        <w:rPr>
          <w:rFonts w:hint="eastAsia" w:ascii="黑体" w:hAnsi="黑体" w:eastAsia="黑体" w:cs="黑体"/>
          <w:b/>
          <w:bCs/>
          <w:color w:val="000000"/>
          <w:kern w:val="0"/>
          <w:sz w:val="32"/>
          <w:szCs w:val="32"/>
        </w:rPr>
      </w:pPr>
      <w:r>
        <w:rPr>
          <w:rFonts w:hint="eastAsia" w:ascii="黑体" w:hAnsi="黑体" w:eastAsia="黑体" w:cs="黑体"/>
          <w:b/>
          <w:bCs/>
          <w:color w:val="000000"/>
          <w:kern w:val="0"/>
          <w:sz w:val="32"/>
          <w:szCs w:val="32"/>
        </w:rPr>
        <w:t>第五部分</w:t>
      </w:r>
      <w:r>
        <w:rPr>
          <w:rFonts w:hint="eastAsia" w:ascii="黑体" w:hAnsi="黑体" w:eastAsia="黑体" w:cs="黑体"/>
          <w:b/>
          <w:bCs/>
          <w:color w:val="000000"/>
          <w:kern w:val="0"/>
          <w:sz w:val="32"/>
          <w:szCs w:val="32"/>
          <w:lang w:val="en-US" w:eastAsia="zh-CN"/>
        </w:rPr>
        <w:t xml:space="preserve"> </w:t>
      </w:r>
      <w:r>
        <w:rPr>
          <w:rFonts w:hint="eastAsia" w:ascii="黑体" w:hAnsi="黑体" w:eastAsia="黑体" w:cs="黑体"/>
          <w:b/>
          <w:bCs/>
          <w:color w:val="000000"/>
          <w:kern w:val="0"/>
          <w:sz w:val="32"/>
          <w:szCs w:val="32"/>
        </w:rPr>
        <w:t>附件</w:t>
      </w:r>
    </w:p>
    <w:p>
      <w:pPr>
        <w:spacing w:line="360" w:lineRule="auto"/>
        <w:jc w:val="center"/>
        <w:rPr>
          <w:rFonts w:ascii="仿宋_GB2312" w:eastAsia="仿宋_GB2312"/>
          <w:sz w:val="32"/>
          <w:szCs w:val="32"/>
        </w:rPr>
      </w:pPr>
    </w:p>
    <w:p>
      <w:pPr>
        <w:spacing w:line="360" w:lineRule="auto"/>
        <w:jc w:val="center"/>
        <w:rPr>
          <w:rFonts w:ascii="仿宋_GB2312" w:eastAsia="仿宋_GB2312"/>
          <w:sz w:val="32"/>
          <w:szCs w:val="32"/>
        </w:rPr>
      </w:pPr>
    </w:p>
    <w:p>
      <w:pPr>
        <w:spacing w:line="360" w:lineRule="auto"/>
        <w:jc w:val="center"/>
        <w:rPr>
          <w:rFonts w:ascii="仿宋_GB2312" w:eastAsia="仿宋_GB2312"/>
          <w:sz w:val="32"/>
          <w:szCs w:val="32"/>
        </w:rPr>
      </w:pPr>
    </w:p>
    <w:p>
      <w:pPr>
        <w:spacing w:line="360" w:lineRule="auto"/>
        <w:jc w:val="center"/>
        <w:rPr>
          <w:rFonts w:ascii="仿宋_GB2312" w:eastAsia="仿宋_GB2312"/>
          <w:sz w:val="32"/>
          <w:szCs w:val="32"/>
        </w:rPr>
      </w:pPr>
    </w:p>
    <w:p>
      <w:pPr>
        <w:spacing w:line="360" w:lineRule="auto"/>
        <w:rPr>
          <w:rFonts w:ascii="仿宋_GB2312" w:eastAsia="仿宋_GB2312"/>
          <w:sz w:val="32"/>
          <w:szCs w:val="32"/>
        </w:rPr>
      </w:pPr>
    </w:p>
    <w:p>
      <w:pPr>
        <w:pStyle w:val="15"/>
        <w:spacing w:line="360" w:lineRule="auto"/>
        <w:jc w:val="center"/>
        <w:rPr>
          <w:rFonts w:ascii="仿宋_GB2312" w:eastAsia="仿宋_GB2312" w:cs="Calibri"/>
          <w:sz w:val="32"/>
          <w:szCs w:val="32"/>
        </w:rPr>
      </w:pPr>
    </w:p>
    <w:p>
      <w:pPr>
        <w:pStyle w:val="15"/>
        <w:spacing w:line="360" w:lineRule="auto"/>
        <w:jc w:val="center"/>
        <w:rPr>
          <w:rFonts w:ascii="仿宋_GB2312" w:eastAsia="仿宋_GB2312" w:cs="Calibri"/>
          <w:sz w:val="32"/>
          <w:szCs w:val="32"/>
        </w:rPr>
      </w:pPr>
    </w:p>
    <w:p>
      <w:pPr>
        <w:pStyle w:val="15"/>
        <w:spacing w:line="360" w:lineRule="auto"/>
        <w:jc w:val="center"/>
        <w:rPr>
          <w:rFonts w:ascii="仿宋_GB2312" w:eastAsia="仿宋_GB2312" w:cs="Calibri"/>
          <w:sz w:val="32"/>
          <w:szCs w:val="32"/>
        </w:rPr>
      </w:pPr>
    </w:p>
    <w:p>
      <w:pPr>
        <w:pStyle w:val="15"/>
        <w:spacing w:line="360" w:lineRule="auto"/>
        <w:jc w:val="center"/>
        <w:rPr>
          <w:rFonts w:ascii="仿宋_GB2312" w:eastAsia="仿宋_GB2312" w:cs="Calibri"/>
          <w:sz w:val="32"/>
          <w:szCs w:val="32"/>
        </w:rPr>
      </w:pPr>
    </w:p>
    <w:p>
      <w:pPr>
        <w:pStyle w:val="15"/>
        <w:spacing w:line="360" w:lineRule="auto"/>
        <w:jc w:val="center"/>
        <w:rPr>
          <w:rFonts w:ascii="仿宋_GB2312" w:eastAsia="仿宋_GB2312" w:cs="Calibri"/>
          <w:sz w:val="32"/>
          <w:szCs w:val="32"/>
        </w:rPr>
      </w:pPr>
    </w:p>
    <w:p>
      <w:pPr>
        <w:pStyle w:val="15"/>
        <w:spacing w:line="360" w:lineRule="auto"/>
        <w:jc w:val="center"/>
        <w:rPr>
          <w:rFonts w:ascii="仿宋_GB2312" w:eastAsia="仿宋_GB2312" w:cs="Calibri"/>
          <w:sz w:val="32"/>
          <w:szCs w:val="32"/>
        </w:rPr>
      </w:pPr>
    </w:p>
    <w:p>
      <w:pPr>
        <w:pStyle w:val="15"/>
        <w:spacing w:line="360" w:lineRule="auto"/>
        <w:jc w:val="center"/>
        <w:rPr>
          <w:rFonts w:ascii="仿宋_GB2312" w:eastAsia="仿宋_GB2312" w:cs="Calibri"/>
          <w:sz w:val="32"/>
          <w:szCs w:val="32"/>
        </w:rPr>
      </w:pPr>
    </w:p>
    <w:p>
      <w:pPr>
        <w:pStyle w:val="15"/>
        <w:spacing w:line="360" w:lineRule="auto"/>
        <w:jc w:val="center"/>
        <w:rPr>
          <w:rFonts w:ascii="仿宋_GB2312" w:eastAsia="仿宋_GB2312" w:cs="Calibri"/>
          <w:sz w:val="32"/>
          <w:szCs w:val="32"/>
        </w:rPr>
      </w:pPr>
    </w:p>
    <w:p>
      <w:pPr>
        <w:pStyle w:val="15"/>
        <w:spacing w:line="360" w:lineRule="auto"/>
        <w:jc w:val="center"/>
        <w:rPr>
          <w:rFonts w:ascii="仿宋_GB2312" w:eastAsia="仿宋_GB2312" w:cs="Calibri"/>
          <w:sz w:val="32"/>
          <w:szCs w:val="32"/>
        </w:rPr>
      </w:pPr>
    </w:p>
    <w:p>
      <w:pPr>
        <w:pStyle w:val="15"/>
        <w:spacing w:line="360" w:lineRule="auto"/>
        <w:jc w:val="center"/>
        <w:rPr>
          <w:rFonts w:ascii="仿宋_GB2312" w:eastAsia="仿宋_GB2312" w:cs="Calibri"/>
          <w:sz w:val="32"/>
          <w:szCs w:val="32"/>
        </w:rPr>
      </w:pPr>
    </w:p>
    <w:p>
      <w:pPr>
        <w:pStyle w:val="15"/>
        <w:spacing w:line="360" w:lineRule="auto"/>
        <w:jc w:val="center"/>
        <w:rPr>
          <w:rFonts w:hint="eastAsia" w:ascii="仿宋" w:hAnsi="仿宋" w:eastAsia="仿宋" w:cs="仿宋"/>
          <w:sz w:val="32"/>
          <w:szCs w:val="32"/>
        </w:rPr>
      </w:pPr>
    </w:p>
    <w:p>
      <w:pPr>
        <w:pStyle w:val="15"/>
        <w:spacing w:line="520" w:lineRule="exact"/>
        <w:jc w:val="center"/>
        <w:rPr>
          <w:rFonts w:cs="Calibri"/>
          <w:sz w:val="32"/>
          <w:szCs w:val="32"/>
        </w:rPr>
      </w:pPr>
    </w:p>
    <w:p>
      <w:pPr>
        <w:pStyle w:val="15"/>
        <w:spacing w:line="360" w:lineRule="auto"/>
        <w:jc w:val="center"/>
        <w:rPr>
          <w:sz w:val="56"/>
          <w:szCs w:val="56"/>
        </w:rPr>
      </w:pPr>
      <w:r>
        <w:rPr>
          <w:rFonts w:hint="eastAsia"/>
          <w:sz w:val="56"/>
          <w:szCs w:val="56"/>
        </w:rPr>
        <w:t>第一部分</w:t>
      </w:r>
      <w:r>
        <w:rPr>
          <w:sz w:val="56"/>
          <w:szCs w:val="56"/>
        </w:rPr>
        <w:t xml:space="preserve"> </w:t>
      </w:r>
    </w:p>
    <w:p>
      <w:pPr>
        <w:pStyle w:val="15"/>
        <w:spacing w:line="360" w:lineRule="auto"/>
        <w:jc w:val="center"/>
        <w:rPr>
          <w:sz w:val="56"/>
          <w:szCs w:val="56"/>
        </w:rPr>
      </w:pPr>
    </w:p>
    <w:p>
      <w:pPr>
        <w:pStyle w:val="15"/>
        <w:spacing w:line="360" w:lineRule="auto"/>
        <w:jc w:val="center"/>
        <w:rPr>
          <w:rFonts w:cs="Calibri"/>
          <w:sz w:val="56"/>
          <w:szCs w:val="56"/>
        </w:rPr>
      </w:pPr>
      <w:r>
        <w:rPr>
          <w:rFonts w:hint="eastAsia"/>
          <w:sz w:val="56"/>
          <w:szCs w:val="56"/>
        </w:rPr>
        <w:t>湖南省人民政府驻上海办事处</w:t>
      </w:r>
    </w:p>
    <w:p>
      <w:pPr>
        <w:pStyle w:val="15"/>
        <w:spacing w:line="360" w:lineRule="auto"/>
        <w:jc w:val="center"/>
        <w:rPr>
          <w:rFonts w:cs="Calibri"/>
          <w:sz w:val="56"/>
          <w:szCs w:val="56"/>
        </w:rPr>
      </w:pPr>
      <w:r>
        <w:rPr>
          <w:rFonts w:hint="eastAsia"/>
          <w:sz w:val="56"/>
          <w:szCs w:val="56"/>
        </w:rPr>
        <w:t>概况</w:t>
      </w:r>
    </w:p>
    <w:p>
      <w:pPr>
        <w:pStyle w:val="15"/>
        <w:spacing w:line="360" w:lineRule="auto"/>
        <w:jc w:val="center"/>
        <w:rPr>
          <w:rFonts w:cs="Calibri"/>
          <w:sz w:val="56"/>
          <w:szCs w:val="56"/>
        </w:rPr>
      </w:pPr>
    </w:p>
    <w:p>
      <w:pPr>
        <w:spacing w:line="360" w:lineRule="auto"/>
        <w:jc w:val="center"/>
        <w:rPr>
          <w:rFonts w:ascii="仿宋_GB2312" w:eastAsia="仿宋_GB2312"/>
          <w:sz w:val="32"/>
          <w:szCs w:val="32"/>
        </w:rPr>
      </w:pPr>
    </w:p>
    <w:p>
      <w:pPr>
        <w:spacing w:line="360" w:lineRule="auto"/>
        <w:jc w:val="center"/>
        <w:rPr>
          <w:rFonts w:ascii="仿宋_GB2312" w:eastAsia="仿宋_GB2312"/>
          <w:sz w:val="32"/>
          <w:szCs w:val="32"/>
        </w:rPr>
      </w:pPr>
    </w:p>
    <w:p>
      <w:pPr>
        <w:spacing w:line="360" w:lineRule="auto"/>
        <w:jc w:val="center"/>
        <w:rPr>
          <w:rFonts w:ascii="仿宋_GB2312" w:eastAsia="仿宋_GB2312"/>
          <w:sz w:val="32"/>
          <w:szCs w:val="32"/>
        </w:rPr>
      </w:pPr>
    </w:p>
    <w:p>
      <w:pPr>
        <w:pStyle w:val="20"/>
        <w:widowControl/>
        <w:spacing w:line="360" w:lineRule="auto"/>
        <w:ind w:firstLine="640"/>
        <w:rPr>
          <w:rFonts w:hint="eastAsia" w:ascii="黑体" w:hAnsi="Times New Roman" w:eastAsia="黑体" w:cs="黑体"/>
          <w:sz w:val="32"/>
          <w:szCs w:val="32"/>
        </w:rPr>
      </w:pPr>
    </w:p>
    <w:p>
      <w:pPr>
        <w:pStyle w:val="20"/>
        <w:widowControl/>
        <w:spacing w:line="360" w:lineRule="auto"/>
        <w:ind w:firstLine="640"/>
        <w:rPr>
          <w:rFonts w:hint="eastAsia" w:ascii="黑体" w:hAnsi="Times New Roman" w:eastAsia="黑体" w:cs="黑体"/>
          <w:sz w:val="32"/>
          <w:szCs w:val="32"/>
        </w:rPr>
      </w:pPr>
    </w:p>
    <w:p>
      <w:pPr>
        <w:pStyle w:val="20"/>
        <w:widowControl/>
        <w:spacing w:line="360" w:lineRule="auto"/>
        <w:ind w:firstLine="640"/>
        <w:rPr>
          <w:rFonts w:hint="eastAsia" w:ascii="黑体" w:hAnsi="Times New Roman" w:eastAsia="黑体" w:cs="黑体"/>
          <w:sz w:val="32"/>
          <w:szCs w:val="32"/>
        </w:rPr>
      </w:pPr>
    </w:p>
    <w:p>
      <w:pPr>
        <w:pStyle w:val="20"/>
        <w:widowControl/>
        <w:spacing w:line="360" w:lineRule="auto"/>
        <w:ind w:firstLine="640"/>
        <w:rPr>
          <w:rFonts w:hint="eastAsia" w:ascii="黑体" w:hAnsi="Times New Roman" w:eastAsia="黑体" w:cs="黑体"/>
          <w:sz w:val="32"/>
          <w:szCs w:val="32"/>
        </w:rPr>
      </w:pPr>
    </w:p>
    <w:p>
      <w:pPr>
        <w:pStyle w:val="20"/>
        <w:widowControl/>
        <w:spacing w:line="360" w:lineRule="auto"/>
        <w:ind w:firstLine="640"/>
        <w:rPr>
          <w:rFonts w:hint="eastAsia" w:ascii="黑体" w:hAnsi="Times New Roman" w:eastAsia="黑体" w:cs="黑体"/>
          <w:sz w:val="32"/>
          <w:szCs w:val="32"/>
        </w:rPr>
      </w:pPr>
    </w:p>
    <w:p>
      <w:pPr>
        <w:pStyle w:val="20"/>
        <w:widowControl/>
        <w:spacing w:line="360" w:lineRule="auto"/>
        <w:ind w:firstLine="640"/>
        <w:rPr>
          <w:rFonts w:hint="eastAsia" w:ascii="黑体" w:hAnsi="Times New Roman" w:eastAsia="黑体" w:cs="黑体"/>
          <w:sz w:val="32"/>
          <w:szCs w:val="32"/>
        </w:rPr>
      </w:pPr>
    </w:p>
    <w:p>
      <w:pPr>
        <w:pStyle w:val="20"/>
        <w:widowControl/>
        <w:spacing w:line="360" w:lineRule="auto"/>
        <w:ind w:firstLine="640"/>
        <w:rPr>
          <w:rFonts w:hint="eastAsia" w:ascii="黑体" w:hAnsi="Times New Roman" w:eastAsia="黑体" w:cs="黑体"/>
          <w:sz w:val="32"/>
          <w:szCs w:val="32"/>
        </w:rPr>
      </w:pPr>
    </w:p>
    <w:p>
      <w:pPr>
        <w:pStyle w:val="20"/>
        <w:widowControl/>
        <w:spacing w:line="360" w:lineRule="auto"/>
        <w:ind w:firstLine="640"/>
        <w:rPr>
          <w:rFonts w:hint="eastAsia" w:ascii="黑体" w:hAnsi="Times New Roman" w:eastAsia="黑体" w:cs="黑体"/>
          <w:sz w:val="32"/>
          <w:szCs w:val="32"/>
        </w:rPr>
      </w:pPr>
    </w:p>
    <w:p>
      <w:pPr>
        <w:pStyle w:val="20"/>
        <w:widowControl/>
        <w:spacing w:line="360" w:lineRule="auto"/>
        <w:ind w:firstLine="640"/>
        <w:rPr>
          <w:rFonts w:hint="eastAsia" w:ascii="黑体" w:hAnsi="Times New Roman" w:eastAsia="黑体"/>
          <w:b/>
          <w:bCs/>
          <w:sz w:val="32"/>
          <w:szCs w:val="32"/>
          <w:lang w:val="en-US" w:eastAsia="zh-CN"/>
        </w:rPr>
      </w:pPr>
      <w:r>
        <w:rPr>
          <w:rFonts w:hint="eastAsia" w:ascii="黑体" w:hAnsi="Times New Roman" w:eastAsia="黑体" w:cs="黑体"/>
          <w:b/>
          <w:bCs/>
          <w:sz w:val="32"/>
          <w:szCs w:val="32"/>
        </w:rPr>
        <w:t>一、</w:t>
      </w:r>
      <w:r>
        <w:rPr>
          <w:rFonts w:hint="eastAsia" w:ascii="黑体" w:hAnsi="Times New Roman" w:eastAsia="黑体" w:cs="黑体"/>
          <w:b/>
          <w:bCs/>
          <w:sz w:val="32"/>
          <w:szCs w:val="32"/>
          <w:lang w:val="en-US" w:eastAsia="zh-CN"/>
        </w:rPr>
        <w:t>部门职责</w:t>
      </w:r>
    </w:p>
    <w:p>
      <w:pPr>
        <w:widowControl/>
        <w:spacing w:line="360" w:lineRule="auto"/>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（一）基本情况</w:t>
      </w:r>
    </w:p>
    <w:p>
      <w:pPr>
        <w:pStyle w:val="21"/>
        <w:keepNext w:val="0"/>
        <w:keepLines w:val="0"/>
        <w:pageBreakBefore w:val="0"/>
        <w:widowControl w:val="0"/>
        <w:kinsoku/>
        <w:wordWrap/>
        <w:overflowPunct/>
        <w:topLinePunct w:val="0"/>
        <w:autoSpaceDE/>
        <w:autoSpaceDN/>
        <w:bidi w:val="0"/>
        <w:adjustRightInd/>
        <w:snapToGrid/>
        <w:spacing w:line="240" w:lineRule="auto"/>
        <w:ind w:firstLine="680"/>
        <w:jc w:val="both"/>
        <w:textAlignment w:val="auto"/>
        <w:rPr>
          <w:rFonts w:ascii="仿宋" w:hAnsi="仿宋" w:eastAsia="仿宋" w:cs="Times New Roman"/>
          <w:kern w:val="2"/>
          <w:lang w:val="en-US" w:eastAsia="zh-CN" w:bidi="ar-SA"/>
        </w:rPr>
      </w:pPr>
      <w:r>
        <w:rPr>
          <w:rFonts w:ascii="仿宋" w:hAnsi="仿宋" w:eastAsia="仿宋" w:cs="Times New Roman"/>
          <w:kern w:val="2"/>
          <w:lang w:val="en-US" w:eastAsia="zh-CN" w:bidi="ar-SA"/>
        </w:rPr>
        <w:t>湖南省人民政府驻上海办事处（以下简称省政府驻上海办事处）</w:t>
      </w:r>
      <w:r>
        <w:rPr>
          <w:rFonts w:hint="eastAsia" w:ascii="仿宋" w:hAnsi="仿宋" w:eastAsia="仿宋" w:cs="Times New Roman"/>
          <w:kern w:val="2"/>
          <w:lang w:val="en-US" w:eastAsia="zh-CN" w:bidi="ar-SA"/>
        </w:rPr>
        <w:t>是</w:t>
      </w:r>
      <w:r>
        <w:rPr>
          <w:rFonts w:ascii="仿宋" w:hAnsi="仿宋" w:eastAsia="仿宋" w:cs="Times New Roman"/>
          <w:kern w:val="2"/>
          <w:lang w:val="en-US" w:eastAsia="zh-CN" w:bidi="ar-SA"/>
        </w:rPr>
        <w:t>湖南省人民政府派出机构，正厅级公益一类事业单位。</w:t>
      </w:r>
    </w:p>
    <w:p>
      <w:pPr>
        <w:widowControl/>
        <w:spacing w:line="360" w:lineRule="auto"/>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（二）职能职责</w:t>
      </w:r>
    </w:p>
    <w:p>
      <w:pPr>
        <w:keepNext w:val="0"/>
        <w:keepLines w:val="0"/>
        <w:pageBreakBefore w:val="0"/>
        <w:widowControl/>
        <w:kinsoku/>
        <w:wordWrap/>
        <w:overflowPunct/>
        <w:topLinePunct w:val="0"/>
        <w:autoSpaceDE/>
        <w:autoSpaceDN/>
        <w:bidi w:val="0"/>
        <w:adjustRightInd/>
        <w:snapToGrid/>
        <w:spacing w:line="600" w:lineRule="exact"/>
        <w:ind w:firstLine="627" w:firstLineChars="196"/>
        <w:jc w:val="both"/>
        <w:textAlignment w:val="auto"/>
        <w:rPr>
          <w:rFonts w:ascii="仿宋" w:hAnsi="仿宋" w:eastAsia="仿宋"/>
          <w:sz w:val="32"/>
          <w:szCs w:val="32"/>
        </w:rPr>
      </w:pPr>
      <w:r>
        <w:rPr>
          <w:rFonts w:ascii="仿宋" w:hAnsi="仿宋" w:eastAsia="仿宋"/>
          <w:sz w:val="32"/>
          <w:szCs w:val="32"/>
        </w:rPr>
        <w:t>省政府驻上海办事处在履行职责过程中坚持和加强党的全面领导，贯彻落实省委、省政府关于驻外办事机构工作有关决策部署。根据省委、省政府的授权和委托，其主要职责是：</w:t>
      </w:r>
    </w:p>
    <w:p>
      <w:pPr>
        <w:pStyle w:val="3"/>
        <w:numPr>
          <w:ilvl w:val="0"/>
          <w:numId w:val="1"/>
        </w:numPr>
        <w:spacing w:before="107" w:line="314" w:lineRule="auto"/>
        <w:ind w:right="103" w:firstLine="659"/>
        <w:jc w:val="both"/>
        <w:rPr>
          <w:rFonts w:ascii="仿宋" w:hAnsi="仿宋" w:eastAsia="仿宋" w:cs="Calibri"/>
          <w:kern w:val="2"/>
          <w:sz w:val="32"/>
          <w:szCs w:val="32"/>
          <w:lang w:val="en-US" w:eastAsia="zh-CN" w:bidi="ar-SA"/>
        </w:rPr>
      </w:pPr>
      <w:r>
        <w:rPr>
          <w:rFonts w:hint="eastAsia" w:ascii="仿宋" w:hAnsi="仿宋" w:eastAsia="仿宋"/>
          <w:sz w:val="32"/>
          <w:szCs w:val="32"/>
          <w:lang w:val="en-US" w:eastAsia="zh-CN"/>
        </w:rPr>
        <w:t>机关党委。</w:t>
      </w:r>
      <w:r>
        <w:rPr>
          <w:rFonts w:ascii="仿宋" w:hAnsi="仿宋" w:eastAsia="仿宋" w:cs="Calibri"/>
          <w:kern w:val="2"/>
          <w:sz w:val="32"/>
          <w:szCs w:val="32"/>
          <w:lang w:val="en-US" w:eastAsia="zh-CN" w:bidi="ar-SA"/>
        </w:rPr>
        <w:t>负责办事处机关党群工作、纪检监察工作，加强党员干部教育管理和日常监督；负责湖南驻沪单位 党委有关日常工作，统筹指导湖南驻沪单位党建工作；协助做好 湖南在沪流动党(团)员的管理服务工作；牵头指导湖南省在沪商会、企业等新经济组织、新社会组织的党建工作，探索符合</w:t>
      </w:r>
      <w:r>
        <w:rPr>
          <w:rFonts w:hint="eastAsia" w:ascii="仿宋" w:hAnsi="仿宋" w:eastAsia="仿宋" w:cs="Calibri"/>
          <w:kern w:val="2"/>
          <w:sz w:val="32"/>
          <w:szCs w:val="32"/>
          <w:lang w:val="en-US" w:eastAsia="zh-CN" w:bidi="ar-SA"/>
        </w:rPr>
        <w:t>上</w:t>
      </w:r>
      <w:r>
        <w:rPr>
          <w:rFonts w:ascii="仿宋" w:hAnsi="仿宋" w:eastAsia="仿宋" w:cs="Calibri"/>
          <w:kern w:val="2"/>
          <w:sz w:val="32"/>
          <w:szCs w:val="32"/>
          <w:lang w:val="en-US" w:eastAsia="zh-CN" w:bidi="ar-SA"/>
        </w:rPr>
        <w:t>海特点、湖南特色的“两新”组织党建新模式；承担廉政风险防控、廉洁文化建设有关工作。</w:t>
      </w:r>
    </w:p>
    <w:p>
      <w:pPr>
        <w:pStyle w:val="3"/>
        <w:numPr>
          <w:numId w:val="0"/>
        </w:numPr>
        <w:spacing w:before="107" w:line="314" w:lineRule="auto"/>
        <w:ind w:right="103" w:rightChars="0" w:firstLine="640" w:firstLineChars="200"/>
        <w:jc w:val="both"/>
        <w:rPr>
          <w:rFonts w:ascii="仿宋" w:hAnsi="仿宋" w:eastAsia="仿宋" w:cs="Calibri"/>
          <w:kern w:val="2"/>
          <w:sz w:val="32"/>
          <w:szCs w:val="32"/>
          <w:lang w:val="en-US" w:eastAsia="zh-CN" w:bidi="ar-SA"/>
        </w:rPr>
      </w:pPr>
      <w:r>
        <w:rPr>
          <w:rFonts w:hint="eastAsia" w:cs="Calibri"/>
          <w:kern w:val="2"/>
          <w:sz w:val="32"/>
          <w:szCs w:val="32"/>
          <w:lang w:val="en-US" w:eastAsia="zh-CN" w:bidi="ar-SA"/>
        </w:rPr>
        <w:t>2、</w:t>
      </w:r>
      <w:r>
        <w:rPr>
          <w:rFonts w:hint="eastAsia" w:ascii="仿宋" w:hAnsi="仿宋" w:eastAsia="仿宋" w:cs="Calibri"/>
          <w:kern w:val="2"/>
          <w:sz w:val="32"/>
          <w:szCs w:val="32"/>
          <w:lang w:val="en-US" w:eastAsia="zh-CN" w:bidi="ar-SA"/>
        </w:rPr>
        <w:t>经济合作处。</w:t>
      </w:r>
      <w:r>
        <w:rPr>
          <w:rFonts w:ascii="仿宋" w:hAnsi="仿宋" w:eastAsia="仿宋" w:cs="Calibri"/>
          <w:kern w:val="2"/>
          <w:sz w:val="32"/>
          <w:szCs w:val="32"/>
          <w:lang w:val="en-US" w:eastAsia="zh-CN" w:bidi="ar-SA"/>
        </w:rPr>
        <w:t>按照省委、省政府部署，服务湖南对接和融入“一带一部”等国家战略；建立招商引资常态化工作机制体系，协同配合湖南在上海及长三角地区的招商引资、产业发展、湘商回归；加强与长三角地区企业、商协会、园区、湘籍人士和社会各界人士的联系，为湖南联动上海及长三角地区产业发展牵线搭桥；协助省委省政府、省直单位及各市州在长三角地区宣传湖南发展环境、推介优势产业与名优特产品；联系各市州驻沪联络机构；配合做好湖南干部教育培训在沪异地教学有关工作。</w:t>
      </w:r>
    </w:p>
    <w:p>
      <w:pPr>
        <w:keepNext w:val="0"/>
        <w:keepLines w:val="0"/>
        <w:pageBreakBefore w:val="0"/>
        <w:widowControl/>
        <w:kinsoku/>
        <w:wordWrap/>
        <w:overflowPunct/>
        <w:topLinePunct w:val="0"/>
        <w:autoSpaceDE/>
        <w:autoSpaceDN/>
        <w:bidi w:val="0"/>
        <w:adjustRightInd/>
        <w:snapToGrid/>
        <w:spacing w:line="600" w:lineRule="exact"/>
        <w:ind w:firstLine="627" w:firstLineChars="196"/>
        <w:jc w:val="both"/>
        <w:textAlignment w:val="auto"/>
        <w:rPr>
          <w:rFonts w:hint="eastAsia" w:ascii="仿宋" w:hAnsi="仿宋" w:eastAsia="仿宋" w:cs="Calibri"/>
          <w:kern w:val="2"/>
          <w:sz w:val="32"/>
          <w:szCs w:val="32"/>
          <w:lang w:val="en-US" w:eastAsia="zh-CN" w:bidi="ar-SA"/>
        </w:rPr>
      </w:pPr>
      <w:r>
        <w:rPr>
          <w:rFonts w:hint="eastAsia" w:ascii="仿宋" w:hAnsi="仿宋" w:eastAsia="仿宋"/>
          <w:sz w:val="32"/>
          <w:szCs w:val="32"/>
        </w:rPr>
        <w:t>3、</w:t>
      </w:r>
      <w:r>
        <w:rPr>
          <w:rFonts w:hint="eastAsia" w:ascii="仿宋" w:hAnsi="仿宋" w:eastAsia="仿宋"/>
          <w:sz w:val="32"/>
          <w:szCs w:val="32"/>
          <w:lang w:val="en-US" w:eastAsia="zh-CN"/>
        </w:rPr>
        <w:t>综合处。</w:t>
      </w:r>
      <w:r>
        <w:rPr>
          <w:rFonts w:ascii="仿宋" w:hAnsi="仿宋" w:eastAsia="仿宋" w:cs="Calibri"/>
          <w:kern w:val="2"/>
          <w:sz w:val="32"/>
          <w:szCs w:val="32"/>
          <w:lang w:val="en-US" w:eastAsia="zh-CN" w:bidi="ar-SA"/>
        </w:rPr>
        <w:t>负责与上海及长三角地区有关部门的政务联络、友好往来；做好省领导在上海及长三角地区公务活动的接待服务保障工作，统筹协调省直单位和各市州公务活动需求；承担文秘、会务、机要、保密、档案、财务、安全等日常运转和办事处内部运行协调；负责干部人事、队伍建设与绩效考核；组织办事处督查落实工作；协助做好与湖南相关的信访、维稳及突发事件处置工作。</w:t>
      </w:r>
    </w:p>
    <w:p>
      <w:pPr>
        <w:pStyle w:val="3"/>
        <w:numPr>
          <w:ilvl w:val="0"/>
          <w:numId w:val="0"/>
        </w:numPr>
        <w:spacing w:before="107" w:line="314" w:lineRule="auto"/>
        <w:ind w:right="103" w:rightChars="0" w:firstLine="640" w:firstLineChars="200"/>
        <w:jc w:val="both"/>
        <w:rPr>
          <w:rFonts w:ascii="仿宋" w:hAnsi="仿宋" w:eastAsia="仿宋"/>
          <w:sz w:val="32"/>
          <w:szCs w:val="32"/>
        </w:rPr>
      </w:pPr>
      <w:r>
        <w:rPr>
          <w:rFonts w:hint="eastAsia" w:ascii="仿宋" w:hAnsi="仿宋" w:eastAsia="仿宋"/>
          <w:sz w:val="32"/>
          <w:szCs w:val="32"/>
        </w:rPr>
        <w:t>4、</w:t>
      </w:r>
      <w:r>
        <w:rPr>
          <w:rFonts w:hint="eastAsia"/>
          <w:sz w:val="32"/>
          <w:szCs w:val="32"/>
          <w:lang w:val="en-US" w:eastAsia="zh-CN"/>
        </w:rPr>
        <w:t>信息调研处。</w:t>
      </w:r>
      <w:r>
        <w:rPr>
          <w:rFonts w:ascii="仿宋" w:hAnsi="仿宋" w:eastAsia="仿宋" w:cs="Calibri"/>
          <w:kern w:val="2"/>
          <w:sz w:val="32"/>
          <w:szCs w:val="32"/>
          <w:lang w:val="en-US" w:eastAsia="zh-CN" w:bidi="ar-SA"/>
        </w:rPr>
        <w:t>聚焦省委、省政府重点部 署，对上海及长三角地区政策创新、改革试点、要素市场、体制机制改革等重点领域开展专题调查研究，为省委、省政府提供高质量决策参考和信息支撑；常态化收集、报送上海及长三角地区改革创新、经济社会、科技人才等重要动态信息；统筹协调各方力量，建立常态化调研机制，提升信息服务的针对性和实效性；负责湖南与上海及长三角地区之间的新闻宣传互动工作。</w:t>
      </w:r>
    </w:p>
    <w:p>
      <w:pPr>
        <w:pStyle w:val="3"/>
        <w:spacing w:before="53" w:line="313" w:lineRule="auto"/>
        <w:ind w:left="9" w:right="19" w:firstLine="659"/>
        <w:jc w:val="both"/>
        <w:rPr>
          <w:rFonts w:ascii="仿宋" w:hAnsi="仿宋" w:eastAsia="仿宋" w:cs="Calibri"/>
          <w:kern w:val="2"/>
          <w:sz w:val="32"/>
          <w:szCs w:val="32"/>
          <w:lang w:val="en-US" w:eastAsia="zh-CN" w:bidi="ar-SA"/>
        </w:rPr>
      </w:pPr>
      <w:r>
        <w:rPr>
          <w:rFonts w:hint="eastAsia" w:ascii="仿宋" w:hAnsi="仿宋" w:eastAsia="仿宋"/>
          <w:sz w:val="32"/>
          <w:szCs w:val="32"/>
          <w:lang w:val="en-US" w:eastAsia="zh-CN"/>
        </w:rPr>
        <w:t>5</w:t>
      </w:r>
      <w:r>
        <w:rPr>
          <w:rFonts w:hint="eastAsia" w:ascii="仿宋" w:hAnsi="仿宋" w:eastAsia="仿宋"/>
          <w:sz w:val="32"/>
          <w:szCs w:val="32"/>
        </w:rPr>
        <w:t>、</w:t>
      </w:r>
      <w:r>
        <w:rPr>
          <w:rFonts w:hint="eastAsia" w:ascii="仿宋" w:hAnsi="仿宋" w:eastAsia="仿宋"/>
          <w:sz w:val="32"/>
          <w:szCs w:val="32"/>
          <w:lang w:val="en-US" w:eastAsia="zh-CN"/>
        </w:rPr>
        <w:t>人才服务处。</w:t>
      </w:r>
      <w:r>
        <w:rPr>
          <w:rFonts w:ascii="仿宋" w:hAnsi="仿宋" w:eastAsia="仿宋" w:cs="Calibri"/>
          <w:kern w:val="2"/>
          <w:sz w:val="32"/>
          <w:szCs w:val="32"/>
          <w:lang w:val="en-US" w:eastAsia="zh-CN" w:bidi="ar-SA"/>
        </w:rPr>
        <w:t>按照省委、省政府人才强省工作部署，建立人才服务工作体系，促进创新要素、智慧资源向湖南集聚；联系上海及长三角地区高等院校、科研院所及院士、专家等各类科创人才，积极争取其对湖南发展的支持帮助；推动产学研联动招引，为湖南引才引智牵线搭桥；加强与上海及长三角地区有关职能部门沟通协调，为湖南在沪务工等人员提供相关服务、法律援助与应急协助。</w:t>
      </w:r>
    </w:p>
    <w:p>
      <w:pPr>
        <w:keepNext w:val="0"/>
        <w:keepLines w:val="0"/>
        <w:pageBreakBefore w:val="0"/>
        <w:widowControl/>
        <w:kinsoku/>
        <w:wordWrap/>
        <w:overflowPunct/>
        <w:topLinePunct w:val="0"/>
        <w:autoSpaceDE/>
        <w:autoSpaceDN/>
        <w:bidi w:val="0"/>
        <w:adjustRightInd/>
        <w:snapToGrid/>
        <w:spacing w:line="600" w:lineRule="exact"/>
        <w:ind w:firstLine="627" w:firstLineChars="196"/>
        <w:jc w:val="both"/>
        <w:textAlignment w:val="auto"/>
        <w:rPr>
          <w:rFonts w:ascii="仿宋" w:hAnsi="仿宋" w:eastAsia="仿宋"/>
          <w:sz w:val="32"/>
          <w:szCs w:val="32"/>
        </w:rPr>
      </w:pPr>
      <w:r>
        <w:rPr>
          <w:rFonts w:hint="eastAsia" w:ascii="仿宋" w:hAnsi="仿宋" w:eastAsia="仿宋"/>
          <w:sz w:val="32"/>
          <w:szCs w:val="32"/>
          <w:lang w:val="en-US" w:eastAsia="zh-CN"/>
        </w:rPr>
        <w:t>6</w:t>
      </w:r>
      <w:r>
        <w:rPr>
          <w:rFonts w:hint="eastAsia" w:ascii="仿宋" w:hAnsi="仿宋" w:eastAsia="仿宋"/>
          <w:sz w:val="32"/>
          <w:szCs w:val="32"/>
        </w:rPr>
        <w:t>、</w:t>
      </w:r>
      <w:r>
        <w:rPr>
          <w:rFonts w:ascii="仿宋" w:hAnsi="仿宋" w:eastAsia="仿宋"/>
          <w:sz w:val="32"/>
          <w:szCs w:val="32"/>
        </w:rPr>
        <w:t>完成省委、省政府交办的其他任务。</w:t>
      </w:r>
    </w:p>
    <w:p>
      <w:pPr>
        <w:widowControl/>
        <w:spacing w:line="360" w:lineRule="auto"/>
        <w:ind w:firstLine="640" w:firstLineChars="200"/>
        <w:rPr>
          <w:rFonts w:ascii="仿宋_GB2312" w:eastAsia="仿宋_GB2312"/>
          <w:b/>
          <w:bCs/>
          <w:sz w:val="32"/>
          <w:szCs w:val="32"/>
        </w:rPr>
      </w:pPr>
      <w:r>
        <w:rPr>
          <w:rFonts w:hint="eastAsia" w:ascii="黑体" w:hAnsi="黑体" w:eastAsia="黑体" w:cs="黑体"/>
          <w:kern w:val="0"/>
          <w:sz w:val="32"/>
          <w:szCs w:val="32"/>
        </w:rPr>
        <w:t>二、机构设置及决算单位构成</w:t>
      </w:r>
    </w:p>
    <w:p>
      <w:pPr>
        <w:keepNext w:val="0"/>
        <w:keepLines w:val="0"/>
        <w:pageBreakBefore w:val="0"/>
        <w:widowControl/>
        <w:kinsoku/>
        <w:wordWrap/>
        <w:overflowPunct/>
        <w:topLinePunct w:val="0"/>
        <w:autoSpaceDE/>
        <w:autoSpaceDN/>
        <w:bidi w:val="0"/>
        <w:adjustRightInd/>
        <w:snapToGrid/>
        <w:spacing w:line="600" w:lineRule="exact"/>
        <w:ind w:firstLine="630" w:firstLineChars="196"/>
        <w:jc w:val="both"/>
        <w:textAlignment w:val="auto"/>
        <w:rPr>
          <w:rFonts w:ascii="仿宋" w:hAnsi="仿宋" w:eastAsia="仿宋"/>
          <w:sz w:val="32"/>
          <w:szCs w:val="32"/>
        </w:rPr>
      </w:pPr>
      <w:r>
        <w:rPr>
          <w:rFonts w:hint="eastAsia" w:ascii="楷体" w:hAnsi="楷体" w:eastAsia="楷体" w:cs="楷体"/>
          <w:b/>
          <w:bCs/>
          <w:sz w:val="32"/>
          <w:szCs w:val="32"/>
        </w:rPr>
        <w:t>（一）内设机构设置。</w:t>
      </w:r>
      <w:r>
        <w:rPr>
          <w:rFonts w:ascii="仿宋" w:hAnsi="仿宋" w:eastAsia="仿宋"/>
          <w:sz w:val="32"/>
          <w:szCs w:val="32"/>
        </w:rPr>
        <w:t>省政府驻上海办事处设下列内设机构：机关党委</w:t>
      </w:r>
      <w:r>
        <w:rPr>
          <w:rFonts w:hint="eastAsia" w:ascii="仿宋" w:hAnsi="仿宋" w:eastAsia="仿宋"/>
          <w:sz w:val="32"/>
          <w:szCs w:val="32"/>
          <w:lang w:eastAsia="zh-CN"/>
        </w:rPr>
        <w:t>、</w:t>
      </w:r>
      <w:r>
        <w:rPr>
          <w:rFonts w:hint="eastAsia" w:ascii="仿宋" w:hAnsi="仿宋" w:eastAsia="仿宋"/>
          <w:sz w:val="32"/>
          <w:szCs w:val="32"/>
          <w:lang w:val="en-US" w:eastAsia="zh-CN"/>
        </w:rPr>
        <w:t>经济</w:t>
      </w:r>
      <w:r>
        <w:rPr>
          <w:rFonts w:ascii="仿宋" w:hAnsi="仿宋" w:eastAsia="仿宋"/>
          <w:sz w:val="32"/>
          <w:szCs w:val="32"/>
        </w:rPr>
        <w:t>合作处</w:t>
      </w:r>
      <w:r>
        <w:rPr>
          <w:rFonts w:hint="eastAsia" w:ascii="仿宋" w:hAnsi="仿宋" w:eastAsia="仿宋"/>
          <w:sz w:val="32"/>
          <w:szCs w:val="32"/>
        </w:rPr>
        <w:t>、</w:t>
      </w:r>
      <w:r>
        <w:rPr>
          <w:rFonts w:ascii="仿宋" w:hAnsi="仿宋" w:eastAsia="仿宋"/>
          <w:sz w:val="32"/>
          <w:szCs w:val="32"/>
        </w:rPr>
        <w:t>综合处</w:t>
      </w:r>
      <w:r>
        <w:rPr>
          <w:rFonts w:hint="eastAsia" w:ascii="仿宋" w:hAnsi="仿宋" w:eastAsia="仿宋"/>
          <w:sz w:val="32"/>
          <w:szCs w:val="32"/>
        </w:rPr>
        <w:t>、</w:t>
      </w:r>
      <w:r>
        <w:rPr>
          <w:rFonts w:ascii="仿宋" w:hAnsi="仿宋" w:eastAsia="仿宋"/>
          <w:sz w:val="32"/>
          <w:szCs w:val="32"/>
        </w:rPr>
        <w:t>信息</w:t>
      </w:r>
      <w:r>
        <w:rPr>
          <w:rFonts w:hint="eastAsia" w:ascii="仿宋" w:hAnsi="仿宋" w:eastAsia="仿宋"/>
          <w:sz w:val="32"/>
          <w:szCs w:val="32"/>
          <w:lang w:val="en-US" w:eastAsia="zh-CN"/>
        </w:rPr>
        <w:t>调研</w:t>
      </w:r>
      <w:r>
        <w:rPr>
          <w:rFonts w:ascii="仿宋" w:hAnsi="仿宋" w:eastAsia="仿宋"/>
          <w:sz w:val="32"/>
          <w:szCs w:val="32"/>
        </w:rPr>
        <w:t>处</w:t>
      </w:r>
      <w:r>
        <w:rPr>
          <w:rFonts w:hint="eastAsia" w:ascii="仿宋" w:hAnsi="仿宋" w:eastAsia="仿宋"/>
          <w:sz w:val="32"/>
          <w:szCs w:val="32"/>
        </w:rPr>
        <w:t>、</w:t>
      </w:r>
      <w:r>
        <w:rPr>
          <w:rFonts w:hint="eastAsia" w:ascii="仿宋" w:hAnsi="仿宋" w:eastAsia="仿宋"/>
          <w:sz w:val="32"/>
          <w:szCs w:val="32"/>
          <w:lang w:val="en-US" w:eastAsia="zh-CN"/>
        </w:rPr>
        <w:t>人才</w:t>
      </w:r>
      <w:r>
        <w:rPr>
          <w:rFonts w:ascii="仿宋" w:hAnsi="仿宋" w:eastAsia="仿宋"/>
          <w:sz w:val="32"/>
          <w:szCs w:val="32"/>
        </w:rPr>
        <w:t>服务处</w:t>
      </w:r>
      <w:bookmarkStart w:id="2" w:name="_GoBack"/>
      <w:bookmarkEnd w:id="2"/>
      <w:r>
        <w:rPr>
          <w:rFonts w:ascii="仿宋" w:hAnsi="仿宋" w:eastAsia="仿宋"/>
          <w:sz w:val="32"/>
          <w:szCs w:val="32"/>
        </w:rPr>
        <w:t>。</w:t>
      </w:r>
    </w:p>
    <w:p>
      <w:pPr>
        <w:keepNext w:val="0"/>
        <w:keepLines w:val="0"/>
        <w:pageBreakBefore w:val="0"/>
        <w:widowControl/>
        <w:kinsoku/>
        <w:wordWrap/>
        <w:overflowPunct/>
        <w:topLinePunct w:val="0"/>
        <w:autoSpaceDE/>
        <w:autoSpaceDN/>
        <w:bidi w:val="0"/>
        <w:adjustRightInd/>
        <w:snapToGrid/>
        <w:spacing w:line="360" w:lineRule="auto"/>
        <w:ind w:firstLine="643" w:firstLineChars="200"/>
        <w:jc w:val="both"/>
        <w:textAlignment w:val="auto"/>
        <w:rPr>
          <w:rFonts w:ascii="仿宋_GB2312" w:eastAsia="仿宋_GB2312"/>
          <w:b/>
          <w:bCs/>
          <w:sz w:val="32"/>
          <w:szCs w:val="32"/>
        </w:rPr>
      </w:pPr>
      <w:r>
        <w:rPr>
          <w:rFonts w:hint="eastAsia" w:ascii="楷体" w:hAnsi="楷体" w:eastAsia="楷体" w:cs="楷体"/>
          <w:b/>
          <w:bCs/>
          <w:sz w:val="32"/>
          <w:szCs w:val="32"/>
        </w:rPr>
        <w:t>（二）决算单位构成。</w:t>
      </w:r>
      <w:r>
        <w:rPr>
          <w:rFonts w:hint="eastAsia" w:ascii="仿宋" w:hAnsi="仿宋" w:eastAsia="仿宋" w:cs="仿宋"/>
          <w:sz w:val="32"/>
          <w:szCs w:val="32"/>
        </w:rPr>
        <w:t>湖南省人民政府驻上海办事处</w:t>
      </w:r>
      <w:r>
        <w:rPr>
          <w:rFonts w:hint="eastAsia" w:ascii="仿宋" w:hAnsi="仿宋" w:eastAsia="仿宋" w:cs="仿宋"/>
          <w:sz w:val="32"/>
          <w:szCs w:val="32"/>
          <w:lang w:eastAsia="zh-CN"/>
        </w:rPr>
        <w:t>2025</w:t>
      </w:r>
      <w:r>
        <w:rPr>
          <w:rFonts w:hint="eastAsia" w:ascii="仿宋" w:hAnsi="仿宋" w:eastAsia="仿宋" w:cs="仿宋"/>
          <w:sz w:val="32"/>
          <w:szCs w:val="32"/>
        </w:rPr>
        <w:t>年部门决算汇总公开单位构成：湖南省人民政府驻上海办事处本级，无其他二级预算单位。</w:t>
      </w:r>
    </w:p>
    <w:p>
      <w:pPr>
        <w:pStyle w:val="16"/>
        <w:spacing w:line="360" w:lineRule="auto"/>
        <w:ind w:left="720" w:firstLine="0" w:firstLineChars="0"/>
        <w:jc w:val="left"/>
        <w:rPr>
          <w:rFonts w:ascii="黑体" w:hAnsi="黑体" w:eastAsia="黑体"/>
          <w:sz w:val="32"/>
          <w:szCs w:val="32"/>
        </w:rPr>
      </w:pPr>
    </w:p>
    <w:p>
      <w:pPr>
        <w:spacing w:line="360" w:lineRule="auto"/>
        <w:jc w:val="center"/>
        <w:rPr>
          <w:rFonts w:ascii="黑体" w:hAnsi="黑体" w:eastAsia="黑体"/>
          <w:sz w:val="28"/>
          <w:szCs w:val="28"/>
        </w:rPr>
      </w:pPr>
    </w:p>
    <w:p>
      <w:pPr>
        <w:spacing w:line="360" w:lineRule="auto"/>
        <w:jc w:val="center"/>
        <w:rPr>
          <w:rFonts w:ascii="黑体" w:hAnsi="黑体" w:eastAsia="黑体"/>
          <w:sz w:val="28"/>
          <w:szCs w:val="28"/>
        </w:rPr>
      </w:pPr>
    </w:p>
    <w:p>
      <w:pPr>
        <w:spacing w:line="360" w:lineRule="auto"/>
        <w:jc w:val="center"/>
        <w:rPr>
          <w:rFonts w:ascii="黑体" w:hAnsi="黑体" w:eastAsia="黑体"/>
          <w:sz w:val="28"/>
          <w:szCs w:val="28"/>
        </w:rPr>
      </w:pPr>
    </w:p>
    <w:p>
      <w:pPr>
        <w:spacing w:line="360" w:lineRule="auto"/>
        <w:jc w:val="center"/>
        <w:rPr>
          <w:rFonts w:ascii="黑体" w:hAnsi="黑体" w:eastAsia="黑体"/>
          <w:sz w:val="28"/>
          <w:szCs w:val="28"/>
        </w:rPr>
      </w:pPr>
    </w:p>
    <w:p>
      <w:pPr>
        <w:spacing w:line="360" w:lineRule="auto"/>
        <w:jc w:val="center"/>
        <w:rPr>
          <w:rFonts w:ascii="黑体" w:hAnsi="黑体" w:eastAsia="黑体"/>
          <w:sz w:val="32"/>
          <w:szCs w:val="32"/>
        </w:rPr>
      </w:pPr>
    </w:p>
    <w:p>
      <w:pPr>
        <w:spacing w:line="360" w:lineRule="auto"/>
        <w:jc w:val="center"/>
        <w:rPr>
          <w:rFonts w:ascii="黑体" w:hAnsi="黑体" w:eastAsia="黑体"/>
          <w:sz w:val="32"/>
          <w:szCs w:val="32"/>
        </w:rPr>
      </w:pPr>
    </w:p>
    <w:p>
      <w:pPr>
        <w:spacing w:line="360" w:lineRule="auto"/>
        <w:jc w:val="center"/>
        <w:rPr>
          <w:rFonts w:ascii="黑体" w:hAnsi="黑体" w:eastAsia="黑体"/>
          <w:sz w:val="32"/>
          <w:szCs w:val="32"/>
        </w:rPr>
      </w:pPr>
    </w:p>
    <w:p>
      <w:pPr>
        <w:jc w:val="center"/>
        <w:rPr>
          <w:rFonts w:ascii="黑体" w:hAnsi="黑体" w:eastAsia="黑体"/>
          <w:sz w:val="32"/>
          <w:szCs w:val="32"/>
        </w:rPr>
      </w:pPr>
    </w:p>
    <w:p>
      <w:pPr>
        <w:pStyle w:val="15"/>
        <w:spacing w:line="360" w:lineRule="auto"/>
        <w:jc w:val="center"/>
        <w:rPr>
          <w:rFonts w:hint="eastAsia"/>
          <w:sz w:val="56"/>
          <w:szCs w:val="56"/>
        </w:rPr>
      </w:pPr>
    </w:p>
    <w:p>
      <w:pPr>
        <w:pStyle w:val="15"/>
        <w:spacing w:line="360" w:lineRule="auto"/>
        <w:jc w:val="center"/>
        <w:rPr>
          <w:rFonts w:hint="eastAsia"/>
          <w:sz w:val="56"/>
          <w:szCs w:val="56"/>
        </w:rPr>
      </w:pPr>
    </w:p>
    <w:p>
      <w:pPr>
        <w:pStyle w:val="15"/>
        <w:spacing w:line="360" w:lineRule="auto"/>
        <w:jc w:val="center"/>
        <w:rPr>
          <w:rFonts w:hint="eastAsia"/>
          <w:sz w:val="56"/>
          <w:szCs w:val="56"/>
        </w:rPr>
      </w:pPr>
    </w:p>
    <w:p>
      <w:pPr>
        <w:pStyle w:val="15"/>
        <w:spacing w:line="360" w:lineRule="auto"/>
        <w:jc w:val="center"/>
        <w:rPr>
          <w:rFonts w:hint="eastAsia"/>
          <w:sz w:val="56"/>
          <w:szCs w:val="56"/>
        </w:rPr>
      </w:pPr>
    </w:p>
    <w:p>
      <w:pPr>
        <w:pStyle w:val="15"/>
        <w:spacing w:line="360" w:lineRule="auto"/>
        <w:jc w:val="center"/>
        <w:rPr>
          <w:rFonts w:hint="eastAsia"/>
          <w:sz w:val="56"/>
          <w:szCs w:val="56"/>
        </w:rPr>
      </w:pPr>
    </w:p>
    <w:p>
      <w:pPr>
        <w:pStyle w:val="15"/>
        <w:spacing w:line="360" w:lineRule="auto"/>
        <w:jc w:val="center"/>
        <w:rPr>
          <w:rFonts w:hint="eastAsia"/>
          <w:sz w:val="56"/>
          <w:szCs w:val="56"/>
        </w:rPr>
      </w:pPr>
      <w:r>
        <w:rPr>
          <w:rFonts w:hint="eastAsia"/>
          <w:sz w:val="56"/>
          <w:szCs w:val="56"/>
        </w:rPr>
        <w:t>第二部分</w:t>
      </w:r>
    </w:p>
    <w:p>
      <w:pPr>
        <w:pStyle w:val="15"/>
        <w:spacing w:line="360" w:lineRule="auto"/>
        <w:jc w:val="center"/>
        <w:rPr>
          <w:rFonts w:hint="eastAsia"/>
          <w:sz w:val="56"/>
          <w:szCs w:val="56"/>
        </w:rPr>
      </w:pPr>
    </w:p>
    <w:p>
      <w:pPr>
        <w:pStyle w:val="15"/>
        <w:spacing w:line="360" w:lineRule="auto"/>
        <w:jc w:val="center"/>
        <w:rPr>
          <w:rFonts w:hint="eastAsia"/>
          <w:sz w:val="56"/>
          <w:szCs w:val="56"/>
        </w:rPr>
      </w:pPr>
      <w:r>
        <w:rPr>
          <w:rFonts w:hint="eastAsia"/>
          <w:sz w:val="56"/>
          <w:szCs w:val="56"/>
        </w:rPr>
        <w:t>部门决算表</w:t>
      </w:r>
    </w:p>
    <w:p>
      <w:pPr>
        <w:pStyle w:val="15"/>
        <w:spacing w:line="360" w:lineRule="auto"/>
        <w:jc w:val="center"/>
        <w:rPr>
          <w:rFonts w:hint="eastAsia"/>
          <w:sz w:val="56"/>
          <w:szCs w:val="56"/>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left"/>
        <w:rPr>
          <w:rFonts w:ascii="宋体"/>
          <w:sz w:val="32"/>
          <w:szCs w:val="32"/>
        </w:rPr>
        <w:sectPr>
          <w:footerReference r:id="rId3" w:type="default"/>
          <w:pgSz w:w="11906" w:h="16838"/>
          <w:pgMar w:top="1440" w:right="1800" w:bottom="1440" w:left="1800" w:header="851" w:footer="992" w:gutter="0"/>
          <w:pgNumType w:fmt="decimal" w:start="1"/>
          <w:cols w:space="425" w:num="1"/>
          <w:docGrid w:type="lines" w:linePitch="312" w:charSpace="0"/>
        </w:sectPr>
      </w:pPr>
    </w:p>
    <w:p>
      <w:pPr>
        <w:jc w:val="center"/>
        <w:rPr>
          <w:rFonts w:ascii="黑体" w:hAnsi="黑体" w:eastAsia="黑体"/>
          <w:sz w:val="36"/>
          <w:szCs w:val="36"/>
        </w:rPr>
      </w:pPr>
      <w:r>
        <w:rPr>
          <w:rFonts w:hint="eastAsia" w:ascii="黑体" w:hAnsi="黑体" w:eastAsia="黑体" w:cs="黑体"/>
          <w:sz w:val="36"/>
          <w:szCs w:val="36"/>
        </w:rPr>
        <w:t>收入支出决算总表</w:t>
      </w:r>
    </w:p>
    <w:p>
      <w:pPr>
        <w:ind w:firstLine="964" w:firstLineChars="400"/>
        <w:jc w:val="left"/>
        <w:rPr>
          <w:rFonts w:hint="eastAsia" w:ascii="仿宋" w:hAnsi="仿宋" w:eastAsia="仿宋" w:cs="仿宋"/>
          <w:color w:val="000000"/>
          <w:kern w:val="0"/>
          <w:sz w:val="24"/>
          <w:szCs w:val="24"/>
        </w:rPr>
      </w:pPr>
      <w:r>
        <w:rPr>
          <w:rFonts w:hint="eastAsia" w:ascii="仿宋" w:hAnsi="仿宋" w:eastAsia="仿宋" w:cs="仿宋"/>
          <w:b/>
          <w:bCs/>
          <w:color w:val="000000"/>
          <w:kern w:val="0"/>
          <w:sz w:val="24"/>
          <w:szCs w:val="24"/>
        </w:rPr>
        <w:t xml:space="preserve">部门：湖南省人民政府驻上海办事处       </w:t>
      </w:r>
      <w:r>
        <w:rPr>
          <w:rFonts w:hint="eastAsia" w:ascii="仿宋" w:hAnsi="仿宋" w:eastAsia="仿宋" w:cs="仿宋"/>
          <w:b/>
          <w:bCs/>
          <w:color w:val="000000"/>
          <w:kern w:val="0"/>
          <w:sz w:val="24"/>
          <w:szCs w:val="24"/>
          <w:lang w:val="en-US" w:eastAsia="zh-CN"/>
        </w:rPr>
        <w:t xml:space="preserve">  </w:t>
      </w:r>
      <w:r>
        <w:rPr>
          <w:rFonts w:hint="eastAsia" w:ascii="仿宋" w:hAnsi="仿宋" w:eastAsia="仿宋" w:cs="仿宋"/>
          <w:color w:val="000000"/>
          <w:kern w:val="0"/>
          <w:sz w:val="24"/>
          <w:szCs w:val="24"/>
        </w:rPr>
        <w:t xml:space="preserve">                                                             公开01表</w:t>
      </w:r>
    </w:p>
    <w:p>
      <w:pPr>
        <w:widowControl/>
        <w:spacing w:line="320" w:lineRule="exact"/>
        <w:ind w:right="1038"/>
        <w:jc w:val="righ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xml:space="preserve"> 单位：万元</w:t>
      </w:r>
    </w:p>
    <w:tbl>
      <w:tblPr>
        <w:tblStyle w:val="11"/>
        <w:tblW w:w="14061" w:type="dxa"/>
        <w:jc w:val="center"/>
        <w:tblLayout w:type="autofit"/>
        <w:tblCellMar>
          <w:top w:w="0" w:type="dxa"/>
          <w:left w:w="108" w:type="dxa"/>
          <w:bottom w:w="0" w:type="dxa"/>
          <w:right w:w="108" w:type="dxa"/>
        </w:tblCellMar>
      </w:tblPr>
      <w:tblGrid>
        <w:gridCol w:w="4932"/>
        <w:gridCol w:w="702"/>
        <w:gridCol w:w="1224"/>
        <w:gridCol w:w="4820"/>
        <w:gridCol w:w="702"/>
        <w:gridCol w:w="1681"/>
      </w:tblGrid>
      <w:tr>
        <w:tblPrEx>
          <w:tblCellMar>
            <w:top w:w="0" w:type="dxa"/>
            <w:left w:w="108" w:type="dxa"/>
            <w:bottom w:w="0" w:type="dxa"/>
            <w:right w:w="108" w:type="dxa"/>
          </w:tblCellMar>
        </w:tblPrEx>
        <w:trPr>
          <w:trHeight w:val="340" w:hRule="atLeast"/>
          <w:jc w:val="center"/>
        </w:trPr>
        <w:tc>
          <w:tcPr>
            <w:tcW w:w="6858" w:type="dxa"/>
            <w:gridSpan w:val="3"/>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收入</w:t>
            </w:r>
          </w:p>
        </w:tc>
        <w:tc>
          <w:tcPr>
            <w:tcW w:w="7203" w:type="dxa"/>
            <w:gridSpan w:val="3"/>
            <w:tcBorders>
              <w:top w:val="single" w:color="auto" w:sz="4" w:space="0"/>
              <w:left w:val="nil"/>
              <w:bottom w:val="single" w:color="auto" w:sz="4" w:space="0"/>
              <w:right w:val="single" w:color="auto" w:sz="4" w:space="0"/>
            </w:tcBorders>
            <w:noWrap/>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支出</w:t>
            </w:r>
          </w:p>
        </w:tc>
      </w:tr>
      <w:tr>
        <w:tblPrEx>
          <w:tblCellMar>
            <w:top w:w="0" w:type="dxa"/>
            <w:left w:w="108" w:type="dxa"/>
            <w:bottom w:w="0" w:type="dxa"/>
            <w:right w:w="108" w:type="dxa"/>
          </w:tblCellMar>
        </w:tblPrEx>
        <w:trPr>
          <w:trHeight w:val="559" w:hRule="atLeast"/>
          <w:jc w:val="center"/>
        </w:trPr>
        <w:tc>
          <w:tcPr>
            <w:tcW w:w="4932" w:type="dxa"/>
            <w:tcBorders>
              <w:top w:val="nil"/>
              <w:left w:val="single" w:color="auto" w:sz="4" w:space="0"/>
              <w:bottom w:val="single" w:color="auto" w:sz="4" w:space="0"/>
              <w:right w:val="single" w:color="auto" w:sz="4" w:space="0"/>
            </w:tcBorders>
            <w:noWrap/>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项    目</w:t>
            </w:r>
          </w:p>
        </w:tc>
        <w:tc>
          <w:tcPr>
            <w:tcW w:w="702" w:type="dxa"/>
            <w:tcBorders>
              <w:top w:val="nil"/>
              <w:left w:val="nil"/>
              <w:bottom w:val="single" w:color="auto" w:sz="4" w:space="0"/>
              <w:right w:val="single" w:color="auto" w:sz="4" w:space="0"/>
            </w:tcBorders>
            <w:noWrap/>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行次</w:t>
            </w:r>
          </w:p>
        </w:tc>
        <w:tc>
          <w:tcPr>
            <w:tcW w:w="1224" w:type="dxa"/>
            <w:tcBorders>
              <w:top w:val="nil"/>
              <w:left w:val="nil"/>
              <w:bottom w:val="single" w:color="auto" w:sz="4" w:space="0"/>
              <w:right w:val="single" w:color="auto" w:sz="4" w:space="0"/>
            </w:tcBorders>
            <w:noWrap/>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决算数</w:t>
            </w:r>
          </w:p>
        </w:tc>
        <w:tc>
          <w:tcPr>
            <w:tcW w:w="4820" w:type="dxa"/>
            <w:tcBorders>
              <w:top w:val="nil"/>
              <w:left w:val="nil"/>
              <w:bottom w:val="single" w:color="auto" w:sz="4" w:space="0"/>
              <w:right w:val="single" w:color="auto" w:sz="4" w:space="0"/>
            </w:tcBorders>
            <w:noWrap/>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项    目</w:t>
            </w:r>
          </w:p>
        </w:tc>
        <w:tc>
          <w:tcPr>
            <w:tcW w:w="702" w:type="dxa"/>
            <w:tcBorders>
              <w:top w:val="nil"/>
              <w:left w:val="nil"/>
              <w:bottom w:val="single" w:color="auto" w:sz="4" w:space="0"/>
              <w:right w:val="single" w:color="auto" w:sz="4" w:space="0"/>
            </w:tcBorders>
            <w:noWrap/>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行次</w:t>
            </w:r>
          </w:p>
        </w:tc>
        <w:tc>
          <w:tcPr>
            <w:tcW w:w="1681" w:type="dxa"/>
            <w:tcBorders>
              <w:top w:val="nil"/>
              <w:left w:val="nil"/>
              <w:bottom w:val="single" w:color="auto" w:sz="4" w:space="0"/>
              <w:right w:val="single" w:color="auto" w:sz="4" w:space="0"/>
            </w:tcBorders>
            <w:noWrap/>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决算数</w:t>
            </w:r>
          </w:p>
        </w:tc>
      </w:tr>
      <w:tr>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栏    次</w:t>
            </w:r>
          </w:p>
        </w:tc>
        <w:tc>
          <w:tcPr>
            <w:tcW w:w="702" w:type="dxa"/>
            <w:tcBorders>
              <w:top w:val="nil"/>
              <w:left w:val="nil"/>
              <w:bottom w:val="single" w:color="auto" w:sz="4" w:space="0"/>
              <w:right w:val="single" w:color="auto" w:sz="4" w:space="0"/>
            </w:tcBorders>
            <w:noWrap/>
            <w:vAlign w:val="center"/>
          </w:tcPr>
          <w:p>
            <w:pPr>
              <w:rPr>
                <w:rFonts w:hint="eastAsia" w:ascii="仿宋" w:hAnsi="仿宋" w:eastAsia="仿宋" w:cs="仿宋"/>
                <w:b/>
                <w:bCs/>
                <w:kern w:val="0"/>
                <w:sz w:val="24"/>
                <w:szCs w:val="24"/>
              </w:rPr>
            </w:pPr>
            <w:r>
              <w:rPr>
                <w:rFonts w:hint="eastAsia" w:ascii="仿宋" w:hAnsi="仿宋" w:eastAsia="仿宋" w:cs="仿宋"/>
                <w:b/>
                <w:bCs/>
                <w:kern w:val="0"/>
                <w:sz w:val="24"/>
                <w:szCs w:val="24"/>
              </w:rPr>
              <w:t>　</w:t>
            </w:r>
          </w:p>
        </w:tc>
        <w:tc>
          <w:tcPr>
            <w:tcW w:w="1224" w:type="dxa"/>
            <w:tcBorders>
              <w:top w:val="nil"/>
              <w:left w:val="nil"/>
              <w:bottom w:val="single" w:color="auto" w:sz="4" w:space="0"/>
              <w:right w:val="single" w:color="auto" w:sz="4" w:space="0"/>
            </w:tcBorders>
            <w:noWrap/>
            <w:vAlign w:val="center"/>
          </w:tcPr>
          <w:p>
            <w:pPr>
              <w:widowControl/>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1</w:t>
            </w:r>
          </w:p>
        </w:tc>
        <w:tc>
          <w:tcPr>
            <w:tcW w:w="4820" w:type="dxa"/>
            <w:tcBorders>
              <w:top w:val="nil"/>
              <w:left w:val="nil"/>
              <w:bottom w:val="single" w:color="auto" w:sz="4" w:space="0"/>
              <w:right w:val="single" w:color="auto" w:sz="4" w:space="0"/>
            </w:tcBorders>
            <w:noWrap/>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栏    次</w:t>
            </w:r>
          </w:p>
        </w:tc>
        <w:tc>
          <w:tcPr>
            <w:tcW w:w="702" w:type="dxa"/>
            <w:tcBorders>
              <w:top w:val="nil"/>
              <w:left w:val="nil"/>
              <w:bottom w:val="single" w:color="auto" w:sz="4" w:space="0"/>
              <w:right w:val="single" w:color="auto" w:sz="4" w:space="0"/>
            </w:tcBorders>
            <w:noWrap/>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1681" w:type="dxa"/>
            <w:tcBorders>
              <w:top w:val="nil"/>
              <w:left w:val="nil"/>
              <w:bottom w:val="single" w:color="auto" w:sz="4" w:space="0"/>
              <w:right w:val="single" w:color="auto" w:sz="4" w:space="0"/>
            </w:tcBorders>
            <w:noWrap/>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2</w:t>
            </w:r>
          </w:p>
        </w:tc>
      </w:tr>
      <w:tr>
        <w:tblPrEx>
          <w:tblCellMar>
            <w:top w:w="0" w:type="dxa"/>
            <w:left w:w="108" w:type="dxa"/>
            <w:bottom w:w="0" w:type="dxa"/>
            <w:right w:w="108" w:type="dxa"/>
          </w:tblCellMar>
        </w:tblPrEx>
        <w:trPr>
          <w:trHeight w:val="437" w:hRule="atLeast"/>
          <w:jc w:val="center"/>
        </w:trPr>
        <w:tc>
          <w:tcPr>
            <w:tcW w:w="4932" w:type="dxa"/>
            <w:tcBorders>
              <w:top w:val="nil"/>
              <w:left w:val="single" w:color="auto" w:sz="4" w:space="0"/>
              <w:bottom w:val="single" w:color="auto" w:sz="4" w:space="0"/>
              <w:right w:val="single" w:color="auto" w:sz="4" w:space="0"/>
            </w:tcBorders>
            <w:noWrap/>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一、一般公共预算财政拨款收入</w:t>
            </w:r>
          </w:p>
        </w:tc>
        <w:tc>
          <w:tcPr>
            <w:tcW w:w="702" w:type="dxa"/>
            <w:tcBorders>
              <w:top w:val="nil"/>
              <w:left w:val="nil"/>
              <w:bottom w:val="single" w:color="auto" w:sz="4" w:space="0"/>
              <w:right w:val="single" w:color="auto" w:sz="4" w:space="0"/>
            </w:tcBorders>
            <w:noWrap/>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1</w:t>
            </w:r>
          </w:p>
        </w:tc>
        <w:tc>
          <w:tcPr>
            <w:tcW w:w="1224" w:type="dxa"/>
            <w:tcBorders>
              <w:top w:val="nil"/>
              <w:left w:val="nil"/>
              <w:bottom w:val="single" w:color="auto" w:sz="4" w:space="0"/>
              <w:right w:val="single" w:color="auto" w:sz="4" w:space="0"/>
            </w:tcBorders>
            <w:noWrap/>
            <w:vAlign w:val="center"/>
          </w:tcPr>
          <w:p>
            <w:pPr>
              <w:widowControl/>
              <w:jc w:val="right"/>
              <w:rPr>
                <w:rFonts w:hint="eastAsia"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1439.98</w:t>
            </w:r>
          </w:p>
        </w:tc>
        <w:tc>
          <w:tcPr>
            <w:tcW w:w="4820" w:type="dxa"/>
            <w:tcBorders>
              <w:top w:val="nil"/>
              <w:left w:val="nil"/>
              <w:bottom w:val="single" w:color="auto" w:sz="4" w:space="0"/>
              <w:right w:val="single" w:color="auto" w:sz="4" w:space="0"/>
            </w:tcBorders>
            <w:noWrap/>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一、一般公共服务支出</w:t>
            </w:r>
          </w:p>
        </w:tc>
        <w:tc>
          <w:tcPr>
            <w:tcW w:w="702" w:type="dxa"/>
            <w:tcBorders>
              <w:top w:val="nil"/>
              <w:left w:val="nil"/>
              <w:bottom w:val="single" w:color="auto" w:sz="4" w:space="0"/>
              <w:right w:val="single" w:color="auto" w:sz="4" w:space="0"/>
            </w:tcBorders>
            <w:noWrap/>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14</w:t>
            </w:r>
          </w:p>
        </w:tc>
        <w:tc>
          <w:tcPr>
            <w:tcW w:w="1681" w:type="dxa"/>
            <w:tcBorders>
              <w:top w:val="nil"/>
              <w:left w:val="nil"/>
              <w:bottom w:val="single" w:color="auto" w:sz="4" w:space="0"/>
              <w:right w:val="single" w:color="auto" w:sz="4" w:space="0"/>
            </w:tcBorders>
            <w:noWrap/>
            <w:vAlign w:val="center"/>
          </w:tcPr>
          <w:p>
            <w:pPr>
              <w:widowControl/>
              <w:jc w:val="right"/>
              <w:rPr>
                <w:rFonts w:hint="eastAsia"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848.37</w:t>
            </w:r>
          </w:p>
        </w:tc>
      </w:tr>
      <w:tr>
        <w:tblPrEx>
          <w:tblCellMar>
            <w:top w:w="0" w:type="dxa"/>
            <w:left w:w="108" w:type="dxa"/>
            <w:bottom w:w="0" w:type="dxa"/>
            <w:right w:w="108" w:type="dxa"/>
          </w:tblCellMar>
        </w:tblPrEx>
        <w:trPr>
          <w:trHeight w:val="437" w:hRule="atLeast"/>
          <w:jc w:val="center"/>
        </w:trPr>
        <w:tc>
          <w:tcPr>
            <w:tcW w:w="4932" w:type="dxa"/>
            <w:tcBorders>
              <w:top w:val="nil"/>
              <w:left w:val="single" w:color="auto" w:sz="4" w:space="0"/>
              <w:bottom w:val="single" w:color="auto" w:sz="4" w:space="0"/>
              <w:right w:val="single" w:color="auto" w:sz="4" w:space="0"/>
            </w:tcBorders>
            <w:noWrap/>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二、政府性基金预算财政拨款收入</w:t>
            </w:r>
          </w:p>
        </w:tc>
        <w:tc>
          <w:tcPr>
            <w:tcW w:w="702" w:type="dxa"/>
            <w:tcBorders>
              <w:top w:val="nil"/>
              <w:left w:val="nil"/>
              <w:bottom w:val="single" w:color="auto" w:sz="4" w:space="0"/>
              <w:right w:val="single" w:color="auto" w:sz="4" w:space="0"/>
            </w:tcBorders>
            <w:noWrap/>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2</w:t>
            </w:r>
          </w:p>
        </w:tc>
        <w:tc>
          <w:tcPr>
            <w:tcW w:w="1224" w:type="dxa"/>
            <w:tcBorders>
              <w:top w:val="nil"/>
              <w:left w:val="nil"/>
              <w:bottom w:val="single" w:color="auto" w:sz="4" w:space="0"/>
              <w:right w:val="single" w:color="auto" w:sz="4" w:space="0"/>
            </w:tcBorders>
            <w:noWrap/>
            <w:vAlign w:val="center"/>
          </w:tcPr>
          <w:p>
            <w:pPr>
              <w:widowControl/>
              <w:jc w:val="right"/>
              <w:rPr>
                <w:rFonts w:hint="eastAsia"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0.00</w:t>
            </w:r>
          </w:p>
        </w:tc>
        <w:tc>
          <w:tcPr>
            <w:tcW w:w="4820" w:type="dxa"/>
            <w:tcBorders>
              <w:top w:val="nil"/>
              <w:left w:val="nil"/>
              <w:bottom w:val="single" w:color="auto" w:sz="4" w:space="0"/>
              <w:right w:val="single" w:color="auto" w:sz="4" w:space="0"/>
            </w:tcBorders>
            <w:noWrap/>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二、外交支出</w:t>
            </w:r>
          </w:p>
        </w:tc>
        <w:tc>
          <w:tcPr>
            <w:tcW w:w="702" w:type="dxa"/>
            <w:tcBorders>
              <w:top w:val="nil"/>
              <w:left w:val="nil"/>
              <w:bottom w:val="single" w:color="auto" w:sz="4" w:space="0"/>
              <w:right w:val="single" w:color="auto" w:sz="4" w:space="0"/>
            </w:tcBorders>
            <w:noWrap/>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15</w:t>
            </w:r>
          </w:p>
        </w:tc>
        <w:tc>
          <w:tcPr>
            <w:tcW w:w="1681" w:type="dxa"/>
            <w:tcBorders>
              <w:top w:val="nil"/>
              <w:left w:val="nil"/>
              <w:bottom w:val="single" w:color="auto" w:sz="4" w:space="0"/>
              <w:right w:val="single" w:color="auto" w:sz="4" w:space="0"/>
            </w:tcBorders>
            <w:noWrap/>
            <w:vAlign w:val="center"/>
          </w:tcPr>
          <w:p>
            <w:pPr>
              <w:widowControl/>
              <w:jc w:val="right"/>
              <w:rPr>
                <w:rFonts w:hint="eastAsia"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0.00</w:t>
            </w:r>
          </w:p>
        </w:tc>
      </w:tr>
      <w:tr>
        <w:tblPrEx>
          <w:tblCellMar>
            <w:top w:w="0" w:type="dxa"/>
            <w:left w:w="108" w:type="dxa"/>
            <w:bottom w:w="0" w:type="dxa"/>
            <w:right w:w="108" w:type="dxa"/>
          </w:tblCellMar>
        </w:tblPrEx>
        <w:trPr>
          <w:trHeight w:val="486" w:hRule="atLeast"/>
          <w:jc w:val="center"/>
        </w:trPr>
        <w:tc>
          <w:tcPr>
            <w:tcW w:w="4932" w:type="dxa"/>
            <w:tcBorders>
              <w:top w:val="nil"/>
              <w:left w:val="single" w:color="auto" w:sz="4" w:space="0"/>
              <w:bottom w:val="single" w:color="auto" w:sz="4" w:space="0"/>
              <w:right w:val="single" w:color="auto" w:sz="4" w:space="0"/>
            </w:tcBorders>
            <w:noWrap/>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三、国有资本经营预算财政拨款收入</w:t>
            </w:r>
          </w:p>
        </w:tc>
        <w:tc>
          <w:tcPr>
            <w:tcW w:w="702" w:type="dxa"/>
            <w:tcBorders>
              <w:top w:val="nil"/>
              <w:left w:val="nil"/>
              <w:bottom w:val="single" w:color="auto" w:sz="4" w:space="0"/>
              <w:right w:val="single" w:color="auto" w:sz="4" w:space="0"/>
            </w:tcBorders>
            <w:noWrap/>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3</w:t>
            </w:r>
          </w:p>
        </w:tc>
        <w:tc>
          <w:tcPr>
            <w:tcW w:w="1224" w:type="dxa"/>
            <w:tcBorders>
              <w:top w:val="nil"/>
              <w:left w:val="nil"/>
              <w:bottom w:val="single" w:color="auto" w:sz="4" w:space="0"/>
              <w:right w:val="single" w:color="auto" w:sz="4" w:space="0"/>
            </w:tcBorders>
            <w:noWrap/>
            <w:vAlign w:val="center"/>
          </w:tcPr>
          <w:p>
            <w:pPr>
              <w:widowControl/>
              <w:jc w:val="right"/>
              <w:rPr>
                <w:rFonts w:hint="eastAsia"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0.00</w:t>
            </w:r>
          </w:p>
        </w:tc>
        <w:tc>
          <w:tcPr>
            <w:tcW w:w="4820" w:type="dxa"/>
            <w:tcBorders>
              <w:top w:val="nil"/>
              <w:left w:val="nil"/>
              <w:bottom w:val="single" w:color="auto" w:sz="4" w:space="0"/>
              <w:right w:val="single" w:color="auto" w:sz="4" w:space="0"/>
            </w:tcBorders>
            <w:noWrap/>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三、国防支出</w:t>
            </w:r>
          </w:p>
        </w:tc>
        <w:tc>
          <w:tcPr>
            <w:tcW w:w="702" w:type="dxa"/>
            <w:tcBorders>
              <w:top w:val="nil"/>
              <w:left w:val="nil"/>
              <w:bottom w:val="single" w:color="auto" w:sz="4" w:space="0"/>
              <w:right w:val="single" w:color="auto" w:sz="4" w:space="0"/>
            </w:tcBorders>
            <w:noWrap/>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16</w:t>
            </w:r>
          </w:p>
        </w:tc>
        <w:tc>
          <w:tcPr>
            <w:tcW w:w="1681" w:type="dxa"/>
            <w:tcBorders>
              <w:top w:val="nil"/>
              <w:left w:val="nil"/>
              <w:bottom w:val="single" w:color="auto" w:sz="4" w:space="0"/>
              <w:right w:val="single" w:color="auto" w:sz="4" w:space="0"/>
            </w:tcBorders>
            <w:noWrap/>
            <w:vAlign w:val="center"/>
          </w:tcPr>
          <w:p>
            <w:pPr>
              <w:widowControl/>
              <w:jc w:val="right"/>
              <w:rPr>
                <w:rFonts w:hint="eastAsia"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0.00</w:t>
            </w:r>
          </w:p>
        </w:tc>
      </w:tr>
      <w:tr>
        <w:tblPrEx>
          <w:tblCellMar>
            <w:top w:w="0" w:type="dxa"/>
            <w:left w:w="108" w:type="dxa"/>
            <w:bottom w:w="0" w:type="dxa"/>
            <w:right w:w="108" w:type="dxa"/>
          </w:tblCellMar>
        </w:tblPrEx>
        <w:trPr>
          <w:trHeight w:val="486" w:hRule="atLeast"/>
          <w:jc w:val="center"/>
        </w:trPr>
        <w:tc>
          <w:tcPr>
            <w:tcW w:w="4932" w:type="dxa"/>
            <w:tcBorders>
              <w:top w:val="nil"/>
              <w:left w:val="single" w:color="auto" w:sz="4" w:space="0"/>
              <w:bottom w:val="single" w:color="auto" w:sz="4" w:space="0"/>
              <w:right w:val="single" w:color="auto" w:sz="4" w:space="0"/>
            </w:tcBorders>
            <w:noWrap/>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四、上级补助收入</w:t>
            </w:r>
          </w:p>
        </w:tc>
        <w:tc>
          <w:tcPr>
            <w:tcW w:w="702" w:type="dxa"/>
            <w:tcBorders>
              <w:top w:val="nil"/>
              <w:left w:val="nil"/>
              <w:bottom w:val="single" w:color="auto" w:sz="4" w:space="0"/>
              <w:right w:val="single" w:color="auto" w:sz="4" w:space="0"/>
            </w:tcBorders>
            <w:noWrap/>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4</w:t>
            </w:r>
          </w:p>
        </w:tc>
        <w:tc>
          <w:tcPr>
            <w:tcW w:w="1224" w:type="dxa"/>
            <w:tcBorders>
              <w:top w:val="nil"/>
              <w:left w:val="nil"/>
              <w:bottom w:val="single" w:color="auto" w:sz="4" w:space="0"/>
              <w:right w:val="single" w:color="auto" w:sz="4" w:space="0"/>
            </w:tcBorders>
            <w:noWrap/>
            <w:vAlign w:val="center"/>
          </w:tcPr>
          <w:p>
            <w:pPr>
              <w:widowControl/>
              <w:jc w:val="right"/>
              <w:rPr>
                <w:rFonts w:hint="eastAsia"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0.00</w:t>
            </w:r>
          </w:p>
        </w:tc>
        <w:tc>
          <w:tcPr>
            <w:tcW w:w="4820" w:type="dxa"/>
            <w:tcBorders>
              <w:top w:val="nil"/>
              <w:left w:val="nil"/>
              <w:bottom w:val="single" w:color="auto" w:sz="4" w:space="0"/>
              <w:right w:val="single" w:color="auto" w:sz="4" w:space="0"/>
            </w:tcBorders>
            <w:noWrap/>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四、公共安全支出</w:t>
            </w:r>
          </w:p>
        </w:tc>
        <w:tc>
          <w:tcPr>
            <w:tcW w:w="702" w:type="dxa"/>
            <w:tcBorders>
              <w:top w:val="nil"/>
              <w:left w:val="nil"/>
              <w:bottom w:val="single" w:color="auto" w:sz="4" w:space="0"/>
              <w:right w:val="single" w:color="auto" w:sz="4" w:space="0"/>
            </w:tcBorders>
            <w:noWrap/>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17</w:t>
            </w:r>
          </w:p>
        </w:tc>
        <w:tc>
          <w:tcPr>
            <w:tcW w:w="1681" w:type="dxa"/>
            <w:tcBorders>
              <w:top w:val="nil"/>
              <w:left w:val="nil"/>
              <w:bottom w:val="single" w:color="auto" w:sz="4" w:space="0"/>
              <w:right w:val="single" w:color="auto" w:sz="4" w:space="0"/>
            </w:tcBorders>
            <w:noWrap/>
            <w:vAlign w:val="center"/>
          </w:tcPr>
          <w:p>
            <w:pPr>
              <w:widowControl/>
              <w:jc w:val="right"/>
              <w:rPr>
                <w:rFonts w:hint="eastAsia"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0.00</w:t>
            </w:r>
          </w:p>
        </w:tc>
      </w:tr>
      <w:tr>
        <w:tblPrEx>
          <w:tblCellMar>
            <w:top w:w="0" w:type="dxa"/>
            <w:left w:w="108" w:type="dxa"/>
            <w:bottom w:w="0" w:type="dxa"/>
            <w:right w:w="108" w:type="dxa"/>
          </w:tblCellMar>
        </w:tblPrEx>
        <w:trPr>
          <w:trHeight w:val="462" w:hRule="atLeast"/>
          <w:jc w:val="center"/>
        </w:trPr>
        <w:tc>
          <w:tcPr>
            <w:tcW w:w="4932" w:type="dxa"/>
            <w:tcBorders>
              <w:top w:val="nil"/>
              <w:left w:val="single" w:color="auto" w:sz="4" w:space="0"/>
              <w:bottom w:val="single" w:color="auto" w:sz="4" w:space="0"/>
              <w:right w:val="single" w:color="auto" w:sz="4" w:space="0"/>
            </w:tcBorders>
            <w:noWrap/>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五、事业收入</w:t>
            </w:r>
          </w:p>
        </w:tc>
        <w:tc>
          <w:tcPr>
            <w:tcW w:w="702" w:type="dxa"/>
            <w:tcBorders>
              <w:top w:val="nil"/>
              <w:left w:val="nil"/>
              <w:bottom w:val="single" w:color="auto" w:sz="4" w:space="0"/>
              <w:right w:val="single" w:color="auto" w:sz="4" w:space="0"/>
            </w:tcBorders>
            <w:noWrap/>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5</w:t>
            </w:r>
          </w:p>
        </w:tc>
        <w:tc>
          <w:tcPr>
            <w:tcW w:w="1224" w:type="dxa"/>
            <w:tcBorders>
              <w:top w:val="nil"/>
              <w:left w:val="nil"/>
              <w:bottom w:val="single" w:color="auto" w:sz="4" w:space="0"/>
              <w:right w:val="single" w:color="auto" w:sz="4" w:space="0"/>
            </w:tcBorders>
            <w:noWrap/>
            <w:vAlign w:val="center"/>
          </w:tcPr>
          <w:p>
            <w:pPr>
              <w:widowControl/>
              <w:jc w:val="right"/>
              <w:rPr>
                <w:rFonts w:hint="eastAsia"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0.00</w:t>
            </w:r>
          </w:p>
        </w:tc>
        <w:tc>
          <w:tcPr>
            <w:tcW w:w="4820" w:type="dxa"/>
            <w:tcBorders>
              <w:top w:val="nil"/>
              <w:left w:val="nil"/>
              <w:bottom w:val="single" w:color="auto" w:sz="4" w:space="0"/>
              <w:right w:val="single" w:color="auto" w:sz="4" w:space="0"/>
            </w:tcBorders>
            <w:noWrap/>
            <w:vAlign w:val="center"/>
          </w:tcPr>
          <w:p>
            <w:pPr>
              <w:widowControl/>
              <w:jc w:val="left"/>
              <w:rPr>
                <w:rFonts w:hint="eastAsia" w:ascii="仿宋" w:hAnsi="仿宋" w:eastAsia="仿宋" w:cs="仿宋"/>
                <w:kern w:val="0"/>
                <w:sz w:val="24"/>
                <w:szCs w:val="24"/>
                <w:lang w:eastAsia="zh-CN"/>
              </w:rPr>
            </w:pPr>
            <w:r>
              <w:rPr>
                <w:rFonts w:hint="eastAsia" w:ascii="仿宋" w:hAnsi="仿宋" w:eastAsia="仿宋" w:cs="仿宋"/>
                <w:kern w:val="0"/>
                <w:sz w:val="24"/>
                <w:szCs w:val="24"/>
                <w:lang w:val="en-US" w:eastAsia="zh-CN"/>
              </w:rPr>
              <w:t>五</w:t>
            </w:r>
            <w:r>
              <w:rPr>
                <w:rFonts w:hint="eastAsia" w:ascii="仿宋" w:hAnsi="仿宋" w:eastAsia="仿宋" w:cs="仿宋"/>
                <w:kern w:val="0"/>
                <w:sz w:val="24"/>
                <w:szCs w:val="24"/>
              </w:rPr>
              <w:t>、</w:t>
            </w:r>
            <w:r>
              <w:rPr>
                <w:rFonts w:hint="eastAsia" w:ascii="仿宋" w:hAnsi="仿宋" w:eastAsia="仿宋" w:cs="仿宋"/>
                <w:kern w:val="0"/>
                <w:sz w:val="24"/>
                <w:szCs w:val="24"/>
                <w:lang w:val="en-US" w:eastAsia="zh-CN"/>
              </w:rPr>
              <w:t>教育支出</w:t>
            </w:r>
          </w:p>
        </w:tc>
        <w:tc>
          <w:tcPr>
            <w:tcW w:w="702" w:type="dxa"/>
            <w:tcBorders>
              <w:top w:val="nil"/>
              <w:left w:val="nil"/>
              <w:bottom w:val="single" w:color="auto" w:sz="4" w:space="0"/>
              <w:right w:val="single" w:color="auto" w:sz="4" w:space="0"/>
            </w:tcBorders>
            <w:noWrap/>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18</w:t>
            </w:r>
          </w:p>
        </w:tc>
        <w:tc>
          <w:tcPr>
            <w:tcW w:w="1681" w:type="dxa"/>
            <w:tcBorders>
              <w:top w:val="nil"/>
              <w:left w:val="nil"/>
              <w:bottom w:val="single" w:color="auto" w:sz="4" w:space="0"/>
              <w:right w:val="single" w:color="auto" w:sz="4" w:space="0"/>
            </w:tcBorders>
            <w:noWrap/>
            <w:vAlign w:val="center"/>
          </w:tcPr>
          <w:p>
            <w:pPr>
              <w:widowControl/>
              <w:jc w:val="right"/>
              <w:rPr>
                <w:rFonts w:hint="eastAsia"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14.74</w:t>
            </w:r>
          </w:p>
        </w:tc>
      </w:tr>
      <w:tr>
        <w:tblPrEx>
          <w:tblCellMar>
            <w:top w:w="0" w:type="dxa"/>
            <w:left w:w="108" w:type="dxa"/>
            <w:bottom w:w="0" w:type="dxa"/>
            <w:right w:w="108" w:type="dxa"/>
          </w:tblCellMar>
        </w:tblPrEx>
        <w:trPr>
          <w:trHeight w:val="511" w:hRule="atLeast"/>
          <w:jc w:val="center"/>
        </w:trPr>
        <w:tc>
          <w:tcPr>
            <w:tcW w:w="4932" w:type="dxa"/>
            <w:tcBorders>
              <w:top w:val="nil"/>
              <w:left w:val="single" w:color="auto" w:sz="4" w:space="0"/>
              <w:bottom w:val="single" w:color="auto" w:sz="4" w:space="0"/>
              <w:right w:val="single" w:color="auto" w:sz="4" w:space="0"/>
            </w:tcBorders>
            <w:noWrap/>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六、经营收入</w:t>
            </w:r>
          </w:p>
        </w:tc>
        <w:tc>
          <w:tcPr>
            <w:tcW w:w="702" w:type="dxa"/>
            <w:tcBorders>
              <w:top w:val="nil"/>
              <w:left w:val="nil"/>
              <w:bottom w:val="single" w:color="auto" w:sz="4" w:space="0"/>
              <w:right w:val="single" w:color="auto" w:sz="4" w:space="0"/>
            </w:tcBorders>
            <w:noWrap/>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6</w:t>
            </w:r>
          </w:p>
        </w:tc>
        <w:tc>
          <w:tcPr>
            <w:tcW w:w="1224" w:type="dxa"/>
            <w:tcBorders>
              <w:top w:val="nil"/>
              <w:left w:val="nil"/>
              <w:bottom w:val="single" w:color="auto" w:sz="4" w:space="0"/>
              <w:right w:val="single" w:color="auto" w:sz="4" w:space="0"/>
            </w:tcBorders>
            <w:noWrap/>
            <w:vAlign w:val="center"/>
          </w:tcPr>
          <w:p>
            <w:pPr>
              <w:widowControl/>
              <w:jc w:val="right"/>
              <w:rPr>
                <w:rFonts w:hint="eastAsia"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0.00</w:t>
            </w:r>
          </w:p>
        </w:tc>
        <w:tc>
          <w:tcPr>
            <w:tcW w:w="4820" w:type="dxa"/>
            <w:tcBorders>
              <w:top w:val="nil"/>
              <w:left w:val="nil"/>
              <w:bottom w:val="single" w:color="auto" w:sz="4" w:space="0"/>
              <w:right w:val="single" w:color="auto" w:sz="4" w:space="0"/>
            </w:tcBorders>
            <w:noWrap/>
            <w:vAlign w:val="center"/>
          </w:tcPr>
          <w:p>
            <w:pPr>
              <w:widowControl/>
              <w:jc w:val="left"/>
              <w:rPr>
                <w:rFonts w:hint="default" w:ascii="仿宋" w:hAnsi="仿宋" w:eastAsia="仿宋" w:cs="仿宋"/>
                <w:kern w:val="0"/>
                <w:sz w:val="24"/>
                <w:szCs w:val="24"/>
                <w:lang w:val="en-US" w:eastAsia="zh-CN"/>
              </w:rPr>
            </w:pPr>
            <w:r>
              <w:rPr>
                <w:rFonts w:hint="eastAsia" w:ascii="仿宋" w:hAnsi="仿宋" w:eastAsia="仿宋" w:cs="仿宋"/>
                <w:kern w:val="0"/>
                <w:sz w:val="24"/>
                <w:szCs w:val="24"/>
              </w:rPr>
              <w:t>八、社会保障和就业支出</w:t>
            </w:r>
          </w:p>
        </w:tc>
        <w:tc>
          <w:tcPr>
            <w:tcW w:w="702" w:type="dxa"/>
            <w:tcBorders>
              <w:top w:val="nil"/>
              <w:left w:val="nil"/>
              <w:bottom w:val="single" w:color="auto" w:sz="4" w:space="0"/>
              <w:right w:val="single" w:color="auto" w:sz="4" w:space="0"/>
            </w:tcBorders>
            <w:noWrap/>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18</w:t>
            </w:r>
          </w:p>
        </w:tc>
        <w:tc>
          <w:tcPr>
            <w:tcW w:w="1681" w:type="dxa"/>
            <w:tcBorders>
              <w:top w:val="nil"/>
              <w:left w:val="nil"/>
              <w:bottom w:val="single" w:color="auto" w:sz="4" w:space="0"/>
              <w:right w:val="single" w:color="auto" w:sz="4" w:space="0"/>
            </w:tcBorders>
            <w:noWrap/>
            <w:vAlign w:val="center"/>
          </w:tcPr>
          <w:p>
            <w:pPr>
              <w:widowControl/>
              <w:jc w:val="right"/>
              <w:rPr>
                <w:rFonts w:hint="eastAsia"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247.62</w:t>
            </w:r>
          </w:p>
        </w:tc>
      </w:tr>
      <w:tr>
        <w:tblPrEx>
          <w:tblCellMar>
            <w:top w:w="0" w:type="dxa"/>
            <w:left w:w="108" w:type="dxa"/>
            <w:bottom w:w="0" w:type="dxa"/>
            <w:right w:w="108" w:type="dxa"/>
          </w:tblCellMar>
        </w:tblPrEx>
        <w:trPr>
          <w:trHeight w:val="389" w:hRule="atLeast"/>
          <w:jc w:val="center"/>
        </w:trPr>
        <w:tc>
          <w:tcPr>
            <w:tcW w:w="4932" w:type="dxa"/>
            <w:tcBorders>
              <w:top w:val="nil"/>
              <w:left w:val="single" w:color="auto" w:sz="4" w:space="0"/>
              <w:bottom w:val="single" w:color="auto" w:sz="4" w:space="0"/>
              <w:right w:val="single" w:color="auto" w:sz="4" w:space="0"/>
            </w:tcBorders>
            <w:noWrap/>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七、附属单位上缴收入</w:t>
            </w:r>
          </w:p>
        </w:tc>
        <w:tc>
          <w:tcPr>
            <w:tcW w:w="702" w:type="dxa"/>
            <w:tcBorders>
              <w:top w:val="nil"/>
              <w:left w:val="nil"/>
              <w:bottom w:val="single" w:color="auto" w:sz="4" w:space="0"/>
              <w:right w:val="single" w:color="auto" w:sz="4" w:space="0"/>
            </w:tcBorders>
            <w:noWrap/>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7</w:t>
            </w:r>
          </w:p>
        </w:tc>
        <w:tc>
          <w:tcPr>
            <w:tcW w:w="1224" w:type="dxa"/>
            <w:tcBorders>
              <w:top w:val="nil"/>
              <w:left w:val="nil"/>
              <w:bottom w:val="single" w:color="auto" w:sz="4" w:space="0"/>
              <w:right w:val="single" w:color="auto" w:sz="4" w:space="0"/>
            </w:tcBorders>
            <w:noWrap/>
            <w:vAlign w:val="center"/>
          </w:tcPr>
          <w:p>
            <w:pPr>
              <w:widowControl/>
              <w:jc w:val="right"/>
              <w:rPr>
                <w:rFonts w:hint="eastAsia"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0.00</w:t>
            </w:r>
          </w:p>
        </w:tc>
        <w:tc>
          <w:tcPr>
            <w:tcW w:w="4820" w:type="dxa"/>
            <w:tcBorders>
              <w:top w:val="nil"/>
              <w:left w:val="nil"/>
              <w:bottom w:val="single" w:color="auto" w:sz="4" w:space="0"/>
              <w:right w:val="single" w:color="auto" w:sz="4" w:space="0"/>
            </w:tcBorders>
            <w:noWrap/>
            <w:vAlign w:val="center"/>
          </w:tcPr>
          <w:p>
            <w:pPr>
              <w:widowControl/>
              <w:jc w:val="left"/>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九、卫生健康支出</w:t>
            </w:r>
          </w:p>
        </w:tc>
        <w:tc>
          <w:tcPr>
            <w:tcW w:w="702" w:type="dxa"/>
            <w:tcBorders>
              <w:top w:val="nil"/>
              <w:left w:val="nil"/>
              <w:bottom w:val="single" w:color="auto" w:sz="4" w:space="0"/>
              <w:right w:val="single" w:color="auto" w:sz="4" w:space="0"/>
            </w:tcBorders>
            <w:noWrap/>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19</w:t>
            </w:r>
          </w:p>
        </w:tc>
        <w:tc>
          <w:tcPr>
            <w:tcW w:w="1681" w:type="dxa"/>
            <w:tcBorders>
              <w:top w:val="nil"/>
              <w:left w:val="nil"/>
              <w:bottom w:val="single" w:color="auto" w:sz="4" w:space="0"/>
              <w:right w:val="single" w:color="auto" w:sz="4" w:space="0"/>
            </w:tcBorders>
            <w:noWrap/>
            <w:vAlign w:val="center"/>
          </w:tcPr>
          <w:p>
            <w:pPr>
              <w:widowControl/>
              <w:jc w:val="right"/>
              <w:rPr>
                <w:rFonts w:hint="eastAsia"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61</w:t>
            </w:r>
          </w:p>
        </w:tc>
      </w:tr>
      <w:tr>
        <w:tblPrEx>
          <w:tblCellMar>
            <w:top w:w="0" w:type="dxa"/>
            <w:left w:w="108" w:type="dxa"/>
            <w:bottom w:w="0" w:type="dxa"/>
            <w:right w:w="108" w:type="dxa"/>
          </w:tblCellMar>
        </w:tblPrEx>
        <w:trPr>
          <w:trHeight w:val="389" w:hRule="atLeast"/>
          <w:jc w:val="center"/>
        </w:trPr>
        <w:tc>
          <w:tcPr>
            <w:tcW w:w="4932" w:type="dxa"/>
            <w:tcBorders>
              <w:top w:val="nil"/>
              <w:left w:val="single" w:color="auto" w:sz="4" w:space="0"/>
              <w:bottom w:val="single" w:color="auto" w:sz="4" w:space="0"/>
              <w:right w:val="single" w:color="auto" w:sz="4" w:space="0"/>
            </w:tcBorders>
            <w:noWrap/>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八、其他收入</w:t>
            </w:r>
          </w:p>
        </w:tc>
        <w:tc>
          <w:tcPr>
            <w:tcW w:w="702" w:type="dxa"/>
            <w:tcBorders>
              <w:top w:val="nil"/>
              <w:left w:val="nil"/>
              <w:bottom w:val="single" w:color="auto" w:sz="4" w:space="0"/>
              <w:right w:val="single" w:color="auto" w:sz="4" w:space="0"/>
            </w:tcBorders>
            <w:noWrap/>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8</w:t>
            </w:r>
          </w:p>
        </w:tc>
        <w:tc>
          <w:tcPr>
            <w:tcW w:w="1224" w:type="dxa"/>
            <w:tcBorders>
              <w:top w:val="nil"/>
              <w:left w:val="nil"/>
              <w:bottom w:val="single" w:color="auto" w:sz="4" w:space="0"/>
              <w:right w:val="single" w:color="auto" w:sz="4" w:space="0"/>
            </w:tcBorders>
            <w:noWrap/>
            <w:vAlign w:val="center"/>
          </w:tcPr>
          <w:p>
            <w:pPr>
              <w:widowControl/>
              <w:jc w:val="right"/>
              <w:rPr>
                <w:rFonts w:hint="eastAsia"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0.00</w:t>
            </w:r>
          </w:p>
        </w:tc>
        <w:tc>
          <w:tcPr>
            <w:tcW w:w="4820" w:type="dxa"/>
            <w:tcBorders>
              <w:top w:val="nil"/>
              <w:left w:val="nil"/>
              <w:bottom w:val="single" w:color="auto" w:sz="4" w:space="0"/>
              <w:right w:val="single" w:color="auto" w:sz="4" w:space="0"/>
            </w:tcBorders>
            <w:noWrap/>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十九、住房保障支出</w:t>
            </w:r>
          </w:p>
        </w:tc>
        <w:tc>
          <w:tcPr>
            <w:tcW w:w="702" w:type="dxa"/>
            <w:tcBorders>
              <w:top w:val="nil"/>
              <w:left w:val="nil"/>
              <w:bottom w:val="single" w:color="auto" w:sz="4" w:space="0"/>
              <w:right w:val="single" w:color="auto" w:sz="4" w:space="0"/>
            </w:tcBorders>
            <w:noWrap/>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20</w:t>
            </w:r>
          </w:p>
        </w:tc>
        <w:tc>
          <w:tcPr>
            <w:tcW w:w="1681" w:type="dxa"/>
            <w:tcBorders>
              <w:top w:val="nil"/>
              <w:left w:val="nil"/>
              <w:bottom w:val="single" w:color="auto" w:sz="4" w:space="0"/>
              <w:right w:val="single" w:color="auto" w:sz="4" w:space="0"/>
            </w:tcBorders>
            <w:noWrap/>
            <w:vAlign w:val="center"/>
          </w:tcPr>
          <w:p>
            <w:pPr>
              <w:widowControl/>
              <w:jc w:val="right"/>
              <w:rPr>
                <w:rFonts w:hint="default"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102.00</w:t>
            </w:r>
          </w:p>
        </w:tc>
      </w:tr>
      <w:tr>
        <w:tblPrEx>
          <w:tblCellMar>
            <w:top w:w="0" w:type="dxa"/>
            <w:left w:w="108" w:type="dxa"/>
            <w:bottom w:w="0" w:type="dxa"/>
            <w:right w:w="108" w:type="dxa"/>
          </w:tblCellMar>
        </w:tblPrEx>
        <w:trPr>
          <w:trHeight w:val="487" w:hRule="atLeast"/>
          <w:jc w:val="center"/>
        </w:trPr>
        <w:tc>
          <w:tcPr>
            <w:tcW w:w="4932" w:type="dxa"/>
            <w:tcBorders>
              <w:top w:val="nil"/>
              <w:left w:val="single" w:color="auto" w:sz="4" w:space="0"/>
              <w:bottom w:val="single" w:color="auto" w:sz="4" w:space="0"/>
              <w:right w:val="single" w:color="auto" w:sz="4" w:space="0"/>
            </w:tcBorders>
            <w:noWrap/>
            <w:vAlign w:val="center"/>
          </w:tcPr>
          <w:p>
            <w:pPr>
              <w:widowControl/>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本年收入合计</w:t>
            </w:r>
          </w:p>
        </w:tc>
        <w:tc>
          <w:tcPr>
            <w:tcW w:w="702" w:type="dxa"/>
            <w:tcBorders>
              <w:top w:val="nil"/>
              <w:left w:val="nil"/>
              <w:bottom w:val="single" w:color="auto" w:sz="4" w:space="0"/>
              <w:right w:val="single" w:color="auto" w:sz="4" w:space="0"/>
            </w:tcBorders>
            <w:noWrap/>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9</w:t>
            </w:r>
          </w:p>
        </w:tc>
        <w:tc>
          <w:tcPr>
            <w:tcW w:w="1224" w:type="dxa"/>
            <w:tcBorders>
              <w:top w:val="nil"/>
              <w:left w:val="nil"/>
              <w:bottom w:val="single" w:color="auto" w:sz="4" w:space="0"/>
              <w:right w:val="single" w:color="auto" w:sz="4" w:space="0"/>
            </w:tcBorders>
            <w:noWrap/>
            <w:vAlign w:val="center"/>
          </w:tcPr>
          <w:p>
            <w:pPr>
              <w:widowControl/>
              <w:jc w:val="right"/>
              <w:rPr>
                <w:rFonts w:hint="eastAsia"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1439.98</w:t>
            </w:r>
          </w:p>
        </w:tc>
        <w:tc>
          <w:tcPr>
            <w:tcW w:w="4820" w:type="dxa"/>
            <w:tcBorders>
              <w:top w:val="nil"/>
              <w:left w:val="nil"/>
              <w:bottom w:val="single" w:color="auto" w:sz="4" w:space="0"/>
              <w:right w:val="single" w:color="auto" w:sz="4" w:space="0"/>
            </w:tcBorders>
            <w:noWrap/>
            <w:vAlign w:val="center"/>
          </w:tcPr>
          <w:p>
            <w:pPr>
              <w:widowControl/>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本年支出合计</w:t>
            </w:r>
          </w:p>
        </w:tc>
        <w:tc>
          <w:tcPr>
            <w:tcW w:w="702" w:type="dxa"/>
            <w:tcBorders>
              <w:top w:val="nil"/>
              <w:left w:val="nil"/>
              <w:bottom w:val="single" w:color="auto" w:sz="4" w:space="0"/>
              <w:right w:val="single" w:color="auto" w:sz="4" w:space="0"/>
            </w:tcBorders>
            <w:noWrap/>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22</w:t>
            </w:r>
          </w:p>
        </w:tc>
        <w:tc>
          <w:tcPr>
            <w:tcW w:w="1681" w:type="dxa"/>
            <w:tcBorders>
              <w:top w:val="nil"/>
              <w:left w:val="nil"/>
              <w:bottom w:val="single" w:color="auto" w:sz="4" w:space="0"/>
              <w:right w:val="single" w:color="auto" w:sz="4" w:space="0"/>
            </w:tcBorders>
            <w:noWrap/>
            <w:vAlign w:val="center"/>
          </w:tcPr>
          <w:p>
            <w:pPr>
              <w:widowControl/>
              <w:jc w:val="right"/>
              <w:rPr>
                <w:rFonts w:hint="default"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1273.73</w:t>
            </w:r>
          </w:p>
        </w:tc>
      </w:tr>
      <w:tr>
        <w:tblPrEx>
          <w:tblCellMar>
            <w:top w:w="0" w:type="dxa"/>
            <w:left w:w="108" w:type="dxa"/>
            <w:bottom w:w="0" w:type="dxa"/>
            <w:right w:w="108" w:type="dxa"/>
          </w:tblCellMar>
        </w:tblPrEx>
        <w:trPr>
          <w:trHeight w:val="462" w:hRule="atLeast"/>
          <w:jc w:val="center"/>
        </w:trPr>
        <w:tc>
          <w:tcPr>
            <w:tcW w:w="4932" w:type="dxa"/>
            <w:tcBorders>
              <w:top w:val="nil"/>
              <w:left w:val="single" w:color="auto" w:sz="4" w:space="0"/>
              <w:bottom w:val="single" w:color="auto" w:sz="4" w:space="0"/>
              <w:right w:val="single" w:color="auto" w:sz="4" w:space="0"/>
            </w:tcBorders>
            <w:noWrap/>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xml:space="preserve">         用事业基金弥补收支差额</w:t>
            </w:r>
          </w:p>
        </w:tc>
        <w:tc>
          <w:tcPr>
            <w:tcW w:w="702" w:type="dxa"/>
            <w:tcBorders>
              <w:top w:val="nil"/>
              <w:left w:val="nil"/>
              <w:bottom w:val="single" w:color="auto" w:sz="4" w:space="0"/>
              <w:right w:val="single" w:color="auto" w:sz="4" w:space="0"/>
            </w:tcBorders>
            <w:noWrap/>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10</w:t>
            </w:r>
          </w:p>
        </w:tc>
        <w:tc>
          <w:tcPr>
            <w:tcW w:w="1224" w:type="dxa"/>
            <w:tcBorders>
              <w:top w:val="nil"/>
              <w:left w:val="nil"/>
              <w:bottom w:val="single" w:color="auto" w:sz="4" w:space="0"/>
              <w:right w:val="single" w:color="auto" w:sz="4" w:space="0"/>
            </w:tcBorders>
            <w:noWrap/>
            <w:vAlign w:val="center"/>
          </w:tcPr>
          <w:p>
            <w:pPr>
              <w:widowControl/>
              <w:jc w:val="right"/>
              <w:rPr>
                <w:rFonts w:hint="eastAsia"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0.00</w:t>
            </w:r>
          </w:p>
        </w:tc>
        <w:tc>
          <w:tcPr>
            <w:tcW w:w="4820" w:type="dxa"/>
            <w:tcBorders>
              <w:top w:val="nil"/>
              <w:left w:val="nil"/>
              <w:bottom w:val="single" w:color="auto" w:sz="4" w:space="0"/>
              <w:right w:val="single" w:color="auto" w:sz="4" w:space="0"/>
            </w:tcBorders>
            <w:noWrap/>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xml:space="preserve">                结余分配</w:t>
            </w:r>
          </w:p>
        </w:tc>
        <w:tc>
          <w:tcPr>
            <w:tcW w:w="702" w:type="dxa"/>
            <w:tcBorders>
              <w:top w:val="nil"/>
              <w:left w:val="nil"/>
              <w:bottom w:val="single" w:color="auto" w:sz="4" w:space="0"/>
              <w:right w:val="single" w:color="auto" w:sz="4" w:space="0"/>
            </w:tcBorders>
            <w:noWrap/>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23</w:t>
            </w:r>
          </w:p>
        </w:tc>
        <w:tc>
          <w:tcPr>
            <w:tcW w:w="1681" w:type="dxa"/>
            <w:tcBorders>
              <w:top w:val="nil"/>
              <w:left w:val="nil"/>
              <w:bottom w:val="single" w:color="auto" w:sz="4" w:space="0"/>
              <w:right w:val="single" w:color="auto" w:sz="4" w:space="0"/>
            </w:tcBorders>
            <w:noWrap/>
            <w:vAlign w:val="center"/>
          </w:tcPr>
          <w:p>
            <w:pPr>
              <w:widowControl/>
              <w:jc w:val="right"/>
              <w:rPr>
                <w:rFonts w:hint="eastAsia"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0.00</w:t>
            </w:r>
          </w:p>
        </w:tc>
      </w:tr>
      <w:tr>
        <w:tblPrEx>
          <w:tblCellMar>
            <w:top w:w="0" w:type="dxa"/>
            <w:left w:w="108" w:type="dxa"/>
            <w:bottom w:w="0" w:type="dxa"/>
            <w:right w:w="108" w:type="dxa"/>
          </w:tblCellMar>
        </w:tblPrEx>
        <w:trPr>
          <w:trHeight w:val="462" w:hRule="atLeast"/>
          <w:jc w:val="center"/>
        </w:trPr>
        <w:tc>
          <w:tcPr>
            <w:tcW w:w="4932" w:type="dxa"/>
            <w:tcBorders>
              <w:top w:val="nil"/>
              <w:left w:val="single" w:color="auto" w:sz="4" w:space="0"/>
              <w:bottom w:val="single" w:color="auto" w:sz="4" w:space="0"/>
              <w:right w:val="single" w:color="auto" w:sz="4" w:space="0"/>
            </w:tcBorders>
            <w:noWrap/>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xml:space="preserve">         年初结转和结余</w:t>
            </w:r>
          </w:p>
        </w:tc>
        <w:tc>
          <w:tcPr>
            <w:tcW w:w="702" w:type="dxa"/>
            <w:tcBorders>
              <w:top w:val="nil"/>
              <w:left w:val="nil"/>
              <w:bottom w:val="single" w:color="auto" w:sz="4" w:space="0"/>
              <w:right w:val="single" w:color="auto" w:sz="4" w:space="0"/>
            </w:tcBorders>
            <w:noWrap/>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11</w:t>
            </w:r>
          </w:p>
        </w:tc>
        <w:tc>
          <w:tcPr>
            <w:tcW w:w="1224" w:type="dxa"/>
            <w:tcBorders>
              <w:top w:val="nil"/>
              <w:left w:val="nil"/>
              <w:bottom w:val="single" w:color="auto" w:sz="4" w:space="0"/>
              <w:right w:val="single" w:color="auto" w:sz="4" w:space="0"/>
            </w:tcBorders>
            <w:noWrap/>
            <w:vAlign w:val="center"/>
          </w:tcPr>
          <w:p>
            <w:pPr>
              <w:widowControl/>
              <w:jc w:val="right"/>
              <w:rPr>
                <w:rFonts w:hint="eastAsia"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158.95</w:t>
            </w:r>
          </w:p>
        </w:tc>
        <w:tc>
          <w:tcPr>
            <w:tcW w:w="4820" w:type="dxa"/>
            <w:tcBorders>
              <w:top w:val="nil"/>
              <w:left w:val="nil"/>
              <w:bottom w:val="single" w:color="auto" w:sz="4" w:space="0"/>
              <w:right w:val="single" w:color="auto" w:sz="4" w:space="0"/>
            </w:tcBorders>
            <w:noWrap/>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xml:space="preserve">                年末结转和结余</w:t>
            </w:r>
          </w:p>
        </w:tc>
        <w:tc>
          <w:tcPr>
            <w:tcW w:w="702" w:type="dxa"/>
            <w:tcBorders>
              <w:top w:val="nil"/>
              <w:left w:val="nil"/>
              <w:bottom w:val="single" w:color="auto" w:sz="4" w:space="0"/>
              <w:right w:val="single" w:color="auto" w:sz="4" w:space="0"/>
            </w:tcBorders>
            <w:noWrap/>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24</w:t>
            </w:r>
          </w:p>
        </w:tc>
        <w:tc>
          <w:tcPr>
            <w:tcW w:w="1681" w:type="dxa"/>
            <w:tcBorders>
              <w:top w:val="nil"/>
              <w:left w:val="nil"/>
              <w:bottom w:val="single" w:color="auto" w:sz="4" w:space="0"/>
              <w:right w:val="single" w:color="auto" w:sz="4" w:space="0"/>
            </w:tcBorders>
            <w:noWrap/>
            <w:vAlign w:val="center"/>
          </w:tcPr>
          <w:p>
            <w:pPr>
              <w:widowControl/>
              <w:jc w:val="right"/>
              <w:rPr>
                <w:rFonts w:hint="default"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325.19</w:t>
            </w:r>
          </w:p>
        </w:tc>
      </w:tr>
      <w:tr>
        <w:tblPrEx>
          <w:tblCellMar>
            <w:top w:w="0" w:type="dxa"/>
            <w:left w:w="108" w:type="dxa"/>
            <w:bottom w:w="0" w:type="dxa"/>
            <w:right w:w="108" w:type="dxa"/>
          </w:tblCellMar>
        </w:tblPrEx>
        <w:trPr>
          <w:trHeight w:val="462" w:hRule="atLeast"/>
          <w:jc w:val="center"/>
        </w:trPr>
        <w:tc>
          <w:tcPr>
            <w:tcW w:w="4932" w:type="dxa"/>
            <w:tcBorders>
              <w:top w:val="nil"/>
              <w:left w:val="single" w:color="auto" w:sz="4" w:space="0"/>
              <w:bottom w:val="single" w:color="auto" w:sz="4" w:space="0"/>
              <w:right w:val="single" w:color="auto" w:sz="4" w:space="0"/>
            </w:tcBorders>
            <w:noWrap/>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702" w:type="dxa"/>
            <w:tcBorders>
              <w:top w:val="nil"/>
              <w:left w:val="nil"/>
              <w:bottom w:val="single" w:color="auto" w:sz="4" w:space="0"/>
              <w:right w:val="single" w:color="auto" w:sz="4" w:space="0"/>
            </w:tcBorders>
            <w:noWrap/>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12</w:t>
            </w:r>
          </w:p>
        </w:tc>
        <w:tc>
          <w:tcPr>
            <w:tcW w:w="1224" w:type="dxa"/>
            <w:tcBorders>
              <w:top w:val="nil"/>
              <w:left w:val="nil"/>
              <w:bottom w:val="single" w:color="auto" w:sz="4" w:space="0"/>
              <w:right w:val="single" w:color="auto" w:sz="4" w:space="0"/>
            </w:tcBorders>
            <w:noWrap/>
            <w:vAlign w:val="center"/>
          </w:tcPr>
          <w:p>
            <w:pPr>
              <w:widowControl/>
              <w:jc w:val="right"/>
              <w:rPr>
                <w:rFonts w:hint="eastAsia"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　</w:t>
            </w:r>
          </w:p>
        </w:tc>
        <w:tc>
          <w:tcPr>
            <w:tcW w:w="4820" w:type="dxa"/>
            <w:tcBorders>
              <w:top w:val="nil"/>
              <w:left w:val="nil"/>
              <w:bottom w:val="single" w:color="auto" w:sz="4" w:space="0"/>
              <w:right w:val="single" w:color="auto" w:sz="4" w:space="0"/>
            </w:tcBorders>
            <w:noWrap/>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702" w:type="dxa"/>
            <w:tcBorders>
              <w:top w:val="nil"/>
              <w:left w:val="nil"/>
              <w:bottom w:val="single" w:color="auto" w:sz="4" w:space="0"/>
              <w:right w:val="single" w:color="auto" w:sz="4" w:space="0"/>
            </w:tcBorders>
            <w:noWrap/>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25</w:t>
            </w:r>
          </w:p>
        </w:tc>
        <w:tc>
          <w:tcPr>
            <w:tcW w:w="1681" w:type="dxa"/>
            <w:tcBorders>
              <w:top w:val="nil"/>
              <w:left w:val="nil"/>
              <w:bottom w:val="single" w:color="auto" w:sz="4" w:space="0"/>
              <w:right w:val="single" w:color="auto" w:sz="4" w:space="0"/>
            </w:tcBorders>
            <w:noWrap/>
            <w:vAlign w:val="center"/>
          </w:tcPr>
          <w:p>
            <w:pPr>
              <w:widowControl/>
              <w:jc w:val="right"/>
              <w:rPr>
                <w:rFonts w:hint="eastAsia"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　</w:t>
            </w:r>
          </w:p>
        </w:tc>
      </w:tr>
      <w:tr>
        <w:tblPrEx>
          <w:tblCellMar>
            <w:top w:w="0" w:type="dxa"/>
            <w:left w:w="108" w:type="dxa"/>
            <w:bottom w:w="0" w:type="dxa"/>
            <w:right w:w="108" w:type="dxa"/>
          </w:tblCellMar>
        </w:tblPrEx>
        <w:trPr>
          <w:trHeight w:val="545" w:hRule="atLeast"/>
          <w:jc w:val="center"/>
        </w:trPr>
        <w:tc>
          <w:tcPr>
            <w:tcW w:w="4932" w:type="dxa"/>
            <w:tcBorders>
              <w:top w:val="nil"/>
              <w:left w:val="single" w:color="auto" w:sz="4" w:space="0"/>
              <w:bottom w:val="single" w:color="auto" w:sz="4" w:space="0"/>
              <w:right w:val="single" w:color="auto" w:sz="4" w:space="0"/>
            </w:tcBorders>
            <w:noWrap/>
            <w:vAlign w:val="center"/>
          </w:tcPr>
          <w:p>
            <w:pPr>
              <w:widowControl/>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总计</w:t>
            </w:r>
          </w:p>
        </w:tc>
        <w:tc>
          <w:tcPr>
            <w:tcW w:w="702" w:type="dxa"/>
            <w:tcBorders>
              <w:top w:val="nil"/>
              <w:left w:val="nil"/>
              <w:bottom w:val="single" w:color="auto" w:sz="4" w:space="0"/>
              <w:right w:val="single" w:color="auto" w:sz="4" w:space="0"/>
            </w:tcBorders>
            <w:noWrap/>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13</w:t>
            </w:r>
          </w:p>
        </w:tc>
        <w:tc>
          <w:tcPr>
            <w:tcW w:w="1224" w:type="dxa"/>
            <w:tcBorders>
              <w:top w:val="nil"/>
              <w:left w:val="nil"/>
              <w:bottom w:val="single" w:color="auto" w:sz="4" w:space="0"/>
              <w:right w:val="single" w:color="auto" w:sz="4" w:space="0"/>
            </w:tcBorders>
            <w:noWrap/>
            <w:vAlign w:val="center"/>
          </w:tcPr>
          <w:p>
            <w:pPr>
              <w:keepNext w:val="0"/>
              <w:keepLines w:val="0"/>
              <w:widowControl/>
              <w:suppressLineNumbers w:val="0"/>
              <w:jc w:val="right"/>
              <w:textAlignment w:val="center"/>
              <w:rPr>
                <w:rFonts w:hint="eastAsia" w:ascii="宋体" w:hAnsi="宋体" w:eastAsia="宋体" w:cs="宋体"/>
                <w:i w:val="0"/>
                <w:color w:val="000000"/>
                <w:kern w:val="2"/>
                <w:sz w:val="22"/>
                <w:szCs w:val="22"/>
                <w:u w:val="none"/>
                <w:lang w:val="en-US" w:eastAsia="zh-CN" w:bidi="ar-SA"/>
              </w:rPr>
            </w:pPr>
            <w:r>
              <w:rPr>
                <w:rFonts w:hint="eastAsia" w:ascii="仿宋" w:hAnsi="仿宋" w:eastAsia="仿宋" w:cs="仿宋"/>
                <w:b/>
                <w:bCs/>
                <w:kern w:val="0"/>
                <w:sz w:val="24"/>
                <w:szCs w:val="24"/>
                <w:lang w:val="en-US" w:eastAsia="zh-CN"/>
              </w:rPr>
              <w:t>1,598.93</w:t>
            </w:r>
            <w:r>
              <w:rPr>
                <w:rFonts w:hint="eastAsia" w:ascii="宋体" w:hAnsi="宋体" w:eastAsia="宋体" w:cs="宋体"/>
                <w:i w:val="0"/>
                <w:color w:val="000000"/>
                <w:kern w:val="0"/>
                <w:sz w:val="22"/>
                <w:szCs w:val="22"/>
                <w:u w:val="none"/>
                <w:lang w:val="en-US" w:eastAsia="zh-CN" w:bidi="ar"/>
              </w:rPr>
              <w:t xml:space="preserve"> </w:t>
            </w:r>
          </w:p>
        </w:tc>
        <w:tc>
          <w:tcPr>
            <w:tcW w:w="4820" w:type="dxa"/>
            <w:tcBorders>
              <w:top w:val="nil"/>
              <w:left w:val="nil"/>
              <w:bottom w:val="single" w:color="auto" w:sz="4" w:space="0"/>
              <w:right w:val="single" w:color="auto" w:sz="4" w:space="0"/>
            </w:tcBorders>
            <w:noWrap/>
            <w:vAlign w:val="center"/>
          </w:tcPr>
          <w:p>
            <w:pPr>
              <w:widowControl/>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总计</w:t>
            </w:r>
          </w:p>
        </w:tc>
        <w:tc>
          <w:tcPr>
            <w:tcW w:w="702" w:type="dxa"/>
            <w:tcBorders>
              <w:top w:val="nil"/>
              <w:left w:val="nil"/>
              <w:bottom w:val="single" w:color="auto" w:sz="4" w:space="0"/>
              <w:right w:val="single" w:color="auto" w:sz="4" w:space="0"/>
            </w:tcBorders>
            <w:noWrap/>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26</w:t>
            </w:r>
          </w:p>
        </w:tc>
        <w:tc>
          <w:tcPr>
            <w:tcW w:w="1681" w:type="dxa"/>
            <w:tcBorders>
              <w:top w:val="nil"/>
              <w:left w:val="nil"/>
              <w:bottom w:val="single" w:color="auto" w:sz="4" w:space="0"/>
              <w:right w:val="single" w:color="auto" w:sz="4" w:space="0"/>
            </w:tcBorders>
            <w:noWrap/>
            <w:vAlign w:val="center"/>
          </w:tcPr>
          <w:p>
            <w:pPr>
              <w:widowControl/>
              <w:jc w:val="right"/>
              <w:rPr>
                <w:rFonts w:hint="default"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1598.93</w:t>
            </w:r>
          </w:p>
        </w:tc>
      </w:tr>
    </w:tbl>
    <w:p>
      <w:pPr>
        <w:widowControl/>
        <w:ind w:firstLine="720" w:firstLineChars="300"/>
        <w:jc w:val="left"/>
        <w:rPr>
          <w:rFonts w:hint="eastAsia" w:ascii="仿宋" w:hAnsi="仿宋" w:eastAsia="仿宋" w:cs="仿宋"/>
          <w:kern w:val="0"/>
          <w:sz w:val="24"/>
          <w:szCs w:val="24"/>
        </w:rPr>
      </w:pPr>
      <w:r>
        <w:rPr>
          <w:rFonts w:hint="eastAsia" w:ascii="仿宋" w:hAnsi="仿宋" w:eastAsia="仿宋" w:cs="仿宋"/>
          <w:kern w:val="0"/>
          <w:sz w:val="24"/>
          <w:szCs w:val="24"/>
        </w:rPr>
        <w:t>注：</w:t>
      </w:r>
      <w:r>
        <w:rPr>
          <w:rFonts w:hint="eastAsia" w:ascii="仿宋" w:hAnsi="仿宋" w:eastAsia="仿宋" w:cs="仿宋"/>
          <w:kern w:val="0"/>
          <w:sz w:val="24"/>
          <w:szCs w:val="24"/>
          <w:lang w:val="en-US" w:eastAsia="zh-CN"/>
        </w:rPr>
        <w:t>1、</w:t>
      </w:r>
      <w:r>
        <w:rPr>
          <w:rFonts w:hint="eastAsia" w:ascii="仿宋" w:hAnsi="仿宋" w:eastAsia="仿宋" w:cs="仿宋"/>
          <w:kern w:val="0"/>
          <w:sz w:val="24"/>
          <w:szCs w:val="24"/>
        </w:rPr>
        <w:t>本表反映部门本年度的总收支和年末结转结余情况。</w:t>
      </w:r>
    </w:p>
    <w:p>
      <w:pPr>
        <w:pStyle w:val="2"/>
        <w:ind w:firstLine="960" w:firstLineChars="400"/>
        <w:rPr>
          <w:rFonts w:hint="eastAsia" w:ascii="仿宋" w:hAnsi="仿宋" w:eastAsia="仿宋" w:cs="仿宋"/>
          <w:sz w:val="24"/>
          <w:szCs w:val="24"/>
        </w:rPr>
      </w:pPr>
      <w:r>
        <w:rPr>
          <w:rFonts w:hint="eastAsia" w:ascii="仿宋" w:hAnsi="仿宋" w:eastAsia="仿宋" w:cs="仿宋"/>
          <w:kern w:val="0"/>
          <w:sz w:val="24"/>
          <w:szCs w:val="24"/>
        </w:rPr>
        <w:t>2.本套报表金额单位转换时可能存在尾数误差。</w:t>
      </w:r>
    </w:p>
    <w:p>
      <w:pPr>
        <w:widowControl/>
        <w:jc w:val="left"/>
        <w:rPr>
          <w:rFonts w:ascii="Times New Roman" w:hAnsi="Times New Roman" w:eastAsia="黑体"/>
          <w:kern w:val="0"/>
          <w:sz w:val="32"/>
          <w:szCs w:val="32"/>
        </w:rPr>
      </w:pPr>
      <w:r>
        <w:rPr>
          <w:rFonts w:hint="eastAsia" w:ascii="仿宋" w:hAnsi="仿宋" w:eastAsia="仿宋" w:cs="仿宋"/>
          <w:kern w:val="0"/>
          <w:sz w:val="32"/>
          <w:szCs w:val="32"/>
        </w:rPr>
        <w:br w:type="page"/>
      </w:r>
    </w:p>
    <w:p>
      <w:pPr>
        <w:widowControl/>
        <w:jc w:val="center"/>
        <w:rPr>
          <w:rFonts w:ascii="黑体" w:hAnsi="黑体" w:eastAsia="黑体"/>
          <w:sz w:val="36"/>
          <w:szCs w:val="36"/>
        </w:rPr>
      </w:pPr>
      <w:r>
        <w:rPr>
          <w:rFonts w:hint="eastAsia" w:ascii="黑体" w:hAnsi="黑体" w:eastAsia="黑体" w:cs="黑体"/>
          <w:sz w:val="36"/>
          <w:szCs w:val="36"/>
        </w:rPr>
        <w:t>收入决算表</w:t>
      </w:r>
    </w:p>
    <w:p>
      <w:pPr>
        <w:widowControl/>
        <w:ind w:firstLine="1446" w:firstLineChars="600"/>
        <w:jc w:val="left"/>
        <w:rPr>
          <w:rFonts w:ascii="Times New Roman" w:hAnsi="Times New Roman" w:eastAsia="仿宋_GB2312"/>
          <w:color w:val="000000"/>
          <w:kern w:val="0"/>
          <w:sz w:val="24"/>
          <w:szCs w:val="24"/>
        </w:rPr>
      </w:pPr>
      <w:r>
        <w:rPr>
          <w:rFonts w:hint="eastAsia" w:ascii="Times New Roman" w:hAnsi="Times New Roman" w:eastAsia="仿宋_GB2312" w:cs="仿宋_GB2312"/>
          <w:b/>
          <w:bCs/>
          <w:color w:val="000000"/>
          <w:kern w:val="0"/>
          <w:sz w:val="24"/>
          <w:szCs w:val="24"/>
        </w:rPr>
        <w:t>部门：湖南省人民政府驻上海办事处</w:t>
      </w:r>
      <w:r>
        <w:rPr>
          <w:rFonts w:ascii="Times New Roman" w:hAnsi="Times New Roman" w:eastAsia="仿宋_GB2312" w:cs="Times New Roman"/>
          <w:b/>
          <w:bCs/>
          <w:color w:val="000000"/>
          <w:kern w:val="0"/>
          <w:sz w:val="24"/>
          <w:szCs w:val="24"/>
        </w:rPr>
        <w:t xml:space="preserve">       </w:t>
      </w:r>
      <w:r>
        <w:rPr>
          <w:rFonts w:ascii="Times New Roman" w:hAnsi="Times New Roman" w:eastAsia="仿宋_GB2312" w:cs="Times New Roman"/>
          <w:color w:val="000000"/>
          <w:kern w:val="0"/>
          <w:sz w:val="24"/>
          <w:szCs w:val="24"/>
        </w:rPr>
        <w:t xml:space="preserve">                                                         </w:t>
      </w:r>
      <w:r>
        <w:rPr>
          <w:rFonts w:hint="eastAsia" w:ascii="Times New Roman" w:hAnsi="Times New Roman" w:eastAsia="仿宋_GB2312" w:cs="仿宋_GB2312"/>
          <w:color w:val="000000"/>
          <w:kern w:val="0"/>
          <w:sz w:val="24"/>
          <w:szCs w:val="24"/>
        </w:rPr>
        <w:t>公开</w:t>
      </w:r>
      <w:r>
        <w:rPr>
          <w:rFonts w:ascii="Times New Roman" w:hAnsi="Times New Roman" w:eastAsia="仿宋_GB2312" w:cs="Times New Roman"/>
          <w:color w:val="000000"/>
          <w:kern w:val="0"/>
          <w:sz w:val="24"/>
          <w:szCs w:val="24"/>
        </w:rPr>
        <w:t>02</w:t>
      </w:r>
      <w:r>
        <w:rPr>
          <w:rFonts w:hint="eastAsia" w:ascii="Times New Roman" w:hAnsi="Times New Roman" w:eastAsia="仿宋_GB2312" w:cs="仿宋_GB2312"/>
          <w:color w:val="000000"/>
          <w:kern w:val="0"/>
          <w:sz w:val="24"/>
          <w:szCs w:val="24"/>
        </w:rPr>
        <w:t>表</w:t>
      </w:r>
    </w:p>
    <w:p>
      <w:pPr>
        <w:widowControl/>
        <w:ind w:right="1260"/>
        <w:jc w:val="right"/>
        <w:rPr>
          <w:rFonts w:ascii="Times New Roman" w:hAnsi="Times New Roman" w:eastAsia="仿宋_GB2312"/>
          <w:color w:val="000000"/>
          <w:kern w:val="0"/>
          <w:sz w:val="24"/>
          <w:szCs w:val="24"/>
        </w:rPr>
      </w:pPr>
      <w:r>
        <w:rPr>
          <w:rFonts w:hint="eastAsia" w:ascii="Times New Roman" w:hAnsi="Times New Roman" w:eastAsia="仿宋_GB2312" w:cs="仿宋_GB2312"/>
          <w:color w:val="000000"/>
          <w:kern w:val="0"/>
          <w:sz w:val="24"/>
          <w:szCs w:val="24"/>
        </w:rPr>
        <w:t>单位：万元</w:t>
      </w:r>
    </w:p>
    <w:tbl>
      <w:tblPr>
        <w:tblStyle w:val="11"/>
        <w:tblW w:w="13586" w:type="dxa"/>
        <w:jc w:val="center"/>
        <w:tblLayout w:type="autofit"/>
        <w:tblCellMar>
          <w:top w:w="0" w:type="dxa"/>
          <w:left w:w="108" w:type="dxa"/>
          <w:bottom w:w="0" w:type="dxa"/>
          <w:right w:w="108" w:type="dxa"/>
        </w:tblCellMar>
      </w:tblPr>
      <w:tblGrid>
        <w:gridCol w:w="1197"/>
        <w:gridCol w:w="3964"/>
        <w:gridCol w:w="1184"/>
        <w:gridCol w:w="1184"/>
        <w:gridCol w:w="1227"/>
        <w:gridCol w:w="1260"/>
        <w:gridCol w:w="1155"/>
        <w:gridCol w:w="1155"/>
        <w:gridCol w:w="1260"/>
      </w:tblGrid>
      <w:tr>
        <w:tblPrEx>
          <w:tblCellMar>
            <w:top w:w="0" w:type="dxa"/>
            <w:left w:w="108" w:type="dxa"/>
            <w:bottom w:w="0" w:type="dxa"/>
            <w:right w:w="108" w:type="dxa"/>
          </w:tblCellMar>
        </w:tblPrEx>
        <w:trPr>
          <w:trHeight w:val="450" w:hRule="atLeast"/>
          <w:jc w:val="center"/>
        </w:trPr>
        <w:tc>
          <w:tcPr>
            <w:tcW w:w="5161" w:type="dxa"/>
            <w:gridSpan w:val="2"/>
            <w:tcBorders>
              <w:top w:val="single" w:color="auto" w:sz="8" w:space="0"/>
              <w:left w:val="single" w:color="auto" w:sz="8" w:space="0"/>
              <w:bottom w:val="single" w:color="auto" w:sz="4" w:space="0"/>
              <w:right w:val="nil"/>
            </w:tcBorders>
            <w:vAlign w:val="center"/>
          </w:tcPr>
          <w:p>
            <w:pPr>
              <w:widowControl/>
              <w:jc w:val="center"/>
              <w:rPr>
                <w:rFonts w:ascii="Times New Roman" w:hAnsi="Times New Roman" w:eastAsia="仿宋_GB2312"/>
                <w:kern w:val="0"/>
                <w:sz w:val="24"/>
                <w:szCs w:val="24"/>
              </w:rPr>
            </w:pPr>
            <w:r>
              <w:rPr>
                <w:rFonts w:hint="eastAsia" w:ascii="Times New Roman" w:hAnsi="Times New Roman" w:eastAsia="仿宋_GB2312" w:cs="仿宋_GB2312"/>
                <w:kern w:val="0"/>
                <w:sz w:val="24"/>
                <w:szCs w:val="24"/>
              </w:rPr>
              <w:t>项</w:t>
            </w:r>
            <w:r>
              <w:rPr>
                <w:rFonts w:ascii="Times New Roman" w:hAnsi="Times New Roman" w:eastAsia="仿宋_GB2312" w:cs="Times New Roman"/>
                <w:kern w:val="0"/>
                <w:sz w:val="24"/>
                <w:szCs w:val="24"/>
              </w:rPr>
              <w:t xml:space="preserve">    </w:t>
            </w:r>
            <w:r>
              <w:rPr>
                <w:rFonts w:hint="eastAsia" w:ascii="Times New Roman" w:hAnsi="Times New Roman" w:eastAsia="仿宋_GB2312" w:cs="仿宋_GB2312"/>
                <w:kern w:val="0"/>
                <w:sz w:val="24"/>
                <w:szCs w:val="24"/>
              </w:rPr>
              <w:t>目</w:t>
            </w:r>
          </w:p>
        </w:tc>
        <w:tc>
          <w:tcPr>
            <w:tcW w:w="1184" w:type="dxa"/>
            <w:vMerge w:val="restart"/>
            <w:tcBorders>
              <w:top w:val="single" w:color="auto" w:sz="8" w:space="0"/>
              <w:left w:val="single" w:color="auto" w:sz="4" w:space="0"/>
              <w:bottom w:val="single" w:color="000000" w:sz="4" w:space="0"/>
              <w:right w:val="single" w:color="auto" w:sz="4" w:space="0"/>
            </w:tcBorders>
            <w:vAlign w:val="center"/>
          </w:tcPr>
          <w:p>
            <w:pPr>
              <w:widowControl/>
              <w:jc w:val="center"/>
              <w:rPr>
                <w:rFonts w:ascii="Times New Roman" w:hAnsi="Times New Roman" w:eastAsia="仿宋_GB2312"/>
                <w:kern w:val="0"/>
                <w:sz w:val="24"/>
                <w:szCs w:val="24"/>
              </w:rPr>
            </w:pPr>
            <w:r>
              <w:rPr>
                <w:rFonts w:hint="eastAsia" w:ascii="Times New Roman" w:hAnsi="Times New Roman" w:eastAsia="仿宋_GB2312" w:cs="仿宋_GB2312"/>
                <w:kern w:val="0"/>
                <w:sz w:val="24"/>
                <w:szCs w:val="24"/>
              </w:rPr>
              <w:t>本年收入合计</w:t>
            </w:r>
          </w:p>
        </w:tc>
        <w:tc>
          <w:tcPr>
            <w:tcW w:w="1184" w:type="dxa"/>
            <w:vMerge w:val="restart"/>
            <w:tcBorders>
              <w:top w:val="single" w:color="auto" w:sz="8" w:space="0"/>
              <w:left w:val="single" w:color="auto" w:sz="4" w:space="0"/>
              <w:bottom w:val="single" w:color="000000" w:sz="4" w:space="0"/>
              <w:right w:val="single" w:color="auto" w:sz="4" w:space="0"/>
            </w:tcBorders>
            <w:vAlign w:val="center"/>
          </w:tcPr>
          <w:p>
            <w:pPr>
              <w:widowControl/>
              <w:jc w:val="center"/>
              <w:rPr>
                <w:rFonts w:ascii="Times New Roman" w:hAnsi="Times New Roman" w:eastAsia="仿宋_GB2312"/>
                <w:kern w:val="0"/>
                <w:sz w:val="24"/>
                <w:szCs w:val="24"/>
              </w:rPr>
            </w:pPr>
            <w:r>
              <w:rPr>
                <w:rFonts w:hint="eastAsia" w:ascii="Times New Roman" w:hAnsi="Times New Roman" w:eastAsia="仿宋_GB2312" w:cs="仿宋_GB2312"/>
                <w:kern w:val="0"/>
                <w:sz w:val="24"/>
                <w:szCs w:val="24"/>
              </w:rPr>
              <w:t>财政拨款收入</w:t>
            </w:r>
          </w:p>
        </w:tc>
        <w:tc>
          <w:tcPr>
            <w:tcW w:w="1227" w:type="dxa"/>
            <w:vMerge w:val="restart"/>
            <w:tcBorders>
              <w:top w:val="single" w:color="auto" w:sz="8" w:space="0"/>
              <w:left w:val="single" w:color="auto" w:sz="4" w:space="0"/>
              <w:bottom w:val="single" w:color="000000" w:sz="4" w:space="0"/>
              <w:right w:val="single" w:color="auto" w:sz="4" w:space="0"/>
            </w:tcBorders>
            <w:vAlign w:val="center"/>
          </w:tcPr>
          <w:p>
            <w:pPr>
              <w:widowControl/>
              <w:jc w:val="center"/>
              <w:rPr>
                <w:rFonts w:ascii="Times New Roman" w:hAnsi="Times New Roman" w:eastAsia="仿宋_GB2312"/>
                <w:kern w:val="0"/>
                <w:sz w:val="24"/>
                <w:szCs w:val="24"/>
              </w:rPr>
            </w:pPr>
            <w:r>
              <w:rPr>
                <w:rFonts w:hint="eastAsia" w:ascii="Times New Roman" w:hAnsi="Times New Roman" w:eastAsia="仿宋_GB2312" w:cs="仿宋_GB2312"/>
                <w:kern w:val="0"/>
                <w:sz w:val="24"/>
                <w:szCs w:val="24"/>
              </w:rPr>
              <w:t>上级补助收入</w:t>
            </w:r>
          </w:p>
        </w:tc>
        <w:tc>
          <w:tcPr>
            <w:tcW w:w="1260" w:type="dxa"/>
            <w:vMerge w:val="restart"/>
            <w:tcBorders>
              <w:top w:val="single" w:color="auto" w:sz="8" w:space="0"/>
              <w:left w:val="single" w:color="auto" w:sz="4" w:space="0"/>
              <w:bottom w:val="single" w:color="000000" w:sz="4" w:space="0"/>
              <w:right w:val="single" w:color="auto" w:sz="4" w:space="0"/>
            </w:tcBorders>
            <w:vAlign w:val="center"/>
          </w:tcPr>
          <w:p>
            <w:pPr>
              <w:widowControl/>
              <w:jc w:val="center"/>
              <w:rPr>
                <w:rFonts w:ascii="Times New Roman" w:hAnsi="Times New Roman" w:eastAsia="仿宋_GB2312"/>
                <w:kern w:val="0"/>
                <w:sz w:val="24"/>
                <w:szCs w:val="24"/>
              </w:rPr>
            </w:pPr>
            <w:r>
              <w:rPr>
                <w:rFonts w:hint="eastAsia" w:ascii="Times New Roman" w:hAnsi="Times New Roman" w:eastAsia="仿宋_GB2312" w:cs="仿宋_GB2312"/>
                <w:kern w:val="0"/>
                <w:sz w:val="24"/>
                <w:szCs w:val="24"/>
              </w:rPr>
              <w:t>事业收入</w:t>
            </w:r>
          </w:p>
        </w:tc>
        <w:tc>
          <w:tcPr>
            <w:tcW w:w="1155" w:type="dxa"/>
            <w:vMerge w:val="restart"/>
            <w:tcBorders>
              <w:top w:val="single" w:color="auto" w:sz="8" w:space="0"/>
              <w:left w:val="single" w:color="auto" w:sz="4" w:space="0"/>
              <w:bottom w:val="single" w:color="000000" w:sz="4" w:space="0"/>
              <w:right w:val="single" w:color="auto" w:sz="4" w:space="0"/>
            </w:tcBorders>
            <w:vAlign w:val="center"/>
          </w:tcPr>
          <w:p>
            <w:pPr>
              <w:widowControl/>
              <w:jc w:val="center"/>
              <w:rPr>
                <w:rFonts w:ascii="Times New Roman" w:hAnsi="Times New Roman" w:eastAsia="仿宋_GB2312"/>
                <w:kern w:val="0"/>
                <w:sz w:val="24"/>
                <w:szCs w:val="24"/>
              </w:rPr>
            </w:pPr>
            <w:r>
              <w:rPr>
                <w:rFonts w:hint="eastAsia" w:ascii="Times New Roman" w:hAnsi="Times New Roman" w:eastAsia="仿宋_GB2312" w:cs="仿宋_GB2312"/>
                <w:kern w:val="0"/>
                <w:sz w:val="24"/>
                <w:szCs w:val="24"/>
              </w:rPr>
              <w:t>经营收入</w:t>
            </w:r>
          </w:p>
        </w:tc>
        <w:tc>
          <w:tcPr>
            <w:tcW w:w="1155" w:type="dxa"/>
            <w:vMerge w:val="restart"/>
            <w:tcBorders>
              <w:top w:val="single" w:color="auto" w:sz="8" w:space="0"/>
              <w:left w:val="single" w:color="auto" w:sz="4" w:space="0"/>
              <w:bottom w:val="single" w:color="000000" w:sz="4" w:space="0"/>
              <w:right w:val="single" w:color="auto" w:sz="4" w:space="0"/>
            </w:tcBorders>
            <w:vAlign w:val="center"/>
          </w:tcPr>
          <w:p>
            <w:pPr>
              <w:widowControl/>
              <w:jc w:val="center"/>
              <w:rPr>
                <w:rFonts w:ascii="Times New Roman" w:hAnsi="Times New Roman" w:eastAsia="仿宋_GB2312"/>
                <w:kern w:val="0"/>
                <w:sz w:val="24"/>
                <w:szCs w:val="24"/>
              </w:rPr>
            </w:pPr>
            <w:r>
              <w:rPr>
                <w:rFonts w:hint="eastAsia" w:ascii="Times New Roman" w:hAnsi="Times New Roman" w:eastAsia="仿宋_GB2312" w:cs="仿宋_GB2312"/>
                <w:kern w:val="0"/>
                <w:sz w:val="24"/>
                <w:szCs w:val="24"/>
              </w:rPr>
              <w:t>附属单位上缴收入</w:t>
            </w:r>
          </w:p>
        </w:tc>
        <w:tc>
          <w:tcPr>
            <w:tcW w:w="1260" w:type="dxa"/>
            <w:vMerge w:val="restart"/>
            <w:tcBorders>
              <w:top w:val="single" w:color="auto" w:sz="8" w:space="0"/>
              <w:left w:val="single" w:color="auto" w:sz="4" w:space="0"/>
              <w:bottom w:val="single" w:color="000000" w:sz="4" w:space="0"/>
              <w:right w:val="single" w:color="auto" w:sz="8" w:space="0"/>
            </w:tcBorders>
            <w:vAlign w:val="center"/>
          </w:tcPr>
          <w:p>
            <w:pPr>
              <w:widowControl/>
              <w:jc w:val="center"/>
              <w:rPr>
                <w:rFonts w:ascii="Times New Roman" w:hAnsi="Times New Roman" w:eastAsia="仿宋_GB2312"/>
                <w:kern w:val="0"/>
                <w:sz w:val="24"/>
                <w:szCs w:val="24"/>
              </w:rPr>
            </w:pPr>
            <w:r>
              <w:rPr>
                <w:rFonts w:hint="eastAsia" w:ascii="Times New Roman" w:hAnsi="Times New Roman" w:eastAsia="仿宋_GB2312" w:cs="仿宋_GB2312"/>
                <w:kern w:val="0"/>
                <w:sz w:val="24"/>
                <w:szCs w:val="24"/>
              </w:rPr>
              <w:t>其他收入</w:t>
            </w:r>
          </w:p>
        </w:tc>
      </w:tr>
      <w:tr>
        <w:tblPrEx>
          <w:tblCellMar>
            <w:top w:w="0" w:type="dxa"/>
            <w:left w:w="108" w:type="dxa"/>
            <w:bottom w:w="0" w:type="dxa"/>
            <w:right w:w="108" w:type="dxa"/>
          </w:tblCellMar>
        </w:tblPrEx>
        <w:trPr>
          <w:trHeight w:val="450" w:hRule="atLeast"/>
          <w:jc w:val="center"/>
        </w:trPr>
        <w:tc>
          <w:tcPr>
            <w:tcW w:w="1197" w:type="dxa"/>
            <w:vMerge w:val="restart"/>
            <w:tcBorders>
              <w:top w:val="single" w:color="auto" w:sz="4" w:space="0"/>
              <w:left w:val="single" w:color="auto" w:sz="8" w:space="0"/>
              <w:bottom w:val="single" w:color="000000" w:sz="4" w:space="0"/>
              <w:right w:val="nil"/>
            </w:tcBorders>
            <w:vAlign w:val="center"/>
          </w:tcPr>
          <w:p>
            <w:pPr>
              <w:widowControl/>
              <w:jc w:val="center"/>
              <w:rPr>
                <w:rFonts w:ascii="Times New Roman" w:hAnsi="Times New Roman" w:eastAsia="仿宋_GB2312"/>
                <w:kern w:val="0"/>
                <w:sz w:val="24"/>
                <w:szCs w:val="24"/>
              </w:rPr>
            </w:pPr>
            <w:r>
              <w:rPr>
                <w:rFonts w:hint="eastAsia" w:ascii="Times New Roman" w:hAnsi="Times New Roman" w:eastAsia="仿宋_GB2312" w:cs="仿宋_GB2312"/>
                <w:kern w:val="0"/>
                <w:sz w:val="24"/>
                <w:szCs w:val="24"/>
              </w:rPr>
              <w:t>功能分类科目编码</w:t>
            </w:r>
          </w:p>
        </w:tc>
        <w:tc>
          <w:tcPr>
            <w:tcW w:w="3964" w:type="dxa"/>
            <w:vMerge w:val="restart"/>
            <w:tcBorders>
              <w:top w:val="nil"/>
              <w:left w:val="single" w:color="auto" w:sz="4" w:space="0"/>
              <w:bottom w:val="single" w:color="000000" w:sz="4" w:space="0"/>
              <w:right w:val="single" w:color="auto" w:sz="4" w:space="0"/>
            </w:tcBorders>
            <w:vAlign w:val="center"/>
          </w:tcPr>
          <w:p>
            <w:pPr>
              <w:widowControl/>
              <w:jc w:val="center"/>
              <w:rPr>
                <w:rFonts w:ascii="Times New Roman" w:hAnsi="Times New Roman" w:eastAsia="仿宋_GB2312"/>
                <w:kern w:val="0"/>
                <w:sz w:val="24"/>
                <w:szCs w:val="24"/>
              </w:rPr>
            </w:pPr>
            <w:r>
              <w:rPr>
                <w:rFonts w:hint="eastAsia" w:ascii="Times New Roman" w:hAnsi="Times New Roman" w:eastAsia="仿宋_GB2312" w:cs="仿宋_GB2312"/>
                <w:kern w:val="0"/>
                <w:sz w:val="24"/>
                <w:szCs w:val="24"/>
              </w:rPr>
              <w:t>科目名称</w:t>
            </w:r>
          </w:p>
        </w:tc>
        <w:tc>
          <w:tcPr>
            <w:tcW w:w="1184" w:type="dxa"/>
            <w:vMerge w:val="continue"/>
            <w:tcBorders>
              <w:top w:val="single" w:color="auto" w:sz="8" w:space="0"/>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kern w:val="0"/>
                <w:sz w:val="24"/>
                <w:szCs w:val="24"/>
              </w:rPr>
            </w:pPr>
          </w:p>
        </w:tc>
        <w:tc>
          <w:tcPr>
            <w:tcW w:w="1184" w:type="dxa"/>
            <w:vMerge w:val="continue"/>
            <w:tcBorders>
              <w:top w:val="single" w:color="auto" w:sz="8" w:space="0"/>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kern w:val="0"/>
                <w:sz w:val="24"/>
                <w:szCs w:val="24"/>
              </w:rPr>
            </w:pPr>
          </w:p>
        </w:tc>
        <w:tc>
          <w:tcPr>
            <w:tcW w:w="1227" w:type="dxa"/>
            <w:vMerge w:val="continue"/>
            <w:tcBorders>
              <w:top w:val="single" w:color="auto" w:sz="8" w:space="0"/>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kern w:val="0"/>
                <w:sz w:val="24"/>
                <w:szCs w:val="24"/>
              </w:rPr>
            </w:pPr>
          </w:p>
        </w:tc>
        <w:tc>
          <w:tcPr>
            <w:tcW w:w="1260" w:type="dxa"/>
            <w:vMerge w:val="continue"/>
            <w:tcBorders>
              <w:top w:val="single" w:color="auto" w:sz="8" w:space="0"/>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kern w:val="0"/>
                <w:sz w:val="24"/>
                <w:szCs w:val="24"/>
              </w:rPr>
            </w:pPr>
          </w:p>
        </w:tc>
        <w:tc>
          <w:tcPr>
            <w:tcW w:w="1155" w:type="dxa"/>
            <w:vMerge w:val="continue"/>
            <w:tcBorders>
              <w:top w:val="single" w:color="auto" w:sz="8" w:space="0"/>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kern w:val="0"/>
                <w:sz w:val="24"/>
                <w:szCs w:val="24"/>
              </w:rPr>
            </w:pPr>
          </w:p>
        </w:tc>
        <w:tc>
          <w:tcPr>
            <w:tcW w:w="1155" w:type="dxa"/>
            <w:vMerge w:val="continue"/>
            <w:tcBorders>
              <w:top w:val="single" w:color="auto" w:sz="8" w:space="0"/>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kern w:val="0"/>
                <w:sz w:val="24"/>
                <w:szCs w:val="24"/>
              </w:rPr>
            </w:pPr>
          </w:p>
        </w:tc>
        <w:tc>
          <w:tcPr>
            <w:tcW w:w="1260" w:type="dxa"/>
            <w:vMerge w:val="continue"/>
            <w:tcBorders>
              <w:top w:val="single" w:color="auto" w:sz="8" w:space="0"/>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kern w:val="0"/>
                <w:sz w:val="24"/>
                <w:szCs w:val="24"/>
              </w:rPr>
            </w:pPr>
          </w:p>
        </w:tc>
      </w:tr>
      <w:tr>
        <w:tblPrEx>
          <w:tblCellMar>
            <w:top w:w="0" w:type="dxa"/>
            <w:left w:w="108" w:type="dxa"/>
            <w:bottom w:w="0" w:type="dxa"/>
            <w:right w:w="108" w:type="dxa"/>
          </w:tblCellMar>
        </w:tblPrEx>
        <w:trPr>
          <w:trHeight w:val="450" w:hRule="atLeast"/>
          <w:jc w:val="center"/>
        </w:trPr>
        <w:tc>
          <w:tcPr>
            <w:tcW w:w="1197" w:type="dxa"/>
            <w:vMerge w:val="continue"/>
            <w:tcBorders>
              <w:top w:val="single" w:color="auto" w:sz="4" w:space="0"/>
              <w:left w:val="single" w:color="auto" w:sz="8" w:space="0"/>
              <w:bottom w:val="single" w:color="000000" w:sz="4" w:space="0"/>
              <w:right w:val="nil"/>
            </w:tcBorders>
            <w:vAlign w:val="center"/>
          </w:tcPr>
          <w:p>
            <w:pPr>
              <w:widowControl/>
              <w:jc w:val="left"/>
              <w:rPr>
                <w:rFonts w:ascii="Times New Roman" w:hAnsi="Times New Roman" w:eastAsia="仿宋_GB2312"/>
                <w:kern w:val="0"/>
                <w:sz w:val="24"/>
                <w:szCs w:val="24"/>
              </w:rPr>
            </w:pPr>
          </w:p>
        </w:tc>
        <w:tc>
          <w:tcPr>
            <w:tcW w:w="3964"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kern w:val="0"/>
                <w:sz w:val="24"/>
                <w:szCs w:val="24"/>
              </w:rPr>
            </w:pPr>
          </w:p>
        </w:tc>
        <w:tc>
          <w:tcPr>
            <w:tcW w:w="1184" w:type="dxa"/>
            <w:vMerge w:val="continue"/>
            <w:tcBorders>
              <w:top w:val="single" w:color="auto" w:sz="8" w:space="0"/>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kern w:val="0"/>
                <w:sz w:val="24"/>
                <w:szCs w:val="24"/>
              </w:rPr>
            </w:pPr>
          </w:p>
        </w:tc>
        <w:tc>
          <w:tcPr>
            <w:tcW w:w="1184" w:type="dxa"/>
            <w:vMerge w:val="continue"/>
            <w:tcBorders>
              <w:top w:val="single" w:color="auto" w:sz="8" w:space="0"/>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kern w:val="0"/>
                <w:sz w:val="24"/>
                <w:szCs w:val="24"/>
              </w:rPr>
            </w:pPr>
          </w:p>
        </w:tc>
        <w:tc>
          <w:tcPr>
            <w:tcW w:w="1227" w:type="dxa"/>
            <w:vMerge w:val="continue"/>
            <w:tcBorders>
              <w:top w:val="single" w:color="auto" w:sz="8" w:space="0"/>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kern w:val="0"/>
                <w:sz w:val="24"/>
                <w:szCs w:val="24"/>
              </w:rPr>
            </w:pPr>
          </w:p>
        </w:tc>
        <w:tc>
          <w:tcPr>
            <w:tcW w:w="1260" w:type="dxa"/>
            <w:vMerge w:val="continue"/>
            <w:tcBorders>
              <w:top w:val="single" w:color="auto" w:sz="8" w:space="0"/>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kern w:val="0"/>
                <w:sz w:val="24"/>
                <w:szCs w:val="24"/>
              </w:rPr>
            </w:pPr>
          </w:p>
        </w:tc>
        <w:tc>
          <w:tcPr>
            <w:tcW w:w="1155" w:type="dxa"/>
            <w:vMerge w:val="continue"/>
            <w:tcBorders>
              <w:top w:val="single" w:color="auto" w:sz="8" w:space="0"/>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kern w:val="0"/>
                <w:sz w:val="24"/>
                <w:szCs w:val="24"/>
              </w:rPr>
            </w:pPr>
          </w:p>
        </w:tc>
        <w:tc>
          <w:tcPr>
            <w:tcW w:w="1155" w:type="dxa"/>
            <w:vMerge w:val="continue"/>
            <w:tcBorders>
              <w:top w:val="single" w:color="auto" w:sz="8" w:space="0"/>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kern w:val="0"/>
                <w:sz w:val="24"/>
                <w:szCs w:val="24"/>
              </w:rPr>
            </w:pPr>
          </w:p>
        </w:tc>
        <w:tc>
          <w:tcPr>
            <w:tcW w:w="1260" w:type="dxa"/>
            <w:vMerge w:val="continue"/>
            <w:tcBorders>
              <w:top w:val="single" w:color="auto" w:sz="8" w:space="0"/>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kern w:val="0"/>
                <w:sz w:val="24"/>
                <w:szCs w:val="24"/>
              </w:rPr>
            </w:pPr>
          </w:p>
        </w:tc>
      </w:tr>
      <w:tr>
        <w:tblPrEx>
          <w:tblCellMar>
            <w:top w:w="0" w:type="dxa"/>
            <w:left w:w="108" w:type="dxa"/>
            <w:bottom w:w="0" w:type="dxa"/>
            <w:right w:w="108" w:type="dxa"/>
          </w:tblCellMar>
        </w:tblPrEx>
        <w:trPr>
          <w:trHeight w:val="450" w:hRule="atLeast"/>
          <w:jc w:val="center"/>
        </w:trPr>
        <w:tc>
          <w:tcPr>
            <w:tcW w:w="5161" w:type="dxa"/>
            <w:gridSpan w:val="2"/>
            <w:tcBorders>
              <w:top w:val="single" w:color="auto" w:sz="4" w:space="0"/>
              <w:left w:val="single" w:color="auto" w:sz="8" w:space="0"/>
              <w:bottom w:val="single" w:color="auto" w:sz="4" w:space="0"/>
              <w:right w:val="single" w:color="000000" w:sz="4" w:space="0"/>
            </w:tcBorders>
            <w:noWrap/>
            <w:vAlign w:val="center"/>
          </w:tcPr>
          <w:p>
            <w:pPr>
              <w:widowControl/>
              <w:jc w:val="center"/>
              <w:rPr>
                <w:rFonts w:ascii="Times New Roman" w:hAnsi="Times New Roman" w:eastAsia="仿宋_GB2312"/>
                <w:kern w:val="0"/>
                <w:sz w:val="24"/>
                <w:szCs w:val="24"/>
              </w:rPr>
            </w:pPr>
            <w:r>
              <w:rPr>
                <w:rFonts w:hint="eastAsia" w:ascii="Times New Roman" w:hAnsi="Times New Roman" w:eastAsia="仿宋_GB2312" w:cs="仿宋_GB2312"/>
                <w:kern w:val="0"/>
                <w:sz w:val="24"/>
                <w:szCs w:val="24"/>
              </w:rPr>
              <w:t>栏次</w:t>
            </w:r>
          </w:p>
        </w:tc>
        <w:tc>
          <w:tcPr>
            <w:tcW w:w="1184" w:type="dxa"/>
            <w:tcBorders>
              <w:top w:val="nil"/>
              <w:left w:val="nil"/>
              <w:bottom w:val="single" w:color="auto" w:sz="4" w:space="0"/>
              <w:right w:val="single" w:color="auto" w:sz="4" w:space="0"/>
            </w:tcBorders>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1184" w:type="dxa"/>
            <w:tcBorders>
              <w:top w:val="nil"/>
              <w:left w:val="nil"/>
              <w:bottom w:val="single" w:color="auto" w:sz="4" w:space="0"/>
              <w:right w:val="single" w:color="auto" w:sz="4" w:space="0"/>
            </w:tcBorders>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1227" w:type="dxa"/>
            <w:tcBorders>
              <w:top w:val="nil"/>
              <w:left w:val="nil"/>
              <w:bottom w:val="single" w:color="auto" w:sz="4" w:space="0"/>
              <w:right w:val="single" w:color="auto" w:sz="4" w:space="0"/>
            </w:tcBorders>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1260" w:type="dxa"/>
            <w:tcBorders>
              <w:top w:val="nil"/>
              <w:left w:val="nil"/>
              <w:bottom w:val="single" w:color="auto" w:sz="4" w:space="0"/>
              <w:right w:val="single" w:color="auto" w:sz="4" w:space="0"/>
            </w:tcBorders>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1155" w:type="dxa"/>
            <w:tcBorders>
              <w:top w:val="nil"/>
              <w:left w:val="nil"/>
              <w:bottom w:val="single" w:color="auto" w:sz="4" w:space="0"/>
              <w:right w:val="single" w:color="auto" w:sz="4" w:space="0"/>
            </w:tcBorders>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1155" w:type="dxa"/>
            <w:tcBorders>
              <w:top w:val="nil"/>
              <w:left w:val="nil"/>
              <w:bottom w:val="single" w:color="auto" w:sz="4" w:space="0"/>
              <w:right w:val="single" w:color="auto" w:sz="4" w:space="0"/>
            </w:tcBorders>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c>
          <w:tcPr>
            <w:tcW w:w="1260" w:type="dxa"/>
            <w:tcBorders>
              <w:top w:val="nil"/>
              <w:left w:val="nil"/>
              <w:bottom w:val="single" w:color="auto" w:sz="4" w:space="0"/>
              <w:right w:val="single" w:color="auto" w:sz="8" w:space="0"/>
            </w:tcBorders>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7</w:t>
            </w:r>
          </w:p>
        </w:tc>
      </w:tr>
      <w:tr>
        <w:tblPrEx>
          <w:tblCellMar>
            <w:top w:w="0" w:type="dxa"/>
            <w:left w:w="108" w:type="dxa"/>
            <w:bottom w:w="0" w:type="dxa"/>
            <w:right w:w="108" w:type="dxa"/>
          </w:tblCellMar>
        </w:tblPrEx>
        <w:trPr>
          <w:trHeight w:val="450" w:hRule="atLeast"/>
          <w:jc w:val="center"/>
        </w:trPr>
        <w:tc>
          <w:tcPr>
            <w:tcW w:w="5161" w:type="dxa"/>
            <w:gridSpan w:val="2"/>
            <w:tcBorders>
              <w:top w:val="nil"/>
              <w:left w:val="single" w:color="auto" w:sz="8" w:space="0"/>
              <w:bottom w:val="single" w:color="auto" w:sz="4" w:space="0"/>
              <w:right w:val="single" w:color="000000" w:sz="4" w:space="0"/>
            </w:tcBorders>
            <w:noWrap/>
            <w:vAlign w:val="center"/>
          </w:tcPr>
          <w:p>
            <w:pPr>
              <w:widowControl/>
              <w:jc w:val="center"/>
              <w:rPr>
                <w:rFonts w:ascii="Times New Roman" w:hAnsi="Times New Roman" w:eastAsia="仿宋_GB2312"/>
                <w:kern w:val="0"/>
                <w:sz w:val="24"/>
                <w:szCs w:val="24"/>
              </w:rPr>
            </w:pPr>
            <w:r>
              <w:rPr>
                <w:rFonts w:hint="eastAsia" w:ascii="Times New Roman" w:hAnsi="Times New Roman" w:eastAsia="仿宋_GB2312" w:cs="仿宋_GB2312"/>
                <w:kern w:val="0"/>
                <w:sz w:val="24"/>
                <w:szCs w:val="24"/>
              </w:rPr>
              <w:t>合计</w:t>
            </w:r>
          </w:p>
        </w:tc>
        <w:tc>
          <w:tcPr>
            <w:tcW w:w="1184" w:type="dxa"/>
            <w:tcBorders>
              <w:top w:val="nil"/>
              <w:left w:val="nil"/>
              <w:bottom w:val="single" w:color="auto" w:sz="4" w:space="0"/>
              <w:right w:val="single" w:color="auto" w:sz="4" w:space="0"/>
            </w:tcBorders>
            <w:noWrap/>
            <w:vAlign w:val="center"/>
          </w:tcPr>
          <w:p>
            <w:pPr>
              <w:keepNext w:val="0"/>
              <w:keepLines w:val="0"/>
              <w:widowControl/>
              <w:suppressLineNumbers w:val="0"/>
              <w:jc w:val="right"/>
              <w:textAlignment w:val="center"/>
              <w:rPr>
                <w:rFonts w:hint="eastAsia" w:ascii="仿宋_GB2312" w:hAnsi="仿宋_GB2312" w:eastAsia="仿宋_GB2312" w:cs="仿宋_GB2312"/>
                <w:b/>
                <w:bCs/>
                <w:kern w:val="0"/>
                <w:sz w:val="24"/>
                <w:szCs w:val="24"/>
                <w:lang w:val="en-US" w:eastAsia="zh-CN"/>
              </w:rPr>
            </w:pPr>
            <w:r>
              <w:rPr>
                <w:rFonts w:hint="eastAsia" w:ascii="宋体" w:hAnsi="宋体" w:eastAsia="宋体" w:cs="宋体"/>
                <w:b/>
                <w:i w:val="0"/>
                <w:color w:val="000000"/>
                <w:kern w:val="0"/>
                <w:sz w:val="22"/>
                <w:szCs w:val="22"/>
                <w:u w:val="none"/>
                <w:lang w:val="en-US" w:eastAsia="zh-CN" w:bidi="ar"/>
              </w:rPr>
              <w:t xml:space="preserve">1,439.98 </w:t>
            </w:r>
          </w:p>
        </w:tc>
        <w:tc>
          <w:tcPr>
            <w:tcW w:w="1184" w:type="dxa"/>
            <w:tcBorders>
              <w:top w:val="nil"/>
              <w:left w:val="nil"/>
              <w:bottom w:val="single" w:color="auto" w:sz="4" w:space="0"/>
              <w:right w:val="single" w:color="auto" w:sz="4" w:space="0"/>
            </w:tcBorders>
            <w:noWrap/>
            <w:vAlign w:val="center"/>
          </w:tcPr>
          <w:p>
            <w:pPr>
              <w:keepNext w:val="0"/>
              <w:keepLines w:val="0"/>
              <w:widowControl/>
              <w:suppressLineNumbers w:val="0"/>
              <w:jc w:val="right"/>
              <w:textAlignment w:val="center"/>
              <w:rPr>
                <w:rFonts w:hint="eastAsia" w:ascii="仿宋_GB2312" w:hAnsi="仿宋_GB2312" w:eastAsia="仿宋_GB2312" w:cs="仿宋_GB2312"/>
                <w:b/>
                <w:bCs/>
                <w:kern w:val="0"/>
                <w:sz w:val="24"/>
                <w:szCs w:val="24"/>
                <w:lang w:val="en-US" w:eastAsia="zh-CN"/>
              </w:rPr>
            </w:pPr>
            <w:r>
              <w:rPr>
                <w:rFonts w:hint="eastAsia" w:ascii="宋体" w:hAnsi="宋体" w:eastAsia="宋体" w:cs="宋体"/>
                <w:b/>
                <w:i w:val="0"/>
                <w:color w:val="000000"/>
                <w:kern w:val="0"/>
                <w:sz w:val="22"/>
                <w:szCs w:val="22"/>
                <w:u w:val="none"/>
                <w:lang w:val="en-US" w:eastAsia="zh-CN" w:bidi="ar"/>
              </w:rPr>
              <w:t xml:space="preserve">1,439.98 </w:t>
            </w:r>
          </w:p>
        </w:tc>
        <w:tc>
          <w:tcPr>
            <w:tcW w:w="1227" w:type="dxa"/>
            <w:tcBorders>
              <w:top w:val="nil"/>
              <w:left w:val="nil"/>
              <w:bottom w:val="single" w:color="auto" w:sz="4" w:space="0"/>
              <w:right w:val="single" w:color="auto" w:sz="4" w:space="0"/>
            </w:tcBorders>
            <w:noWrap/>
            <w:vAlign w:val="center"/>
          </w:tcPr>
          <w:p>
            <w:pPr>
              <w:widowControl/>
              <w:jc w:val="right"/>
              <w:rPr>
                <w:rFonts w:ascii="仿宋_GB2312" w:hAnsi="Times New Roman" w:eastAsia="仿宋_GB2312"/>
                <w:kern w:val="0"/>
                <w:sz w:val="24"/>
                <w:szCs w:val="24"/>
              </w:rPr>
            </w:pPr>
            <w:r>
              <w:rPr>
                <w:rFonts w:hint="eastAsia" w:ascii="仿宋_GB2312" w:hAnsi="Times New Roman" w:eastAsia="仿宋_GB2312" w:cs="仿宋_GB2312"/>
                <w:kern w:val="0"/>
                <w:sz w:val="24"/>
                <w:szCs w:val="24"/>
              </w:rPr>
              <w:t>　</w:t>
            </w:r>
          </w:p>
        </w:tc>
        <w:tc>
          <w:tcPr>
            <w:tcW w:w="1260" w:type="dxa"/>
            <w:tcBorders>
              <w:top w:val="nil"/>
              <w:left w:val="nil"/>
              <w:bottom w:val="single" w:color="auto" w:sz="4" w:space="0"/>
              <w:right w:val="single" w:color="auto" w:sz="4" w:space="0"/>
            </w:tcBorders>
            <w:noWrap/>
            <w:vAlign w:val="center"/>
          </w:tcPr>
          <w:p>
            <w:pPr>
              <w:widowControl/>
              <w:jc w:val="right"/>
              <w:rPr>
                <w:rFonts w:ascii="仿宋_GB2312" w:hAnsi="Times New Roman" w:eastAsia="仿宋_GB2312"/>
                <w:kern w:val="0"/>
                <w:sz w:val="24"/>
                <w:szCs w:val="24"/>
              </w:rPr>
            </w:pPr>
            <w:r>
              <w:rPr>
                <w:rFonts w:hint="eastAsia" w:ascii="仿宋_GB2312" w:hAnsi="Times New Roman" w:eastAsia="仿宋_GB2312" w:cs="仿宋_GB2312"/>
                <w:kern w:val="0"/>
                <w:sz w:val="24"/>
                <w:szCs w:val="24"/>
              </w:rPr>
              <w:t>　</w:t>
            </w:r>
          </w:p>
        </w:tc>
        <w:tc>
          <w:tcPr>
            <w:tcW w:w="1155" w:type="dxa"/>
            <w:tcBorders>
              <w:top w:val="nil"/>
              <w:left w:val="nil"/>
              <w:bottom w:val="single" w:color="auto" w:sz="4" w:space="0"/>
              <w:right w:val="single" w:color="auto" w:sz="4" w:space="0"/>
            </w:tcBorders>
            <w:noWrap/>
            <w:vAlign w:val="center"/>
          </w:tcPr>
          <w:p>
            <w:pPr>
              <w:widowControl/>
              <w:jc w:val="right"/>
              <w:rPr>
                <w:rFonts w:ascii="仿宋_GB2312" w:hAnsi="Times New Roman" w:eastAsia="仿宋_GB2312"/>
                <w:kern w:val="0"/>
                <w:sz w:val="24"/>
                <w:szCs w:val="24"/>
              </w:rPr>
            </w:pPr>
            <w:r>
              <w:rPr>
                <w:rFonts w:hint="eastAsia" w:ascii="仿宋_GB2312" w:hAnsi="Times New Roman" w:eastAsia="仿宋_GB2312" w:cs="仿宋_GB2312"/>
                <w:kern w:val="0"/>
                <w:sz w:val="24"/>
                <w:szCs w:val="24"/>
              </w:rPr>
              <w:t>　</w:t>
            </w:r>
          </w:p>
        </w:tc>
        <w:tc>
          <w:tcPr>
            <w:tcW w:w="1155" w:type="dxa"/>
            <w:tcBorders>
              <w:top w:val="nil"/>
              <w:left w:val="nil"/>
              <w:bottom w:val="single" w:color="auto" w:sz="4" w:space="0"/>
              <w:right w:val="single" w:color="auto" w:sz="4" w:space="0"/>
            </w:tcBorders>
            <w:noWrap/>
            <w:vAlign w:val="center"/>
          </w:tcPr>
          <w:p>
            <w:pPr>
              <w:widowControl/>
              <w:jc w:val="right"/>
              <w:rPr>
                <w:rFonts w:ascii="仿宋_GB2312" w:hAnsi="Times New Roman" w:eastAsia="仿宋_GB2312"/>
                <w:kern w:val="0"/>
                <w:sz w:val="24"/>
                <w:szCs w:val="24"/>
              </w:rPr>
            </w:pPr>
            <w:r>
              <w:rPr>
                <w:rFonts w:hint="eastAsia" w:ascii="仿宋_GB2312" w:hAnsi="Times New Roman" w:eastAsia="仿宋_GB2312" w:cs="仿宋_GB2312"/>
                <w:kern w:val="0"/>
                <w:sz w:val="24"/>
                <w:szCs w:val="24"/>
              </w:rPr>
              <w:t>　</w:t>
            </w:r>
          </w:p>
        </w:tc>
        <w:tc>
          <w:tcPr>
            <w:tcW w:w="1260" w:type="dxa"/>
            <w:tcBorders>
              <w:top w:val="nil"/>
              <w:left w:val="nil"/>
              <w:bottom w:val="single" w:color="auto" w:sz="4" w:space="0"/>
              <w:right w:val="single" w:color="auto" w:sz="8" w:space="0"/>
            </w:tcBorders>
            <w:noWrap/>
            <w:vAlign w:val="center"/>
          </w:tcPr>
          <w:p>
            <w:pPr>
              <w:widowControl/>
              <w:jc w:val="right"/>
              <w:rPr>
                <w:rFonts w:ascii="仿宋_GB2312" w:hAnsi="Times New Roman" w:eastAsia="仿宋_GB2312"/>
                <w:kern w:val="0"/>
                <w:sz w:val="24"/>
                <w:szCs w:val="24"/>
              </w:rPr>
            </w:pPr>
            <w:r>
              <w:rPr>
                <w:rFonts w:hint="eastAsia" w:ascii="仿宋_GB2312" w:hAnsi="Times New Roman" w:eastAsia="仿宋_GB2312" w:cs="仿宋_GB2312"/>
                <w:kern w:val="0"/>
                <w:sz w:val="24"/>
                <w:szCs w:val="24"/>
                <w:lang w:val="en-US" w:eastAsia="zh-CN"/>
              </w:rPr>
              <w:t xml:space="preserve"> </w:t>
            </w:r>
            <w:r>
              <w:rPr>
                <w:rFonts w:hint="eastAsia" w:ascii="仿宋_GB2312" w:hAnsi="Times New Roman" w:eastAsia="仿宋_GB2312" w:cs="仿宋_GB2312"/>
                <w:kern w:val="0"/>
                <w:sz w:val="24"/>
                <w:szCs w:val="24"/>
              </w:rPr>
              <w:t>　</w:t>
            </w:r>
          </w:p>
        </w:tc>
      </w:tr>
      <w:tr>
        <w:tblPrEx>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8"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b/>
                <w:bCs/>
                <w:kern w:val="0"/>
                <w:sz w:val="24"/>
                <w:szCs w:val="24"/>
              </w:rPr>
            </w:pPr>
            <w:r>
              <w:rPr>
                <w:rFonts w:hint="eastAsia" w:ascii="宋体" w:hAnsi="宋体" w:eastAsia="宋体" w:cs="宋体"/>
                <w:i w:val="0"/>
                <w:color w:val="000000"/>
                <w:kern w:val="0"/>
                <w:sz w:val="22"/>
                <w:szCs w:val="22"/>
                <w:u w:val="none"/>
                <w:lang w:val="en-US" w:eastAsia="zh-CN" w:bidi="ar"/>
              </w:rPr>
              <w:t>2010301</w:t>
            </w:r>
          </w:p>
        </w:tc>
        <w:tc>
          <w:tcPr>
            <w:tcW w:w="3964" w:type="dxa"/>
            <w:tcBorders>
              <w:top w:val="nil"/>
              <w:left w:val="nil"/>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b/>
                <w:bCs/>
                <w:kern w:val="0"/>
                <w:sz w:val="24"/>
                <w:szCs w:val="24"/>
              </w:rPr>
            </w:pPr>
            <w:r>
              <w:rPr>
                <w:rFonts w:hint="eastAsia" w:ascii="宋体" w:hAnsi="宋体" w:eastAsia="宋体" w:cs="宋体"/>
                <w:i w:val="0"/>
                <w:color w:val="000000"/>
                <w:kern w:val="0"/>
                <w:sz w:val="22"/>
                <w:szCs w:val="22"/>
                <w:u w:val="none"/>
                <w:lang w:val="en-US" w:eastAsia="zh-CN" w:bidi="ar"/>
              </w:rPr>
              <w:t>行政运行</w:t>
            </w:r>
          </w:p>
        </w:tc>
        <w:tc>
          <w:tcPr>
            <w:tcW w:w="1184" w:type="dxa"/>
            <w:tcBorders>
              <w:top w:val="nil"/>
              <w:left w:val="nil"/>
              <w:bottom w:val="single" w:color="auto" w:sz="4" w:space="0"/>
              <w:right w:val="single" w:color="auto" w:sz="4" w:space="0"/>
            </w:tcBorders>
            <w:noWrap/>
            <w:vAlign w:val="center"/>
          </w:tcPr>
          <w:p>
            <w:pPr>
              <w:keepNext w:val="0"/>
              <w:keepLines w:val="0"/>
              <w:widowControl/>
              <w:suppressLineNumbers w:val="0"/>
              <w:jc w:val="right"/>
              <w:textAlignment w:val="center"/>
              <w:rPr>
                <w:rFonts w:hint="default" w:ascii="仿宋_GB2312" w:hAnsi="仿宋_GB2312" w:eastAsia="仿宋_GB2312" w:cs="仿宋_GB2312"/>
                <w:b/>
                <w:bCs/>
                <w:kern w:val="0"/>
                <w:sz w:val="24"/>
                <w:szCs w:val="24"/>
                <w:lang w:val="en-US" w:eastAsia="zh-CN"/>
              </w:rPr>
            </w:pPr>
            <w:r>
              <w:rPr>
                <w:rFonts w:hint="eastAsia" w:ascii="宋体" w:hAnsi="宋体" w:eastAsia="宋体" w:cs="宋体"/>
                <w:i w:val="0"/>
                <w:color w:val="000000"/>
                <w:kern w:val="0"/>
                <w:sz w:val="22"/>
                <w:szCs w:val="22"/>
                <w:u w:val="none"/>
                <w:lang w:val="en-US" w:eastAsia="zh-CN" w:bidi="ar"/>
              </w:rPr>
              <w:t xml:space="preserve">723.55 </w:t>
            </w:r>
          </w:p>
        </w:tc>
        <w:tc>
          <w:tcPr>
            <w:tcW w:w="1184" w:type="dxa"/>
            <w:tcBorders>
              <w:top w:val="nil"/>
              <w:left w:val="nil"/>
              <w:bottom w:val="single" w:color="auto" w:sz="4" w:space="0"/>
              <w:right w:val="single" w:color="auto" w:sz="4" w:space="0"/>
            </w:tcBorders>
            <w:noWrap/>
            <w:vAlign w:val="center"/>
          </w:tcPr>
          <w:p>
            <w:pPr>
              <w:keepNext w:val="0"/>
              <w:keepLines w:val="0"/>
              <w:widowControl/>
              <w:suppressLineNumbers w:val="0"/>
              <w:jc w:val="right"/>
              <w:textAlignment w:val="center"/>
              <w:rPr>
                <w:rFonts w:hint="default" w:ascii="仿宋_GB2312" w:hAnsi="仿宋_GB2312" w:eastAsia="仿宋_GB2312" w:cs="仿宋_GB2312"/>
                <w:b/>
                <w:bCs/>
                <w:kern w:val="0"/>
                <w:sz w:val="24"/>
                <w:szCs w:val="24"/>
                <w:lang w:val="en-US" w:eastAsia="zh-CN"/>
              </w:rPr>
            </w:pPr>
            <w:r>
              <w:rPr>
                <w:rFonts w:hint="eastAsia" w:ascii="宋体" w:hAnsi="宋体" w:eastAsia="宋体" w:cs="宋体"/>
                <w:i w:val="0"/>
                <w:color w:val="000000"/>
                <w:kern w:val="0"/>
                <w:sz w:val="22"/>
                <w:szCs w:val="22"/>
                <w:u w:val="none"/>
                <w:lang w:val="en-US" w:eastAsia="zh-CN" w:bidi="ar"/>
              </w:rPr>
              <w:t xml:space="preserve">723.55 </w:t>
            </w:r>
          </w:p>
        </w:tc>
        <w:tc>
          <w:tcPr>
            <w:tcW w:w="1227" w:type="dxa"/>
            <w:tcBorders>
              <w:top w:val="nil"/>
              <w:left w:val="nil"/>
              <w:bottom w:val="single" w:color="auto" w:sz="4" w:space="0"/>
              <w:right w:val="single" w:color="auto" w:sz="4" w:space="0"/>
            </w:tcBorders>
            <w:noWrap/>
            <w:vAlign w:val="center"/>
          </w:tcPr>
          <w:p>
            <w:pPr>
              <w:widowControl/>
              <w:jc w:val="right"/>
              <w:rPr>
                <w:rFonts w:ascii="仿宋_GB2312" w:hAnsi="Times New Roman" w:eastAsia="仿宋_GB2312"/>
                <w:kern w:val="0"/>
                <w:sz w:val="24"/>
                <w:szCs w:val="24"/>
              </w:rPr>
            </w:pPr>
            <w:r>
              <w:rPr>
                <w:rFonts w:hint="eastAsia" w:ascii="仿宋_GB2312" w:hAnsi="Times New Roman" w:eastAsia="仿宋_GB2312" w:cs="仿宋_GB2312"/>
                <w:kern w:val="0"/>
                <w:sz w:val="24"/>
                <w:szCs w:val="24"/>
              </w:rPr>
              <w:t>　</w:t>
            </w:r>
          </w:p>
        </w:tc>
        <w:tc>
          <w:tcPr>
            <w:tcW w:w="1260" w:type="dxa"/>
            <w:tcBorders>
              <w:top w:val="nil"/>
              <w:left w:val="nil"/>
              <w:bottom w:val="single" w:color="auto" w:sz="4" w:space="0"/>
              <w:right w:val="single" w:color="auto" w:sz="4" w:space="0"/>
            </w:tcBorders>
            <w:noWrap/>
            <w:vAlign w:val="center"/>
          </w:tcPr>
          <w:p>
            <w:pPr>
              <w:widowControl/>
              <w:jc w:val="right"/>
              <w:rPr>
                <w:rFonts w:ascii="仿宋_GB2312" w:hAnsi="Times New Roman" w:eastAsia="仿宋_GB2312"/>
                <w:kern w:val="0"/>
                <w:sz w:val="24"/>
                <w:szCs w:val="24"/>
              </w:rPr>
            </w:pPr>
            <w:r>
              <w:rPr>
                <w:rFonts w:hint="eastAsia" w:ascii="仿宋_GB2312" w:hAnsi="Times New Roman" w:eastAsia="仿宋_GB2312" w:cs="仿宋_GB2312"/>
                <w:kern w:val="0"/>
                <w:sz w:val="24"/>
                <w:szCs w:val="24"/>
              </w:rPr>
              <w:t>　</w:t>
            </w:r>
          </w:p>
        </w:tc>
        <w:tc>
          <w:tcPr>
            <w:tcW w:w="1155" w:type="dxa"/>
            <w:tcBorders>
              <w:top w:val="nil"/>
              <w:left w:val="nil"/>
              <w:bottom w:val="single" w:color="auto" w:sz="4" w:space="0"/>
              <w:right w:val="single" w:color="auto" w:sz="4" w:space="0"/>
            </w:tcBorders>
            <w:noWrap/>
            <w:vAlign w:val="center"/>
          </w:tcPr>
          <w:p>
            <w:pPr>
              <w:widowControl/>
              <w:jc w:val="right"/>
              <w:rPr>
                <w:rFonts w:ascii="仿宋_GB2312" w:hAnsi="Times New Roman" w:eastAsia="仿宋_GB2312"/>
                <w:kern w:val="0"/>
                <w:sz w:val="24"/>
                <w:szCs w:val="24"/>
              </w:rPr>
            </w:pPr>
            <w:r>
              <w:rPr>
                <w:rFonts w:hint="eastAsia" w:ascii="仿宋_GB2312" w:hAnsi="Times New Roman" w:eastAsia="仿宋_GB2312" w:cs="仿宋_GB2312"/>
                <w:kern w:val="0"/>
                <w:sz w:val="24"/>
                <w:szCs w:val="24"/>
              </w:rPr>
              <w:t>　</w:t>
            </w:r>
          </w:p>
        </w:tc>
        <w:tc>
          <w:tcPr>
            <w:tcW w:w="1155" w:type="dxa"/>
            <w:tcBorders>
              <w:top w:val="nil"/>
              <w:left w:val="nil"/>
              <w:bottom w:val="single" w:color="auto" w:sz="4" w:space="0"/>
              <w:right w:val="single" w:color="auto" w:sz="4" w:space="0"/>
            </w:tcBorders>
            <w:noWrap/>
            <w:vAlign w:val="center"/>
          </w:tcPr>
          <w:p>
            <w:pPr>
              <w:widowControl/>
              <w:jc w:val="right"/>
              <w:rPr>
                <w:rFonts w:ascii="仿宋_GB2312" w:hAnsi="Times New Roman" w:eastAsia="仿宋_GB2312"/>
                <w:kern w:val="0"/>
                <w:sz w:val="24"/>
                <w:szCs w:val="24"/>
              </w:rPr>
            </w:pPr>
            <w:r>
              <w:rPr>
                <w:rFonts w:hint="eastAsia" w:ascii="仿宋_GB2312" w:hAnsi="Times New Roman" w:eastAsia="仿宋_GB2312" w:cs="仿宋_GB2312"/>
                <w:kern w:val="0"/>
                <w:sz w:val="24"/>
                <w:szCs w:val="24"/>
              </w:rPr>
              <w:t>　</w:t>
            </w:r>
          </w:p>
        </w:tc>
        <w:tc>
          <w:tcPr>
            <w:tcW w:w="1260" w:type="dxa"/>
            <w:tcBorders>
              <w:top w:val="nil"/>
              <w:left w:val="nil"/>
              <w:bottom w:val="single" w:color="auto" w:sz="4" w:space="0"/>
              <w:right w:val="single" w:color="auto" w:sz="8" w:space="0"/>
            </w:tcBorders>
            <w:noWrap/>
            <w:vAlign w:val="center"/>
          </w:tcPr>
          <w:p>
            <w:pPr>
              <w:widowControl/>
              <w:jc w:val="right"/>
              <w:rPr>
                <w:rFonts w:hint="eastAsia" w:ascii="仿宋_GB2312" w:hAnsi="Times New Roman" w:eastAsia="仿宋_GB2312"/>
                <w:b/>
                <w:bCs/>
                <w:kern w:val="0"/>
                <w:sz w:val="24"/>
                <w:szCs w:val="24"/>
                <w:lang w:eastAsia="zh-CN"/>
              </w:rPr>
            </w:pPr>
            <w:r>
              <w:rPr>
                <w:rFonts w:hint="eastAsia" w:ascii="仿宋_GB2312" w:hAnsi="Times New Roman" w:eastAsia="仿宋_GB2312" w:cs="仿宋_GB2312"/>
                <w:b/>
                <w:bCs/>
                <w:kern w:val="0"/>
                <w:sz w:val="24"/>
                <w:szCs w:val="24"/>
                <w:lang w:eastAsia="zh-CN"/>
              </w:rPr>
              <w:t xml:space="preserve"> </w:t>
            </w:r>
          </w:p>
        </w:tc>
      </w:tr>
      <w:tr>
        <w:tblPrEx>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8"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b/>
                <w:bCs/>
                <w:kern w:val="0"/>
                <w:sz w:val="24"/>
                <w:szCs w:val="24"/>
              </w:rPr>
            </w:pPr>
            <w:r>
              <w:rPr>
                <w:rFonts w:hint="eastAsia" w:ascii="宋体" w:hAnsi="宋体" w:eastAsia="宋体" w:cs="宋体"/>
                <w:i w:val="0"/>
                <w:color w:val="000000"/>
                <w:kern w:val="0"/>
                <w:sz w:val="22"/>
                <w:szCs w:val="22"/>
                <w:u w:val="none"/>
                <w:lang w:val="en-US" w:eastAsia="zh-CN" w:bidi="ar"/>
              </w:rPr>
              <w:t>2010302</w:t>
            </w:r>
          </w:p>
        </w:tc>
        <w:tc>
          <w:tcPr>
            <w:tcW w:w="3964" w:type="dxa"/>
            <w:tcBorders>
              <w:top w:val="nil"/>
              <w:left w:val="nil"/>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b/>
                <w:bCs/>
                <w:kern w:val="0"/>
                <w:sz w:val="24"/>
                <w:szCs w:val="24"/>
              </w:rPr>
            </w:pPr>
            <w:r>
              <w:rPr>
                <w:rFonts w:hint="eastAsia" w:ascii="宋体" w:hAnsi="宋体" w:eastAsia="宋体" w:cs="宋体"/>
                <w:i w:val="0"/>
                <w:color w:val="000000"/>
                <w:kern w:val="0"/>
                <w:sz w:val="22"/>
                <w:szCs w:val="22"/>
                <w:u w:val="none"/>
                <w:lang w:val="en-US" w:eastAsia="zh-CN" w:bidi="ar"/>
              </w:rPr>
              <w:t>一般行政管理事务</w:t>
            </w:r>
          </w:p>
        </w:tc>
        <w:tc>
          <w:tcPr>
            <w:tcW w:w="1184" w:type="dxa"/>
            <w:tcBorders>
              <w:top w:val="nil"/>
              <w:left w:val="nil"/>
              <w:bottom w:val="single" w:color="auto" w:sz="4" w:space="0"/>
              <w:right w:val="single" w:color="auto" w:sz="4" w:space="0"/>
            </w:tcBorders>
            <w:noWrap/>
            <w:vAlign w:val="center"/>
          </w:tcPr>
          <w:p>
            <w:pPr>
              <w:keepNext w:val="0"/>
              <w:keepLines w:val="0"/>
              <w:widowControl/>
              <w:suppressLineNumbers w:val="0"/>
              <w:jc w:val="right"/>
              <w:textAlignment w:val="center"/>
              <w:rPr>
                <w:rFonts w:hint="default" w:ascii="仿宋_GB2312" w:hAnsi="仿宋_GB2312" w:eastAsia="仿宋_GB2312" w:cs="仿宋_GB2312"/>
                <w:b/>
                <w:bCs/>
                <w:kern w:val="0"/>
                <w:sz w:val="24"/>
                <w:szCs w:val="24"/>
                <w:lang w:val="en-US" w:eastAsia="zh-CN"/>
              </w:rPr>
            </w:pPr>
            <w:r>
              <w:rPr>
                <w:rFonts w:hint="eastAsia" w:ascii="宋体" w:hAnsi="宋体" w:eastAsia="宋体" w:cs="宋体"/>
                <w:i w:val="0"/>
                <w:color w:val="000000"/>
                <w:kern w:val="0"/>
                <w:sz w:val="22"/>
                <w:szCs w:val="22"/>
                <w:u w:val="none"/>
                <w:lang w:val="en-US" w:eastAsia="zh-CN" w:bidi="ar"/>
              </w:rPr>
              <w:t xml:space="preserve">298.81 </w:t>
            </w:r>
          </w:p>
        </w:tc>
        <w:tc>
          <w:tcPr>
            <w:tcW w:w="1184" w:type="dxa"/>
            <w:tcBorders>
              <w:top w:val="nil"/>
              <w:left w:val="nil"/>
              <w:bottom w:val="single" w:color="auto" w:sz="4" w:space="0"/>
              <w:right w:val="single" w:color="auto" w:sz="4" w:space="0"/>
            </w:tcBorders>
            <w:noWrap/>
            <w:vAlign w:val="center"/>
          </w:tcPr>
          <w:p>
            <w:pPr>
              <w:keepNext w:val="0"/>
              <w:keepLines w:val="0"/>
              <w:widowControl/>
              <w:suppressLineNumbers w:val="0"/>
              <w:jc w:val="right"/>
              <w:textAlignment w:val="center"/>
              <w:rPr>
                <w:rFonts w:hint="default" w:ascii="仿宋_GB2312" w:hAnsi="仿宋_GB2312" w:eastAsia="仿宋_GB2312" w:cs="仿宋_GB2312"/>
                <w:b/>
                <w:bCs/>
                <w:kern w:val="0"/>
                <w:sz w:val="24"/>
                <w:szCs w:val="24"/>
                <w:lang w:val="en-US" w:eastAsia="zh-CN"/>
              </w:rPr>
            </w:pPr>
            <w:r>
              <w:rPr>
                <w:rFonts w:hint="eastAsia" w:ascii="宋体" w:hAnsi="宋体" w:eastAsia="宋体" w:cs="宋体"/>
                <w:i w:val="0"/>
                <w:color w:val="000000"/>
                <w:kern w:val="0"/>
                <w:sz w:val="22"/>
                <w:szCs w:val="22"/>
                <w:u w:val="none"/>
                <w:lang w:val="en-US" w:eastAsia="zh-CN" w:bidi="ar"/>
              </w:rPr>
              <w:t xml:space="preserve">298.81 </w:t>
            </w:r>
          </w:p>
        </w:tc>
        <w:tc>
          <w:tcPr>
            <w:tcW w:w="1227" w:type="dxa"/>
            <w:tcBorders>
              <w:top w:val="nil"/>
              <w:left w:val="nil"/>
              <w:bottom w:val="single" w:color="auto" w:sz="4" w:space="0"/>
              <w:right w:val="single" w:color="auto" w:sz="4" w:space="0"/>
            </w:tcBorders>
            <w:noWrap/>
            <w:vAlign w:val="center"/>
          </w:tcPr>
          <w:p>
            <w:pPr>
              <w:widowControl/>
              <w:jc w:val="right"/>
              <w:rPr>
                <w:rFonts w:ascii="仿宋_GB2312" w:hAnsi="Times New Roman" w:eastAsia="仿宋_GB2312"/>
                <w:kern w:val="0"/>
                <w:sz w:val="24"/>
                <w:szCs w:val="24"/>
              </w:rPr>
            </w:pPr>
            <w:r>
              <w:rPr>
                <w:rFonts w:hint="eastAsia" w:ascii="仿宋_GB2312" w:hAnsi="Times New Roman" w:eastAsia="仿宋_GB2312" w:cs="仿宋_GB2312"/>
                <w:kern w:val="0"/>
                <w:sz w:val="24"/>
                <w:szCs w:val="24"/>
              </w:rPr>
              <w:t>　</w:t>
            </w:r>
          </w:p>
        </w:tc>
        <w:tc>
          <w:tcPr>
            <w:tcW w:w="1260" w:type="dxa"/>
            <w:tcBorders>
              <w:top w:val="nil"/>
              <w:left w:val="nil"/>
              <w:bottom w:val="single" w:color="auto" w:sz="4" w:space="0"/>
              <w:right w:val="single" w:color="auto" w:sz="4" w:space="0"/>
            </w:tcBorders>
            <w:noWrap/>
            <w:vAlign w:val="center"/>
          </w:tcPr>
          <w:p>
            <w:pPr>
              <w:widowControl/>
              <w:jc w:val="right"/>
              <w:rPr>
                <w:rFonts w:ascii="仿宋_GB2312" w:hAnsi="Times New Roman" w:eastAsia="仿宋_GB2312"/>
                <w:kern w:val="0"/>
                <w:sz w:val="24"/>
                <w:szCs w:val="24"/>
              </w:rPr>
            </w:pPr>
            <w:r>
              <w:rPr>
                <w:rFonts w:hint="eastAsia" w:ascii="仿宋_GB2312" w:hAnsi="Times New Roman" w:eastAsia="仿宋_GB2312" w:cs="仿宋_GB2312"/>
                <w:kern w:val="0"/>
                <w:sz w:val="24"/>
                <w:szCs w:val="24"/>
              </w:rPr>
              <w:t>　</w:t>
            </w:r>
          </w:p>
        </w:tc>
        <w:tc>
          <w:tcPr>
            <w:tcW w:w="1155" w:type="dxa"/>
            <w:tcBorders>
              <w:top w:val="nil"/>
              <w:left w:val="nil"/>
              <w:bottom w:val="single" w:color="auto" w:sz="4" w:space="0"/>
              <w:right w:val="single" w:color="auto" w:sz="4" w:space="0"/>
            </w:tcBorders>
            <w:noWrap/>
            <w:vAlign w:val="center"/>
          </w:tcPr>
          <w:p>
            <w:pPr>
              <w:widowControl/>
              <w:jc w:val="right"/>
              <w:rPr>
                <w:rFonts w:ascii="仿宋_GB2312" w:hAnsi="Times New Roman" w:eastAsia="仿宋_GB2312"/>
                <w:kern w:val="0"/>
                <w:sz w:val="24"/>
                <w:szCs w:val="24"/>
              </w:rPr>
            </w:pPr>
            <w:r>
              <w:rPr>
                <w:rFonts w:hint="eastAsia" w:ascii="仿宋_GB2312" w:hAnsi="Times New Roman" w:eastAsia="仿宋_GB2312" w:cs="仿宋_GB2312"/>
                <w:kern w:val="0"/>
                <w:sz w:val="24"/>
                <w:szCs w:val="24"/>
              </w:rPr>
              <w:t>　</w:t>
            </w:r>
          </w:p>
        </w:tc>
        <w:tc>
          <w:tcPr>
            <w:tcW w:w="1155" w:type="dxa"/>
            <w:tcBorders>
              <w:top w:val="nil"/>
              <w:left w:val="nil"/>
              <w:bottom w:val="single" w:color="auto" w:sz="4" w:space="0"/>
              <w:right w:val="single" w:color="auto" w:sz="4" w:space="0"/>
            </w:tcBorders>
            <w:noWrap/>
            <w:vAlign w:val="center"/>
          </w:tcPr>
          <w:p>
            <w:pPr>
              <w:widowControl/>
              <w:jc w:val="right"/>
              <w:rPr>
                <w:rFonts w:ascii="仿宋_GB2312" w:hAnsi="Times New Roman" w:eastAsia="仿宋_GB2312"/>
                <w:kern w:val="0"/>
                <w:sz w:val="24"/>
                <w:szCs w:val="24"/>
              </w:rPr>
            </w:pPr>
            <w:r>
              <w:rPr>
                <w:rFonts w:hint="eastAsia" w:ascii="仿宋_GB2312" w:hAnsi="Times New Roman" w:eastAsia="仿宋_GB2312" w:cs="仿宋_GB2312"/>
                <w:kern w:val="0"/>
                <w:sz w:val="24"/>
                <w:szCs w:val="24"/>
              </w:rPr>
              <w:t>　</w:t>
            </w:r>
          </w:p>
        </w:tc>
        <w:tc>
          <w:tcPr>
            <w:tcW w:w="1260" w:type="dxa"/>
            <w:tcBorders>
              <w:top w:val="nil"/>
              <w:left w:val="nil"/>
              <w:bottom w:val="single" w:color="auto" w:sz="4" w:space="0"/>
              <w:right w:val="single" w:color="auto" w:sz="8" w:space="0"/>
            </w:tcBorders>
            <w:noWrap/>
            <w:vAlign w:val="center"/>
          </w:tcPr>
          <w:p>
            <w:pPr>
              <w:widowControl/>
              <w:jc w:val="right"/>
              <w:rPr>
                <w:rFonts w:ascii="仿宋_GB2312" w:hAnsi="Times New Roman" w:eastAsia="仿宋_GB2312"/>
                <w:b/>
                <w:bCs/>
                <w:kern w:val="0"/>
                <w:sz w:val="24"/>
                <w:szCs w:val="24"/>
              </w:rPr>
            </w:pPr>
            <w:r>
              <w:rPr>
                <w:rFonts w:hint="eastAsia" w:ascii="仿宋_GB2312" w:hAnsi="Times New Roman" w:eastAsia="仿宋_GB2312" w:cs="仿宋_GB2312"/>
                <w:b/>
                <w:bCs/>
                <w:kern w:val="0"/>
                <w:sz w:val="24"/>
                <w:szCs w:val="24"/>
                <w:lang w:val="en-US" w:eastAsia="zh-CN"/>
              </w:rPr>
              <w:t xml:space="preserve"> </w:t>
            </w:r>
            <w:r>
              <w:rPr>
                <w:rFonts w:hint="eastAsia" w:ascii="仿宋_GB2312" w:hAnsi="Times New Roman" w:eastAsia="仿宋_GB2312" w:cs="仿宋_GB2312"/>
                <w:b/>
                <w:bCs/>
                <w:kern w:val="0"/>
                <w:sz w:val="24"/>
                <w:szCs w:val="24"/>
              </w:rPr>
              <w:t>　</w:t>
            </w:r>
          </w:p>
        </w:tc>
      </w:tr>
      <w:tr>
        <w:tblPrEx>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8"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宋体" w:hAnsi="宋体" w:eastAsia="宋体" w:cs="宋体"/>
                <w:i w:val="0"/>
                <w:color w:val="000000"/>
                <w:kern w:val="0"/>
                <w:sz w:val="22"/>
                <w:szCs w:val="22"/>
                <w:u w:val="none"/>
                <w:lang w:val="en-US" w:eastAsia="zh-CN" w:bidi="ar"/>
              </w:rPr>
              <w:t>2080501</w:t>
            </w:r>
          </w:p>
        </w:tc>
        <w:tc>
          <w:tcPr>
            <w:tcW w:w="3964" w:type="dxa"/>
            <w:tcBorders>
              <w:top w:val="nil"/>
              <w:left w:val="nil"/>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宋体" w:hAnsi="宋体" w:eastAsia="宋体" w:cs="宋体"/>
                <w:i w:val="0"/>
                <w:color w:val="000000"/>
                <w:kern w:val="0"/>
                <w:sz w:val="22"/>
                <w:szCs w:val="22"/>
                <w:u w:val="none"/>
                <w:lang w:val="en-US" w:eastAsia="zh-CN" w:bidi="ar"/>
              </w:rPr>
              <w:t>行政单位离退休</w:t>
            </w:r>
          </w:p>
        </w:tc>
        <w:tc>
          <w:tcPr>
            <w:tcW w:w="1184" w:type="dxa"/>
            <w:tcBorders>
              <w:top w:val="nil"/>
              <w:left w:val="nil"/>
              <w:bottom w:val="single" w:color="auto" w:sz="4" w:space="0"/>
              <w:right w:val="single" w:color="auto" w:sz="4" w:space="0"/>
            </w:tcBorders>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lang w:val="en-US" w:eastAsia="zh-CN"/>
              </w:rPr>
            </w:pPr>
            <w:r>
              <w:rPr>
                <w:rFonts w:hint="eastAsia" w:ascii="宋体" w:hAnsi="宋体" w:eastAsia="宋体" w:cs="宋体"/>
                <w:i w:val="0"/>
                <w:color w:val="000000"/>
                <w:kern w:val="0"/>
                <w:sz w:val="22"/>
                <w:szCs w:val="22"/>
                <w:u w:val="none"/>
                <w:lang w:val="en-US" w:eastAsia="zh-CN" w:bidi="ar"/>
              </w:rPr>
              <w:t xml:space="preserve">167.62 </w:t>
            </w:r>
          </w:p>
        </w:tc>
        <w:tc>
          <w:tcPr>
            <w:tcW w:w="1184" w:type="dxa"/>
            <w:tcBorders>
              <w:top w:val="nil"/>
              <w:left w:val="nil"/>
              <w:bottom w:val="single" w:color="auto" w:sz="4" w:space="0"/>
              <w:right w:val="single" w:color="auto" w:sz="4" w:space="0"/>
            </w:tcBorders>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lang w:val="en-US" w:eastAsia="zh-CN"/>
              </w:rPr>
            </w:pPr>
            <w:r>
              <w:rPr>
                <w:rFonts w:hint="eastAsia" w:ascii="宋体" w:hAnsi="宋体" w:eastAsia="宋体" w:cs="宋体"/>
                <w:i w:val="0"/>
                <w:color w:val="000000"/>
                <w:kern w:val="0"/>
                <w:sz w:val="22"/>
                <w:szCs w:val="22"/>
                <w:u w:val="none"/>
                <w:lang w:val="en-US" w:eastAsia="zh-CN" w:bidi="ar"/>
              </w:rPr>
              <w:t xml:space="preserve">167.62 </w:t>
            </w:r>
          </w:p>
        </w:tc>
        <w:tc>
          <w:tcPr>
            <w:tcW w:w="1227" w:type="dxa"/>
            <w:tcBorders>
              <w:top w:val="nil"/>
              <w:left w:val="nil"/>
              <w:bottom w:val="single" w:color="auto" w:sz="4" w:space="0"/>
              <w:right w:val="single" w:color="auto" w:sz="4" w:space="0"/>
            </w:tcBorders>
            <w:noWrap/>
            <w:vAlign w:val="center"/>
          </w:tcPr>
          <w:p>
            <w:pPr>
              <w:widowControl/>
              <w:jc w:val="right"/>
              <w:rPr>
                <w:rFonts w:ascii="仿宋_GB2312" w:hAnsi="Times New Roman" w:eastAsia="仿宋_GB2312"/>
                <w:kern w:val="0"/>
                <w:sz w:val="24"/>
                <w:szCs w:val="24"/>
              </w:rPr>
            </w:pPr>
            <w:r>
              <w:rPr>
                <w:rFonts w:hint="eastAsia" w:ascii="仿宋_GB2312" w:hAnsi="Times New Roman" w:eastAsia="仿宋_GB2312" w:cs="仿宋_GB2312"/>
                <w:kern w:val="0"/>
                <w:sz w:val="24"/>
                <w:szCs w:val="24"/>
              </w:rPr>
              <w:t>　</w:t>
            </w:r>
          </w:p>
        </w:tc>
        <w:tc>
          <w:tcPr>
            <w:tcW w:w="1260" w:type="dxa"/>
            <w:tcBorders>
              <w:top w:val="nil"/>
              <w:left w:val="nil"/>
              <w:bottom w:val="single" w:color="auto" w:sz="4" w:space="0"/>
              <w:right w:val="single" w:color="auto" w:sz="4" w:space="0"/>
            </w:tcBorders>
            <w:noWrap/>
            <w:vAlign w:val="center"/>
          </w:tcPr>
          <w:p>
            <w:pPr>
              <w:widowControl/>
              <w:jc w:val="right"/>
              <w:rPr>
                <w:rFonts w:ascii="仿宋_GB2312" w:hAnsi="Times New Roman" w:eastAsia="仿宋_GB2312"/>
                <w:kern w:val="0"/>
                <w:sz w:val="24"/>
                <w:szCs w:val="24"/>
              </w:rPr>
            </w:pPr>
            <w:r>
              <w:rPr>
                <w:rFonts w:hint="eastAsia" w:ascii="仿宋_GB2312" w:hAnsi="Times New Roman" w:eastAsia="仿宋_GB2312" w:cs="仿宋_GB2312"/>
                <w:kern w:val="0"/>
                <w:sz w:val="24"/>
                <w:szCs w:val="24"/>
              </w:rPr>
              <w:t>　</w:t>
            </w:r>
          </w:p>
        </w:tc>
        <w:tc>
          <w:tcPr>
            <w:tcW w:w="1155" w:type="dxa"/>
            <w:tcBorders>
              <w:top w:val="nil"/>
              <w:left w:val="nil"/>
              <w:bottom w:val="single" w:color="auto" w:sz="4" w:space="0"/>
              <w:right w:val="single" w:color="auto" w:sz="4" w:space="0"/>
            </w:tcBorders>
            <w:noWrap/>
            <w:vAlign w:val="center"/>
          </w:tcPr>
          <w:p>
            <w:pPr>
              <w:widowControl/>
              <w:jc w:val="right"/>
              <w:rPr>
                <w:rFonts w:ascii="仿宋_GB2312" w:hAnsi="Times New Roman" w:eastAsia="仿宋_GB2312"/>
                <w:kern w:val="0"/>
                <w:sz w:val="24"/>
                <w:szCs w:val="24"/>
              </w:rPr>
            </w:pPr>
            <w:r>
              <w:rPr>
                <w:rFonts w:hint="eastAsia" w:ascii="仿宋_GB2312" w:hAnsi="Times New Roman" w:eastAsia="仿宋_GB2312" w:cs="仿宋_GB2312"/>
                <w:kern w:val="0"/>
                <w:sz w:val="24"/>
                <w:szCs w:val="24"/>
              </w:rPr>
              <w:t>　</w:t>
            </w:r>
          </w:p>
        </w:tc>
        <w:tc>
          <w:tcPr>
            <w:tcW w:w="1155" w:type="dxa"/>
            <w:tcBorders>
              <w:top w:val="nil"/>
              <w:left w:val="nil"/>
              <w:bottom w:val="single" w:color="auto" w:sz="4" w:space="0"/>
              <w:right w:val="single" w:color="auto" w:sz="4" w:space="0"/>
            </w:tcBorders>
            <w:noWrap/>
            <w:vAlign w:val="center"/>
          </w:tcPr>
          <w:p>
            <w:pPr>
              <w:widowControl/>
              <w:jc w:val="right"/>
              <w:rPr>
                <w:rFonts w:ascii="仿宋_GB2312" w:hAnsi="Times New Roman" w:eastAsia="仿宋_GB2312"/>
                <w:kern w:val="0"/>
                <w:sz w:val="24"/>
                <w:szCs w:val="24"/>
              </w:rPr>
            </w:pPr>
            <w:r>
              <w:rPr>
                <w:rFonts w:hint="eastAsia" w:ascii="仿宋_GB2312" w:hAnsi="Times New Roman" w:eastAsia="仿宋_GB2312" w:cs="仿宋_GB2312"/>
                <w:kern w:val="0"/>
                <w:sz w:val="24"/>
                <w:szCs w:val="24"/>
              </w:rPr>
              <w:t>　</w:t>
            </w:r>
          </w:p>
        </w:tc>
        <w:tc>
          <w:tcPr>
            <w:tcW w:w="1260" w:type="dxa"/>
            <w:tcBorders>
              <w:top w:val="nil"/>
              <w:left w:val="nil"/>
              <w:bottom w:val="single" w:color="auto" w:sz="4" w:space="0"/>
              <w:right w:val="single" w:color="auto" w:sz="8" w:space="0"/>
            </w:tcBorders>
            <w:noWrap/>
            <w:vAlign w:val="center"/>
          </w:tcPr>
          <w:p>
            <w:pPr>
              <w:widowControl/>
              <w:jc w:val="right"/>
              <w:rPr>
                <w:rFonts w:hint="default" w:ascii="仿宋_GB2312" w:hAnsi="Times New Roman" w:eastAsia="仿宋_GB2312"/>
                <w:kern w:val="0"/>
                <w:sz w:val="24"/>
                <w:szCs w:val="24"/>
                <w:lang w:val="en-US"/>
              </w:rPr>
            </w:pPr>
            <w:r>
              <w:rPr>
                <w:rFonts w:hint="eastAsia" w:ascii="仿宋_GB2312" w:hAnsi="Times New Roman" w:eastAsia="仿宋_GB2312" w:cs="仿宋_GB2312"/>
                <w:kern w:val="0"/>
                <w:sz w:val="24"/>
                <w:szCs w:val="24"/>
                <w:lang w:val="en-US" w:eastAsia="zh-CN"/>
              </w:rPr>
              <w:t xml:space="preserve"> </w:t>
            </w:r>
            <w:r>
              <w:rPr>
                <w:rFonts w:hint="default" w:ascii="仿宋_GB2312" w:hAnsi="Times New Roman" w:eastAsia="仿宋_GB2312" w:cs="仿宋_GB2312"/>
                <w:kern w:val="0"/>
                <w:sz w:val="24"/>
                <w:szCs w:val="24"/>
                <w:lang w:val="en-US"/>
              </w:rPr>
              <w:t>　</w:t>
            </w:r>
          </w:p>
        </w:tc>
      </w:tr>
      <w:tr>
        <w:tblPrEx>
          <w:tblCellMar>
            <w:top w:w="0" w:type="dxa"/>
            <w:left w:w="108" w:type="dxa"/>
            <w:bottom w:w="0" w:type="dxa"/>
            <w:right w:w="108" w:type="dxa"/>
          </w:tblCellMar>
        </w:tblPrEx>
        <w:trPr>
          <w:trHeight w:val="435" w:hRule="atLeast"/>
          <w:jc w:val="center"/>
        </w:trPr>
        <w:tc>
          <w:tcPr>
            <w:tcW w:w="1197" w:type="dxa"/>
            <w:tcBorders>
              <w:top w:val="single" w:color="auto" w:sz="4" w:space="0"/>
              <w:left w:val="single" w:color="auto" w:sz="8"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lang w:val="en-US" w:eastAsia="zh-CN"/>
              </w:rPr>
            </w:pPr>
            <w:r>
              <w:rPr>
                <w:rFonts w:hint="eastAsia" w:ascii="宋体" w:hAnsi="宋体" w:eastAsia="宋体" w:cs="宋体"/>
                <w:i w:val="0"/>
                <w:color w:val="000000"/>
                <w:kern w:val="0"/>
                <w:sz w:val="22"/>
                <w:szCs w:val="22"/>
                <w:u w:val="none"/>
                <w:lang w:val="en-US" w:eastAsia="zh-CN" w:bidi="ar"/>
              </w:rPr>
              <w:t>2080505</w:t>
            </w:r>
          </w:p>
        </w:tc>
        <w:tc>
          <w:tcPr>
            <w:tcW w:w="3964" w:type="dxa"/>
            <w:tcBorders>
              <w:top w:val="nil"/>
              <w:left w:val="nil"/>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lang w:val="en-US" w:eastAsia="zh-CN"/>
              </w:rPr>
            </w:pPr>
            <w:r>
              <w:rPr>
                <w:rFonts w:hint="eastAsia" w:ascii="宋体" w:hAnsi="宋体" w:eastAsia="宋体" w:cs="宋体"/>
                <w:i w:val="0"/>
                <w:color w:val="000000"/>
                <w:kern w:val="0"/>
                <w:sz w:val="22"/>
                <w:szCs w:val="22"/>
                <w:u w:val="none"/>
                <w:lang w:val="en-US" w:eastAsia="zh-CN" w:bidi="ar"/>
              </w:rPr>
              <w:t>机关事业单位基本养老保险缴费支出</w:t>
            </w:r>
          </w:p>
        </w:tc>
        <w:tc>
          <w:tcPr>
            <w:tcW w:w="1184" w:type="dxa"/>
            <w:tcBorders>
              <w:top w:val="nil"/>
              <w:left w:val="nil"/>
              <w:bottom w:val="single" w:color="auto" w:sz="4" w:space="0"/>
              <w:right w:val="single" w:color="auto" w:sz="4" w:space="0"/>
            </w:tcBorders>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lang w:val="en-US" w:eastAsia="zh-CN"/>
              </w:rPr>
            </w:pPr>
            <w:r>
              <w:rPr>
                <w:rFonts w:hint="eastAsia" w:ascii="宋体" w:hAnsi="宋体" w:eastAsia="宋体" w:cs="宋体"/>
                <w:i w:val="0"/>
                <w:color w:val="000000"/>
                <w:kern w:val="0"/>
                <w:sz w:val="22"/>
                <w:szCs w:val="22"/>
                <w:u w:val="none"/>
                <w:lang w:val="en-US" w:eastAsia="zh-CN" w:bidi="ar"/>
              </w:rPr>
              <w:t xml:space="preserve">55.00 </w:t>
            </w:r>
          </w:p>
        </w:tc>
        <w:tc>
          <w:tcPr>
            <w:tcW w:w="1184" w:type="dxa"/>
            <w:tcBorders>
              <w:top w:val="nil"/>
              <w:left w:val="nil"/>
              <w:bottom w:val="single" w:color="auto" w:sz="4" w:space="0"/>
              <w:right w:val="single" w:color="auto" w:sz="4" w:space="0"/>
            </w:tcBorders>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lang w:val="en-US" w:eastAsia="zh-CN"/>
              </w:rPr>
            </w:pPr>
            <w:r>
              <w:rPr>
                <w:rFonts w:hint="eastAsia" w:ascii="宋体" w:hAnsi="宋体" w:eastAsia="宋体" w:cs="宋体"/>
                <w:i w:val="0"/>
                <w:color w:val="000000"/>
                <w:kern w:val="0"/>
                <w:sz w:val="22"/>
                <w:szCs w:val="22"/>
                <w:u w:val="none"/>
                <w:lang w:val="en-US" w:eastAsia="zh-CN" w:bidi="ar"/>
              </w:rPr>
              <w:t xml:space="preserve">55.00 </w:t>
            </w:r>
          </w:p>
        </w:tc>
        <w:tc>
          <w:tcPr>
            <w:tcW w:w="1227" w:type="dxa"/>
            <w:tcBorders>
              <w:top w:val="nil"/>
              <w:left w:val="nil"/>
              <w:bottom w:val="single" w:color="auto" w:sz="4" w:space="0"/>
              <w:right w:val="single" w:color="auto" w:sz="4" w:space="0"/>
            </w:tcBorders>
            <w:noWrap/>
            <w:vAlign w:val="center"/>
          </w:tcPr>
          <w:p>
            <w:pPr>
              <w:widowControl/>
              <w:jc w:val="right"/>
              <w:rPr>
                <w:rFonts w:hint="eastAsia" w:ascii="仿宋_GB2312" w:hAnsi="Times New Roman" w:eastAsia="仿宋_GB2312" w:cs="仿宋_GB2312"/>
                <w:kern w:val="0"/>
                <w:sz w:val="24"/>
                <w:szCs w:val="24"/>
              </w:rPr>
            </w:pPr>
          </w:p>
        </w:tc>
        <w:tc>
          <w:tcPr>
            <w:tcW w:w="1260" w:type="dxa"/>
            <w:tcBorders>
              <w:top w:val="nil"/>
              <w:left w:val="nil"/>
              <w:bottom w:val="single" w:color="auto" w:sz="4" w:space="0"/>
              <w:right w:val="single" w:color="auto" w:sz="4" w:space="0"/>
            </w:tcBorders>
            <w:noWrap/>
            <w:vAlign w:val="center"/>
          </w:tcPr>
          <w:p>
            <w:pPr>
              <w:widowControl/>
              <w:jc w:val="right"/>
              <w:rPr>
                <w:rFonts w:hint="eastAsia" w:ascii="仿宋_GB2312" w:hAnsi="Times New Roman" w:eastAsia="仿宋_GB2312" w:cs="仿宋_GB2312"/>
                <w:kern w:val="0"/>
                <w:sz w:val="24"/>
                <w:szCs w:val="24"/>
              </w:rPr>
            </w:pPr>
          </w:p>
        </w:tc>
        <w:tc>
          <w:tcPr>
            <w:tcW w:w="1155" w:type="dxa"/>
            <w:tcBorders>
              <w:top w:val="nil"/>
              <w:left w:val="nil"/>
              <w:bottom w:val="single" w:color="auto" w:sz="4" w:space="0"/>
              <w:right w:val="single" w:color="auto" w:sz="4" w:space="0"/>
            </w:tcBorders>
            <w:noWrap/>
            <w:vAlign w:val="center"/>
          </w:tcPr>
          <w:p>
            <w:pPr>
              <w:widowControl/>
              <w:jc w:val="right"/>
              <w:rPr>
                <w:rFonts w:hint="eastAsia" w:ascii="仿宋_GB2312" w:hAnsi="Times New Roman" w:eastAsia="仿宋_GB2312" w:cs="仿宋_GB2312"/>
                <w:kern w:val="0"/>
                <w:sz w:val="24"/>
                <w:szCs w:val="24"/>
              </w:rPr>
            </w:pPr>
          </w:p>
        </w:tc>
        <w:tc>
          <w:tcPr>
            <w:tcW w:w="1155" w:type="dxa"/>
            <w:tcBorders>
              <w:top w:val="nil"/>
              <w:left w:val="nil"/>
              <w:bottom w:val="single" w:color="auto" w:sz="4" w:space="0"/>
              <w:right w:val="single" w:color="auto" w:sz="4" w:space="0"/>
            </w:tcBorders>
            <w:noWrap/>
            <w:vAlign w:val="center"/>
          </w:tcPr>
          <w:p>
            <w:pPr>
              <w:widowControl/>
              <w:jc w:val="right"/>
              <w:rPr>
                <w:rFonts w:hint="eastAsia" w:ascii="仿宋_GB2312" w:hAnsi="Times New Roman" w:eastAsia="仿宋_GB2312" w:cs="仿宋_GB2312"/>
                <w:kern w:val="0"/>
                <w:sz w:val="24"/>
                <w:szCs w:val="24"/>
              </w:rPr>
            </w:pPr>
          </w:p>
        </w:tc>
        <w:tc>
          <w:tcPr>
            <w:tcW w:w="1260" w:type="dxa"/>
            <w:tcBorders>
              <w:top w:val="nil"/>
              <w:left w:val="nil"/>
              <w:bottom w:val="single" w:color="auto" w:sz="4" w:space="0"/>
              <w:right w:val="single" w:color="auto" w:sz="8" w:space="0"/>
            </w:tcBorders>
            <w:noWrap/>
            <w:vAlign w:val="center"/>
          </w:tcPr>
          <w:p>
            <w:pPr>
              <w:widowControl/>
              <w:jc w:val="right"/>
              <w:rPr>
                <w:rFonts w:hint="eastAsia" w:ascii="仿宋_GB2312" w:hAnsi="Times New Roman" w:eastAsia="仿宋_GB2312" w:cs="仿宋_GB2312"/>
                <w:kern w:val="0"/>
                <w:sz w:val="24"/>
                <w:szCs w:val="24"/>
                <w:lang w:val="en-US" w:eastAsia="zh-CN"/>
              </w:rPr>
            </w:pPr>
          </w:p>
        </w:tc>
      </w:tr>
      <w:tr>
        <w:tblPrEx>
          <w:tblCellMar>
            <w:top w:w="0" w:type="dxa"/>
            <w:left w:w="108" w:type="dxa"/>
            <w:bottom w:w="0" w:type="dxa"/>
            <w:right w:w="108" w:type="dxa"/>
          </w:tblCellMar>
        </w:tblPrEx>
        <w:trPr>
          <w:trHeight w:val="435" w:hRule="atLeast"/>
          <w:jc w:val="center"/>
        </w:trPr>
        <w:tc>
          <w:tcPr>
            <w:tcW w:w="1197" w:type="dxa"/>
            <w:tcBorders>
              <w:top w:val="single" w:color="auto" w:sz="4" w:space="0"/>
              <w:left w:val="single" w:color="auto" w:sz="8" w:space="0"/>
              <w:bottom w:val="single" w:color="auto" w:sz="4" w:space="0"/>
              <w:right w:val="single" w:color="auto" w:sz="4" w:space="0"/>
            </w:tcBorders>
            <w:noWrap/>
            <w:vAlign w:val="center"/>
          </w:tcPr>
          <w:p>
            <w:pPr>
              <w:keepNext w:val="0"/>
              <w:keepLines w:val="0"/>
              <w:widowControl/>
              <w:suppressLineNumbers w:val="0"/>
              <w:jc w:val="left"/>
              <w:textAlignment w:val="center"/>
              <w:rPr>
                <w:rFonts w:hint="default" w:ascii="仿宋_GB2312" w:hAnsi="仿宋_GB2312" w:eastAsia="仿宋_GB2312" w:cs="仿宋_GB2312"/>
                <w:b/>
                <w:bCs/>
                <w:kern w:val="0"/>
                <w:sz w:val="24"/>
                <w:szCs w:val="24"/>
                <w:lang w:val="en-US" w:eastAsia="zh-CN"/>
              </w:rPr>
            </w:pPr>
            <w:r>
              <w:rPr>
                <w:rFonts w:hint="eastAsia" w:ascii="宋体" w:hAnsi="宋体" w:eastAsia="宋体" w:cs="宋体"/>
                <w:i w:val="0"/>
                <w:color w:val="000000"/>
                <w:kern w:val="0"/>
                <w:sz w:val="22"/>
                <w:szCs w:val="22"/>
                <w:u w:val="none"/>
                <w:lang w:val="en-US" w:eastAsia="zh-CN" w:bidi="ar"/>
              </w:rPr>
              <w:t>2080506</w:t>
            </w:r>
          </w:p>
        </w:tc>
        <w:tc>
          <w:tcPr>
            <w:tcW w:w="3964" w:type="dxa"/>
            <w:tcBorders>
              <w:top w:val="nil"/>
              <w:left w:val="nil"/>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lang w:val="en-US" w:eastAsia="zh-CN"/>
              </w:rPr>
            </w:pPr>
            <w:r>
              <w:rPr>
                <w:rFonts w:hint="eastAsia" w:ascii="宋体" w:hAnsi="宋体" w:eastAsia="宋体" w:cs="宋体"/>
                <w:i w:val="0"/>
                <w:color w:val="000000"/>
                <w:kern w:val="0"/>
                <w:sz w:val="22"/>
                <w:szCs w:val="22"/>
                <w:u w:val="none"/>
                <w:lang w:val="en-US" w:eastAsia="zh-CN" w:bidi="ar"/>
              </w:rPr>
              <w:t>机关事业单位职业年金缴费支出</w:t>
            </w:r>
          </w:p>
        </w:tc>
        <w:tc>
          <w:tcPr>
            <w:tcW w:w="1184" w:type="dxa"/>
            <w:tcBorders>
              <w:top w:val="nil"/>
              <w:left w:val="nil"/>
              <w:bottom w:val="single" w:color="auto" w:sz="4" w:space="0"/>
              <w:right w:val="single" w:color="auto" w:sz="4" w:space="0"/>
            </w:tcBorders>
            <w:noWrap/>
            <w:vAlign w:val="center"/>
          </w:tcPr>
          <w:p>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15.00 </w:t>
            </w:r>
          </w:p>
        </w:tc>
        <w:tc>
          <w:tcPr>
            <w:tcW w:w="1184" w:type="dxa"/>
            <w:tcBorders>
              <w:top w:val="nil"/>
              <w:left w:val="nil"/>
              <w:bottom w:val="single" w:color="auto" w:sz="4" w:space="0"/>
              <w:right w:val="single" w:color="auto" w:sz="4" w:space="0"/>
            </w:tcBorders>
            <w:noWrap/>
            <w:vAlign w:val="center"/>
          </w:tcPr>
          <w:p>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15.00 </w:t>
            </w:r>
          </w:p>
        </w:tc>
        <w:tc>
          <w:tcPr>
            <w:tcW w:w="1227" w:type="dxa"/>
            <w:tcBorders>
              <w:top w:val="nil"/>
              <w:left w:val="nil"/>
              <w:bottom w:val="single" w:color="auto" w:sz="4" w:space="0"/>
              <w:right w:val="single" w:color="auto" w:sz="4" w:space="0"/>
            </w:tcBorders>
            <w:noWrap/>
            <w:vAlign w:val="center"/>
          </w:tcPr>
          <w:p>
            <w:pPr>
              <w:widowControl/>
              <w:jc w:val="right"/>
              <w:rPr>
                <w:rFonts w:hint="eastAsia" w:ascii="仿宋_GB2312" w:hAnsi="Times New Roman" w:eastAsia="仿宋_GB2312" w:cs="仿宋_GB2312"/>
                <w:kern w:val="0"/>
                <w:sz w:val="24"/>
                <w:szCs w:val="24"/>
              </w:rPr>
            </w:pPr>
          </w:p>
        </w:tc>
        <w:tc>
          <w:tcPr>
            <w:tcW w:w="1260" w:type="dxa"/>
            <w:tcBorders>
              <w:top w:val="nil"/>
              <w:left w:val="nil"/>
              <w:bottom w:val="single" w:color="auto" w:sz="4" w:space="0"/>
              <w:right w:val="single" w:color="auto" w:sz="4" w:space="0"/>
            </w:tcBorders>
            <w:noWrap/>
            <w:vAlign w:val="center"/>
          </w:tcPr>
          <w:p>
            <w:pPr>
              <w:widowControl/>
              <w:jc w:val="right"/>
              <w:rPr>
                <w:rFonts w:hint="eastAsia" w:ascii="仿宋_GB2312" w:hAnsi="Times New Roman" w:eastAsia="仿宋_GB2312" w:cs="仿宋_GB2312"/>
                <w:kern w:val="0"/>
                <w:sz w:val="24"/>
                <w:szCs w:val="24"/>
              </w:rPr>
            </w:pPr>
          </w:p>
        </w:tc>
        <w:tc>
          <w:tcPr>
            <w:tcW w:w="1155" w:type="dxa"/>
            <w:tcBorders>
              <w:top w:val="nil"/>
              <w:left w:val="nil"/>
              <w:bottom w:val="single" w:color="auto" w:sz="4" w:space="0"/>
              <w:right w:val="single" w:color="auto" w:sz="4" w:space="0"/>
            </w:tcBorders>
            <w:noWrap/>
            <w:vAlign w:val="center"/>
          </w:tcPr>
          <w:p>
            <w:pPr>
              <w:widowControl/>
              <w:jc w:val="right"/>
              <w:rPr>
                <w:rFonts w:hint="eastAsia" w:ascii="仿宋_GB2312" w:hAnsi="Times New Roman" w:eastAsia="仿宋_GB2312" w:cs="仿宋_GB2312"/>
                <w:kern w:val="0"/>
                <w:sz w:val="24"/>
                <w:szCs w:val="24"/>
              </w:rPr>
            </w:pPr>
          </w:p>
        </w:tc>
        <w:tc>
          <w:tcPr>
            <w:tcW w:w="1155" w:type="dxa"/>
            <w:tcBorders>
              <w:top w:val="nil"/>
              <w:left w:val="nil"/>
              <w:bottom w:val="single" w:color="auto" w:sz="4" w:space="0"/>
              <w:right w:val="single" w:color="auto" w:sz="4" w:space="0"/>
            </w:tcBorders>
            <w:noWrap/>
            <w:vAlign w:val="center"/>
          </w:tcPr>
          <w:p>
            <w:pPr>
              <w:widowControl/>
              <w:jc w:val="right"/>
              <w:rPr>
                <w:rFonts w:hint="eastAsia" w:ascii="仿宋_GB2312" w:hAnsi="Times New Roman" w:eastAsia="仿宋_GB2312" w:cs="仿宋_GB2312"/>
                <w:kern w:val="0"/>
                <w:sz w:val="24"/>
                <w:szCs w:val="24"/>
              </w:rPr>
            </w:pPr>
          </w:p>
        </w:tc>
        <w:tc>
          <w:tcPr>
            <w:tcW w:w="1260" w:type="dxa"/>
            <w:tcBorders>
              <w:top w:val="nil"/>
              <w:left w:val="nil"/>
              <w:bottom w:val="single" w:color="auto" w:sz="4" w:space="0"/>
              <w:right w:val="single" w:color="auto" w:sz="8" w:space="0"/>
            </w:tcBorders>
            <w:noWrap/>
            <w:vAlign w:val="center"/>
          </w:tcPr>
          <w:p>
            <w:pPr>
              <w:widowControl/>
              <w:jc w:val="right"/>
              <w:rPr>
                <w:rFonts w:hint="eastAsia" w:ascii="仿宋_GB2312" w:hAnsi="Times New Roman" w:eastAsia="仿宋_GB2312" w:cs="仿宋_GB2312"/>
                <w:kern w:val="0"/>
                <w:sz w:val="24"/>
                <w:szCs w:val="24"/>
                <w:lang w:val="en-US" w:eastAsia="zh-CN"/>
              </w:rPr>
            </w:pPr>
          </w:p>
        </w:tc>
      </w:tr>
      <w:tr>
        <w:tblPrEx>
          <w:tblCellMar>
            <w:top w:w="0" w:type="dxa"/>
            <w:left w:w="108" w:type="dxa"/>
            <w:bottom w:w="0" w:type="dxa"/>
            <w:right w:w="108" w:type="dxa"/>
          </w:tblCellMar>
        </w:tblPrEx>
        <w:trPr>
          <w:trHeight w:val="435" w:hRule="atLeast"/>
          <w:jc w:val="center"/>
        </w:trPr>
        <w:tc>
          <w:tcPr>
            <w:tcW w:w="1197" w:type="dxa"/>
            <w:tcBorders>
              <w:top w:val="single" w:color="auto" w:sz="4" w:space="0"/>
              <w:left w:val="single" w:color="auto" w:sz="8" w:space="0"/>
              <w:bottom w:val="single" w:color="auto" w:sz="4" w:space="0"/>
              <w:right w:val="single" w:color="auto" w:sz="4" w:space="0"/>
            </w:tcBorders>
            <w:noWrap/>
            <w:vAlign w:val="center"/>
          </w:tcPr>
          <w:p>
            <w:pPr>
              <w:keepNext w:val="0"/>
              <w:keepLines w:val="0"/>
              <w:widowControl/>
              <w:suppressLineNumbers w:val="0"/>
              <w:jc w:val="left"/>
              <w:textAlignment w:val="center"/>
              <w:rPr>
                <w:rFonts w:hint="default" w:ascii="仿宋_GB2312" w:hAnsi="仿宋_GB2312" w:eastAsia="仿宋_GB2312" w:cs="仿宋_GB2312"/>
                <w:b/>
                <w:bCs/>
                <w:kern w:val="0"/>
                <w:sz w:val="24"/>
                <w:szCs w:val="24"/>
                <w:lang w:val="en-US" w:eastAsia="zh-CN"/>
              </w:rPr>
            </w:pPr>
            <w:r>
              <w:rPr>
                <w:rFonts w:hint="eastAsia" w:ascii="宋体" w:hAnsi="宋体" w:eastAsia="宋体" w:cs="宋体"/>
                <w:i w:val="0"/>
                <w:color w:val="000000"/>
                <w:kern w:val="0"/>
                <w:sz w:val="22"/>
                <w:szCs w:val="22"/>
                <w:u w:val="none"/>
                <w:lang w:val="en-US" w:eastAsia="zh-CN" w:bidi="ar"/>
              </w:rPr>
              <w:t>2089999</w:t>
            </w:r>
          </w:p>
        </w:tc>
        <w:tc>
          <w:tcPr>
            <w:tcW w:w="3964" w:type="dxa"/>
            <w:tcBorders>
              <w:top w:val="nil"/>
              <w:left w:val="nil"/>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lang w:val="en-US" w:eastAsia="zh-CN"/>
              </w:rPr>
            </w:pPr>
            <w:r>
              <w:rPr>
                <w:rFonts w:hint="eastAsia" w:ascii="宋体" w:hAnsi="宋体" w:eastAsia="宋体" w:cs="宋体"/>
                <w:i w:val="0"/>
                <w:color w:val="000000"/>
                <w:kern w:val="0"/>
                <w:sz w:val="22"/>
                <w:szCs w:val="22"/>
                <w:u w:val="none"/>
                <w:lang w:val="en-US" w:eastAsia="zh-CN" w:bidi="ar"/>
              </w:rPr>
              <w:t>其他社会保障和就业支出</w:t>
            </w:r>
          </w:p>
        </w:tc>
        <w:tc>
          <w:tcPr>
            <w:tcW w:w="1184" w:type="dxa"/>
            <w:tcBorders>
              <w:top w:val="nil"/>
              <w:left w:val="nil"/>
              <w:bottom w:val="single" w:color="auto" w:sz="4" w:space="0"/>
              <w:right w:val="single" w:color="auto" w:sz="4" w:space="0"/>
            </w:tcBorders>
            <w:noWrap/>
            <w:vAlign w:val="center"/>
          </w:tcPr>
          <w:p>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17.00 </w:t>
            </w:r>
          </w:p>
        </w:tc>
        <w:tc>
          <w:tcPr>
            <w:tcW w:w="1184" w:type="dxa"/>
            <w:tcBorders>
              <w:top w:val="nil"/>
              <w:left w:val="nil"/>
              <w:bottom w:val="single" w:color="auto" w:sz="4" w:space="0"/>
              <w:right w:val="single" w:color="auto" w:sz="4" w:space="0"/>
            </w:tcBorders>
            <w:noWrap/>
            <w:vAlign w:val="center"/>
          </w:tcPr>
          <w:p>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17.00 </w:t>
            </w:r>
          </w:p>
        </w:tc>
        <w:tc>
          <w:tcPr>
            <w:tcW w:w="1227" w:type="dxa"/>
            <w:tcBorders>
              <w:top w:val="nil"/>
              <w:left w:val="nil"/>
              <w:bottom w:val="single" w:color="auto" w:sz="4" w:space="0"/>
              <w:right w:val="single" w:color="auto" w:sz="4" w:space="0"/>
            </w:tcBorders>
            <w:noWrap/>
            <w:vAlign w:val="center"/>
          </w:tcPr>
          <w:p>
            <w:pPr>
              <w:widowControl/>
              <w:jc w:val="right"/>
              <w:rPr>
                <w:rFonts w:hint="eastAsia" w:ascii="仿宋_GB2312" w:hAnsi="Times New Roman" w:eastAsia="仿宋_GB2312" w:cs="仿宋_GB2312"/>
                <w:kern w:val="0"/>
                <w:sz w:val="24"/>
                <w:szCs w:val="24"/>
              </w:rPr>
            </w:pPr>
          </w:p>
        </w:tc>
        <w:tc>
          <w:tcPr>
            <w:tcW w:w="1260" w:type="dxa"/>
            <w:tcBorders>
              <w:top w:val="nil"/>
              <w:left w:val="nil"/>
              <w:bottom w:val="single" w:color="auto" w:sz="4" w:space="0"/>
              <w:right w:val="single" w:color="auto" w:sz="4" w:space="0"/>
            </w:tcBorders>
            <w:noWrap/>
            <w:vAlign w:val="center"/>
          </w:tcPr>
          <w:p>
            <w:pPr>
              <w:widowControl/>
              <w:jc w:val="right"/>
              <w:rPr>
                <w:rFonts w:hint="eastAsia" w:ascii="仿宋_GB2312" w:hAnsi="Times New Roman" w:eastAsia="仿宋_GB2312" w:cs="仿宋_GB2312"/>
                <w:kern w:val="0"/>
                <w:sz w:val="24"/>
                <w:szCs w:val="24"/>
              </w:rPr>
            </w:pPr>
          </w:p>
        </w:tc>
        <w:tc>
          <w:tcPr>
            <w:tcW w:w="1155" w:type="dxa"/>
            <w:tcBorders>
              <w:top w:val="nil"/>
              <w:left w:val="nil"/>
              <w:bottom w:val="single" w:color="auto" w:sz="4" w:space="0"/>
              <w:right w:val="single" w:color="auto" w:sz="4" w:space="0"/>
            </w:tcBorders>
            <w:noWrap/>
            <w:vAlign w:val="center"/>
          </w:tcPr>
          <w:p>
            <w:pPr>
              <w:widowControl/>
              <w:jc w:val="right"/>
              <w:rPr>
                <w:rFonts w:hint="eastAsia" w:ascii="仿宋_GB2312" w:hAnsi="Times New Roman" w:eastAsia="仿宋_GB2312" w:cs="仿宋_GB2312"/>
                <w:kern w:val="0"/>
                <w:sz w:val="24"/>
                <w:szCs w:val="24"/>
              </w:rPr>
            </w:pPr>
          </w:p>
        </w:tc>
        <w:tc>
          <w:tcPr>
            <w:tcW w:w="1155" w:type="dxa"/>
            <w:tcBorders>
              <w:top w:val="nil"/>
              <w:left w:val="nil"/>
              <w:bottom w:val="single" w:color="auto" w:sz="4" w:space="0"/>
              <w:right w:val="single" w:color="auto" w:sz="4" w:space="0"/>
            </w:tcBorders>
            <w:noWrap/>
            <w:vAlign w:val="center"/>
          </w:tcPr>
          <w:p>
            <w:pPr>
              <w:widowControl/>
              <w:jc w:val="right"/>
              <w:rPr>
                <w:rFonts w:hint="eastAsia" w:ascii="仿宋_GB2312" w:hAnsi="Times New Roman" w:eastAsia="仿宋_GB2312" w:cs="仿宋_GB2312"/>
                <w:kern w:val="0"/>
                <w:sz w:val="24"/>
                <w:szCs w:val="24"/>
              </w:rPr>
            </w:pPr>
          </w:p>
        </w:tc>
        <w:tc>
          <w:tcPr>
            <w:tcW w:w="1260" w:type="dxa"/>
            <w:tcBorders>
              <w:top w:val="nil"/>
              <w:left w:val="nil"/>
              <w:bottom w:val="single" w:color="auto" w:sz="4" w:space="0"/>
              <w:right w:val="single" w:color="auto" w:sz="8" w:space="0"/>
            </w:tcBorders>
            <w:noWrap/>
            <w:vAlign w:val="center"/>
          </w:tcPr>
          <w:p>
            <w:pPr>
              <w:widowControl/>
              <w:jc w:val="right"/>
              <w:rPr>
                <w:rFonts w:hint="eastAsia" w:ascii="仿宋_GB2312" w:hAnsi="Times New Roman" w:eastAsia="仿宋_GB2312" w:cs="仿宋_GB2312"/>
                <w:kern w:val="0"/>
                <w:sz w:val="24"/>
                <w:szCs w:val="24"/>
                <w:lang w:val="en-US" w:eastAsia="zh-CN"/>
              </w:rPr>
            </w:pPr>
          </w:p>
        </w:tc>
      </w:tr>
      <w:tr>
        <w:tblPrEx>
          <w:tblCellMar>
            <w:top w:w="0" w:type="dxa"/>
            <w:left w:w="108" w:type="dxa"/>
            <w:bottom w:w="0" w:type="dxa"/>
            <w:right w:w="108" w:type="dxa"/>
          </w:tblCellMar>
        </w:tblPrEx>
        <w:trPr>
          <w:trHeight w:val="435" w:hRule="atLeast"/>
          <w:jc w:val="center"/>
        </w:trPr>
        <w:tc>
          <w:tcPr>
            <w:tcW w:w="1197" w:type="dxa"/>
            <w:tcBorders>
              <w:top w:val="single" w:color="auto" w:sz="4" w:space="0"/>
              <w:left w:val="single" w:color="auto" w:sz="8" w:space="0"/>
              <w:bottom w:val="single" w:color="auto" w:sz="4" w:space="0"/>
              <w:right w:val="single" w:color="auto" w:sz="4" w:space="0"/>
            </w:tcBorders>
            <w:noWrap/>
            <w:vAlign w:val="center"/>
          </w:tcPr>
          <w:p>
            <w:pPr>
              <w:keepNext w:val="0"/>
              <w:keepLines w:val="0"/>
              <w:widowControl/>
              <w:suppressLineNumbers w:val="0"/>
              <w:jc w:val="left"/>
              <w:textAlignment w:val="center"/>
              <w:rPr>
                <w:rFonts w:hint="default" w:ascii="仿宋_GB2312" w:hAnsi="仿宋_GB2312" w:eastAsia="仿宋_GB2312" w:cs="仿宋_GB2312"/>
                <w:kern w:val="0"/>
                <w:sz w:val="24"/>
                <w:szCs w:val="24"/>
                <w:lang w:val="en-US" w:eastAsia="zh-CN"/>
              </w:rPr>
            </w:pPr>
            <w:r>
              <w:rPr>
                <w:rFonts w:hint="eastAsia" w:ascii="宋体" w:hAnsi="宋体" w:eastAsia="宋体" w:cs="宋体"/>
                <w:i w:val="0"/>
                <w:color w:val="000000"/>
                <w:kern w:val="0"/>
                <w:sz w:val="22"/>
                <w:szCs w:val="22"/>
                <w:u w:val="none"/>
                <w:lang w:val="en-US" w:eastAsia="zh-CN" w:bidi="ar"/>
              </w:rPr>
              <w:t>2101101</w:t>
            </w:r>
          </w:p>
        </w:tc>
        <w:tc>
          <w:tcPr>
            <w:tcW w:w="3964" w:type="dxa"/>
            <w:tcBorders>
              <w:top w:val="nil"/>
              <w:left w:val="nil"/>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lang w:val="en-US" w:eastAsia="zh-CN"/>
              </w:rPr>
            </w:pPr>
            <w:r>
              <w:rPr>
                <w:rFonts w:hint="eastAsia" w:ascii="宋体" w:hAnsi="宋体" w:eastAsia="宋体" w:cs="宋体"/>
                <w:i w:val="0"/>
                <w:color w:val="000000"/>
                <w:kern w:val="0"/>
                <w:sz w:val="22"/>
                <w:szCs w:val="22"/>
                <w:u w:val="none"/>
                <w:lang w:val="en-US" w:eastAsia="zh-CN" w:bidi="ar"/>
              </w:rPr>
              <w:t>行政单位医疗</w:t>
            </w:r>
          </w:p>
        </w:tc>
        <w:tc>
          <w:tcPr>
            <w:tcW w:w="1184" w:type="dxa"/>
            <w:tcBorders>
              <w:top w:val="nil"/>
              <w:left w:val="nil"/>
              <w:bottom w:val="single" w:color="auto" w:sz="4" w:space="0"/>
              <w:right w:val="single" w:color="auto" w:sz="4" w:space="0"/>
            </w:tcBorders>
            <w:noWrap/>
            <w:vAlign w:val="center"/>
          </w:tcPr>
          <w:p>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34.00 </w:t>
            </w:r>
          </w:p>
        </w:tc>
        <w:tc>
          <w:tcPr>
            <w:tcW w:w="1184" w:type="dxa"/>
            <w:tcBorders>
              <w:top w:val="nil"/>
              <w:left w:val="nil"/>
              <w:bottom w:val="single" w:color="auto" w:sz="4" w:space="0"/>
              <w:right w:val="single" w:color="auto" w:sz="4" w:space="0"/>
            </w:tcBorders>
            <w:noWrap/>
            <w:vAlign w:val="center"/>
          </w:tcPr>
          <w:p>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34.00 </w:t>
            </w:r>
          </w:p>
        </w:tc>
        <w:tc>
          <w:tcPr>
            <w:tcW w:w="1227" w:type="dxa"/>
            <w:tcBorders>
              <w:top w:val="nil"/>
              <w:left w:val="nil"/>
              <w:bottom w:val="single" w:color="auto" w:sz="4" w:space="0"/>
              <w:right w:val="single" w:color="auto" w:sz="4" w:space="0"/>
            </w:tcBorders>
            <w:noWrap/>
            <w:vAlign w:val="center"/>
          </w:tcPr>
          <w:p>
            <w:pPr>
              <w:widowControl/>
              <w:jc w:val="right"/>
              <w:rPr>
                <w:rFonts w:hint="eastAsia" w:ascii="仿宋_GB2312" w:hAnsi="Times New Roman" w:eastAsia="仿宋_GB2312" w:cs="仿宋_GB2312"/>
                <w:kern w:val="0"/>
                <w:sz w:val="24"/>
                <w:szCs w:val="24"/>
              </w:rPr>
            </w:pPr>
          </w:p>
        </w:tc>
        <w:tc>
          <w:tcPr>
            <w:tcW w:w="1260" w:type="dxa"/>
            <w:tcBorders>
              <w:top w:val="nil"/>
              <w:left w:val="nil"/>
              <w:bottom w:val="single" w:color="auto" w:sz="4" w:space="0"/>
              <w:right w:val="single" w:color="auto" w:sz="4" w:space="0"/>
            </w:tcBorders>
            <w:noWrap/>
            <w:vAlign w:val="center"/>
          </w:tcPr>
          <w:p>
            <w:pPr>
              <w:widowControl/>
              <w:jc w:val="right"/>
              <w:rPr>
                <w:rFonts w:hint="eastAsia" w:ascii="仿宋_GB2312" w:hAnsi="Times New Roman" w:eastAsia="仿宋_GB2312" w:cs="仿宋_GB2312"/>
                <w:kern w:val="0"/>
                <w:sz w:val="24"/>
                <w:szCs w:val="24"/>
              </w:rPr>
            </w:pPr>
          </w:p>
        </w:tc>
        <w:tc>
          <w:tcPr>
            <w:tcW w:w="1155" w:type="dxa"/>
            <w:tcBorders>
              <w:top w:val="nil"/>
              <w:left w:val="nil"/>
              <w:bottom w:val="single" w:color="auto" w:sz="4" w:space="0"/>
              <w:right w:val="single" w:color="auto" w:sz="4" w:space="0"/>
            </w:tcBorders>
            <w:noWrap/>
            <w:vAlign w:val="center"/>
          </w:tcPr>
          <w:p>
            <w:pPr>
              <w:widowControl/>
              <w:jc w:val="right"/>
              <w:rPr>
                <w:rFonts w:hint="eastAsia" w:ascii="仿宋_GB2312" w:hAnsi="Times New Roman" w:eastAsia="仿宋_GB2312" w:cs="仿宋_GB2312"/>
                <w:kern w:val="0"/>
                <w:sz w:val="24"/>
                <w:szCs w:val="24"/>
              </w:rPr>
            </w:pPr>
          </w:p>
        </w:tc>
        <w:tc>
          <w:tcPr>
            <w:tcW w:w="1155" w:type="dxa"/>
            <w:tcBorders>
              <w:top w:val="nil"/>
              <w:left w:val="nil"/>
              <w:bottom w:val="single" w:color="auto" w:sz="4" w:space="0"/>
              <w:right w:val="single" w:color="auto" w:sz="4" w:space="0"/>
            </w:tcBorders>
            <w:noWrap/>
            <w:vAlign w:val="center"/>
          </w:tcPr>
          <w:p>
            <w:pPr>
              <w:widowControl/>
              <w:jc w:val="right"/>
              <w:rPr>
                <w:rFonts w:hint="eastAsia" w:ascii="仿宋_GB2312" w:hAnsi="Times New Roman" w:eastAsia="仿宋_GB2312" w:cs="仿宋_GB2312"/>
                <w:kern w:val="0"/>
                <w:sz w:val="24"/>
                <w:szCs w:val="24"/>
              </w:rPr>
            </w:pPr>
          </w:p>
        </w:tc>
        <w:tc>
          <w:tcPr>
            <w:tcW w:w="1260" w:type="dxa"/>
            <w:tcBorders>
              <w:top w:val="nil"/>
              <w:left w:val="nil"/>
              <w:bottom w:val="single" w:color="auto" w:sz="4" w:space="0"/>
              <w:right w:val="single" w:color="auto" w:sz="8" w:space="0"/>
            </w:tcBorders>
            <w:noWrap/>
            <w:vAlign w:val="center"/>
          </w:tcPr>
          <w:p>
            <w:pPr>
              <w:widowControl/>
              <w:jc w:val="right"/>
              <w:rPr>
                <w:rFonts w:hint="eastAsia" w:ascii="仿宋_GB2312" w:hAnsi="Times New Roman" w:eastAsia="仿宋_GB2312" w:cs="仿宋_GB2312"/>
                <w:kern w:val="0"/>
                <w:sz w:val="24"/>
                <w:szCs w:val="24"/>
                <w:lang w:val="en-US" w:eastAsia="zh-CN"/>
              </w:rPr>
            </w:pPr>
          </w:p>
        </w:tc>
      </w:tr>
      <w:tr>
        <w:tblPrEx>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8"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b/>
                <w:bCs/>
                <w:kern w:val="0"/>
                <w:sz w:val="24"/>
                <w:szCs w:val="24"/>
              </w:rPr>
            </w:pPr>
            <w:r>
              <w:rPr>
                <w:rFonts w:hint="eastAsia" w:ascii="宋体" w:hAnsi="宋体" w:eastAsia="宋体" w:cs="宋体"/>
                <w:i w:val="0"/>
                <w:color w:val="000000"/>
                <w:kern w:val="0"/>
                <w:sz w:val="22"/>
                <w:szCs w:val="22"/>
                <w:u w:val="none"/>
                <w:lang w:val="en-US" w:eastAsia="zh-CN" w:bidi="ar"/>
              </w:rPr>
              <w:t>2101103</w:t>
            </w:r>
          </w:p>
        </w:tc>
        <w:tc>
          <w:tcPr>
            <w:tcW w:w="3964" w:type="dxa"/>
            <w:tcBorders>
              <w:top w:val="nil"/>
              <w:left w:val="nil"/>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b/>
                <w:bCs/>
                <w:kern w:val="0"/>
                <w:sz w:val="24"/>
                <w:szCs w:val="24"/>
              </w:rPr>
            </w:pPr>
            <w:r>
              <w:rPr>
                <w:rFonts w:hint="eastAsia" w:ascii="宋体" w:hAnsi="宋体" w:eastAsia="宋体" w:cs="宋体"/>
                <w:i w:val="0"/>
                <w:color w:val="000000"/>
                <w:kern w:val="0"/>
                <w:sz w:val="22"/>
                <w:szCs w:val="22"/>
                <w:u w:val="none"/>
                <w:lang w:val="en-US" w:eastAsia="zh-CN" w:bidi="ar"/>
              </w:rPr>
              <w:t>公务员医疗补助</w:t>
            </w:r>
          </w:p>
        </w:tc>
        <w:tc>
          <w:tcPr>
            <w:tcW w:w="1184" w:type="dxa"/>
            <w:tcBorders>
              <w:top w:val="nil"/>
              <w:left w:val="nil"/>
              <w:bottom w:val="single" w:color="auto" w:sz="4" w:space="0"/>
              <w:right w:val="single" w:color="auto" w:sz="4" w:space="0"/>
            </w:tcBorders>
            <w:noWrap/>
            <w:vAlign w:val="center"/>
          </w:tcPr>
          <w:p>
            <w:pPr>
              <w:keepNext w:val="0"/>
              <w:keepLines w:val="0"/>
              <w:widowControl/>
              <w:suppressLineNumbers w:val="0"/>
              <w:jc w:val="right"/>
              <w:textAlignment w:val="center"/>
              <w:rPr>
                <w:rFonts w:hint="eastAsia" w:ascii="仿宋_GB2312" w:hAnsi="仿宋_GB2312" w:eastAsia="仿宋_GB2312" w:cs="仿宋_GB2312"/>
                <w:b/>
                <w:bCs/>
                <w:kern w:val="0"/>
                <w:sz w:val="24"/>
                <w:szCs w:val="24"/>
                <w:lang w:val="en-US" w:eastAsia="zh-CN"/>
              </w:rPr>
            </w:pPr>
            <w:r>
              <w:rPr>
                <w:rFonts w:hint="eastAsia" w:ascii="宋体" w:hAnsi="宋体" w:eastAsia="宋体" w:cs="宋体"/>
                <w:i w:val="0"/>
                <w:color w:val="000000"/>
                <w:kern w:val="0"/>
                <w:sz w:val="22"/>
                <w:szCs w:val="22"/>
                <w:u w:val="none"/>
                <w:lang w:val="en-US" w:eastAsia="zh-CN" w:bidi="ar"/>
              </w:rPr>
              <w:t xml:space="preserve">27.00 </w:t>
            </w:r>
          </w:p>
        </w:tc>
        <w:tc>
          <w:tcPr>
            <w:tcW w:w="1184" w:type="dxa"/>
            <w:tcBorders>
              <w:top w:val="nil"/>
              <w:left w:val="nil"/>
              <w:bottom w:val="single" w:color="auto" w:sz="4" w:space="0"/>
              <w:right w:val="single" w:color="auto" w:sz="4" w:space="0"/>
            </w:tcBorders>
            <w:noWrap/>
            <w:vAlign w:val="center"/>
          </w:tcPr>
          <w:p>
            <w:pPr>
              <w:keepNext w:val="0"/>
              <w:keepLines w:val="0"/>
              <w:widowControl/>
              <w:suppressLineNumbers w:val="0"/>
              <w:jc w:val="right"/>
              <w:textAlignment w:val="center"/>
              <w:rPr>
                <w:rFonts w:hint="eastAsia" w:ascii="仿宋_GB2312" w:hAnsi="仿宋_GB2312" w:eastAsia="仿宋_GB2312" w:cs="仿宋_GB2312"/>
                <w:b/>
                <w:bCs/>
                <w:kern w:val="0"/>
                <w:sz w:val="24"/>
                <w:szCs w:val="24"/>
                <w:lang w:val="en-US" w:eastAsia="zh-CN"/>
              </w:rPr>
            </w:pPr>
            <w:r>
              <w:rPr>
                <w:rFonts w:hint="eastAsia" w:ascii="宋体" w:hAnsi="宋体" w:eastAsia="宋体" w:cs="宋体"/>
                <w:i w:val="0"/>
                <w:color w:val="000000"/>
                <w:kern w:val="0"/>
                <w:sz w:val="22"/>
                <w:szCs w:val="22"/>
                <w:u w:val="none"/>
                <w:lang w:val="en-US" w:eastAsia="zh-CN" w:bidi="ar"/>
              </w:rPr>
              <w:t xml:space="preserve">27.00 </w:t>
            </w:r>
          </w:p>
        </w:tc>
        <w:tc>
          <w:tcPr>
            <w:tcW w:w="1227" w:type="dxa"/>
            <w:tcBorders>
              <w:top w:val="nil"/>
              <w:left w:val="nil"/>
              <w:bottom w:val="single" w:color="auto" w:sz="4" w:space="0"/>
              <w:right w:val="single" w:color="auto" w:sz="4" w:space="0"/>
            </w:tcBorders>
            <w:noWrap/>
            <w:vAlign w:val="center"/>
          </w:tcPr>
          <w:p>
            <w:pPr>
              <w:widowControl/>
              <w:jc w:val="right"/>
              <w:rPr>
                <w:rFonts w:ascii="仿宋_GB2312" w:hAnsi="Times New Roman" w:eastAsia="仿宋_GB2312"/>
                <w:kern w:val="0"/>
                <w:sz w:val="24"/>
                <w:szCs w:val="24"/>
              </w:rPr>
            </w:pPr>
            <w:r>
              <w:rPr>
                <w:rFonts w:hint="eastAsia" w:ascii="仿宋_GB2312" w:hAnsi="Times New Roman" w:eastAsia="仿宋_GB2312" w:cs="仿宋_GB2312"/>
                <w:kern w:val="0"/>
                <w:sz w:val="24"/>
                <w:szCs w:val="24"/>
              </w:rPr>
              <w:t>　</w:t>
            </w:r>
          </w:p>
        </w:tc>
        <w:tc>
          <w:tcPr>
            <w:tcW w:w="1260" w:type="dxa"/>
            <w:tcBorders>
              <w:top w:val="nil"/>
              <w:left w:val="nil"/>
              <w:bottom w:val="single" w:color="auto" w:sz="4" w:space="0"/>
              <w:right w:val="single" w:color="auto" w:sz="4" w:space="0"/>
            </w:tcBorders>
            <w:noWrap/>
            <w:vAlign w:val="center"/>
          </w:tcPr>
          <w:p>
            <w:pPr>
              <w:widowControl/>
              <w:jc w:val="right"/>
              <w:rPr>
                <w:rFonts w:ascii="仿宋_GB2312" w:hAnsi="Times New Roman" w:eastAsia="仿宋_GB2312"/>
                <w:kern w:val="0"/>
                <w:sz w:val="24"/>
                <w:szCs w:val="24"/>
              </w:rPr>
            </w:pPr>
            <w:r>
              <w:rPr>
                <w:rFonts w:hint="eastAsia" w:ascii="仿宋_GB2312" w:hAnsi="Times New Roman" w:eastAsia="仿宋_GB2312" w:cs="仿宋_GB2312"/>
                <w:kern w:val="0"/>
                <w:sz w:val="24"/>
                <w:szCs w:val="24"/>
              </w:rPr>
              <w:t>　</w:t>
            </w:r>
          </w:p>
        </w:tc>
        <w:tc>
          <w:tcPr>
            <w:tcW w:w="1155" w:type="dxa"/>
            <w:tcBorders>
              <w:top w:val="nil"/>
              <w:left w:val="nil"/>
              <w:bottom w:val="single" w:color="auto" w:sz="4" w:space="0"/>
              <w:right w:val="single" w:color="auto" w:sz="4" w:space="0"/>
            </w:tcBorders>
            <w:noWrap/>
            <w:vAlign w:val="center"/>
          </w:tcPr>
          <w:p>
            <w:pPr>
              <w:widowControl/>
              <w:jc w:val="right"/>
              <w:rPr>
                <w:rFonts w:ascii="仿宋_GB2312" w:hAnsi="Times New Roman" w:eastAsia="仿宋_GB2312"/>
                <w:kern w:val="0"/>
                <w:sz w:val="24"/>
                <w:szCs w:val="24"/>
              </w:rPr>
            </w:pPr>
            <w:r>
              <w:rPr>
                <w:rFonts w:hint="eastAsia" w:ascii="仿宋_GB2312" w:hAnsi="Times New Roman" w:eastAsia="仿宋_GB2312" w:cs="仿宋_GB2312"/>
                <w:kern w:val="0"/>
                <w:sz w:val="24"/>
                <w:szCs w:val="24"/>
              </w:rPr>
              <w:t>　</w:t>
            </w:r>
          </w:p>
        </w:tc>
        <w:tc>
          <w:tcPr>
            <w:tcW w:w="1155" w:type="dxa"/>
            <w:tcBorders>
              <w:top w:val="nil"/>
              <w:left w:val="nil"/>
              <w:bottom w:val="single" w:color="auto" w:sz="4" w:space="0"/>
              <w:right w:val="single" w:color="auto" w:sz="4" w:space="0"/>
            </w:tcBorders>
            <w:noWrap/>
            <w:vAlign w:val="center"/>
          </w:tcPr>
          <w:p>
            <w:pPr>
              <w:widowControl/>
              <w:jc w:val="right"/>
              <w:rPr>
                <w:rFonts w:ascii="仿宋_GB2312" w:hAnsi="Times New Roman" w:eastAsia="仿宋_GB2312"/>
                <w:kern w:val="0"/>
                <w:sz w:val="24"/>
                <w:szCs w:val="24"/>
              </w:rPr>
            </w:pPr>
            <w:r>
              <w:rPr>
                <w:rFonts w:hint="eastAsia" w:ascii="仿宋_GB2312" w:hAnsi="Times New Roman" w:eastAsia="仿宋_GB2312" w:cs="仿宋_GB2312"/>
                <w:kern w:val="0"/>
                <w:sz w:val="24"/>
                <w:szCs w:val="24"/>
              </w:rPr>
              <w:t>　</w:t>
            </w:r>
          </w:p>
        </w:tc>
        <w:tc>
          <w:tcPr>
            <w:tcW w:w="1260" w:type="dxa"/>
            <w:tcBorders>
              <w:top w:val="nil"/>
              <w:left w:val="nil"/>
              <w:bottom w:val="single" w:color="auto" w:sz="4" w:space="0"/>
              <w:right w:val="single" w:color="auto" w:sz="8" w:space="0"/>
            </w:tcBorders>
            <w:noWrap/>
            <w:vAlign w:val="center"/>
          </w:tcPr>
          <w:p>
            <w:pPr>
              <w:widowControl/>
              <w:jc w:val="right"/>
              <w:rPr>
                <w:rFonts w:ascii="仿宋_GB2312" w:hAnsi="Times New Roman" w:eastAsia="仿宋_GB2312"/>
                <w:kern w:val="0"/>
                <w:sz w:val="24"/>
                <w:szCs w:val="24"/>
              </w:rPr>
            </w:pPr>
            <w:r>
              <w:rPr>
                <w:rFonts w:hint="eastAsia" w:ascii="仿宋_GB2312" w:hAnsi="Times New Roman" w:eastAsia="仿宋_GB2312" w:cs="仿宋_GB2312"/>
                <w:kern w:val="0"/>
                <w:sz w:val="24"/>
                <w:szCs w:val="24"/>
              </w:rPr>
              <w:t>　</w:t>
            </w:r>
          </w:p>
        </w:tc>
      </w:tr>
      <w:tr>
        <w:tblPrEx>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8" w:space="0"/>
              <w:bottom w:val="single" w:color="auto" w:sz="8" w:space="0"/>
              <w:right w:val="single" w:color="auto" w:sz="4" w:space="0"/>
            </w:tcBorders>
            <w:noWrap/>
            <w:vAlign w:val="center"/>
          </w:tcPr>
          <w:p>
            <w:pPr>
              <w:keepNext w:val="0"/>
              <w:keepLines w:val="0"/>
              <w:widowControl/>
              <w:suppressLineNumbers w:val="0"/>
              <w:jc w:val="left"/>
              <w:textAlignment w:val="center"/>
              <w:rPr>
                <w:rFonts w:hint="default" w:ascii="仿宋_GB2312" w:hAnsi="仿宋_GB2312" w:eastAsia="仿宋_GB2312" w:cs="仿宋_GB2312"/>
                <w:kern w:val="0"/>
                <w:sz w:val="24"/>
                <w:szCs w:val="24"/>
                <w:lang w:val="en-US" w:eastAsia="zh-CN"/>
              </w:rPr>
            </w:pPr>
            <w:r>
              <w:rPr>
                <w:rFonts w:hint="eastAsia" w:ascii="宋体" w:hAnsi="宋体" w:eastAsia="宋体" w:cs="宋体"/>
                <w:i w:val="0"/>
                <w:color w:val="000000"/>
                <w:kern w:val="0"/>
                <w:sz w:val="22"/>
                <w:szCs w:val="22"/>
                <w:u w:val="none"/>
                <w:lang w:val="en-US" w:eastAsia="zh-CN" w:bidi="ar"/>
              </w:rPr>
              <w:t>2210201</w:t>
            </w:r>
          </w:p>
        </w:tc>
        <w:tc>
          <w:tcPr>
            <w:tcW w:w="3964" w:type="dxa"/>
            <w:tcBorders>
              <w:top w:val="nil"/>
              <w:left w:val="nil"/>
              <w:bottom w:val="single" w:color="auto" w:sz="8" w:space="0"/>
              <w:right w:val="single" w:color="auto" w:sz="4" w:space="0"/>
            </w:tcBorders>
            <w:noWrap/>
            <w:vAlign w:val="center"/>
          </w:tcPr>
          <w:p>
            <w:pPr>
              <w:keepNext w:val="0"/>
              <w:keepLines w:val="0"/>
              <w:widowControl/>
              <w:suppressLineNumbers w:val="0"/>
              <w:jc w:val="left"/>
              <w:textAlignment w:val="center"/>
              <w:rPr>
                <w:rFonts w:hint="default" w:ascii="仿宋_GB2312" w:hAnsi="仿宋_GB2312" w:eastAsia="仿宋_GB2312" w:cs="仿宋_GB2312"/>
                <w:kern w:val="0"/>
                <w:sz w:val="24"/>
                <w:szCs w:val="24"/>
                <w:lang w:val="en-US" w:eastAsia="zh-CN"/>
              </w:rPr>
            </w:pPr>
            <w:r>
              <w:rPr>
                <w:rFonts w:hint="eastAsia" w:ascii="宋体" w:hAnsi="宋体" w:eastAsia="宋体" w:cs="宋体"/>
                <w:i w:val="0"/>
                <w:color w:val="000000"/>
                <w:kern w:val="0"/>
                <w:sz w:val="22"/>
                <w:szCs w:val="22"/>
                <w:u w:val="none"/>
                <w:lang w:val="en-US" w:eastAsia="zh-CN" w:bidi="ar"/>
              </w:rPr>
              <w:t>住房公积金</w:t>
            </w:r>
          </w:p>
        </w:tc>
        <w:tc>
          <w:tcPr>
            <w:tcW w:w="1184" w:type="dxa"/>
            <w:tcBorders>
              <w:top w:val="nil"/>
              <w:left w:val="nil"/>
              <w:bottom w:val="single" w:color="auto" w:sz="8" w:space="0"/>
              <w:right w:val="single" w:color="auto" w:sz="4" w:space="0"/>
            </w:tcBorders>
            <w:noWrap/>
            <w:vAlign w:val="center"/>
          </w:tcPr>
          <w:p>
            <w:pPr>
              <w:keepNext w:val="0"/>
              <w:keepLines w:val="0"/>
              <w:widowControl/>
              <w:suppressLineNumbers w:val="0"/>
              <w:jc w:val="right"/>
              <w:textAlignment w:val="center"/>
              <w:rPr>
                <w:rFonts w:hint="default" w:ascii="仿宋_GB2312" w:hAnsi="仿宋_GB2312" w:eastAsia="仿宋_GB2312" w:cs="仿宋_GB2312"/>
                <w:kern w:val="0"/>
                <w:sz w:val="24"/>
                <w:szCs w:val="24"/>
                <w:lang w:val="en-US" w:eastAsia="zh-CN"/>
              </w:rPr>
            </w:pPr>
            <w:r>
              <w:rPr>
                <w:rFonts w:hint="eastAsia" w:ascii="宋体" w:hAnsi="宋体" w:eastAsia="宋体" w:cs="宋体"/>
                <w:i w:val="0"/>
                <w:color w:val="000000"/>
                <w:kern w:val="0"/>
                <w:sz w:val="22"/>
                <w:szCs w:val="22"/>
                <w:u w:val="none"/>
                <w:lang w:val="en-US" w:eastAsia="zh-CN" w:bidi="ar"/>
              </w:rPr>
              <w:t xml:space="preserve">68.00 </w:t>
            </w:r>
          </w:p>
        </w:tc>
        <w:tc>
          <w:tcPr>
            <w:tcW w:w="1184" w:type="dxa"/>
            <w:tcBorders>
              <w:top w:val="nil"/>
              <w:left w:val="nil"/>
              <w:bottom w:val="single" w:color="auto" w:sz="8" w:space="0"/>
              <w:right w:val="single" w:color="auto" w:sz="4" w:space="0"/>
            </w:tcBorders>
            <w:noWrap/>
            <w:vAlign w:val="center"/>
          </w:tcPr>
          <w:p>
            <w:pPr>
              <w:keepNext w:val="0"/>
              <w:keepLines w:val="0"/>
              <w:widowControl/>
              <w:suppressLineNumbers w:val="0"/>
              <w:jc w:val="right"/>
              <w:textAlignment w:val="center"/>
              <w:rPr>
                <w:rFonts w:hint="default" w:ascii="仿宋_GB2312" w:hAnsi="仿宋_GB2312" w:eastAsia="仿宋_GB2312" w:cs="仿宋_GB2312"/>
                <w:kern w:val="0"/>
                <w:sz w:val="24"/>
                <w:szCs w:val="24"/>
                <w:lang w:val="en-US" w:eastAsia="zh-CN"/>
              </w:rPr>
            </w:pPr>
            <w:r>
              <w:rPr>
                <w:rFonts w:hint="eastAsia" w:ascii="宋体" w:hAnsi="宋体" w:eastAsia="宋体" w:cs="宋体"/>
                <w:i w:val="0"/>
                <w:color w:val="000000"/>
                <w:kern w:val="0"/>
                <w:sz w:val="22"/>
                <w:szCs w:val="22"/>
                <w:u w:val="none"/>
                <w:lang w:val="en-US" w:eastAsia="zh-CN" w:bidi="ar"/>
              </w:rPr>
              <w:t>68.00</w:t>
            </w:r>
          </w:p>
        </w:tc>
        <w:tc>
          <w:tcPr>
            <w:tcW w:w="1227" w:type="dxa"/>
            <w:tcBorders>
              <w:top w:val="nil"/>
              <w:left w:val="nil"/>
              <w:bottom w:val="single" w:color="auto" w:sz="8" w:space="0"/>
              <w:right w:val="single" w:color="auto" w:sz="4" w:space="0"/>
            </w:tcBorders>
            <w:noWrap/>
            <w:vAlign w:val="center"/>
          </w:tcPr>
          <w:p>
            <w:pPr>
              <w:widowControl/>
              <w:jc w:val="right"/>
              <w:rPr>
                <w:rFonts w:ascii="仿宋_GB2312" w:hAnsi="Times New Roman" w:eastAsia="仿宋_GB2312"/>
                <w:kern w:val="0"/>
                <w:sz w:val="24"/>
                <w:szCs w:val="24"/>
              </w:rPr>
            </w:pPr>
          </w:p>
        </w:tc>
        <w:tc>
          <w:tcPr>
            <w:tcW w:w="1260" w:type="dxa"/>
            <w:tcBorders>
              <w:top w:val="nil"/>
              <w:left w:val="nil"/>
              <w:bottom w:val="single" w:color="auto" w:sz="8" w:space="0"/>
              <w:right w:val="single" w:color="auto" w:sz="4" w:space="0"/>
            </w:tcBorders>
            <w:noWrap/>
            <w:vAlign w:val="center"/>
          </w:tcPr>
          <w:p>
            <w:pPr>
              <w:widowControl/>
              <w:jc w:val="right"/>
              <w:rPr>
                <w:rFonts w:ascii="仿宋_GB2312" w:hAnsi="Times New Roman" w:eastAsia="仿宋_GB2312"/>
                <w:kern w:val="0"/>
                <w:sz w:val="24"/>
                <w:szCs w:val="24"/>
              </w:rPr>
            </w:pPr>
          </w:p>
        </w:tc>
        <w:tc>
          <w:tcPr>
            <w:tcW w:w="1155" w:type="dxa"/>
            <w:tcBorders>
              <w:top w:val="nil"/>
              <w:left w:val="nil"/>
              <w:bottom w:val="single" w:color="auto" w:sz="8" w:space="0"/>
              <w:right w:val="single" w:color="auto" w:sz="4" w:space="0"/>
            </w:tcBorders>
            <w:noWrap/>
            <w:vAlign w:val="center"/>
          </w:tcPr>
          <w:p>
            <w:pPr>
              <w:widowControl/>
              <w:jc w:val="right"/>
              <w:rPr>
                <w:rFonts w:ascii="仿宋_GB2312" w:hAnsi="Times New Roman" w:eastAsia="仿宋_GB2312"/>
                <w:kern w:val="0"/>
                <w:sz w:val="24"/>
                <w:szCs w:val="24"/>
              </w:rPr>
            </w:pPr>
          </w:p>
        </w:tc>
        <w:tc>
          <w:tcPr>
            <w:tcW w:w="1155" w:type="dxa"/>
            <w:tcBorders>
              <w:top w:val="nil"/>
              <w:left w:val="nil"/>
              <w:bottom w:val="single" w:color="auto" w:sz="8" w:space="0"/>
              <w:right w:val="single" w:color="auto" w:sz="4" w:space="0"/>
            </w:tcBorders>
            <w:noWrap/>
            <w:vAlign w:val="center"/>
          </w:tcPr>
          <w:p>
            <w:pPr>
              <w:widowControl/>
              <w:jc w:val="right"/>
              <w:rPr>
                <w:rFonts w:ascii="仿宋_GB2312" w:hAnsi="Times New Roman" w:eastAsia="仿宋_GB2312"/>
                <w:kern w:val="0"/>
                <w:sz w:val="24"/>
                <w:szCs w:val="24"/>
              </w:rPr>
            </w:pPr>
          </w:p>
        </w:tc>
        <w:tc>
          <w:tcPr>
            <w:tcW w:w="1260" w:type="dxa"/>
            <w:tcBorders>
              <w:top w:val="nil"/>
              <w:left w:val="nil"/>
              <w:bottom w:val="single" w:color="auto" w:sz="8" w:space="0"/>
              <w:right w:val="single" w:color="auto" w:sz="8" w:space="0"/>
            </w:tcBorders>
            <w:noWrap/>
            <w:vAlign w:val="center"/>
          </w:tcPr>
          <w:p>
            <w:pPr>
              <w:widowControl/>
              <w:jc w:val="right"/>
              <w:rPr>
                <w:rFonts w:ascii="仿宋_GB2312" w:hAnsi="Times New Roman" w:eastAsia="仿宋_GB2312"/>
                <w:kern w:val="0"/>
                <w:sz w:val="24"/>
                <w:szCs w:val="24"/>
              </w:rPr>
            </w:pPr>
          </w:p>
        </w:tc>
      </w:tr>
      <w:tr>
        <w:tblPrEx>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8" w:space="0"/>
              <w:bottom w:val="single" w:color="auto" w:sz="8" w:space="0"/>
              <w:right w:val="single" w:color="auto"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b/>
                <w:bCs/>
                <w:kern w:val="0"/>
                <w:sz w:val="24"/>
                <w:szCs w:val="24"/>
              </w:rPr>
            </w:pPr>
            <w:r>
              <w:rPr>
                <w:rFonts w:hint="eastAsia" w:ascii="宋体" w:hAnsi="宋体" w:eastAsia="宋体" w:cs="宋体"/>
                <w:i w:val="0"/>
                <w:color w:val="000000"/>
                <w:kern w:val="0"/>
                <w:sz w:val="22"/>
                <w:szCs w:val="22"/>
                <w:u w:val="none"/>
                <w:lang w:val="en-US" w:eastAsia="zh-CN" w:bidi="ar"/>
              </w:rPr>
              <w:t>2210203</w:t>
            </w:r>
          </w:p>
        </w:tc>
        <w:tc>
          <w:tcPr>
            <w:tcW w:w="3964" w:type="dxa"/>
            <w:tcBorders>
              <w:top w:val="nil"/>
              <w:left w:val="nil"/>
              <w:bottom w:val="single" w:color="auto" w:sz="8" w:space="0"/>
              <w:right w:val="single" w:color="auto"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b/>
                <w:bCs/>
                <w:kern w:val="0"/>
                <w:sz w:val="24"/>
                <w:szCs w:val="24"/>
              </w:rPr>
            </w:pPr>
            <w:r>
              <w:rPr>
                <w:rFonts w:hint="eastAsia" w:ascii="宋体" w:hAnsi="宋体" w:eastAsia="宋体" w:cs="宋体"/>
                <w:i w:val="0"/>
                <w:color w:val="000000"/>
                <w:kern w:val="0"/>
                <w:sz w:val="22"/>
                <w:szCs w:val="22"/>
                <w:u w:val="none"/>
                <w:lang w:val="en-US" w:eastAsia="zh-CN" w:bidi="ar"/>
              </w:rPr>
              <w:t>购房补贴</w:t>
            </w:r>
          </w:p>
        </w:tc>
        <w:tc>
          <w:tcPr>
            <w:tcW w:w="1184" w:type="dxa"/>
            <w:tcBorders>
              <w:top w:val="nil"/>
              <w:left w:val="nil"/>
              <w:bottom w:val="single" w:color="auto" w:sz="8" w:space="0"/>
              <w:right w:val="single" w:color="auto" w:sz="4" w:space="0"/>
            </w:tcBorders>
            <w:noWrap/>
            <w:vAlign w:val="center"/>
          </w:tcPr>
          <w:p>
            <w:pPr>
              <w:keepNext w:val="0"/>
              <w:keepLines w:val="0"/>
              <w:widowControl/>
              <w:suppressLineNumbers w:val="0"/>
              <w:jc w:val="right"/>
              <w:textAlignment w:val="center"/>
              <w:rPr>
                <w:rFonts w:hint="default" w:ascii="仿宋_GB2312" w:hAnsi="仿宋_GB2312" w:eastAsia="仿宋_GB2312" w:cs="仿宋_GB2312"/>
                <w:b/>
                <w:bCs/>
                <w:kern w:val="0"/>
                <w:sz w:val="24"/>
                <w:szCs w:val="24"/>
                <w:lang w:val="en-US" w:eastAsia="zh-CN"/>
              </w:rPr>
            </w:pPr>
            <w:r>
              <w:rPr>
                <w:rFonts w:hint="eastAsia" w:ascii="宋体" w:hAnsi="宋体" w:eastAsia="宋体" w:cs="宋体"/>
                <w:i w:val="0"/>
                <w:color w:val="000000"/>
                <w:kern w:val="0"/>
                <w:sz w:val="22"/>
                <w:szCs w:val="22"/>
                <w:u w:val="none"/>
                <w:lang w:val="en-US" w:eastAsia="zh-CN" w:bidi="ar"/>
              </w:rPr>
              <w:t xml:space="preserve">34.00 </w:t>
            </w:r>
          </w:p>
        </w:tc>
        <w:tc>
          <w:tcPr>
            <w:tcW w:w="1184" w:type="dxa"/>
            <w:tcBorders>
              <w:top w:val="nil"/>
              <w:left w:val="nil"/>
              <w:bottom w:val="single" w:color="auto" w:sz="8" w:space="0"/>
              <w:right w:val="single" w:color="auto" w:sz="4" w:space="0"/>
            </w:tcBorders>
            <w:noWrap/>
            <w:vAlign w:val="center"/>
          </w:tcPr>
          <w:p>
            <w:pPr>
              <w:keepNext w:val="0"/>
              <w:keepLines w:val="0"/>
              <w:widowControl/>
              <w:suppressLineNumbers w:val="0"/>
              <w:jc w:val="right"/>
              <w:textAlignment w:val="center"/>
              <w:rPr>
                <w:rFonts w:hint="default" w:ascii="仿宋_GB2312" w:hAnsi="仿宋_GB2312" w:eastAsia="仿宋_GB2312" w:cs="仿宋_GB2312"/>
                <w:b/>
                <w:bCs/>
                <w:kern w:val="0"/>
                <w:sz w:val="24"/>
                <w:szCs w:val="24"/>
                <w:lang w:val="en-US" w:eastAsia="zh-CN"/>
              </w:rPr>
            </w:pPr>
            <w:r>
              <w:rPr>
                <w:rFonts w:hint="eastAsia" w:ascii="宋体" w:hAnsi="宋体" w:eastAsia="宋体" w:cs="宋体"/>
                <w:i w:val="0"/>
                <w:color w:val="000000"/>
                <w:kern w:val="0"/>
                <w:sz w:val="22"/>
                <w:szCs w:val="22"/>
                <w:u w:val="none"/>
                <w:lang w:val="en-US" w:eastAsia="zh-CN" w:bidi="ar"/>
              </w:rPr>
              <w:t>34.00</w:t>
            </w:r>
          </w:p>
        </w:tc>
        <w:tc>
          <w:tcPr>
            <w:tcW w:w="1227" w:type="dxa"/>
            <w:tcBorders>
              <w:top w:val="nil"/>
              <w:left w:val="nil"/>
              <w:bottom w:val="single" w:color="auto" w:sz="8" w:space="0"/>
              <w:right w:val="single" w:color="auto" w:sz="4" w:space="0"/>
            </w:tcBorders>
            <w:noWrap/>
            <w:vAlign w:val="center"/>
          </w:tcPr>
          <w:p>
            <w:pPr>
              <w:widowControl/>
              <w:jc w:val="right"/>
              <w:rPr>
                <w:rFonts w:ascii="仿宋_GB2312" w:hAnsi="Times New Roman" w:eastAsia="仿宋_GB2312"/>
                <w:kern w:val="0"/>
                <w:sz w:val="24"/>
                <w:szCs w:val="24"/>
              </w:rPr>
            </w:pPr>
          </w:p>
        </w:tc>
        <w:tc>
          <w:tcPr>
            <w:tcW w:w="1260" w:type="dxa"/>
            <w:tcBorders>
              <w:top w:val="nil"/>
              <w:left w:val="nil"/>
              <w:bottom w:val="single" w:color="auto" w:sz="8" w:space="0"/>
              <w:right w:val="single" w:color="auto" w:sz="4" w:space="0"/>
            </w:tcBorders>
            <w:noWrap/>
            <w:vAlign w:val="center"/>
          </w:tcPr>
          <w:p>
            <w:pPr>
              <w:widowControl/>
              <w:jc w:val="right"/>
              <w:rPr>
                <w:rFonts w:ascii="仿宋_GB2312" w:hAnsi="Times New Roman" w:eastAsia="仿宋_GB2312"/>
                <w:kern w:val="0"/>
                <w:sz w:val="24"/>
                <w:szCs w:val="24"/>
              </w:rPr>
            </w:pPr>
          </w:p>
        </w:tc>
        <w:tc>
          <w:tcPr>
            <w:tcW w:w="1155" w:type="dxa"/>
            <w:tcBorders>
              <w:top w:val="nil"/>
              <w:left w:val="nil"/>
              <w:bottom w:val="single" w:color="auto" w:sz="8" w:space="0"/>
              <w:right w:val="single" w:color="auto" w:sz="4" w:space="0"/>
            </w:tcBorders>
            <w:noWrap/>
            <w:vAlign w:val="center"/>
          </w:tcPr>
          <w:p>
            <w:pPr>
              <w:widowControl/>
              <w:jc w:val="right"/>
              <w:rPr>
                <w:rFonts w:ascii="仿宋_GB2312" w:hAnsi="Times New Roman" w:eastAsia="仿宋_GB2312"/>
                <w:kern w:val="0"/>
                <w:sz w:val="24"/>
                <w:szCs w:val="24"/>
              </w:rPr>
            </w:pPr>
          </w:p>
        </w:tc>
        <w:tc>
          <w:tcPr>
            <w:tcW w:w="1155" w:type="dxa"/>
            <w:tcBorders>
              <w:top w:val="nil"/>
              <w:left w:val="nil"/>
              <w:bottom w:val="single" w:color="auto" w:sz="8" w:space="0"/>
              <w:right w:val="single" w:color="auto" w:sz="4" w:space="0"/>
            </w:tcBorders>
            <w:noWrap/>
            <w:vAlign w:val="center"/>
          </w:tcPr>
          <w:p>
            <w:pPr>
              <w:widowControl/>
              <w:jc w:val="right"/>
              <w:rPr>
                <w:rFonts w:ascii="仿宋_GB2312" w:hAnsi="Times New Roman" w:eastAsia="仿宋_GB2312"/>
                <w:kern w:val="0"/>
                <w:sz w:val="24"/>
                <w:szCs w:val="24"/>
              </w:rPr>
            </w:pPr>
          </w:p>
        </w:tc>
        <w:tc>
          <w:tcPr>
            <w:tcW w:w="1260" w:type="dxa"/>
            <w:tcBorders>
              <w:top w:val="nil"/>
              <w:left w:val="nil"/>
              <w:bottom w:val="single" w:color="auto" w:sz="8" w:space="0"/>
              <w:right w:val="single" w:color="auto" w:sz="8" w:space="0"/>
            </w:tcBorders>
            <w:noWrap/>
            <w:vAlign w:val="center"/>
          </w:tcPr>
          <w:p>
            <w:pPr>
              <w:widowControl/>
              <w:jc w:val="right"/>
              <w:rPr>
                <w:rFonts w:ascii="仿宋_GB2312" w:hAnsi="Times New Roman" w:eastAsia="仿宋_GB2312"/>
                <w:kern w:val="0"/>
                <w:sz w:val="24"/>
                <w:szCs w:val="24"/>
              </w:rPr>
            </w:pPr>
          </w:p>
        </w:tc>
      </w:tr>
      <w:tr>
        <w:tblPrEx>
          <w:tblCellMar>
            <w:top w:w="0" w:type="dxa"/>
            <w:left w:w="108" w:type="dxa"/>
            <w:bottom w:w="0" w:type="dxa"/>
            <w:right w:w="108" w:type="dxa"/>
          </w:tblCellMar>
        </w:tblPrEx>
        <w:trPr>
          <w:trHeight w:val="420" w:hRule="atLeast"/>
          <w:jc w:val="center"/>
        </w:trPr>
        <w:tc>
          <w:tcPr>
            <w:tcW w:w="13586" w:type="dxa"/>
            <w:gridSpan w:val="9"/>
            <w:tcBorders>
              <w:top w:val="single" w:color="auto" w:sz="8" w:space="0"/>
              <w:left w:val="nil"/>
              <w:bottom w:val="nil"/>
              <w:right w:val="nil"/>
            </w:tcBorders>
            <w:vAlign w:val="center"/>
          </w:tcPr>
          <w:p>
            <w:pPr>
              <w:widowControl/>
              <w:jc w:val="left"/>
              <w:rPr>
                <w:rFonts w:ascii="Times New Roman" w:hAnsi="Times New Roman" w:eastAsia="仿宋_GB2312"/>
                <w:kern w:val="0"/>
                <w:sz w:val="24"/>
                <w:szCs w:val="24"/>
              </w:rPr>
            </w:pPr>
            <w:r>
              <w:rPr>
                <w:rFonts w:hint="eastAsia" w:ascii="Times New Roman" w:hAnsi="Times New Roman" w:eastAsia="仿宋_GB2312" w:cs="仿宋_GB2312"/>
                <w:kern w:val="0"/>
                <w:sz w:val="24"/>
                <w:szCs w:val="24"/>
              </w:rPr>
              <w:t>注：本表反映部门本年度取得的各项收入情况。</w:t>
            </w:r>
          </w:p>
        </w:tc>
      </w:tr>
    </w:tbl>
    <w:p>
      <w:pPr>
        <w:widowControl/>
        <w:jc w:val="both"/>
        <w:rPr>
          <w:rFonts w:ascii="Times New Roman" w:hAnsi="Times New Roman" w:eastAsia="黑体"/>
          <w:kern w:val="0"/>
          <w:sz w:val="24"/>
          <w:szCs w:val="24"/>
        </w:rPr>
      </w:pPr>
      <w:r>
        <w:rPr>
          <w:rFonts w:ascii="Times New Roman" w:hAnsi="Times New Roman" w:eastAsia="黑体"/>
          <w:kern w:val="0"/>
          <w:sz w:val="24"/>
          <w:szCs w:val="24"/>
        </w:rPr>
        <w:br w:type="page"/>
      </w:r>
    </w:p>
    <w:p>
      <w:pPr>
        <w:widowControl/>
        <w:jc w:val="center"/>
        <w:rPr>
          <w:rFonts w:ascii="黑体" w:hAnsi="黑体" w:eastAsia="黑体"/>
          <w:sz w:val="36"/>
          <w:szCs w:val="36"/>
        </w:rPr>
      </w:pPr>
      <w:r>
        <w:rPr>
          <w:rFonts w:hint="eastAsia" w:ascii="黑体" w:hAnsi="黑体" w:eastAsia="黑体" w:cs="黑体"/>
          <w:sz w:val="36"/>
          <w:szCs w:val="36"/>
        </w:rPr>
        <w:t>支出决算表</w:t>
      </w:r>
    </w:p>
    <w:p>
      <w:pPr>
        <w:widowControl/>
        <w:spacing w:line="400" w:lineRule="exact"/>
        <w:ind w:firstLine="1928" w:firstLineChars="800"/>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b/>
          <w:bCs/>
          <w:color w:val="000000"/>
          <w:kern w:val="0"/>
          <w:sz w:val="24"/>
          <w:szCs w:val="24"/>
        </w:rPr>
        <w:t xml:space="preserve">部门：湖南省人民政府驻上海办事处 </w:t>
      </w:r>
      <w:r>
        <w:rPr>
          <w:rFonts w:hint="eastAsia" w:ascii="仿宋_GB2312" w:hAnsi="仿宋_GB2312" w:eastAsia="仿宋_GB2312" w:cs="仿宋_GB2312"/>
          <w:color w:val="000000"/>
          <w:kern w:val="0"/>
          <w:sz w:val="24"/>
          <w:szCs w:val="24"/>
        </w:rPr>
        <w:t xml:space="preserve">                                                     公开03表</w:t>
      </w:r>
    </w:p>
    <w:p>
      <w:pPr>
        <w:widowControl/>
        <w:spacing w:line="400" w:lineRule="exact"/>
        <w:ind w:right="1500" w:firstLine="12240" w:firstLineChars="5100"/>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单位：万元</w:t>
      </w:r>
    </w:p>
    <w:tbl>
      <w:tblPr>
        <w:tblStyle w:val="11"/>
        <w:tblW w:w="13083"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937"/>
        <w:gridCol w:w="3852"/>
        <w:gridCol w:w="1374"/>
        <w:gridCol w:w="1337"/>
        <w:gridCol w:w="1260"/>
        <w:gridCol w:w="1260"/>
        <w:gridCol w:w="1050"/>
        <w:gridCol w:w="101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5789" w:type="dxa"/>
            <w:gridSpan w:val="2"/>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项    目</w:t>
            </w:r>
          </w:p>
        </w:tc>
        <w:tc>
          <w:tcPr>
            <w:tcW w:w="1374" w:type="dxa"/>
            <w:vMerge w:val="restart"/>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本年支出合计</w:t>
            </w:r>
          </w:p>
        </w:tc>
        <w:tc>
          <w:tcPr>
            <w:tcW w:w="1337" w:type="dxa"/>
            <w:vMerge w:val="restart"/>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基本支出</w:t>
            </w:r>
          </w:p>
        </w:tc>
        <w:tc>
          <w:tcPr>
            <w:tcW w:w="1260" w:type="dxa"/>
            <w:vMerge w:val="restart"/>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项目支出</w:t>
            </w:r>
          </w:p>
        </w:tc>
        <w:tc>
          <w:tcPr>
            <w:tcW w:w="1260" w:type="dxa"/>
            <w:vMerge w:val="restart"/>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上缴上级支出</w:t>
            </w:r>
          </w:p>
        </w:tc>
        <w:tc>
          <w:tcPr>
            <w:tcW w:w="1050" w:type="dxa"/>
            <w:vMerge w:val="restart"/>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经营支出</w:t>
            </w:r>
          </w:p>
        </w:tc>
        <w:tc>
          <w:tcPr>
            <w:tcW w:w="1013" w:type="dxa"/>
            <w:vMerge w:val="restart"/>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对附属单位补助支出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937" w:type="dxa"/>
            <w:vMerge w:val="restart"/>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功能分类科目编码</w:t>
            </w:r>
          </w:p>
        </w:tc>
        <w:tc>
          <w:tcPr>
            <w:tcW w:w="3852" w:type="dxa"/>
            <w:vMerge w:val="restart"/>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科目名称</w:t>
            </w:r>
          </w:p>
        </w:tc>
        <w:tc>
          <w:tcPr>
            <w:tcW w:w="1374" w:type="dxa"/>
            <w:vMerge w:val="continue"/>
            <w:vAlign w:val="center"/>
          </w:tcPr>
          <w:p>
            <w:pPr>
              <w:widowControl/>
              <w:jc w:val="left"/>
              <w:rPr>
                <w:rFonts w:hint="eastAsia" w:ascii="仿宋_GB2312" w:hAnsi="仿宋_GB2312" w:eastAsia="仿宋_GB2312" w:cs="仿宋_GB2312"/>
                <w:kern w:val="0"/>
                <w:sz w:val="24"/>
                <w:szCs w:val="24"/>
              </w:rPr>
            </w:pPr>
          </w:p>
        </w:tc>
        <w:tc>
          <w:tcPr>
            <w:tcW w:w="1337" w:type="dxa"/>
            <w:vMerge w:val="continue"/>
            <w:vAlign w:val="center"/>
          </w:tcPr>
          <w:p>
            <w:pPr>
              <w:widowControl/>
              <w:jc w:val="left"/>
              <w:rPr>
                <w:rFonts w:hint="eastAsia" w:ascii="仿宋_GB2312" w:hAnsi="仿宋_GB2312" w:eastAsia="仿宋_GB2312" w:cs="仿宋_GB2312"/>
                <w:kern w:val="0"/>
                <w:sz w:val="24"/>
                <w:szCs w:val="24"/>
              </w:rPr>
            </w:pPr>
          </w:p>
        </w:tc>
        <w:tc>
          <w:tcPr>
            <w:tcW w:w="1260" w:type="dxa"/>
            <w:vMerge w:val="continue"/>
            <w:vAlign w:val="center"/>
          </w:tcPr>
          <w:p>
            <w:pPr>
              <w:widowControl/>
              <w:jc w:val="left"/>
              <w:rPr>
                <w:rFonts w:hint="eastAsia" w:ascii="仿宋_GB2312" w:hAnsi="仿宋_GB2312" w:eastAsia="仿宋_GB2312" w:cs="仿宋_GB2312"/>
                <w:kern w:val="0"/>
                <w:sz w:val="24"/>
                <w:szCs w:val="24"/>
              </w:rPr>
            </w:pPr>
          </w:p>
        </w:tc>
        <w:tc>
          <w:tcPr>
            <w:tcW w:w="1260" w:type="dxa"/>
            <w:vMerge w:val="continue"/>
            <w:vAlign w:val="center"/>
          </w:tcPr>
          <w:p>
            <w:pPr>
              <w:widowControl/>
              <w:jc w:val="left"/>
              <w:rPr>
                <w:rFonts w:hint="eastAsia" w:ascii="仿宋_GB2312" w:hAnsi="仿宋_GB2312" w:eastAsia="仿宋_GB2312" w:cs="仿宋_GB2312"/>
                <w:kern w:val="0"/>
                <w:sz w:val="24"/>
                <w:szCs w:val="24"/>
              </w:rPr>
            </w:pPr>
          </w:p>
        </w:tc>
        <w:tc>
          <w:tcPr>
            <w:tcW w:w="1050" w:type="dxa"/>
            <w:vMerge w:val="continue"/>
            <w:vAlign w:val="center"/>
          </w:tcPr>
          <w:p>
            <w:pPr>
              <w:widowControl/>
              <w:jc w:val="left"/>
              <w:rPr>
                <w:rFonts w:hint="eastAsia" w:ascii="仿宋_GB2312" w:hAnsi="仿宋_GB2312" w:eastAsia="仿宋_GB2312" w:cs="仿宋_GB2312"/>
                <w:kern w:val="0"/>
                <w:sz w:val="24"/>
                <w:szCs w:val="24"/>
              </w:rPr>
            </w:pPr>
          </w:p>
        </w:tc>
        <w:tc>
          <w:tcPr>
            <w:tcW w:w="1013" w:type="dxa"/>
            <w:vMerge w:val="continue"/>
            <w:vAlign w:val="center"/>
          </w:tcPr>
          <w:p>
            <w:pPr>
              <w:widowControl/>
              <w:jc w:val="left"/>
              <w:rPr>
                <w:rFonts w:hint="eastAsia" w:ascii="仿宋_GB2312" w:hAnsi="仿宋_GB2312" w:eastAsia="仿宋_GB2312" w:cs="仿宋_GB2312"/>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937" w:type="dxa"/>
            <w:vMerge w:val="continue"/>
            <w:vAlign w:val="center"/>
          </w:tcPr>
          <w:p>
            <w:pPr>
              <w:widowControl/>
              <w:jc w:val="left"/>
              <w:rPr>
                <w:rFonts w:hint="eastAsia" w:ascii="仿宋_GB2312" w:hAnsi="仿宋_GB2312" w:eastAsia="仿宋_GB2312" w:cs="仿宋_GB2312"/>
                <w:kern w:val="0"/>
                <w:sz w:val="24"/>
                <w:szCs w:val="24"/>
              </w:rPr>
            </w:pPr>
          </w:p>
        </w:tc>
        <w:tc>
          <w:tcPr>
            <w:tcW w:w="3852" w:type="dxa"/>
            <w:vMerge w:val="continue"/>
            <w:vAlign w:val="center"/>
          </w:tcPr>
          <w:p>
            <w:pPr>
              <w:widowControl/>
              <w:jc w:val="left"/>
              <w:rPr>
                <w:rFonts w:hint="eastAsia" w:ascii="仿宋_GB2312" w:hAnsi="仿宋_GB2312" w:eastAsia="仿宋_GB2312" w:cs="仿宋_GB2312"/>
                <w:kern w:val="0"/>
                <w:sz w:val="24"/>
                <w:szCs w:val="24"/>
              </w:rPr>
            </w:pPr>
          </w:p>
        </w:tc>
        <w:tc>
          <w:tcPr>
            <w:tcW w:w="1374" w:type="dxa"/>
            <w:vMerge w:val="continue"/>
            <w:vAlign w:val="center"/>
          </w:tcPr>
          <w:p>
            <w:pPr>
              <w:widowControl/>
              <w:jc w:val="left"/>
              <w:rPr>
                <w:rFonts w:hint="eastAsia" w:ascii="仿宋_GB2312" w:hAnsi="仿宋_GB2312" w:eastAsia="仿宋_GB2312" w:cs="仿宋_GB2312"/>
                <w:kern w:val="0"/>
                <w:sz w:val="24"/>
                <w:szCs w:val="24"/>
              </w:rPr>
            </w:pPr>
          </w:p>
        </w:tc>
        <w:tc>
          <w:tcPr>
            <w:tcW w:w="1337" w:type="dxa"/>
            <w:vMerge w:val="continue"/>
            <w:vAlign w:val="center"/>
          </w:tcPr>
          <w:p>
            <w:pPr>
              <w:widowControl/>
              <w:jc w:val="left"/>
              <w:rPr>
                <w:rFonts w:hint="eastAsia" w:ascii="仿宋_GB2312" w:hAnsi="仿宋_GB2312" w:eastAsia="仿宋_GB2312" w:cs="仿宋_GB2312"/>
                <w:kern w:val="0"/>
                <w:sz w:val="24"/>
                <w:szCs w:val="24"/>
              </w:rPr>
            </w:pPr>
          </w:p>
        </w:tc>
        <w:tc>
          <w:tcPr>
            <w:tcW w:w="1260" w:type="dxa"/>
            <w:vMerge w:val="continue"/>
            <w:vAlign w:val="center"/>
          </w:tcPr>
          <w:p>
            <w:pPr>
              <w:widowControl/>
              <w:jc w:val="left"/>
              <w:rPr>
                <w:rFonts w:hint="eastAsia" w:ascii="仿宋_GB2312" w:hAnsi="仿宋_GB2312" w:eastAsia="仿宋_GB2312" w:cs="仿宋_GB2312"/>
                <w:kern w:val="0"/>
                <w:sz w:val="24"/>
                <w:szCs w:val="24"/>
              </w:rPr>
            </w:pPr>
          </w:p>
        </w:tc>
        <w:tc>
          <w:tcPr>
            <w:tcW w:w="1260" w:type="dxa"/>
            <w:vMerge w:val="continue"/>
            <w:vAlign w:val="center"/>
          </w:tcPr>
          <w:p>
            <w:pPr>
              <w:widowControl/>
              <w:jc w:val="left"/>
              <w:rPr>
                <w:rFonts w:hint="eastAsia" w:ascii="仿宋_GB2312" w:hAnsi="仿宋_GB2312" w:eastAsia="仿宋_GB2312" w:cs="仿宋_GB2312"/>
                <w:kern w:val="0"/>
                <w:sz w:val="24"/>
                <w:szCs w:val="24"/>
              </w:rPr>
            </w:pPr>
          </w:p>
        </w:tc>
        <w:tc>
          <w:tcPr>
            <w:tcW w:w="1050" w:type="dxa"/>
            <w:vMerge w:val="continue"/>
            <w:vAlign w:val="center"/>
          </w:tcPr>
          <w:p>
            <w:pPr>
              <w:widowControl/>
              <w:jc w:val="left"/>
              <w:rPr>
                <w:rFonts w:hint="eastAsia" w:ascii="仿宋_GB2312" w:hAnsi="仿宋_GB2312" w:eastAsia="仿宋_GB2312" w:cs="仿宋_GB2312"/>
                <w:kern w:val="0"/>
                <w:sz w:val="24"/>
                <w:szCs w:val="24"/>
              </w:rPr>
            </w:pPr>
          </w:p>
        </w:tc>
        <w:tc>
          <w:tcPr>
            <w:tcW w:w="1013" w:type="dxa"/>
            <w:vMerge w:val="continue"/>
            <w:vAlign w:val="center"/>
          </w:tcPr>
          <w:p>
            <w:pPr>
              <w:widowControl/>
              <w:jc w:val="left"/>
              <w:rPr>
                <w:rFonts w:hint="eastAsia" w:ascii="仿宋_GB2312" w:hAnsi="仿宋_GB2312" w:eastAsia="仿宋_GB2312" w:cs="仿宋_GB2312"/>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5789" w:type="dxa"/>
            <w:gridSpan w:val="2"/>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栏次</w:t>
            </w:r>
          </w:p>
        </w:tc>
        <w:tc>
          <w:tcPr>
            <w:tcW w:w="1374"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p>
        </w:tc>
        <w:tc>
          <w:tcPr>
            <w:tcW w:w="1337"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w:t>
            </w:r>
          </w:p>
        </w:tc>
        <w:tc>
          <w:tcPr>
            <w:tcW w:w="1260"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w:t>
            </w:r>
          </w:p>
        </w:tc>
        <w:tc>
          <w:tcPr>
            <w:tcW w:w="1260"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w:t>
            </w:r>
          </w:p>
        </w:tc>
        <w:tc>
          <w:tcPr>
            <w:tcW w:w="1050"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w:t>
            </w:r>
          </w:p>
        </w:tc>
        <w:tc>
          <w:tcPr>
            <w:tcW w:w="1013"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5789" w:type="dxa"/>
            <w:gridSpan w:val="2"/>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合计</w:t>
            </w:r>
          </w:p>
        </w:tc>
        <w:tc>
          <w:tcPr>
            <w:tcW w:w="1374" w:type="dxa"/>
            <w:noWrap/>
            <w:vAlign w:val="center"/>
          </w:tcPr>
          <w:p>
            <w:pPr>
              <w:keepNext w:val="0"/>
              <w:keepLines w:val="0"/>
              <w:widowControl/>
              <w:suppressLineNumbers w:val="0"/>
              <w:jc w:val="right"/>
              <w:textAlignment w:val="center"/>
              <w:rPr>
                <w:rFonts w:hint="eastAsia" w:ascii="仿宋_GB2312" w:hAnsi="仿宋_GB2312" w:eastAsia="仿宋_GB2312" w:cs="仿宋_GB2312"/>
                <w:b/>
                <w:bCs/>
                <w:kern w:val="0"/>
                <w:sz w:val="24"/>
                <w:szCs w:val="24"/>
              </w:rPr>
            </w:pPr>
            <w:r>
              <w:rPr>
                <w:rFonts w:hint="eastAsia" w:ascii="宋体" w:hAnsi="宋体" w:eastAsia="宋体" w:cs="宋体"/>
                <w:b/>
                <w:i w:val="0"/>
                <w:color w:val="000000"/>
                <w:kern w:val="0"/>
                <w:sz w:val="22"/>
                <w:szCs w:val="22"/>
                <w:u w:val="none"/>
                <w:lang w:val="en-US" w:eastAsia="zh-CN" w:bidi="ar"/>
              </w:rPr>
              <w:t xml:space="preserve">1,273.73 </w:t>
            </w:r>
          </w:p>
        </w:tc>
        <w:tc>
          <w:tcPr>
            <w:tcW w:w="1337" w:type="dxa"/>
            <w:noWrap/>
            <w:vAlign w:val="center"/>
          </w:tcPr>
          <w:p>
            <w:pPr>
              <w:keepNext w:val="0"/>
              <w:keepLines w:val="0"/>
              <w:widowControl/>
              <w:suppressLineNumbers w:val="0"/>
              <w:jc w:val="right"/>
              <w:textAlignment w:val="center"/>
              <w:rPr>
                <w:rFonts w:hint="eastAsia" w:ascii="仿宋_GB2312" w:hAnsi="仿宋_GB2312" w:eastAsia="仿宋_GB2312" w:cs="仿宋_GB2312"/>
                <w:b/>
                <w:bCs/>
                <w:kern w:val="0"/>
                <w:sz w:val="24"/>
                <w:szCs w:val="24"/>
              </w:rPr>
            </w:pPr>
            <w:r>
              <w:rPr>
                <w:rFonts w:hint="eastAsia" w:ascii="宋体" w:hAnsi="宋体" w:eastAsia="宋体" w:cs="宋体"/>
                <w:b/>
                <w:i w:val="0"/>
                <w:color w:val="000000"/>
                <w:kern w:val="0"/>
                <w:sz w:val="22"/>
                <w:szCs w:val="22"/>
                <w:u w:val="none"/>
                <w:lang w:val="en-US" w:eastAsia="zh-CN" w:bidi="ar"/>
              </w:rPr>
              <w:t xml:space="preserve">1,033.92 </w:t>
            </w:r>
          </w:p>
        </w:tc>
        <w:tc>
          <w:tcPr>
            <w:tcW w:w="1260" w:type="dxa"/>
            <w:noWrap/>
            <w:vAlign w:val="center"/>
          </w:tcPr>
          <w:p>
            <w:pPr>
              <w:keepNext w:val="0"/>
              <w:keepLines w:val="0"/>
              <w:widowControl/>
              <w:suppressLineNumbers w:val="0"/>
              <w:jc w:val="right"/>
              <w:textAlignment w:val="center"/>
              <w:rPr>
                <w:rFonts w:hint="eastAsia" w:ascii="仿宋_GB2312" w:hAnsi="仿宋_GB2312" w:eastAsia="仿宋_GB2312" w:cs="仿宋_GB2312"/>
                <w:b/>
                <w:bCs/>
                <w:kern w:val="0"/>
                <w:sz w:val="24"/>
                <w:szCs w:val="24"/>
              </w:rPr>
            </w:pPr>
            <w:r>
              <w:rPr>
                <w:rFonts w:hint="eastAsia" w:ascii="宋体" w:hAnsi="宋体" w:eastAsia="宋体" w:cs="宋体"/>
                <w:b/>
                <w:i w:val="0"/>
                <w:color w:val="000000"/>
                <w:kern w:val="0"/>
                <w:sz w:val="22"/>
                <w:szCs w:val="22"/>
                <w:u w:val="none"/>
                <w:lang w:val="en-US" w:eastAsia="zh-CN" w:bidi="ar"/>
              </w:rPr>
              <w:t xml:space="preserve">239.81 </w:t>
            </w:r>
          </w:p>
        </w:tc>
        <w:tc>
          <w:tcPr>
            <w:tcW w:w="1260" w:type="dxa"/>
            <w:noWrap/>
            <w:vAlign w:val="center"/>
          </w:tcPr>
          <w:p>
            <w:pPr>
              <w:widowControl/>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1050" w:type="dxa"/>
            <w:noWrap/>
            <w:vAlign w:val="center"/>
          </w:tcPr>
          <w:p>
            <w:pPr>
              <w:widowControl/>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1013" w:type="dxa"/>
            <w:noWrap/>
            <w:vAlign w:val="center"/>
          </w:tcPr>
          <w:p>
            <w:pPr>
              <w:widowControl/>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937" w:type="dxa"/>
            <w:noWrap/>
            <w:vAlign w:val="center"/>
          </w:tcPr>
          <w:p>
            <w:pPr>
              <w:keepNext w:val="0"/>
              <w:keepLines w:val="0"/>
              <w:widowControl/>
              <w:suppressLineNumbers w:val="0"/>
              <w:jc w:val="left"/>
              <w:textAlignment w:val="center"/>
              <w:rPr>
                <w:rFonts w:hint="eastAsia" w:ascii="仿宋_GB2312" w:hAnsi="仿宋_GB2312" w:eastAsia="仿宋_GB2312" w:cs="仿宋_GB2312"/>
                <w:b/>
                <w:bCs/>
                <w:kern w:val="0"/>
                <w:sz w:val="24"/>
                <w:szCs w:val="24"/>
              </w:rPr>
            </w:pPr>
            <w:r>
              <w:rPr>
                <w:rFonts w:hint="eastAsia" w:ascii="宋体" w:hAnsi="宋体" w:eastAsia="宋体" w:cs="宋体"/>
                <w:i w:val="0"/>
                <w:color w:val="000000"/>
                <w:kern w:val="0"/>
                <w:sz w:val="22"/>
                <w:szCs w:val="22"/>
                <w:u w:val="none"/>
                <w:lang w:val="en-US" w:eastAsia="zh-CN" w:bidi="ar"/>
              </w:rPr>
              <w:t>2010301</w:t>
            </w:r>
          </w:p>
        </w:tc>
        <w:tc>
          <w:tcPr>
            <w:tcW w:w="3852" w:type="dxa"/>
            <w:noWrap/>
            <w:vAlign w:val="center"/>
          </w:tcPr>
          <w:p>
            <w:pPr>
              <w:keepNext w:val="0"/>
              <w:keepLines w:val="0"/>
              <w:widowControl/>
              <w:suppressLineNumbers w:val="0"/>
              <w:jc w:val="left"/>
              <w:textAlignment w:val="center"/>
              <w:rPr>
                <w:rFonts w:hint="eastAsia" w:ascii="仿宋_GB2312" w:hAnsi="仿宋_GB2312" w:eastAsia="仿宋_GB2312" w:cs="仿宋_GB2312"/>
                <w:b/>
                <w:bCs/>
                <w:kern w:val="0"/>
                <w:sz w:val="24"/>
                <w:szCs w:val="24"/>
              </w:rPr>
            </w:pPr>
            <w:r>
              <w:rPr>
                <w:rFonts w:hint="eastAsia" w:ascii="宋体" w:hAnsi="宋体" w:eastAsia="宋体" w:cs="宋体"/>
                <w:i w:val="0"/>
                <w:color w:val="000000"/>
                <w:kern w:val="0"/>
                <w:sz w:val="22"/>
                <w:szCs w:val="22"/>
                <w:u w:val="none"/>
                <w:lang w:val="en-US" w:eastAsia="zh-CN" w:bidi="ar"/>
              </w:rPr>
              <w:t>行政运行</w:t>
            </w:r>
          </w:p>
        </w:tc>
        <w:tc>
          <w:tcPr>
            <w:tcW w:w="1374" w:type="dxa"/>
            <w:noWrap/>
            <w:vAlign w:val="center"/>
          </w:tcPr>
          <w:p>
            <w:pPr>
              <w:keepNext w:val="0"/>
              <w:keepLines w:val="0"/>
              <w:widowControl/>
              <w:suppressLineNumbers w:val="0"/>
              <w:jc w:val="right"/>
              <w:textAlignment w:val="center"/>
              <w:rPr>
                <w:rFonts w:hint="eastAsia" w:ascii="仿宋_GB2312" w:hAnsi="仿宋_GB2312" w:eastAsia="仿宋_GB2312" w:cs="仿宋_GB2312"/>
                <w:b/>
                <w:bCs/>
                <w:kern w:val="0"/>
                <w:sz w:val="24"/>
                <w:szCs w:val="24"/>
              </w:rPr>
            </w:pPr>
            <w:r>
              <w:rPr>
                <w:rFonts w:hint="eastAsia" w:ascii="宋体" w:hAnsi="宋体" w:eastAsia="宋体" w:cs="宋体"/>
                <w:i w:val="0"/>
                <w:color w:val="000000"/>
                <w:kern w:val="0"/>
                <w:sz w:val="22"/>
                <w:szCs w:val="22"/>
                <w:u w:val="none"/>
                <w:lang w:val="en-US" w:eastAsia="zh-CN" w:bidi="ar"/>
              </w:rPr>
              <w:t xml:space="preserve">623.31 </w:t>
            </w:r>
          </w:p>
        </w:tc>
        <w:tc>
          <w:tcPr>
            <w:tcW w:w="1337" w:type="dxa"/>
            <w:noWrap/>
            <w:vAlign w:val="center"/>
          </w:tcPr>
          <w:p>
            <w:pPr>
              <w:keepNext w:val="0"/>
              <w:keepLines w:val="0"/>
              <w:widowControl/>
              <w:suppressLineNumbers w:val="0"/>
              <w:jc w:val="right"/>
              <w:textAlignment w:val="center"/>
              <w:rPr>
                <w:rFonts w:hint="eastAsia" w:ascii="仿宋_GB2312" w:hAnsi="仿宋_GB2312" w:eastAsia="仿宋_GB2312" w:cs="仿宋_GB2312"/>
                <w:b/>
                <w:bCs/>
                <w:kern w:val="0"/>
                <w:sz w:val="24"/>
                <w:szCs w:val="24"/>
              </w:rPr>
            </w:pPr>
            <w:r>
              <w:rPr>
                <w:rFonts w:hint="eastAsia" w:ascii="宋体" w:hAnsi="宋体" w:eastAsia="宋体" w:cs="宋体"/>
                <w:i w:val="0"/>
                <w:color w:val="000000"/>
                <w:kern w:val="0"/>
                <w:sz w:val="22"/>
                <w:szCs w:val="22"/>
                <w:u w:val="none"/>
                <w:lang w:val="en-US" w:eastAsia="zh-CN" w:bidi="ar"/>
              </w:rPr>
              <w:t xml:space="preserve">623.31 </w:t>
            </w:r>
          </w:p>
        </w:tc>
        <w:tc>
          <w:tcPr>
            <w:tcW w:w="1260" w:type="dxa"/>
            <w:noWrap/>
            <w:vAlign w:val="center"/>
          </w:tcPr>
          <w:p>
            <w:pPr>
              <w:jc w:val="right"/>
              <w:rPr>
                <w:rFonts w:hint="eastAsia" w:ascii="仿宋_GB2312" w:hAnsi="仿宋_GB2312" w:eastAsia="仿宋_GB2312" w:cs="仿宋_GB2312"/>
                <w:b/>
                <w:bCs/>
                <w:kern w:val="0"/>
                <w:sz w:val="24"/>
                <w:szCs w:val="24"/>
                <w:lang w:val="en-US" w:eastAsia="zh-CN"/>
              </w:rPr>
            </w:pPr>
          </w:p>
        </w:tc>
        <w:tc>
          <w:tcPr>
            <w:tcW w:w="1260" w:type="dxa"/>
            <w:noWrap/>
            <w:vAlign w:val="center"/>
          </w:tcPr>
          <w:p>
            <w:pPr>
              <w:widowControl/>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1050" w:type="dxa"/>
            <w:noWrap/>
            <w:vAlign w:val="center"/>
          </w:tcPr>
          <w:p>
            <w:pPr>
              <w:widowControl/>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1013" w:type="dxa"/>
            <w:noWrap/>
            <w:vAlign w:val="center"/>
          </w:tcPr>
          <w:p>
            <w:pPr>
              <w:widowControl/>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937" w:type="dxa"/>
            <w:noWrap/>
            <w:vAlign w:val="center"/>
          </w:tcPr>
          <w:p>
            <w:pPr>
              <w:keepNext w:val="0"/>
              <w:keepLines w:val="0"/>
              <w:widowControl/>
              <w:suppressLineNumbers w:val="0"/>
              <w:jc w:val="left"/>
              <w:textAlignment w:val="center"/>
              <w:rPr>
                <w:rFonts w:hint="eastAsia" w:ascii="仿宋_GB2312" w:hAnsi="仿宋_GB2312" w:eastAsia="仿宋_GB2312" w:cs="仿宋_GB2312"/>
                <w:b/>
                <w:bCs/>
                <w:kern w:val="0"/>
                <w:sz w:val="24"/>
                <w:szCs w:val="24"/>
              </w:rPr>
            </w:pPr>
            <w:r>
              <w:rPr>
                <w:rFonts w:hint="eastAsia" w:ascii="宋体" w:hAnsi="宋体" w:eastAsia="宋体" w:cs="宋体"/>
                <w:i w:val="0"/>
                <w:color w:val="000000"/>
                <w:kern w:val="0"/>
                <w:sz w:val="22"/>
                <w:szCs w:val="22"/>
                <w:u w:val="none"/>
                <w:lang w:val="en-US" w:eastAsia="zh-CN" w:bidi="ar"/>
              </w:rPr>
              <w:t>2010302</w:t>
            </w:r>
          </w:p>
        </w:tc>
        <w:tc>
          <w:tcPr>
            <w:tcW w:w="3852" w:type="dxa"/>
            <w:noWrap/>
            <w:vAlign w:val="center"/>
          </w:tcPr>
          <w:p>
            <w:pPr>
              <w:keepNext w:val="0"/>
              <w:keepLines w:val="0"/>
              <w:widowControl/>
              <w:suppressLineNumbers w:val="0"/>
              <w:jc w:val="left"/>
              <w:textAlignment w:val="center"/>
              <w:rPr>
                <w:rFonts w:hint="eastAsia" w:ascii="仿宋_GB2312" w:hAnsi="仿宋_GB2312" w:eastAsia="仿宋_GB2312" w:cs="仿宋_GB2312"/>
                <w:b/>
                <w:bCs/>
                <w:kern w:val="0"/>
                <w:sz w:val="24"/>
                <w:szCs w:val="24"/>
              </w:rPr>
            </w:pPr>
            <w:r>
              <w:rPr>
                <w:rFonts w:hint="eastAsia" w:ascii="宋体" w:hAnsi="宋体" w:eastAsia="宋体" w:cs="宋体"/>
                <w:i w:val="0"/>
                <w:color w:val="000000"/>
                <w:kern w:val="0"/>
                <w:sz w:val="22"/>
                <w:szCs w:val="22"/>
                <w:u w:val="none"/>
                <w:lang w:val="en-US" w:eastAsia="zh-CN" w:bidi="ar"/>
              </w:rPr>
              <w:t>一般行政管理事务</w:t>
            </w:r>
          </w:p>
        </w:tc>
        <w:tc>
          <w:tcPr>
            <w:tcW w:w="1374" w:type="dxa"/>
            <w:noWrap/>
            <w:vAlign w:val="center"/>
          </w:tcPr>
          <w:p>
            <w:pPr>
              <w:keepNext w:val="0"/>
              <w:keepLines w:val="0"/>
              <w:widowControl/>
              <w:suppressLineNumbers w:val="0"/>
              <w:jc w:val="right"/>
              <w:textAlignment w:val="center"/>
              <w:rPr>
                <w:rFonts w:hint="eastAsia" w:ascii="仿宋_GB2312" w:hAnsi="仿宋_GB2312" w:eastAsia="仿宋_GB2312" w:cs="仿宋_GB2312"/>
                <w:b/>
                <w:bCs/>
                <w:kern w:val="0"/>
                <w:sz w:val="24"/>
                <w:szCs w:val="24"/>
                <w:lang w:val="en-US" w:eastAsia="zh-CN"/>
              </w:rPr>
            </w:pPr>
            <w:r>
              <w:rPr>
                <w:rFonts w:hint="eastAsia" w:ascii="宋体" w:hAnsi="宋体" w:eastAsia="宋体" w:cs="宋体"/>
                <w:i w:val="0"/>
                <w:color w:val="000000"/>
                <w:kern w:val="0"/>
                <w:sz w:val="22"/>
                <w:szCs w:val="22"/>
                <w:u w:val="none"/>
                <w:lang w:val="en-US" w:eastAsia="zh-CN" w:bidi="ar"/>
              </w:rPr>
              <w:t xml:space="preserve">225.07 </w:t>
            </w:r>
          </w:p>
        </w:tc>
        <w:tc>
          <w:tcPr>
            <w:tcW w:w="1337" w:type="dxa"/>
            <w:noWrap/>
            <w:vAlign w:val="center"/>
          </w:tcPr>
          <w:p>
            <w:pPr>
              <w:jc w:val="right"/>
              <w:rPr>
                <w:rFonts w:hint="eastAsia" w:ascii="仿宋_GB2312" w:hAnsi="仿宋_GB2312" w:eastAsia="仿宋_GB2312" w:cs="仿宋_GB2312"/>
                <w:b/>
                <w:bCs/>
                <w:kern w:val="0"/>
                <w:sz w:val="24"/>
                <w:szCs w:val="24"/>
                <w:lang w:val="en-US" w:eastAsia="zh-CN"/>
              </w:rPr>
            </w:pPr>
          </w:p>
        </w:tc>
        <w:tc>
          <w:tcPr>
            <w:tcW w:w="1260" w:type="dxa"/>
            <w:noWrap/>
            <w:vAlign w:val="center"/>
          </w:tcPr>
          <w:p>
            <w:pPr>
              <w:keepNext w:val="0"/>
              <w:keepLines w:val="0"/>
              <w:widowControl/>
              <w:suppressLineNumbers w:val="0"/>
              <w:jc w:val="right"/>
              <w:textAlignment w:val="center"/>
              <w:rPr>
                <w:rFonts w:hint="eastAsia" w:ascii="仿宋_GB2312" w:hAnsi="仿宋_GB2312" w:eastAsia="仿宋_GB2312" w:cs="仿宋_GB2312"/>
                <w:b/>
                <w:bCs/>
                <w:kern w:val="0"/>
                <w:sz w:val="24"/>
                <w:szCs w:val="24"/>
                <w:lang w:val="en-US" w:eastAsia="zh-CN"/>
              </w:rPr>
            </w:pPr>
            <w:r>
              <w:rPr>
                <w:rFonts w:hint="eastAsia" w:ascii="宋体" w:hAnsi="宋体" w:eastAsia="宋体" w:cs="宋体"/>
                <w:i w:val="0"/>
                <w:color w:val="000000"/>
                <w:kern w:val="0"/>
                <w:sz w:val="22"/>
                <w:szCs w:val="22"/>
                <w:u w:val="none"/>
                <w:lang w:val="en-US" w:eastAsia="zh-CN" w:bidi="ar"/>
              </w:rPr>
              <w:t xml:space="preserve">225.07 </w:t>
            </w:r>
          </w:p>
        </w:tc>
        <w:tc>
          <w:tcPr>
            <w:tcW w:w="1260" w:type="dxa"/>
            <w:noWrap/>
            <w:vAlign w:val="center"/>
          </w:tcPr>
          <w:p>
            <w:pPr>
              <w:widowControl/>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1050" w:type="dxa"/>
            <w:noWrap/>
            <w:vAlign w:val="center"/>
          </w:tcPr>
          <w:p>
            <w:pPr>
              <w:widowControl/>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1013" w:type="dxa"/>
            <w:noWrap/>
            <w:vAlign w:val="center"/>
          </w:tcPr>
          <w:p>
            <w:pPr>
              <w:widowControl/>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937" w:type="dxa"/>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宋体" w:hAnsi="宋体" w:eastAsia="宋体" w:cs="宋体"/>
                <w:i w:val="0"/>
                <w:color w:val="000000"/>
                <w:kern w:val="0"/>
                <w:sz w:val="22"/>
                <w:szCs w:val="22"/>
                <w:u w:val="none"/>
                <w:lang w:val="en-US" w:eastAsia="zh-CN" w:bidi="ar"/>
              </w:rPr>
              <w:t>2050803</w:t>
            </w:r>
          </w:p>
        </w:tc>
        <w:tc>
          <w:tcPr>
            <w:tcW w:w="3852" w:type="dxa"/>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宋体" w:hAnsi="宋体" w:eastAsia="宋体" w:cs="宋体"/>
                <w:i w:val="0"/>
                <w:color w:val="000000"/>
                <w:kern w:val="0"/>
                <w:sz w:val="22"/>
                <w:szCs w:val="22"/>
                <w:u w:val="none"/>
                <w:lang w:val="en-US" w:eastAsia="zh-CN" w:bidi="ar"/>
              </w:rPr>
              <w:t>培训支出</w:t>
            </w:r>
          </w:p>
        </w:tc>
        <w:tc>
          <w:tcPr>
            <w:tcW w:w="1374" w:type="dxa"/>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宋体" w:hAnsi="宋体" w:eastAsia="宋体" w:cs="宋体"/>
                <w:i w:val="0"/>
                <w:color w:val="000000"/>
                <w:kern w:val="0"/>
                <w:sz w:val="22"/>
                <w:szCs w:val="22"/>
                <w:u w:val="none"/>
                <w:lang w:val="en-US" w:eastAsia="zh-CN" w:bidi="ar"/>
              </w:rPr>
              <w:t xml:space="preserve">14.74 </w:t>
            </w:r>
          </w:p>
        </w:tc>
        <w:tc>
          <w:tcPr>
            <w:tcW w:w="1337" w:type="dxa"/>
            <w:noWrap/>
            <w:vAlign w:val="center"/>
          </w:tcPr>
          <w:p>
            <w:pPr>
              <w:jc w:val="right"/>
              <w:rPr>
                <w:rFonts w:hint="eastAsia" w:ascii="仿宋_GB2312" w:hAnsi="仿宋_GB2312" w:eastAsia="仿宋_GB2312" w:cs="仿宋_GB2312"/>
                <w:kern w:val="0"/>
                <w:sz w:val="24"/>
                <w:szCs w:val="24"/>
              </w:rPr>
            </w:pPr>
          </w:p>
        </w:tc>
        <w:tc>
          <w:tcPr>
            <w:tcW w:w="1260" w:type="dxa"/>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宋体" w:hAnsi="宋体" w:eastAsia="宋体" w:cs="宋体"/>
                <w:i w:val="0"/>
                <w:color w:val="000000"/>
                <w:kern w:val="0"/>
                <w:sz w:val="22"/>
                <w:szCs w:val="22"/>
                <w:u w:val="none"/>
                <w:lang w:val="en-US" w:eastAsia="zh-CN" w:bidi="ar"/>
              </w:rPr>
              <w:t xml:space="preserve">14.74 </w:t>
            </w:r>
          </w:p>
        </w:tc>
        <w:tc>
          <w:tcPr>
            <w:tcW w:w="1260" w:type="dxa"/>
            <w:noWrap/>
            <w:vAlign w:val="center"/>
          </w:tcPr>
          <w:p>
            <w:pPr>
              <w:widowControl/>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1050" w:type="dxa"/>
            <w:noWrap/>
            <w:vAlign w:val="center"/>
          </w:tcPr>
          <w:p>
            <w:pPr>
              <w:widowControl/>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1013" w:type="dxa"/>
            <w:noWrap/>
            <w:vAlign w:val="center"/>
          </w:tcPr>
          <w:p>
            <w:pPr>
              <w:widowControl/>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937" w:type="dxa"/>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宋体" w:hAnsi="宋体" w:eastAsia="宋体" w:cs="宋体"/>
                <w:i w:val="0"/>
                <w:color w:val="000000"/>
                <w:kern w:val="0"/>
                <w:sz w:val="22"/>
                <w:szCs w:val="22"/>
                <w:u w:val="none"/>
                <w:lang w:val="en-US" w:eastAsia="zh-CN" w:bidi="ar"/>
              </w:rPr>
              <w:t>2080501</w:t>
            </w:r>
          </w:p>
        </w:tc>
        <w:tc>
          <w:tcPr>
            <w:tcW w:w="3852" w:type="dxa"/>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宋体" w:hAnsi="宋体" w:eastAsia="宋体" w:cs="宋体"/>
                <w:i w:val="0"/>
                <w:color w:val="000000"/>
                <w:kern w:val="0"/>
                <w:sz w:val="22"/>
                <w:szCs w:val="22"/>
                <w:u w:val="none"/>
                <w:lang w:val="en-US" w:eastAsia="zh-CN" w:bidi="ar"/>
              </w:rPr>
              <w:t>行政单位离退休</w:t>
            </w:r>
          </w:p>
        </w:tc>
        <w:tc>
          <w:tcPr>
            <w:tcW w:w="1374" w:type="dxa"/>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宋体" w:hAnsi="宋体" w:eastAsia="宋体" w:cs="宋体"/>
                <w:i w:val="0"/>
                <w:color w:val="000000"/>
                <w:kern w:val="0"/>
                <w:sz w:val="22"/>
                <w:szCs w:val="22"/>
                <w:u w:val="none"/>
                <w:lang w:val="en-US" w:eastAsia="zh-CN" w:bidi="ar"/>
              </w:rPr>
              <w:t xml:space="preserve">161.10 </w:t>
            </w:r>
          </w:p>
        </w:tc>
        <w:tc>
          <w:tcPr>
            <w:tcW w:w="1337" w:type="dxa"/>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宋体" w:hAnsi="宋体" w:eastAsia="宋体" w:cs="宋体"/>
                <w:i w:val="0"/>
                <w:color w:val="000000"/>
                <w:kern w:val="0"/>
                <w:sz w:val="22"/>
                <w:szCs w:val="22"/>
                <w:u w:val="none"/>
                <w:lang w:val="en-US" w:eastAsia="zh-CN" w:bidi="ar"/>
              </w:rPr>
              <w:t xml:space="preserve">161.10 </w:t>
            </w:r>
          </w:p>
        </w:tc>
        <w:tc>
          <w:tcPr>
            <w:tcW w:w="1260" w:type="dxa"/>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p>
        </w:tc>
        <w:tc>
          <w:tcPr>
            <w:tcW w:w="1260" w:type="dxa"/>
            <w:noWrap/>
            <w:vAlign w:val="center"/>
          </w:tcPr>
          <w:p>
            <w:pPr>
              <w:widowControl/>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1050" w:type="dxa"/>
            <w:noWrap/>
            <w:vAlign w:val="center"/>
          </w:tcPr>
          <w:p>
            <w:pPr>
              <w:widowControl/>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1013" w:type="dxa"/>
            <w:noWrap/>
            <w:vAlign w:val="center"/>
          </w:tcPr>
          <w:p>
            <w:pPr>
              <w:widowControl/>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937" w:type="dxa"/>
            <w:noWrap/>
            <w:vAlign w:val="center"/>
          </w:tcPr>
          <w:p>
            <w:pPr>
              <w:keepNext w:val="0"/>
              <w:keepLines w:val="0"/>
              <w:widowControl/>
              <w:suppressLineNumbers w:val="0"/>
              <w:jc w:val="left"/>
              <w:textAlignment w:val="center"/>
              <w:rPr>
                <w:rFonts w:hint="eastAsia" w:ascii="仿宋_GB2312" w:hAnsi="仿宋_GB2312" w:eastAsia="仿宋_GB2312" w:cs="仿宋_GB2312"/>
                <w:b/>
                <w:bCs/>
                <w:kern w:val="0"/>
                <w:sz w:val="24"/>
                <w:szCs w:val="24"/>
                <w:lang w:val="en-US" w:eastAsia="zh-CN"/>
              </w:rPr>
            </w:pPr>
            <w:r>
              <w:rPr>
                <w:rFonts w:hint="eastAsia" w:ascii="宋体" w:hAnsi="宋体" w:eastAsia="宋体" w:cs="宋体"/>
                <w:i w:val="0"/>
                <w:color w:val="000000"/>
                <w:kern w:val="0"/>
                <w:sz w:val="22"/>
                <w:szCs w:val="22"/>
                <w:u w:val="none"/>
                <w:lang w:val="en-US" w:eastAsia="zh-CN" w:bidi="ar"/>
              </w:rPr>
              <w:t>2080505</w:t>
            </w:r>
          </w:p>
        </w:tc>
        <w:tc>
          <w:tcPr>
            <w:tcW w:w="3852" w:type="dxa"/>
            <w:noWrap/>
            <w:vAlign w:val="center"/>
          </w:tcPr>
          <w:p>
            <w:pPr>
              <w:keepNext w:val="0"/>
              <w:keepLines w:val="0"/>
              <w:widowControl/>
              <w:suppressLineNumbers w:val="0"/>
              <w:jc w:val="left"/>
              <w:textAlignment w:val="center"/>
              <w:rPr>
                <w:rFonts w:hint="eastAsia" w:ascii="仿宋_GB2312" w:hAnsi="仿宋_GB2312" w:eastAsia="仿宋_GB2312" w:cs="仿宋_GB2312"/>
                <w:b/>
                <w:bCs/>
                <w:kern w:val="0"/>
                <w:sz w:val="24"/>
                <w:szCs w:val="24"/>
                <w:lang w:val="en-US" w:eastAsia="zh-CN"/>
              </w:rPr>
            </w:pPr>
            <w:r>
              <w:rPr>
                <w:rFonts w:hint="eastAsia" w:ascii="宋体" w:hAnsi="宋体" w:eastAsia="宋体" w:cs="宋体"/>
                <w:i w:val="0"/>
                <w:color w:val="000000"/>
                <w:kern w:val="0"/>
                <w:sz w:val="22"/>
                <w:szCs w:val="22"/>
                <w:u w:val="none"/>
                <w:lang w:val="en-US" w:eastAsia="zh-CN" w:bidi="ar"/>
              </w:rPr>
              <w:t>机关事业单位基本养老保险缴费支出</w:t>
            </w:r>
          </w:p>
        </w:tc>
        <w:tc>
          <w:tcPr>
            <w:tcW w:w="1374" w:type="dxa"/>
            <w:noWrap/>
            <w:vAlign w:val="center"/>
          </w:tcPr>
          <w:p>
            <w:pPr>
              <w:keepNext w:val="0"/>
              <w:keepLines w:val="0"/>
              <w:widowControl/>
              <w:suppressLineNumbers w:val="0"/>
              <w:jc w:val="right"/>
              <w:textAlignment w:val="center"/>
              <w:rPr>
                <w:rFonts w:hint="eastAsia" w:ascii="仿宋_GB2312" w:hAnsi="仿宋_GB2312" w:eastAsia="仿宋_GB2312" w:cs="仿宋_GB2312"/>
                <w:b/>
                <w:bCs/>
                <w:kern w:val="0"/>
                <w:sz w:val="24"/>
                <w:szCs w:val="24"/>
                <w:lang w:val="en-US" w:eastAsia="zh-CN"/>
              </w:rPr>
            </w:pPr>
            <w:r>
              <w:rPr>
                <w:rFonts w:hint="eastAsia" w:ascii="宋体" w:hAnsi="宋体" w:eastAsia="宋体" w:cs="宋体"/>
                <w:i w:val="0"/>
                <w:color w:val="000000"/>
                <w:kern w:val="0"/>
                <w:sz w:val="22"/>
                <w:szCs w:val="22"/>
                <w:u w:val="none"/>
                <w:lang w:val="en-US" w:eastAsia="zh-CN" w:bidi="ar"/>
              </w:rPr>
              <w:t xml:space="preserve">54.51 </w:t>
            </w:r>
          </w:p>
        </w:tc>
        <w:tc>
          <w:tcPr>
            <w:tcW w:w="1337" w:type="dxa"/>
            <w:noWrap/>
            <w:vAlign w:val="center"/>
          </w:tcPr>
          <w:p>
            <w:pPr>
              <w:keepNext w:val="0"/>
              <w:keepLines w:val="0"/>
              <w:widowControl/>
              <w:suppressLineNumbers w:val="0"/>
              <w:jc w:val="right"/>
              <w:textAlignment w:val="center"/>
              <w:rPr>
                <w:rFonts w:hint="eastAsia" w:ascii="仿宋_GB2312" w:hAnsi="仿宋_GB2312" w:eastAsia="仿宋_GB2312" w:cs="仿宋_GB2312"/>
                <w:b/>
                <w:bCs/>
                <w:kern w:val="0"/>
                <w:sz w:val="24"/>
                <w:szCs w:val="24"/>
              </w:rPr>
            </w:pPr>
            <w:r>
              <w:rPr>
                <w:rFonts w:hint="eastAsia" w:ascii="宋体" w:hAnsi="宋体" w:eastAsia="宋体" w:cs="宋体"/>
                <w:i w:val="0"/>
                <w:color w:val="000000"/>
                <w:kern w:val="0"/>
                <w:sz w:val="22"/>
                <w:szCs w:val="22"/>
                <w:u w:val="none"/>
                <w:lang w:val="en-US" w:eastAsia="zh-CN" w:bidi="ar"/>
              </w:rPr>
              <w:t xml:space="preserve">54.51 </w:t>
            </w:r>
          </w:p>
        </w:tc>
        <w:tc>
          <w:tcPr>
            <w:tcW w:w="1260" w:type="dxa"/>
            <w:noWrap/>
            <w:vAlign w:val="center"/>
          </w:tcPr>
          <w:p>
            <w:pPr>
              <w:keepNext w:val="0"/>
              <w:keepLines w:val="0"/>
              <w:widowControl/>
              <w:suppressLineNumbers w:val="0"/>
              <w:jc w:val="left"/>
              <w:textAlignment w:val="center"/>
              <w:rPr>
                <w:rFonts w:hint="eastAsia" w:ascii="仿宋_GB2312" w:hAnsi="仿宋_GB2312" w:eastAsia="仿宋_GB2312" w:cs="仿宋_GB2312"/>
                <w:b/>
                <w:bCs/>
                <w:kern w:val="0"/>
                <w:sz w:val="24"/>
                <w:szCs w:val="24"/>
                <w:lang w:eastAsia="zh-CN"/>
              </w:rPr>
            </w:pPr>
          </w:p>
        </w:tc>
        <w:tc>
          <w:tcPr>
            <w:tcW w:w="1260" w:type="dxa"/>
            <w:noWrap/>
            <w:vAlign w:val="center"/>
          </w:tcPr>
          <w:p>
            <w:pPr>
              <w:widowControl/>
              <w:jc w:val="right"/>
              <w:rPr>
                <w:rFonts w:hint="eastAsia" w:ascii="仿宋_GB2312" w:hAnsi="仿宋_GB2312" w:eastAsia="仿宋_GB2312" w:cs="仿宋_GB2312"/>
                <w:kern w:val="0"/>
                <w:sz w:val="24"/>
                <w:szCs w:val="24"/>
              </w:rPr>
            </w:pPr>
          </w:p>
        </w:tc>
        <w:tc>
          <w:tcPr>
            <w:tcW w:w="1050" w:type="dxa"/>
            <w:noWrap/>
            <w:vAlign w:val="center"/>
          </w:tcPr>
          <w:p>
            <w:pPr>
              <w:widowControl/>
              <w:jc w:val="right"/>
              <w:rPr>
                <w:rFonts w:hint="eastAsia" w:ascii="仿宋_GB2312" w:hAnsi="仿宋_GB2312" w:eastAsia="仿宋_GB2312" w:cs="仿宋_GB2312"/>
                <w:kern w:val="0"/>
                <w:sz w:val="24"/>
                <w:szCs w:val="24"/>
              </w:rPr>
            </w:pPr>
          </w:p>
        </w:tc>
        <w:tc>
          <w:tcPr>
            <w:tcW w:w="1013" w:type="dxa"/>
            <w:noWrap/>
            <w:vAlign w:val="center"/>
          </w:tcPr>
          <w:p>
            <w:pPr>
              <w:widowControl/>
              <w:jc w:val="right"/>
              <w:rPr>
                <w:rFonts w:hint="eastAsia" w:ascii="仿宋_GB2312" w:hAnsi="仿宋_GB2312" w:eastAsia="仿宋_GB2312" w:cs="仿宋_GB2312"/>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937" w:type="dxa"/>
            <w:noWrap/>
            <w:vAlign w:val="center"/>
          </w:tcPr>
          <w:p>
            <w:pPr>
              <w:keepNext w:val="0"/>
              <w:keepLines w:val="0"/>
              <w:widowControl/>
              <w:suppressLineNumbers w:val="0"/>
              <w:jc w:val="left"/>
              <w:textAlignment w:val="center"/>
              <w:rPr>
                <w:rFonts w:hint="eastAsia" w:ascii="仿宋_GB2312" w:hAnsi="仿宋_GB2312" w:eastAsia="仿宋_GB2312" w:cs="仿宋_GB2312"/>
                <w:b/>
                <w:bCs/>
                <w:kern w:val="0"/>
                <w:sz w:val="24"/>
                <w:szCs w:val="24"/>
                <w:lang w:val="en-US" w:eastAsia="zh-CN"/>
              </w:rPr>
            </w:pPr>
            <w:r>
              <w:rPr>
                <w:rFonts w:hint="eastAsia" w:ascii="宋体" w:hAnsi="宋体" w:eastAsia="宋体" w:cs="宋体"/>
                <w:i w:val="0"/>
                <w:color w:val="000000"/>
                <w:kern w:val="0"/>
                <w:sz w:val="22"/>
                <w:szCs w:val="22"/>
                <w:u w:val="none"/>
                <w:lang w:val="en-US" w:eastAsia="zh-CN" w:bidi="ar"/>
              </w:rPr>
              <w:t>2080506</w:t>
            </w:r>
          </w:p>
        </w:tc>
        <w:tc>
          <w:tcPr>
            <w:tcW w:w="3852" w:type="dxa"/>
            <w:noWrap/>
            <w:vAlign w:val="center"/>
          </w:tcPr>
          <w:p>
            <w:pPr>
              <w:keepNext w:val="0"/>
              <w:keepLines w:val="0"/>
              <w:widowControl/>
              <w:suppressLineNumbers w:val="0"/>
              <w:jc w:val="left"/>
              <w:textAlignment w:val="center"/>
              <w:rPr>
                <w:rFonts w:hint="eastAsia" w:ascii="仿宋_GB2312" w:hAnsi="仿宋_GB2312" w:eastAsia="仿宋_GB2312" w:cs="仿宋_GB2312"/>
                <w:b/>
                <w:bCs/>
                <w:kern w:val="0"/>
                <w:sz w:val="24"/>
                <w:szCs w:val="24"/>
                <w:lang w:val="en-US" w:eastAsia="zh-CN"/>
              </w:rPr>
            </w:pPr>
            <w:r>
              <w:rPr>
                <w:rFonts w:hint="eastAsia" w:ascii="宋体" w:hAnsi="宋体" w:eastAsia="宋体" w:cs="宋体"/>
                <w:i w:val="0"/>
                <w:color w:val="000000"/>
                <w:kern w:val="0"/>
                <w:sz w:val="22"/>
                <w:szCs w:val="22"/>
                <w:u w:val="none"/>
                <w:lang w:val="en-US" w:eastAsia="zh-CN" w:bidi="ar"/>
              </w:rPr>
              <w:t>机关事业单位职业年金缴费支出</w:t>
            </w:r>
          </w:p>
        </w:tc>
        <w:tc>
          <w:tcPr>
            <w:tcW w:w="1374" w:type="dxa"/>
            <w:noWrap/>
            <w:vAlign w:val="center"/>
          </w:tcPr>
          <w:p>
            <w:pPr>
              <w:keepNext w:val="0"/>
              <w:keepLines w:val="0"/>
              <w:widowControl/>
              <w:suppressLineNumbers w:val="0"/>
              <w:jc w:val="right"/>
              <w:textAlignment w:val="center"/>
              <w:rPr>
                <w:rFonts w:hint="eastAsia" w:ascii="仿宋_GB2312" w:hAnsi="仿宋_GB2312" w:eastAsia="仿宋_GB2312" w:cs="仿宋_GB2312"/>
                <w:b/>
                <w:bCs/>
                <w:kern w:val="0"/>
                <w:sz w:val="24"/>
                <w:szCs w:val="24"/>
                <w:lang w:val="en-US" w:eastAsia="zh-CN"/>
              </w:rPr>
            </w:pPr>
            <w:r>
              <w:rPr>
                <w:rFonts w:hint="eastAsia" w:ascii="宋体" w:hAnsi="宋体" w:eastAsia="宋体" w:cs="宋体"/>
                <w:i w:val="0"/>
                <w:color w:val="000000"/>
                <w:kern w:val="0"/>
                <w:sz w:val="22"/>
                <w:szCs w:val="22"/>
                <w:u w:val="none"/>
                <w:lang w:val="en-US" w:eastAsia="zh-CN" w:bidi="ar"/>
              </w:rPr>
              <w:t xml:space="preserve">15.00 </w:t>
            </w:r>
          </w:p>
        </w:tc>
        <w:tc>
          <w:tcPr>
            <w:tcW w:w="1337" w:type="dxa"/>
            <w:noWrap/>
            <w:vAlign w:val="center"/>
          </w:tcPr>
          <w:p>
            <w:pPr>
              <w:keepNext w:val="0"/>
              <w:keepLines w:val="0"/>
              <w:widowControl/>
              <w:suppressLineNumbers w:val="0"/>
              <w:jc w:val="right"/>
              <w:textAlignment w:val="center"/>
              <w:rPr>
                <w:rFonts w:hint="eastAsia" w:ascii="仿宋_GB2312" w:hAnsi="仿宋_GB2312" w:eastAsia="仿宋_GB2312" w:cs="仿宋_GB2312"/>
                <w:b/>
                <w:bCs/>
                <w:kern w:val="0"/>
                <w:sz w:val="24"/>
                <w:szCs w:val="24"/>
                <w:lang w:val="en-US" w:eastAsia="zh-CN"/>
              </w:rPr>
            </w:pPr>
            <w:r>
              <w:rPr>
                <w:rFonts w:hint="eastAsia" w:ascii="宋体" w:hAnsi="宋体" w:eastAsia="宋体" w:cs="宋体"/>
                <w:i w:val="0"/>
                <w:color w:val="000000"/>
                <w:kern w:val="0"/>
                <w:sz w:val="22"/>
                <w:szCs w:val="22"/>
                <w:u w:val="none"/>
                <w:lang w:val="en-US" w:eastAsia="zh-CN" w:bidi="ar"/>
              </w:rPr>
              <w:t xml:space="preserve">15.00 </w:t>
            </w:r>
          </w:p>
        </w:tc>
        <w:tc>
          <w:tcPr>
            <w:tcW w:w="1260" w:type="dxa"/>
            <w:noWrap/>
            <w:vAlign w:val="center"/>
          </w:tcPr>
          <w:p>
            <w:pPr>
              <w:keepNext w:val="0"/>
              <w:keepLines w:val="0"/>
              <w:widowControl/>
              <w:suppressLineNumbers w:val="0"/>
              <w:jc w:val="left"/>
              <w:textAlignment w:val="center"/>
              <w:rPr>
                <w:rFonts w:hint="eastAsia" w:ascii="仿宋_GB2312" w:hAnsi="仿宋_GB2312" w:eastAsia="仿宋_GB2312" w:cs="仿宋_GB2312"/>
                <w:b/>
                <w:bCs/>
                <w:kern w:val="0"/>
                <w:sz w:val="24"/>
                <w:szCs w:val="24"/>
                <w:lang w:val="en-US" w:eastAsia="zh-CN"/>
              </w:rPr>
            </w:pPr>
          </w:p>
        </w:tc>
        <w:tc>
          <w:tcPr>
            <w:tcW w:w="1260" w:type="dxa"/>
            <w:noWrap/>
            <w:vAlign w:val="center"/>
          </w:tcPr>
          <w:p>
            <w:pPr>
              <w:widowControl/>
              <w:jc w:val="right"/>
              <w:rPr>
                <w:rFonts w:hint="eastAsia" w:ascii="仿宋_GB2312" w:hAnsi="仿宋_GB2312" w:eastAsia="仿宋_GB2312" w:cs="仿宋_GB2312"/>
                <w:b/>
                <w:bCs/>
                <w:kern w:val="0"/>
                <w:sz w:val="24"/>
                <w:szCs w:val="24"/>
                <w:lang w:val="en-US" w:eastAsia="zh-CN"/>
              </w:rPr>
            </w:pPr>
          </w:p>
        </w:tc>
        <w:tc>
          <w:tcPr>
            <w:tcW w:w="1050" w:type="dxa"/>
            <w:noWrap/>
            <w:vAlign w:val="center"/>
          </w:tcPr>
          <w:p>
            <w:pPr>
              <w:widowControl/>
              <w:jc w:val="right"/>
              <w:rPr>
                <w:rFonts w:hint="eastAsia" w:ascii="仿宋_GB2312" w:hAnsi="仿宋_GB2312" w:eastAsia="仿宋_GB2312" w:cs="仿宋_GB2312"/>
                <w:kern w:val="0"/>
                <w:sz w:val="24"/>
                <w:szCs w:val="24"/>
              </w:rPr>
            </w:pPr>
          </w:p>
        </w:tc>
        <w:tc>
          <w:tcPr>
            <w:tcW w:w="1013" w:type="dxa"/>
            <w:noWrap/>
            <w:vAlign w:val="center"/>
          </w:tcPr>
          <w:p>
            <w:pPr>
              <w:widowControl/>
              <w:jc w:val="right"/>
              <w:rPr>
                <w:rFonts w:hint="eastAsia" w:ascii="仿宋_GB2312" w:hAnsi="仿宋_GB2312" w:eastAsia="仿宋_GB2312" w:cs="仿宋_GB2312"/>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937" w:type="dxa"/>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宋体" w:hAnsi="宋体" w:eastAsia="宋体" w:cs="宋体"/>
                <w:i w:val="0"/>
                <w:color w:val="000000"/>
                <w:kern w:val="0"/>
                <w:sz w:val="22"/>
                <w:szCs w:val="22"/>
                <w:u w:val="none"/>
                <w:lang w:val="en-US" w:eastAsia="zh-CN" w:bidi="ar"/>
              </w:rPr>
              <w:t>2089999</w:t>
            </w:r>
          </w:p>
        </w:tc>
        <w:tc>
          <w:tcPr>
            <w:tcW w:w="3852" w:type="dxa"/>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宋体" w:hAnsi="宋体" w:eastAsia="宋体" w:cs="宋体"/>
                <w:i w:val="0"/>
                <w:color w:val="000000"/>
                <w:kern w:val="0"/>
                <w:sz w:val="22"/>
                <w:szCs w:val="22"/>
                <w:u w:val="none"/>
                <w:lang w:val="en-US" w:eastAsia="zh-CN" w:bidi="ar"/>
              </w:rPr>
              <w:t>其他社会保障和就业支出</w:t>
            </w:r>
          </w:p>
        </w:tc>
        <w:tc>
          <w:tcPr>
            <w:tcW w:w="1374" w:type="dxa"/>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lang w:val="en-US" w:eastAsia="zh-CN"/>
              </w:rPr>
            </w:pPr>
            <w:r>
              <w:rPr>
                <w:rFonts w:hint="eastAsia" w:ascii="宋体" w:hAnsi="宋体" w:eastAsia="宋体" w:cs="宋体"/>
                <w:i w:val="0"/>
                <w:color w:val="000000"/>
                <w:kern w:val="0"/>
                <w:sz w:val="22"/>
                <w:szCs w:val="22"/>
                <w:u w:val="none"/>
                <w:lang w:val="en-US" w:eastAsia="zh-CN" w:bidi="ar"/>
              </w:rPr>
              <w:t xml:space="preserve">17.00 </w:t>
            </w:r>
          </w:p>
        </w:tc>
        <w:tc>
          <w:tcPr>
            <w:tcW w:w="1337" w:type="dxa"/>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lang w:val="en-US" w:eastAsia="zh-CN"/>
              </w:rPr>
            </w:pPr>
            <w:r>
              <w:rPr>
                <w:rFonts w:hint="eastAsia" w:ascii="宋体" w:hAnsi="宋体" w:eastAsia="宋体" w:cs="宋体"/>
                <w:i w:val="0"/>
                <w:color w:val="000000"/>
                <w:kern w:val="0"/>
                <w:sz w:val="22"/>
                <w:szCs w:val="22"/>
                <w:u w:val="none"/>
                <w:lang w:val="en-US" w:eastAsia="zh-CN" w:bidi="ar"/>
              </w:rPr>
              <w:t xml:space="preserve">17.00 </w:t>
            </w:r>
          </w:p>
        </w:tc>
        <w:tc>
          <w:tcPr>
            <w:tcW w:w="1260" w:type="dxa"/>
            <w:noWrap/>
            <w:vAlign w:val="center"/>
          </w:tcPr>
          <w:p>
            <w:pPr>
              <w:jc w:val="right"/>
              <w:rPr>
                <w:rFonts w:hint="eastAsia" w:ascii="仿宋_GB2312" w:hAnsi="仿宋_GB2312" w:eastAsia="仿宋_GB2312" w:cs="仿宋_GB2312"/>
                <w:kern w:val="0"/>
                <w:sz w:val="24"/>
                <w:szCs w:val="24"/>
              </w:rPr>
            </w:pPr>
          </w:p>
        </w:tc>
        <w:tc>
          <w:tcPr>
            <w:tcW w:w="1260" w:type="dxa"/>
            <w:noWrap/>
            <w:vAlign w:val="center"/>
          </w:tcPr>
          <w:p>
            <w:pPr>
              <w:widowControl/>
              <w:jc w:val="right"/>
              <w:rPr>
                <w:rFonts w:hint="eastAsia" w:ascii="仿宋_GB2312" w:hAnsi="仿宋_GB2312" w:eastAsia="仿宋_GB2312" w:cs="仿宋_GB2312"/>
                <w:kern w:val="0"/>
                <w:sz w:val="24"/>
                <w:szCs w:val="24"/>
              </w:rPr>
            </w:pPr>
          </w:p>
        </w:tc>
        <w:tc>
          <w:tcPr>
            <w:tcW w:w="1050" w:type="dxa"/>
            <w:noWrap/>
            <w:vAlign w:val="center"/>
          </w:tcPr>
          <w:p>
            <w:pPr>
              <w:widowControl/>
              <w:jc w:val="right"/>
              <w:rPr>
                <w:rFonts w:hint="eastAsia" w:ascii="仿宋_GB2312" w:hAnsi="仿宋_GB2312" w:eastAsia="仿宋_GB2312" w:cs="仿宋_GB2312"/>
                <w:kern w:val="0"/>
                <w:sz w:val="24"/>
                <w:szCs w:val="24"/>
              </w:rPr>
            </w:pPr>
          </w:p>
        </w:tc>
        <w:tc>
          <w:tcPr>
            <w:tcW w:w="1013" w:type="dxa"/>
            <w:noWrap/>
            <w:vAlign w:val="center"/>
          </w:tcPr>
          <w:p>
            <w:pPr>
              <w:widowControl/>
              <w:jc w:val="right"/>
              <w:rPr>
                <w:rFonts w:hint="eastAsia" w:ascii="仿宋_GB2312" w:hAnsi="仿宋_GB2312" w:eastAsia="仿宋_GB2312" w:cs="仿宋_GB2312"/>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937" w:type="dxa"/>
            <w:noWrap/>
            <w:vAlign w:val="center"/>
          </w:tcPr>
          <w:p>
            <w:pPr>
              <w:keepNext w:val="0"/>
              <w:keepLines w:val="0"/>
              <w:widowControl/>
              <w:suppressLineNumbers w:val="0"/>
              <w:jc w:val="left"/>
              <w:textAlignment w:val="center"/>
              <w:rPr>
                <w:rFonts w:hint="eastAsia" w:ascii="仿宋_GB2312" w:hAnsi="仿宋_GB2312" w:eastAsia="仿宋_GB2312" w:cs="仿宋_GB2312"/>
                <w:b/>
                <w:bCs/>
                <w:kern w:val="0"/>
                <w:sz w:val="24"/>
                <w:szCs w:val="24"/>
              </w:rPr>
            </w:pPr>
            <w:r>
              <w:rPr>
                <w:rFonts w:hint="eastAsia" w:ascii="宋体" w:hAnsi="宋体" w:eastAsia="宋体" w:cs="宋体"/>
                <w:i w:val="0"/>
                <w:color w:val="000000"/>
                <w:kern w:val="0"/>
                <w:sz w:val="22"/>
                <w:szCs w:val="22"/>
                <w:u w:val="none"/>
                <w:lang w:val="en-US" w:eastAsia="zh-CN" w:bidi="ar"/>
              </w:rPr>
              <w:t>2101101</w:t>
            </w:r>
          </w:p>
        </w:tc>
        <w:tc>
          <w:tcPr>
            <w:tcW w:w="3852" w:type="dxa"/>
            <w:noWrap/>
            <w:vAlign w:val="center"/>
          </w:tcPr>
          <w:p>
            <w:pPr>
              <w:keepNext w:val="0"/>
              <w:keepLines w:val="0"/>
              <w:widowControl/>
              <w:suppressLineNumbers w:val="0"/>
              <w:jc w:val="left"/>
              <w:textAlignment w:val="center"/>
              <w:rPr>
                <w:rFonts w:hint="eastAsia" w:ascii="仿宋_GB2312" w:hAnsi="仿宋_GB2312" w:eastAsia="仿宋_GB2312" w:cs="仿宋_GB2312"/>
                <w:b/>
                <w:bCs/>
                <w:kern w:val="0"/>
                <w:sz w:val="24"/>
                <w:szCs w:val="24"/>
              </w:rPr>
            </w:pPr>
            <w:r>
              <w:rPr>
                <w:rFonts w:hint="eastAsia" w:ascii="宋体" w:hAnsi="宋体" w:eastAsia="宋体" w:cs="宋体"/>
                <w:i w:val="0"/>
                <w:color w:val="000000"/>
                <w:kern w:val="0"/>
                <w:sz w:val="22"/>
                <w:szCs w:val="22"/>
                <w:u w:val="none"/>
                <w:lang w:val="en-US" w:eastAsia="zh-CN" w:bidi="ar"/>
              </w:rPr>
              <w:t>行政单位医疗</w:t>
            </w:r>
          </w:p>
        </w:tc>
        <w:tc>
          <w:tcPr>
            <w:tcW w:w="1374" w:type="dxa"/>
            <w:noWrap/>
            <w:vAlign w:val="center"/>
          </w:tcPr>
          <w:p>
            <w:pPr>
              <w:keepNext w:val="0"/>
              <w:keepLines w:val="0"/>
              <w:widowControl/>
              <w:suppressLineNumbers w:val="0"/>
              <w:jc w:val="right"/>
              <w:textAlignment w:val="center"/>
              <w:rPr>
                <w:rFonts w:hint="eastAsia" w:ascii="仿宋_GB2312" w:hAnsi="仿宋_GB2312" w:eastAsia="仿宋_GB2312" w:cs="仿宋_GB2312"/>
                <w:b/>
                <w:bCs/>
                <w:kern w:val="0"/>
                <w:sz w:val="24"/>
                <w:szCs w:val="24"/>
              </w:rPr>
            </w:pPr>
            <w:r>
              <w:rPr>
                <w:rFonts w:hint="eastAsia" w:ascii="宋体" w:hAnsi="宋体" w:eastAsia="宋体" w:cs="宋体"/>
                <w:i w:val="0"/>
                <w:color w:val="000000"/>
                <w:kern w:val="0"/>
                <w:sz w:val="22"/>
                <w:szCs w:val="22"/>
                <w:u w:val="none"/>
                <w:lang w:val="en-US" w:eastAsia="zh-CN" w:bidi="ar"/>
              </w:rPr>
              <w:t xml:space="preserve">34.00 </w:t>
            </w:r>
          </w:p>
        </w:tc>
        <w:tc>
          <w:tcPr>
            <w:tcW w:w="1337" w:type="dxa"/>
            <w:noWrap/>
            <w:vAlign w:val="center"/>
          </w:tcPr>
          <w:p>
            <w:pPr>
              <w:keepNext w:val="0"/>
              <w:keepLines w:val="0"/>
              <w:widowControl/>
              <w:suppressLineNumbers w:val="0"/>
              <w:jc w:val="right"/>
              <w:textAlignment w:val="center"/>
              <w:rPr>
                <w:rFonts w:hint="eastAsia" w:ascii="仿宋_GB2312" w:hAnsi="仿宋_GB2312" w:eastAsia="仿宋_GB2312" w:cs="仿宋_GB2312"/>
                <w:b/>
                <w:bCs/>
                <w:kern w:val="0"/>
                <w:sz w:val="24"/>
                <w:szCs w:val="24"/>
              </w:rPr>
            </w:pPr>
            <w:r>
              <w:rPr>
                <w:rFonts w:hint="eastAsia" w:ascii="宋体" w:hAnsi="宋体" w:eastAsia="宋体" w:cs="宋体"/>
                <w:i w:val="0"/>
                <w:color w:val="000000"/>
                <w:kern w:val="0"/>
                <w:sz w:val="22"/>
                <w:szCs w:val="22"/>
                <w:u w:val="none"/>
                <w:lang w:val="en-US" w:eastAsia="zh-CN" w:bidi="ar"/>
              </w:rPr>
              <w:t xml:space="preserve">34.00 </w:t>
            </w:r>
          </w:p>
        </w:tc>
        <w:tc>
          <w:tcPr>
            <w:tcW w:w="1260" w:type="dxa"/>
            <w:noWrap/>
            <w:vAlign w:val="center"/>
          </w:tcPr>
          <w:p>
            <w:pPr>
              <w:jc w:val="right"/>
              <w:rPr>
                <w:rFonts w:hint="eastAsia" w:ascii="仿宋_GB2312" w:hAnsi="仿宋_GB2312" w:eastAsia="仿宋_GB2312" w:cs="仿宋_GB2312"/>
                <w:b/>
                <w:bCs/>
                <w:kern w:val="0"/>
                <w:sz w:val="24"/>
                <w:szCs w:val="24"/>
                <w:lang w:eastAsia="zh-CN"/>
              </w:rPr>
            </w:pPr>
          </w:p>
        </w:tc>
        <w:tc>
          <w:tcPr>
            <w:tcW w:w="1260" w:type="dxa"/>
            <w:noWrap/>
            <w:vAlign w:val="center"/>
          </w:tcPr>
          <w:p>
            <w:pPr>
              <w:widowControl/>
              <w:jc w:val="right"/>
              <w:rPr>
                <w:rFonts w:hint="eastAsia" w:ascii="仿宋_GB2312" w:hAnsi="仿宋_GB2312" w:eastAsia="仿宋_GB2312" w:cs="仿宋_GB2312"/>
                <w:kern w:val="0"/>
                <w:sz w:val="24"/>
                <w:szCs w:val="24"/>
              </w:rPr>
            </w:pPr>
          </w:p>
        </w:tc>
        <w:tc>
          <w:tcPr>
            <w:tcW w:w="1050" w:type="dxa"/>
            <w:noWrap/>
            <w:vAlign w:val="center"/>
          </w:tcPr>
          <w:p>
            <w:pPr>
              <w:widowControl/>
              <w:jc w:val="right"/>
              <w:rPr>
                <w:rFonts w:hint="eastAsia" w:ascii="仿宋_GB2312" w:hAnsi="仿宋_GB2312" w:eastAsia="仿宋_GB2312" w:cs="仿宋_GB2312"/>
                <w:kern w:val="0"/>
                <w:sz w:val="24"/>
                <w:szCs w:val="24"/>
              </w:rPr>
            </w:pPr>
          </w:p>
        </w:tc>
        <w:tc>
          <w:tcPr>
            <w:tcW w:w="1013" w:type="dxa"/>
            <w:noWrap/>
            <w:vAlign w:val="center"/>
          </w:tcPr>
          <w:p>
            <w:pPr>
              <w:widowControl/>
              <w:jc w:val="right"/>
              <w:rPr>
                <w:rFonts w:hint="eastAsia" w:ascii="仿宋_GB2312" w:hAnsi="仿宋_GB2312" w:eastAsia="仿宋_GB2312" w:cs="仿宋_GB2312"/>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937" w:type="dxa"/>
            <w:noWrap/>
            <w:vAlign w:val="center"/>
          </w:tcPr>
          <w:p>
            <w:pPr>
              <w:keepNext w:val="0"/>
              <w:keepLines w:val="0"/>
              <w:widowControl/>
              <w:suppressLineNumbers w:val="0"/>
              <w:jc w:val="left"/>
              <w:textAlignment w:val="center"/>
              <w:rPr>
                <w:rFonts w:hint="eastAsia" w:ascii="仿宋_GB2312" w:hAnsi="仿宋_GB2312" w:eastAsia="仿宋_GB2312" w:cs="仿宋_GB2312"/>
                <w:b/>
                <w:bCs/>
                <w:kern w:val="0"/>
                <w:sz w:val="24"/>
                <w:szCs w:val="24"/>
              </w:rPr>
            </w:pPr>
            <w:r>
              <w:rPr>
                <w:rFonts w:hint="eastAsia" w:ascii="宋体" w:hAnsi="宋体" w:eastAsia="宋体" w:cs="宋体"/>
                <w:i w:val="0"/>
                <w:color w:val="000000"/>
                <w:kern w:val="0"/>
                <w:sz w:val="22"/>
                <w:szCs w:val="22"/>
                <w:u w:val="none"/>
                <w:lang w:val="en-US" w:eastAsia="zh-CN" w:bidi="ar"/>
              </w:rPr>
              <w:t>2101103</w:t>
            </w:r>
          </w:p>
        </w:tc>
        <w:tc>
          <w:tcPr>
            <w:tcW w:w="3852" w:type="dxa"/>
            <w:noWrap/>
            <w:vAlign w:val="center"/>
          </w:tcPr>
          <w:p>
            <w:pPr>
              <w:keepNext w:val="0"/>
              <w:keepLines w:val="0"/>
              <w:widowControl/>
              <w:suppressLineNumbers w:val="0"/>
              <w:jc w:val="left"/>
              <w:textAlignment w:val="center"/>
              <w:rPr>
                <w:rFonts w:hint="eastAsia" w:ascii="仿宋_GB2312" w:hAnsi="仿宋_GB2312" w:eastAsia="仿宋_GB2312" w:cs="仿宋_GB2312"/>
                <w:b/>
                <w:bCs/>
                <w:kern w:val="0"/>
                <w:sz w:val="24"/>
                <w:szCs w:val="24"/>
              </w:rPr>
            </w:pPr>
            <w:r>
              <w:rPr>
                <w:rFonts w:hint="eastAsia" w:ascii="宋体" w:hAnsi="宋体" w:eastAsia="宋体" w:cs="宋体"/>
                <w:i w:val="0"/>
                <w:color w:val="000000"/>
                <w:kern w:val="0"/>
                <w:sz w:val="22"/>
                <w:szCs w:val="22"/>
                <w:u w:val="none"/>
                <w:lang w:val="en-US" w:eastAsia="zh-CN" w:bidi="ar"/>
              </w:rPr>
              <w:t>公务员医疗补助</w:t>
            </w:r>
          </w:p>
        </w:tc>
        <w:tc>
          <w:tcPr>
            <w:tcW w:w="1374" w:type="dxa"/>
            <w:noWrap/>
            <w:vAlign w:val="center"/>
          </w:tcPr>
          <w:p>
            <w:pPr>
              <w:keepNext w:val="0"/>
              <w:keepLines w:val="0"/>
              <w:widowControl/>
              <w:suppressLineNumbers w:val="0"/>
              <w:jc w:val="right"/>
              <w:textAlignment w:val="center"/>
              <w:rPr>
                <w:rFonts w:hint="eastAsia" w:ascii="仿宋_GB2312" w:hAnsi="仿宋_GB2312" w:eastAsia="仿宋_GB2312" w:cs="仿宋_GB2312"/>
                <w:b/>
                <w:bCs/>
                <w:kern w:val="0"/>
                <w:sz w:val="24"/>
                <w:szCs w:val="24"/>
              </w:rPr>
            </w:pPr>
            <w:r>
              <w:rPr>
                <w:rFonts w:hint="eastAsia" w:ascii="宋体" w:hAnsi="宋体" w:eastAsia="宋体" w:cs="宋体"/>
                <w:i w:val="0"/>
                <w:color w:val="000000"/>
                <w:kern w:val="0"/>
                <w:sz w:val="22"/>
                <w:szCs w:val="22"/>
                <w:u w:val="none"/>
                <w:lang w:val="en-US" w:eastAsia="zh-CN" w:bidi="ar"/>
              </w:rPr>
              <w:t xml:space="preserve">27.00 </w:t>
            </w:r>
          </w:p>
        </w:tc>
        <w:tc>
          <w:tcPr>
            <w:tcW w:w="1337" w:type="dxa"/>
            <w:noWrap/>
            <w:vAlign w:val="center"/>
          </w:tcPr>
          <w:p>
            <w:pPr>
              <w:keepNext w:val="0"/>
              <w:keepLines w:val="0"/>
              <w:widowControl/>
              <w:suppressLineNumbers w:val="0"/>
              <w:jc w:val="right"/>
              <w:textAlignment w:val="center"/>
              <w:rPr>
                <w:rFonts w:hint="eastAsia" w:ascii="仿宋_GB2312" w:hAnsi="仿宋_GB2312" w:eastAsia="仿宋_GB2312" w:cs="仿宋_GB2312"/>
                <w:b/>
                <w:bCs/>
                <w:kern w:val="0"/>
                <w:sz w:val="24"/>
                <w:szCs w:val="24"/>
              </w:rPr>
            </w:pPr>
            <w:r>
              <w:rPr>
                <w:rFonts w:hint="eastAsia" w:ascii="宋体" w:hAnsi="宋体" w:eastAsia="宋体" w:cs="宋体"/>
                <w:i w:val="0"/>
                <w:color w:val="000000"/>
                <w:kern w:val="0"/>
                <w:sz w:val="22"/>
                <w:szCs w:val="22"/>
                <w:u w:val="none"/>
                <w:lang w:val="en-US" w:eastAsia="zh-CN" w:bidi="ar"/>
              </w:rPr>
              <w:t xml:space="preserve">27.00 </w:t>
            </w:r>
          </w:p>
        </w:tc>
        <w:tc>
          <w:tcPr>
            <w:tcW w:w="1260" w:type="dxa"/>
            <w:noWrap/>
            <w:vAlign w:val="center"/>
          </w:tcPr>
          <w:p>
            <w:pPr>
              <w:jc w:val="right"/>
              <w:rPr>
                <w:rFonts w:hint="eastAsia" w:ascii="仿宋_GB2312" w:hAnsi="仿宋_GB2312" w:eastAsia="仿宋_GB2312" w:cs="仿宋_GB2312"/>
                <w:b/>
                <w:bCs/>
                <w:kern w:val="0"/>
                <w:sz w:val="24"/>
                <w:szCs w:val="24"/>
              </w:rPr>
            </w:pPr>
          </w:p>
        </w:tc>
        <w:tc>
          <w:tcPr>
            <w:tcW w:w="1260" w:type="dxa"/>
            <w:noWrap/>
            <w:vAlign w:val="center"/>
          </w:tcPr>
          <w:p>
            <w:pPr>
              <w:widowControl/>
              <w:jc w:val="right"/>
              <w:rPr>
                <w:rFonts w:hint="eastAsia" w:ascii="仿宋_GB2312" w:hAnsi="仿宋_GB2312" w:eastAsia="仿宋_GB2312" w:cs="仿宋_GB2312"/>
                <w:kern w:val="0"/>
                <w:sz w:val="24"/>
                <w:szCs w:val="24"/>
              </w:rPr>
            </w:pPr>
          </w:p>
        </w:tc>
        <w:tc>
          <w:tcPr>
            <w:tcW w:w="1050" w:type="dxa"/>
            <w:noWrap/>
            <w:vAlign w:val="center"/>
          </w:tcPr>
          <w:p>
            <w:pPr>
              <w:widowControl/>
              <w:jc w:val="right"/>
              <w:rPr>
                <w:rFonts w:hint="eastAsia" w:ascii="仿宋_GB2312" w:hAnsi="仿宋_GB2312" w:eastAsia="仿宋_GB2312" w:cs="仿宋_GB2312"/>
                <w:kern w:val="0"/>
                <w:sz w:val="24"/>
                <w:szCs w:val="24"/>
              </w:rPr>
            </w:pPr>
          </w:p>
        </w:tc>
        <w:tc>
          <w:tcPr>
            <w:tcW w:w="1013" w:type="dxa"/>
            <w:noWrap/>
            <w:vAlign w:val="center"/>
          </w:tcPr>
          <w:p>
            <w:pPr>
              <w:widowControl/>
              <w:jc w:val="right"/>
              <w:rPr>
                <w:rFonts w:hint="eastAsia" w:ascii="仿宋_GB2312" w:hAnsi="仿宋_GB2312" w:eastAsia="仿宋_GB2312" w:cs="仿宋_GB2312"/>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937" w:type="dxa"/>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宋体" w:hAnsi="宋体" w:eastAsia="宋体" w:cs="宋体"/>
                <w:i w:val="0"/>
                <w:color w:val="000000"/>
                <w:kern w:val="0"/>
                <w:sz w:val="22"/>
                <w:szCs w:val="22"/>
                <w:u w:val="none"/>
                <w:lang w:val="en-US" w:eastAsia="zh-CN" w:bidi="ar"/>
              </w:rPr>
              <w:t>2210201</w:t>
            </w:r>
          </w:p>
        </w:tc>
        <w:tc>
          <w:tcPr>
            <w:tcW w:w="3852" w:type="dxa"/>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宋体" w:hAnsi="宋体" w:eastAsia="宋体" w:cs="宋体"/>
                <w:i w:val="0"/>
                <w:color w:val="000000"/>
                <w:kern w:val="0"/>
                <w:sz w:val="22"/>
                <w:szCs w:val="22"/>
                <w:u w:val="none"/>
                <w:lang w:val="en-US" w:eastAsia="zh-CN" w:bidi="ar"/>
              </w:rPr>
              <w:t>住房公积金</w:t>
            </w:r>
          </w:p>
        </w:tc>
        <w:tc>
          <w:tcPr>
            <w:tcW w:w="1374" w:type="dxa"/>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宋体" w:hAnsi="宋体" w:eastAsia="宋体" w:cs="宋体"/>
                <w:i w:val="0"/>
                <w:color w:val="000000"/>
                <w:kern w:val="0"/>
                <w:sz w:val="22"/>
                <w:szCs w:val="22"/>
                <w:u w:val="none"/>
                <w:lang w:val="en-US" w:eastAsia="zh-CN" w:bidi="ar"/>
              </w:rPr>
              <w:t xml:space="preserve">68.00 </w:t>
            </w:r>
          </w:p>
        </w:tc>
        <w:tc>
          <w:tcPr>
            <w:tcW w:w="1337" w:type="dxa"/>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宋体" w:hAnsi="宋体" w:eastAsia="宋体" w:cs="宋体"/>
                <w:i w:val="0"/>
                <w:color w:val="000000"/>
                <w:kern w:val="0"/>
                <w:sz w:val="22"/>
                <w:szCs w:val="22"/>
                <w:u w:val="none"/>
                <w:lang w:val="en-US" w:eastAsia="zh-CN" w:bidi="ar"/>
              </w:rPr>
              <w:t xml:space="preserve">68.00 </w:t>
            </w:r>
          </w:p>
        </w:tc>
        <w:tc>
          <w:tcPr>
            <w:tcW w:w="1260" w:type="dxa"/>
            <w:noWrap/>
            <w:vAlign w:val="center"/>
          </w:tcPr>
          <w:p>
            <w:pPr>
              <w:jc w:val="right"/>
              <w:rPr>
                <w:rFonts w:hint="eastAsia" w:ascii="仿宋_GB2312" w:hAnsi="仿宋_GB2312" w:eastAsia="仿宋_GB2312" w:cs="仿宋_GB2312"/>
                <w:kern w:val="0"/>
                <w:sz w:val="24"/>
                <w:szCs w:val="24"/>
              </w:rPr>
            </w:pPr>
          </w:p>
        </w:tc>
        <w:tc>
          <w:tcPr>
            <w:tcW w:w="1260" w:type="dxa"/>
            <w:noWrap/>
            <w:vAlign w:val="center"/>
          </w:tcPr>
          <w:p>
            <w:pPr>
              <w:widowControl/>
              <w:jc w:val="right"/>
              <w:rPr>
                <w:rFonts w:hint="eastAsia" w:ascii="仿宋_GB2312" w:hAnsi="仿宋_GB2312" w:eastAsia="仿宋_GB2312" w:cs="仿宋_GB2312"/>
                <w:kern w:val="0"/>
                <w:sz w:val="24"/>
                <w:szCs w:val="24"/>
              </w:rPr>
            </w:pPr>
          </w:p>
        </w:tc>
        <w:tc>
          <w:tcPr>
            <w:tcW w:w="1050" w:type="dxa"/>
            <w:noWrap/>
            <w:vAlign w:val="center"/>
          </w:tcPr>
          <w:p>
            <w:pPr>
              <w:widowControl/>
              <w:jc w:val="right"/>
              <w:rPr>
                <w:rFonts w:hint="eastAsia" w:ascii="仿宋_GB2312" w:hAnsi="仿宋_GB2312" w:eastAsia="仿宋_GB2312" w:cs="仿宋_GB2312"/>
                <w:kern w:val="0"/>
                <w:sz w:val="24"/>
                <w:szCs w:val="24"/>
              </w:rPr>
            </w:pPr>
          </w:p>
        </w:tc>
        <w:tc>
          <w:tcPr>
            <w:tcW w:w="1013" w:type="dxa"/>
            <w:noWrap/>
            <w:vAlign w:val="center"/>
          </w:tcPr>
          <w:p>
            <w:pPr>
              <w:widowControl/>
              <w:jc w:val="right"/>
              <w:rPr>
                <w:rFonts w:hint="eastAsia" w:ascii="仿宋_GB2312" w:hAnsi="仿宋_GB2312" w:eastAsia="仿宋_GB2312" w:cs="仿宋_GB2312"/>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937" w:type="dxa"/>
            <w:noWrap/>
            <w:vAlign w:val="center"/>
          </w:tcPr>
          <w:p>
            <w:pPr>
              <w:keepNext w:val="0"/>
              <w:keepLines w:val="0"/>
              <w:widowControl/>
              <w:suppressLineNumbers w:val="0"/>
              <w:jc w:val="left"/>
              <w:textAlignment w:val="center"/>
              <w:rPr>
                <w:rFonts w:hint="eastAsia" w:ascii="仿宋_GB2312" w:hAnsi="仿宋_GB2312" w:eastAsia="仿宋_GB2312" w:cs="仿宋_GB2312"/>
                <w:b/>
                <w:bCs/>
                <w:kern w:val="0"/>
                <w:sz w:val="24"/>
                <w:szCs w:val="24"/>
              </w:rPr>
            </w:pPr>
            <w:r>
              <w:rPr>
                <w:rFonts w:hint="eastAsia" w:ascii="宋体" w:hAnsi="宋体" w:eastAsia="宋体" w:cs="宋体"/>
                <w:i w:val="0"/>
                <w:color w:val="000000"/>
                <w:kern w:val="0"/>
                <w:sz w:val="22"/>
                <w:szCs w:val="22"/>
                <w:u w:val="none"/>
                <w:lang w:val="en-US" w:eastAsia="zh-CN" w:bidi="ar"/>
              </w:rPr>
              <w:t>2210203</w:t>
            </w:r>
          </w:p>
        </w:tc>
        <w:tc>
          <w:tcPr>
            <w:tcW w:w="3852" w:type="dxa"/>
            <w:noWrap/>
            <w:vAlign w:val="center"/>
          </w:tcPr>
          <w:p>
            <w:pPr>
              <w:keepNext w:val="0"/>
              <w:keepLines w:val="0"/>
              <w:widowControl/>
              <w:suppressLineNumbers w:val="0"/>
              <w:jc w:val="left"/>
              <w:textAlignment w:val="center"/>
              <w:rPr>
                <w:rFonts w:hint="eastAsia" w:ascii="仿宋_GB2312" w:hAnsi="仿宋_GB2312" w:eastAsia="仿宋_GB2312" w:cs="仿宋_GB2312"/>
                <w:b/>
                <w:bCs/>
                <w:kern w:val="0"/>
                <w:sz w:val="24"/>
                <w:szCs w:val="24"/>
              </w:rPr>
            </w:pPr>
            <w:r>
              <w:rPr>
                <w:rFonts w:hint="eastAsia" w:ascii="宋体" w:hAnsi="宋体" w:eastAsia="宋体" w:cs="宋体"/>
                <w:i w:val="0"/>
                <w:color w:val="000000"/>
                <w:kern w:val="0"/>
                <w:sz w:val="22"/>
                <w:szCs w:val="22"/>
                <w:u w:val="none"/>
                <w:lang w:val="en-US" w:eastAsia="zh-CN" w:bidi="ar"/>
              </w:rPr>
              <w:t>购房补贴</w:t>
            </w:r>
          </w:p>
        </w:tc>
        <w:tc>
          <w:tcPr>
            <w:tcW w:w="1374" w:type="dxa"/>
            <w:noWrap/>
            <w:vAlign w:val="center"/>
          </w:tcPr>
          <w:p>
            <w:pPr>
              <w:keepNext w:val="0"/>
              <w:keepLines w:val="0"/>
              <w:widowControl/>
              <w:suppressLineNumbers w:val="0"/>
              <w:jc w:val="right"/>
              <w:textAlignment w:val="center"/>
              <w:rPr>
                <w:rFonts w:hint="eastAsia" w:ascii="仿宋_GB2312" w:hAnsi="仿宋_GB2312" w:eastAsia="仿宋_GB2312" w:cs="仿宋_GB2312"/>
                <w:b/>
                <w:bCs/>
                <w:kern w:val="0"/>
                <w:sz w:val="24"/>
                <w:szCs w:val="24"/>
                <w:lang w:val="en-US" w:eastAsia="zh-CN"/>
              </w:rPr>
            </w:pPr>
            <w:r>
              <w:rPr>
                <w:rFonts w:hint="eastAsia" w:ascii="宋体" w:hAnsi="宋体" w:eastAsia="宋体" w:cs="宋体"/>
                <w:i w:val="0"/>
                <w:color w:val="000000"/>
                <w:kern w:val="0"/>
                <w:sz w:val="22"/>
                <w:szCs w:val="22"/>
                <w:u w:val="none"/>
                <w:lang w:val="en-US" w:eastAsia="zh-CN" w:bidi="ar"/>
              </w:rPr>
              <w:t xml:space="preserve">34.00 </w:t>
            </w:r>
          </w:p>
        </w:tc>
        <w:tc>
          <w:tcPr>
            <w:tcW w:w="1337" w:type="dxa"/>
            <w:noWrap/>
            <w:vAlign w:val="center"/>
          </w:tcPr>
          <w:p>
            <w:pPr>
              <w:keepNext w:val="0"/>
              <w:keepLines w:val="0"/>
              <w:widowControl/>
              <w:suppressLineNumbers w:val="0"/>
              <w:jc w:val="right"/>
              <w:textAlignment w:val="center"/>
              <w:rPr>
                <w:rFonts w:hint="eastAsia" w:ascii="仿宋_GB2312" w:hAnsi="仿宋_GB2312" w:eastAsia="仿宋_GB2312" w:cs="仿宋_GB2312"/>
                <w:b/>
                <w:bCs/>
                <w:kern w:val="0"/>
                <w:sz w:val="24"/>
                <w:szCs w:val="24"/>
                <w:lang w:val="en-US" w:eastAsia="zh-CN"/>
              </w:rPr>
            </w:pPr>
            <w:r>
              <w:rPr>
                <w:rFonts w:hint="eastAsia" w:ascii="宋体" w:hAnsi="宋体" w:eastAsia="宋体" w:cs="宋体"/>
                <w:i w:val="0"/>
                <w:color w:val="000000"/>
                <w:kern w:val="0"/>
                <w:sz w:val="22"/>
                <w:szCs w:val="22"/>
                <w:u w:val="none"/>
                <w:lang w:val="en-US" w:eastAsia="zh-CN" w:bidi="ar"/>
              </w:rPr>
              <w:t xml:space="preserve">34.00 </w:t>
            </w:r>
          </w:p>
        </w:tc>
        <w:tc>
          <w:tcPr>
            <w:tcW w:w="1260" w:type="dxa"/>
            <w:noWrap/>
            <w:vAlign w:val="center"/>
          </w:tcPr>
          <w:p>
            <w:pPr>
              <w:jc w:val="right"/>
              <w:rPr>
                <w:rFonts w:hint="eastAsia" w:ascii="仿宋_GB2312" w:hAnsi="仿宋_GB2312" w:eastAsia="仿宋_GB2312" w:cs="仿宋_GB2312"/>
                <w:b/>
                <w:bCs/>
                <w:kern w:val="0"/>
                <w:sz w:val="24"/>
                <w:szCs w:val="24"/>
              </w:rPr>
            </w:pPr>
          </w:p>
        </w:tc>
        <w:tc>
          <w:tcPr>
            <w:tcW w:w="1260" w:type="dxa"/>
            <w:noWrap/>
            <w:vAlign w:val="center"/>
          </w:tcPr>
          <w:p>
            <w:pPr>
              <w:widowControl/>
              <w:jc w:val="right"/>
              <w:rPr>
                <w:rFonts w:hint="eastAsia" w:ascii="仿宋_GB2312" w:hAnsi="仿宋_GB2312" w:eastAsia="仿宋_GB2312" w:cs="仿宋_GB2312"/>
                <w:kern w:val="0"/>
                <w:sz w:val="24"/>
                <w:szCs w:val="24"/>
              </w:rPr>
            </w:pPr>
          </w:p>
        </w:tc>
        <w:tc>
          <w:tcPr>
            <w:tcW w:w="1050" w:type="dxa"/>
            <w:noWrap/>
            <w:vAlign w:val="center"/>
          </w:tcPr>
          <w:p>
            <w:pPr>
              <w:widowControl/>
              <w:jc w:val="right"/>
              <w:rPr>
                <w:rFonts w:hint="eastAsia" w:ascii="仿宋_GB2312" w:hAnsi="仿宋_GB2312" w:eastAsia="仿宋_GB2312" w:cs="仿宋_GB2312"/>
                <w:kern w:val="0"/>
                <w:sz w:val="24"/>
                <w:szCs w:val="24"/>
              </w:rPr>
            </w:pPr>
          </w:p>
        </w:tc>
        <w:tc>
          <w:tcPr>
            <w:tcW w:w="1013" w:type="dxa"/>
            <w:noWrap/>
            <w:vAlign w:val="center"/>
          </w:tcPr>
          <w:p>
            <w:pPr>
              <w:widowControl/>
              <w:jc w:val="right"/>
              <w:rPr>
                <w:rFonts w:hint="eastAsia" w:ascii="仿宋_GB2312" w:hAnsi="仿宋_GB2312" w:eastAsia="仿宋_GB2312" w:cs="仿宋_GB2312"/>
                <w:kern w:val="0"/>
                <w:sz w:val="24"/>
                <w:szCs w:val="24"/>
              </w:rPr>
            </w:pPr>
          </w:p>
        </w:tc>
      </w:tr>
    </w:tbl>
    <w:p>
      <w:pPr>
        <w:widowControl/>
        <w:ind w:firstLine="1200" w:firstLineChars="500"/>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注：本表反映部门本年度各项支出情况。</w:t>
      </w:r>
    </w:p>
    <w:p>
      <w:pPr>
        <w:widowControl/>
        <w:jc w:val="left"/>
        <w:rPr>
          <w:rFonts w:ascii="Times New Roman" w:hAnsi="Times New Roman" w:eastAsia="仿宋_GB2312"/>
          <w:kern w:val="0"/>
        </w:rPr>
      </w:pPr>
      <w:r>
        <w:rPr>
          <w:rFonts w:ascii="Times New Roman" w:hAnsi="Times New Roman" w:eastAsia="仿宋_GB2312"/>
          <w:kern w:val="0"/>
        </w:rPr>
        <w:br w:type="page"/>
      </w:r>
    </w:p>
    <w:p>
      <w:pPr>
        <w:widowControl/>
        <w:jc w:val="center"/>
        <w:rPr>
          <w:rFonts w:hint="eastAsia" w:ascii="仿宋" w:hAnsi="仿宋" w:eastAsia="仿宋" w:cs="仿宋"/>
          <w:sz w:val="36"/>
          <w:szCs w:val="36"/>
        </w:rPr>
      </w:pPr>
      <w:r>
        <w:rPr>
          <w:rFonts w:hint="eastAsia" w:ascii="黑体" w:hAnsi="黑体" w:eastAsia="黑体" w:cs="黑体"/>
          <w:sz w:val="36"/>
          <w:szCs w:val="36"/>
        </w:rPr>
        <w:t>财政拨款收入支出决算总表</w:t>
      </w:r>
    </w:p>
    <w:p>
      <w:pPr>
        <w:widowControl/>
        <w:tabs>
          <w:tab w:val="left" w:pos="4453"/>
          <w:tab w:val="left" w:pos="4933"/>
          <w:tab w:val="left" w:pos="6813"/>
          <w:tab w:val="left" w:pos="11113"/>
          <w:tab w:val="left" w:pos="11549"/>
          <w:tab w:val="left" w:pos="13429"/>
          <w:tab w:val="left" w:pos="15089"/>
        </w:tabs>
        <w:spacing w:line="240" w:lineRule="exact"/>
        <w:ind w:left="91" w:right="630"/>
        <w:jc w:val="righ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公开04表</w:t>
      </w:r>
    </w:p>
    <w:p>
      <w:pPr>
        <w:widowControl/>
        <w:tabs>
          <w:tab w:val="left" w:pos="13725"/>
          <w:tab w:val="left" w:pos="13755"/>
          <w:tab w:val="left" w:pos="13800"/>
        </w:tabs>
        <w:spacing w:line="240" w:lineRule="exact"/>
        <w:ind w:left="91" w:firstLine="361" w:firstLineChars="150"/>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b/>
          <w:bCs/>
          <w:color w:val="000000"/>
          <w:kern w:val="0"/>
          <w:sz w:val="24"/>
          <w:szCs w:val="24"/>
        </w:rPr>
        <w:t>部门：湖南省人民政府驻上海办事处</w:t>
      </w:r>
      <w:r>
        <w:rPr>
          <w:rFonts w:hint="eastAsia" w:ascii="仿宋_GB2312" w:hAnsi="仿宋_GB2312" w:eastAsia="仿宋_GB2312" w:cs="仿宋_GB2312"/>
          <w:color w:val="000000"/>
          <w:kern w:val="0"/>
          <w:sz w:val="24"/>
          <w:szCs w:val="24"/>
        </w:rPr>
        <w:tab/>
      </w:r>
      <w:r>
        <w:rPr>
          <w:rFonts w:hint="eastAsia" w:ascii="仿宋_GB2312" w:hAnsi="仿宋_GB2312" w:eastAsia="仿宋_GB2312" w:cs="仿宋_GB2312"/>
          <w:color w:val="000000"/>
          <w:kern w:val="0"/>
          <w:sz w:val="24"/>
          <w:szCs w:val="24"/>
        </w:rPr>
        <w:t>单位：万元</w:t>
      </w:r>
    </w:p>
    <w:tbl>
      <w:tblPr>
        <w:tblStyle w:val="11"/>
        <w:tblW w:w="14684"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2994"/>
        <w:gridCol w:w="480"/>
        <w:gridCol w:w="1880"/>
        <w:gridCol w:w="3761"/>
        <w:gridCol w:w="457"/>
        <w:gridCol w:w="1880"/>
        <w:gridCol w:w="1660"/>
        <w:gridCol w:w="157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62" w:hRule="atLeast"/>
          <w:jc w:val="center"/>
        </w:trPr>
        <w:tc>
          <w:tcPr>
            <w:tcW w:w="5354" w:type="dxa"/>
            <w:gridSpan w:val="3"/>
            <w:noWrap/>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收入</w:t>
            </w:r>
          </w:p>
        </w:tc>
        <w:tc>
          <w:tcPr>
            <w:tcW w:w="9330" w:type="dxa"/>
            <w:gridSpan w:val="5"/>
            <w:noWrap/>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93" w:hRule="atLeast"/>
          <w:jc w:val="center"/>
        </w:trPr>
        <w:tc>
          <w:tcPr>
            <w:tcW w:w="2994" w:type="dxa"/>
            <w:noWrap/>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项    目</w:t>
            </w:r>
          </w:p>
        </w:tc>
        <w:tc>
          <w:tcPr>
            <w:tcW w:w="480" w:type="dxa"/>
            <w:noWrap/>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行次</w:t>
            </w:r>
          </w:p>
        </w:tc>
        <w:tc>
          <w:tcPr>
            <w:tcW w:w="1880" w:type="dxa"/>
            <w:noWrap/>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金额</w:t>
            </w:r>
          </w:p>
        </w:tc>
        <w:tc>
          <w:tcPr>
            <w:tcW w:w="3761" w:type="dxa"/>
            <w:noWrap/>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项    目</w:t>
            </w:r>
          </w:p>
        </w:tc>
        <w:tc>
          <w:tcPr>
            <w:tcW w:w="457" w:type="dxa"/>
            <w:noWrap/>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行次</w:t>
            </w:r>
          </w:p>
        </w:tc>
        <w:tc>
          <w:tcPr>
            <w:tcW w:w="1880" w:type="dxa"/>
            <w:noWrap/>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合计</w:t>
            </w:r>
          </w:p>
        </w:tc>
        <w:tc>
          <w:tcPr>
            <w:tcW w:w="1660" w:type="dxa"/>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一般公共预算财政拨款</w:t>
            </w:r>
          </w:p>
        </w:tc>
        <w:tc>
          <w:tcPr>
            <w:tcW w:w="1572" w:type="dxa"/>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政府性基金预算财政拨款</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栏    次</w:t>
            </w:r>
          </w:p>
        </w:tc>
        <w:tc>
          <w:tcPr>
            <w:tcW w:w="480"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1880"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p>
        </w:tc>
        <w:tc>
          <w:tcPr>
            <w:tcW w:w="3761"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栏    次</w:t>
            </w:r>
          </w:p>
        </w:tc>
        <w:tc>
          <w:tcPr>
            <w:tcW w:w="457"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1880"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w:t>
            </w:r>
          </w:p>
        </w:tc>
        <w:tc>
          <w:tcPr>
            <w:tcW w:w="1660"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w:t>
            </w:r>
          </w:p>
        </w:tc>
        <w:tc>
          <w:tcPr>
            <w:tcW w:w="1572"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noWrap/>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一、一般公共预算财政拨款</w:t>
            </w:r>
          </w:p>
        </w:tc>
        <w:tc>
          <w:tcPr>
            <w:tcW w:w="480"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p>
        </w:tc>
        <w:tc>
          <w:tcPr>
            <w:tcW w:w="1880" w:type="dxa"/>
            <w:noWrap/>
            <w:vAlign w:val="center"/>
          </w:tcPr>
          <w:p>
            <w:pPr>
              <w:keepNext w:val="0"/>
              <w:keepLines w:val="0"/>
              <w:widowControl/>
              <w:suppressLineNumbers w:val="0"/>
              <w:jc w:val="right"/>
              <w:textAlignment w:val="center"/>
              <w:rPr>
                <w:rFonts w:hint="eastAsia" w:ascii="仿宋_GB2312" w:hAnsi="仿宋_GB2312" w:eastAsia="仿宋_GB2312" w:cs="仿宋_GB2312"/>
                <w:b/>
                <w:bCs/>
                <w:kern w:val="0"/>
                <w:sz w:val="24"/>
                <w:szCs w:val="24"/>
                <w:lang w:val="en-US" w:eastAsia="zh-CN"/>
              </w:rPr>
            </w:pPr>
            <w:r>
              <w:rPr>
                <w:rFonts w:hint="eastAsia" w:ascii="宋体" w:hAnsi="宋体" w:eastAsia="宋体" w:cs="宋体"/>
                <w:i w:val="0"/>
                <w:color w:val="000000"/>
                <w:kern w:val="0"/>
                <w:sz w:val="22"/>
                <w:szCs w:val="22"/>
                <w:u w:val="none"/>
                <w:lang w:val="en-US" w:eastAsia="zh-CN" w:bidi="ar"/>
              </w:rPr>
              <w:t xml:space="preserve">1,439.98 </w:t>
            </w:r>
          </w:p>
        </w:tc>
        <w:tc>
          <w:tcPr>
            <w:tcW w:w="3761" w:type="dxa"/>
            <w:noWrap/>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一、一般公共服务支出</w:t>
            </w:r>
          </w:p>
        </w:tc>
        <w:tc>
          <w:tcPr>
            <w:tcW w:w="457"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15</w:t>
            </w:r>
          </w:p>
        </w:tc>
        <w:tc>
          <w:tcPr>
            <w:tcW w:w="1880" w:type="dxa"/>
            <w:noWrap/>
            <w:vAlign w:val="center"/>
          </w:tcPr>
          <w:p>
            <w:pPr>
              <w:keepNext w:val="0"/>
              <w:keepLines w:val="0"/>
              <w:widowControl/>
              <w:suppressLineNumbers w:val="0"/>
              <w:jc w:val="right"/>
              <w:textAlignment w:val="center"/>
              <w:rPr>
                <w:rFonts w:hint="eastAsia" w:ascii="仿宋_GB2312" w:hAnsi="仿宋_GB2312" w:eastAsia="仿宋_GB2312" w:cs="仿宋_GB2312"/>
                <w:b/>
                <w:bCs/>
                <w:kern w:val="0"/>
                <w:sz w:val="24"/>
                <w:szCs w:val="24"/>
                <w:lang w:val="en-US" w:eastAsia="zh-CN"/>
              </w:rPr>
            </w:pPr>
            <w:r>
              <w:rPr>
                <w:rFonts w:hint="eastAsia" w:ascii="宋体" w:hAnsi="宋体" w:eastAsia="宋体" w:cs="宋体"/>
                <w:i w:val="0"/>
                <w:color w:val="000000"/>
                <w:kern w:val="0"/>
                <w:sz w:val="22"/>
                <w:szCs w:val="22"/>
                <w:u w:val="none"/>
                <w:lang w:val="en-US" w:eastAsia="zh-CN" w:bidi="ar"/>
              </w:rPr>
              <w:t xml:space="preserve">848.37 </w:t>
            </w:r>
          </w:p>
        </w:tc>
        <w:tc>
          <w:tcPr>
            <w:tcW w:w="1660" w:type="dxa"/>
            <w:noWrap/>
            <w:vAlign w:val="center"/>
          </w:tcPr>
          <w:p>
            <w:pPr>
              <w:keepNext w:val="0"/>
              <w:keepLines w:val="0"/>
              <w:widowControl/>
              <w:suppressLineNumbers w:val="0"/>
              <w:jc w:val="right"/>
              <w:textAlignment w:val="center"/>
              <w:rPr>
                <w:rFonts w:hint="eastAsia" w:ascii="仿宋_GB2312" w:hAnsi="仿宋_GB2312" w:eastAsia="仿宋_GB2312" w:cs="仿宋_GB2312"/>
                <w:b/>
                <w:bCs/>
                <w:kern w:val="0"/>
                <w:sz w:val="24"/>
                <w:szCs w:val="24"/>
                <w:lang w:val="en-US" w:eastAsia="zh-CN"/>
              </w:rPr>
            </w:pPr>
            <w:r>
              <w:rPr>
                <w:rFonts w:hint="eastAsia" w:ascii="宋体" w:hAnsi="宋体" w:eastAsia="宋体" w:cs="宋体"/>
                <w:i w:val="0"/>
                <w:color w:val="000000"/>
                <w:kern w:val="0"/>
                <w:sz w:val="22"/>
                <w:szCs w:val="22"/>
                <w:u w:val="none"/>
                <w:lang w:val="en-US" w:eastAsia="zh-CN" w:bidi="ar"/>
              </w:rPr>
              <w:t xml:space="preserve">848.37 </w:t>
            </w:r>
          </w:p>
        </w:tc>
        <w:tc>
          <w:tcPr>
            <w:tcW w:w="1572" w:type="dxa"/>
            <w:noWrap/>
            <w:vAlign w:val="center"/>
          </w:tcPr>
          <w:p>
            <w:pPr>
              <w:widowControl/>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noWrap/>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二、政府性基金预算财政拨款</w:t>
            </w:r>
          </w:p>
        </w:tc>
        <w:tc>
          <w:tcPr>
            <w:tcW w:w="480"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w:t>
            </w:r>
          </w:p>
        </w:tc>
        <w:tc>
          <w:tcPr>
            <w:tcW w:w="1880" w:type="dxa"/>
            <w:noWrap/>
            <w:vAlign w:val="center"/>
          </w:tcPr>
          <w:p>
            <w:pPr>
              <w:widowControl/>
              <w:jc w:val="right"/>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　</w:t>
            </w:r>
          </w:p>
        </w:tc>
        <w:tc>
          <w:tcPr>
            <w:tcW w:w="3761" w:type="dxa"/>
            <w:noWrap/>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二、外交支出</w:t>
            </w:r>
          </w:p>
        </w:tc>
        <w:tc>
          <w:tcPr>
            <w:tcW w:w="457"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16</w:t>
            </w:r>
          </w:p>
        </w:tc>
        <w:tc>
          <w:tcPr>
            <w:tcW w:w="1880" w:type="dxa"/>
            <w:noWrap/>
            <w:vAlign w:val="center"/>
          </w:tcPr>
          <w:p>
            <w:pPr>
              <w:jc w:val="right"/>
              <w:rPr>
                <w:rFonts w:hint="eastAsia" w:ascii="仿宋_GB2312" w:hAnsi="仿宋_GB2312" w:eastAsia="仿宋_GB2312" w:cs="仿宋_GB2312"/>
                <w:b/>
                <w:bCs/>
                <w:kern w:val="0"/>
                <w:sz w:val="24"/>
                <w:szCs w:val="24"/>
                <w:lang w:val="en-US" w:eastAsia="zh-CN"/>
              </w:rPr>
            </w:pPr>
          </w:p>
        </w:tc>
        <w:tc>
          <w:tcPr>
            <w:tcW w:w="1660" w:type="dxa"/>
            <w:noWrap/>
            <w:vAlign w:val="center"/>
          </w:tcPr>
          <w:p>
            <w:pPr>
              <w:jc w:val="right"/>
              <w:rPr>
                <w:rFonts w:hint="eastAsia" w:ascii="仿宋_GB2312" w:hAnsi="仿宋_GB2312" w:eastAsia="仿宋_GB2312" w:cs="仿宋_GB2312"/>
                <w:b/>
                <w:bCs/>
                <w:kern w:val="0"/>
                <w:sz w:val="24"/>
                <w:szCs w:val="24"/>
                <w:lang w:val="en-US" w:eastAsia="zh-CN"/>
              </w:rPr>
            </w:pPr>
          </w:p>
        </w:tc>
        <w:tc>
          <w:tcPr>
            <w:tcW w:w="1572" w:type="dxa"/>
            <w:noWrap/>
            <w:vAlign w:val="center"/>
          </w:tcPr>
          <w:p>
            <w:pPr>
              <w:widowControl/>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noWrap/>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480"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w:t>
            </w:r>
          </w:p>
        </w:tc>
        <w:tc>
          <w:tcPr>
            <w:tcW w:w="1880" w:type="dxa"/>
            <w:noWrap/>
            <w:vAlign w:val="center"/>
          </w:tcPr>
          <w:p>
            <w:pPr>
              <w:widowControl/>
              <w:jc w:val="right"/>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　</w:t>
            </w:r>
          </w:p>
        </w:tc>
        <w:tc>
          <w:tcPr>
            <w:tcW w:w="3761" w:type="dxa"/>
            <w:noWrap/>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三、国防支出</w:t>
            </w:r>
          </w:p>
        </w:tc>
        <w:tc>
          <w:tcPr>
            <w:tcW w:w="457"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17</w:t>
            </w:r>
          </w:p>
        </w:tc>
        <w:tc>
          <w:tcPr>
            <w:tcW w:w="1880" w:type="dxa"/>
            <w:noWrap/>
            <w:vAlign w:val="center"/>
          </w:tcPr>
          <w:p>
            <w:pPr>
              <w:jc w:val="right"/>
              <w:rPr>
                <w:rFonts w:hint="eastAsia" w:ascii="仿宋_GB2312" w:hAnsi="仿宋_GB2312" w:eastAsia="仿宋_GB2312" w:cs="仿宋_GB2312"/>
                <w:b/>
                <w:bCs/>
                <w:kern w:val="0"/>
                <w:sz w:val="24"/>
                <w:szCs w:val="24"/>
                <w:lang w:val="en-US" w:eastAsia="zh-CN"/>
              </w:rPr>
            </w:pPr>
          </w:p>
        </w:tc>
        <w:tc>
          <w:tcPr>
            <w:tcW w:w="1660" w:type="dxa"/>
            <w:noWrap/>
            <w:vAlign w:val="center"/>
          </w:tcPr>
          <w:p>
            <w:pPr>
              <w:jc w:val="right"/>
              <w:rPr>
                <w:rFonts w:hint="eastAsia" w:ascii="仿宋_GB2312" w:hAnsi="仿宋_GB2312" w:eastAsia="仿宋_GB2312" w:cs="仿宋_GB2312"/>
                <w:b/>
                <w:bCs/>
                <w:kern w:val="0"/>
                <w:sz w:val="24"/>
                <w:szCs w:val="24"/>
                <w:lang w:val="en-US" w:eastAsia="zh-CN"/>
              </w:rPr>
            </w:pPr>
          </w:p>
        </w:tc>
        <w:tc>
          <w:tcPr>
            <w:tcW w:w="1572" w:type="dxa"/>
            <w:noWrap/>
            <w:vAlign w:val="center"/>
          </w:tcPr>
          <w:p>
            <w:pPr>
              <w:widowControl/>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noWrap/>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480"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w:t>
            </w:r>
          </w:p>
        </w:tc>
        <w:tc>
          <w:tcPr>
            <w:tcW w:w="1880" w:type="dxa"/>
            <w:noWrap/>
            <w:vAlign w:val="center"/>
          </w:tcPr>
          <w:p>
            <w:pPr>
              <w:widowControl/>
              <w:jc w:val="right"/>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　</w:t>
            </w:r>
          </w:p>
        </w:tc>
        <w:tc>
          <w:tcPr>
            <w:tcW w:w="3761" w:type="dxa"/>
            <w:noWrap/>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四、公共安全支出</w:t>
            </w:r>
          </w:p>
        </w:tc>
        <w:tc>
          <w:tcPr>
            <w:tcW w:w="457"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18</w:t>
            </w:r>
          </w:p>
        </w:tc>
        <w:tc>
          <w:tcPr>
            <w:tcW w:w="1880" w:type="dxa"/>
            <w:noWrap/>
            <w:vAlign w:val="center"/>
          </w:tcPr>
          <w:p>
            <w:pPr>
              <w:jc w:val="right"/>
              <w:rPr>
                <w:rFonts w:hint="eastAsia" w:ascii="仿宋_GB2312" w:hAnsi="仿宋_GB2312" w:eastAsia="仿宋_GB2312" w:cs="仿宋_GB2312"/>
                <w:b/>
                <w:bCs/>
                <w:kern w:val="0"/>
                <w:sz w:val="24"/>
                <w:szCs w:val="24"/>
                <w:lang w:val="en-US" w:eastAsia="zh-CN"/>
              </w:rPr>
            </w:pPr>
          </w:p>
        </w:tc>
        <w:tc>
          <w:tcPr>
            <w:tcW w:w="1660" w:type="dxa"/>
            <w:noWrap/>
            <w:vAlign w:val="center"/>
          </w:tcPr>
          <w:p>
            <w:pPr>
              <w:jc w:val="right"/>
              <w:rPr>
                <w:rFonts w:hint="eastAsia" w:ascii="仿宋_GB2312" w:hAnsi="仿宋_GB2312" w:eastAsia="仿宋_GB2312" w:cs="仿宋_GB2312"/>
                <w:b/>
                <w:bCs/>
                <w:kern w:val="0"/>
                <w:sz w:val="24"/>
                <w:szCs w:val="24"/>
                <w:lang w:val="en-US" w:eastAsia="zh-CN"/>
              </w:rPr>
            </w:pPr>
          </w:p>
        </w:tc>
        <w:tc>
          <w:tcPr>
            <w:tcW w:w="1572" w:type="dxa"/>
            <w:noWrap/>
            <w:vAlign w:val="center"/>
          </w:tcPr>
          <w:p>
            <w:pPr>
              <w:widowControl/>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noWrap/>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480"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w:t>
            </w:r>
          </w:p>
        </w:tc>
        <w:tc>
          <w:tcPr>
            <w:tcW w:w="1880" w:type="dxa"/>
            <w:noWrap/>
            <w:vAlign w:val="center"/>
          </w:tcPr>
          <w:p>
            <w:pPr>
              <w:widowControl/>
              <w:jc w:val="right"/>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　</w:t>
            </w:r>
          </w:p>
        </w:tc>
        <w:tc>
          <w:tcPr>
            <w:tcW w:w="3761" w:type="dxa"/>
            <w:noWrap/>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五、教育支出</w:t>
            </w:r>
          </w:p>
        </w:tc>
        <w:tc>
          <w:tcPr>
            <w:tcW w:w="457"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19</w:t>
            </w:r>
          </w:p>
        </w:tc>
        <w:tc>
          <w:tcPr>
            <w:tcW w:w="1880" w:type="dxa"/>
            <w:noWrap/>
            <w:vAlign w:val="center"/>
          </w:tcPr>
          <w:p>
            <w:pPr>
              <w:keepNext w:val="0"/>
              <w:keepLines w:val="0"/>
              <w:widowControl/>
              <w:suppressLineNumbers w:val="0"/>
              <w:jc w:val="right"/>
              <w:textAlignment w:val="center"/>
              <w:rPr>
                <w:rFonts w:hint="eastAsia" w:ascii="仿宋_GB2312" w:hAnsi="仿宋_GB2312" w:eastAsia="仿宋_GB2312" w:cs="仿宋_GB2312"/>
                <w:b/>
                <w:bCs/>
                <w:kern w:val="0"/>
                <w:sz w:val="24"/>
                <w:szCs w:val="24"/>
                <w:lang w:val="en-US" w:eastAsia="zh-CN"/>
              </w:rPr>
            </w:pPr>
            <w:r>
              <w:rPr>
                <w:rFonts w:hint="eastAsia" w:ascii="宋体" w:hAnsi="宋体" w:eastAsia="宋体" w:cs="宋体"/>
                <w:i w:val="0"/>
                <w:color w:val="000000"/>
                <w:kern w:val="0"/>
                <w:sz w:val="22"/>
                <w:szCs w:val="22"/>
                <w:u w:val="none"/>
                <w:lang w:val="en-US" w:eastAsia="zh-CN" w:bidi="ar"/>
              </w:rPr>
              <w:t xml:space="preserve">14.74 </w:t>
            </w:r>
          </w:p>
        </w:tc>
        <w:tc>
          <w:tcPr>
            <w:tcW w:w="1660" w:type="dxa"/>
            <w:noWrap/>
            <w:vAlign w:val="center"/>
          </w:tcPr>
          <w:p>
            <w:pPr>
              <w:keepNext w:val="0"/>
              <w:keepLines w:val="0"/>
              <w:widowControl/>
              <w:suppressLineNumbers w:val="0"/>
              <w:jc w:val="right"/>
              <w:textAlignment w:val="center"/>
              <w:rPr>
                <w:rFonts w:hint="eastAsia" w:ascii="仿宋_GB2312" w:hAnsi="仿宋_GB2312" w:eastAsia="仿宋_GB2312" w:cs="仿宋_GB2312"/>
                <w:b/>
                <w:bCs/>
                <w:kern w:val="0"/>
                <w:sz w:val="24"/>
                <w:szCs w:val="24"/>
                <w:lang w:val="en-US" w:eastAsia="zh-CN"/>
              </w:rPr>
            </w:pPr>
            <w:r>
              <w:rPr>
                <w:rFonts w:hint="eastAsia" w:ascii="宋体" w:hAnsi="宋体" w:eastAsia="宋体" w:cs="宋体"/>
                <w:i w:val="0"/>
                <w:color w:val="000000"/>
                <w:kern w:val="0"/>
                <w:sz w:val="22"/>
                <w:szCs w:val="22"/>
                <w:u w:val="none"/>
                <w:lang w:val="en-US" w:eastAsia="zh-CN" w:bidi="ar"/>
              </w:rPr>
              <w:t xml:space="preserve">14.74 </w:t>
            </w:r>
          </w:p>
        </w:tc>
        <w:tc>
          <w:tcPr>
            <w:tcW w:w="1572" w:type="dxa"/>
            <w:noWrap/>
            <w:vAlign w:val="center"/>
          </w:tcPr>
          <w:p>
            <w:pPr>
              <w:widowControl/>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noWrap/>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480"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w:t>
            </w:r>
          </w:p>
        </w:tc>
        <w:tc>
          <w:tcPr>
            <w:tcW w:w="1880" w:type="dxa"/>
            <w:noWrap/>
            <w:vAlign w:val="center"/>
          </w:tcPr>
          <w:p>
            <w:pPr>
              <w:widowControl/>
              <w:jc w:val="right"/>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　</w:t>
            </w:r>
          </w:p>
        </w:tc>
        <w:tc>
          <w:tcPr>
            <w:tcW w:w="3761" w:type="dxa"/>
            <w:noWrap/>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八、社会保障和就业支出</w:t>
            </w:r>
          </w:p>
        </w:tc>
        <w:tc>
          <w:tcPr>
            <w:tcW w:w="457"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20</w:t>
            </w:r>
          </w:p>
        </w:tc>
        <w:tc>
          <w:tcPr>
            <w:tcW w:w="1880" w:type="dxa"/>
            <w:noWrap/>
            <w:vAlign w:val="center"/>
          </w:tcPr>
          <w:p>
            <w:pPr>
              <w:keepNext w:val="0"/>
              <w:keepLines w:val="0"/>
              <w:widowControl/>
              <w:suppressLineNumbers w:val="0"/>
              <w:jc w:val="right"/>
              <w:textAlignment w:val="center"/>
              <w:rPr>
                <w:rFonts w:hint="eastAsia" w:ascii="仿宋_GB2312" w:hAnsi="仿宋_GB2312" w:eastAsia="仿宋_GB2312" w:cs="仿宋_GB2312"/>
                <w:b/>
                <w:bCs/>
                <w:kern w:val="0"/>
                <w:sz w:val="24"/>
                <w:szCs w:val="24"/>
                <w:lang w:val="en-US" w:eastAsia="zh-CN"/>
              </w:rPr>
            </w:pPr>
            <w:r>
              <w:rPr>
                <w:rFonts w:hint="eastAsia" w:ascii="宋体" w:hAnsi="宋体" w:eastAsia="宋体" w:cs="宋体"/>
                <w:i w:val="0"/>
                <w:color w:val="000000"/>
                <w:kern w:val="0"/>
                <w:sz w:val="22"/>
                <w:szCs w:val="22"/>
                <w:u w:val="none"/>
                <w:lang w:val="en-US" w:eastAsia="zh-CN" w:bidi="ar"/>
              </w:rPr>
              <w:t xml:space="preserve">247.62 </w:t>
            </w:r>
          </w:p>
        </w:tc>
        <w:tc>
          <w:tcPr>
            <w:tcW w:w="1660" w:type="dxa"/>
            <w:noWrap/>
            <w:vAlign w:val="center"/>
          </w:tcPr>
          <w:p>
            <w:pPr>
              <w:keepNext w:val="0"/>
              <w:keepLines w:val="0"/>
              <w:widowControl/>
              <w:suppressLineNumbers w:val="0"/>
              <w:jc w:val="right"/>
              <w:textAlignment w:val="center"/>
              <w:rPr>
                <w:rFonts w:hint="eastAsia" w:ascii="仿宋_GB2312" w:hAnsi="仿宋_GB2312" w:eastAsia="仿宋_GB2312" w:cs="仿宋_GB2312"/>
                <w:b/>
                <w:bCs/>
                <w:kern w:val="0"/>
                <w:sz w:val="24"/>
                <w:szCs w:val="24"/>
                <w:lang w:val="en-US" w:eastAsia="zh-CN"/>
              </w:rPr>
            </w:pPr>
            <w:r>
              <w:rPr>
                <w:rFonts w:hint="eastAsia" w:ascii="宋体" w:hAnsi="宋体" w:eastAsia="宋体" w:cs="宋体"/>
                <w:i w:val="0"/>
                <w:color w:val="000000"/>
                <w:kern w:val="0"/>
                <w:sz w:val="22"/>
                <w:szCs w:val="22"/>
                <w:u w:val="none"/>
                <w:lang w:val="en-US" w:eastAsia="zh-CN" w:bidi="ar"/>
              </w:rPr>
              <w:t xml:space="preserve">247.62 </w:t>
            </w:r>
          </w:p>
        </w:tc>
        <w:tc>
          <w:tcPr>
            <w:tcW w:w="1572" w:type="dxa"/>
            <w:noWrap/>
            <w:vAlign w:val="center"/>
          </w:tcPr>
          <w:p>
            <w:pPr>
              <w:widowControl/>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noWrap/>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480"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7</w:t>
            </w:r>
          </w:p>
        </w:tc>
        <w:tc>
          <w:tcPr>
            <w:tcW w:w="1880" w:type="dxa"/>
            <w:noWrap/>
            <w:vAlign w:val="center"/>
          </w:tcPr>
          <w:p>
            <w:pPr>
              <w:widowControl/>
              <w:jc w:val="right"/>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　</w:t>
            </w:r>
          </w:p>
        </w:tc>
        <w:tc>
          <w:tcPr>
            <w:tcW w:w="3761" w:type="dxa"/>
            <w:noWrap/>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九、卫生健康支出</w:t>
            </w:r>
          </w:p>
        </w:tc>
        <w:tc>
          <w:tcPr>
            <w:tcW w:w="457"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21</w:t>
            </w:r>
          </w:p>
        </w:tc>
        <w:tc>
          <w:tcPr>
            <w:tcW w:w="1880" w:type="dxa"/>
            <w:noWrap/>
            <w:vAlign w:val="center"/>
          </w:tcPr>
          <w:p>
            <w:pPr>
              <w:keepNext w:val="0"/>
              <w:keepLines w:val="0"/>
              <w:widowControl/>
              <w:suppressLineNumbers w:val="0"/>
              <w:jc w:val="right"/>
              <w:textAlignment w:val="center"/>
              <w:rPr>
                <w:rFonts w:hint="eastAsia" w:ascii="仿宋_GB2312" w:hAnsi="仿宋_GB2312" w:eastAsia="仿宋_GB2312" w:cs="仿宋_GB2312"/>
                <w:b/>
                <w:bCs/>
                <w:kern w:val="0"/>
                <w:sz w:val="24"/>
                <w:szCs w:val="24"/>
                <w:lang w:val="en-US" w:eastAsia="zh-CN"/>
              </w:rPr>
            </w:pPr>
            <w:r>
              <w:rPr>
                <w:rFonts w:hint="eastAsia" w:ascii="宋体" w:hAnsi="宋体" w:eastAsia="宋体" w:cs="宋体"/>
                <w:i w:val="0"/>
                <w:color w:val="000000"/>
                <w:kern w:val="0"/>
                <w:sz w:val="22"/>
                <w:szCs w:val="22"/>
                <w:u w:val="none"/>
                <w:lang w:val="en-US" w:eastAsia="zh-CN" w:bidi="ar"/>
              </w:rPr>
              <w:t xml:space="preserve">61.00 </w:t>
            </w:r>
          </w:p>
        </w:tc>
        <w:tc>
          <w:tcPr>
            <w:tcW w:w="1660" w:type="dxa"/>
            <w:noWrap/>
            <w:vAlign w:val="center"/>
          </w:tcPr>
          <w:p>
            <w:pPr>
              <w:keepNext w:val="0"/>
              <w:keepLines w:val="0"/>
              <w:widowControl/>
              <w:suppressLineNumbers w:val="0"/>
              <w:jc w:val="right"/>
              <w:textAlignment w:val="center"/>
              <w:rPr>
                <w:rFonts w:hint="eastAsia" w:ascii="仿宋_GB2312" w:hAnsi="仿宋_GB2312" w:eastAsia="仿宋_GB2312" w:cs="仿宋_GB2312"/>
                <w:b/>
                <w:bCs/>
                <w:kern w:val="0"/>
                <w:sz w:val="24"/>
                <w:szCs w:val="24"/>
                <w:lang w:val="en-US" w:eastAsia="zh-CN"/>
              </w:rPr>
            </w:pPr>
            <w:r>
              <w:rPr>
                <w:rFonts w:hint="eastAsia" w:ascii="宋体" w:hAnsi="宋体" w:eastAsia="宋体" w:cs="宋体"/>
                <w:i w:val="0"/>
                <w:color w:val="000000"/>
                <w:kern w:val="0"/>
                <w:sz w:val="22"/>
                <w:szCs w:val="22"/>
                <w:u w:val="none"/>
                <w:lang w:val="en-US" w:eastAsia="zh-CN" w:bidi="ar"/>
              </w:rPr>
              <w:t xml:space="preserve">61.00 </w:t>
            </w:r>
          </w:p>
        </w:tc>
        <w:tc>
          <w:tcPr>
            <w:tcW w:w="1572" w:type="dxa"/>
            <w:noWrap/>
            <w:vAlign w:val="center"/>
          </w:tcPr>
          <w:p>
            <w:pPr>
              <w:widowControl/>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noWrap/>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480"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w:t>
            </w:r>
          </w:p>
        </w:tc>
        <w:tc>
          <w:tcPr>
            <w:tcW w:w="1880" w:type="dxa"/>
            <w:noWrap/>
            <w:vAlign w:val="center"/>
          </w:tcPr>
          <w:p>
            <w:pPr>
              <w:widowControl/>
              <w:jc w:val="right"/>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　</w:t>
            </w:r>
          </w:p>
        </w:tc>
        <w:tc>
          <w:tcPr>
            <w:tcW w:w="3761" w:type="dxa"/>
            <w:noWrap/>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十九、住房保障支出</w:t>
            </w:r>
          </w:p>
        </w:tc>
        <w:tc>
          <w:tcPr>
            <w:tcW w:w="457"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22</w:t>
            </w:r>
          </w:p>
        </w:tc>
        <w:tc>
          <w:tcPr>
            <w:tcW w:w="1880" w:type="dxa"/>
            <w:noWrap/>
            <w:vAlign w:val="center"/>
          </w:tcPr>
          <w:p>
            <w:pPr>
              <w:keepNext w:val="0"/>
              <w:keepLines w:val="0"/>
              <w:widowControl/>
              <w:suppressLineNumbers w:val="0"/>
              <w:jc w:val="right"/>
              <w:textAlignment w:val="center"/>
              <w:rPr>
                <w:rFonts w:hint="eastAsia" w:ascii="仿宋_GB2312" w:hAnsi="仿宋_GB2312" w:eastAsia="仿宋_GB2312" w:cs="仿宋_GB2312"/>
                <w:b/>
                <w:bCs/>
                <w:kern w:val="0"/>
                <w:sz w:val="24"/>
                <w:szCs w:val="24"/>
                <w:lang w:val="en-US" w:eastAsia="zh-CN"/>
              </w:rPr>
            </w:pPr>
            <w:r>
              <w:rPr>
                <w:rFonts w:hint="eastAsia" w:ascii="宋体" w:hAnsi="宋体" w:eastAsia="宋体" w:cs="宋体"/>
                <w:i w:val="0"/>
                <w:color w:val="000000"/>
                <w:kern w:val="0"/>
                <w:sz w:val="22"/>
                <w:szCs w:val="22"/>
                <w:u w:val="none"/>
                <w:lang w:val="en-US" w:eastAsia="zh-CN" w:bidi="ar"/>
              </w:rPr>
              <w:t xml:space="preserve">102.00 </w:t>
            </w:r>
          </w:p>
        </w:tc>
        <w:tc>
          <w:tcPr>
            <w:tcW w:w="1660" w:type="dxa"/>
            <w:noWrap/>
            <w:vAlign w:val="center"/>
          </w:tcPr>
          <w:p>
            <w:pPr>
              <w:keepNext w:val="0"/>
              <w:keepLines w:val="0"/>
              <w:widowControl/>
              <w:suppressLineNumbers w:val="0"/>
              <w:jc w:val="right"/>
              <w:textAlignment w:val="center"/>
              <w:rPr>
                <w:rFonts w:hint="eastAsia" w:ascii="仿宋_GB2312" w:hAnsi="仿宋_GB2312" w:eastAsia="仿宋_GB2312" w:cs="仿宋_GB2312"/>
                <w:b/>
                <w:bCs/>
                <w:kern w:val="0"/>
                <w:sz w:val="24"/>
                <w:szCs w:val="24"/>
                <w:lang w:val="en-US" w:eastAsia="zh-CN"/>
              </w:rPr>
            </w:pPr>
            <w:r>
              <w:rPr>
                <w:rFonts w:hint="eastAsia" w:ascii="宋体" w:hAnsi="宋体" w:eastAsia="宋体" w:cs="宋体"/>
                <w:i w:val="0"/>
                <w:color w:val="000000"/>
                <w:kern w:val="0"/>
                <w:sz w:val="22"/>
                <w:szCs w:val="22"/>
                <w:u w:val="none"/>
                <w:lang w:val="en-US" w:eastAsia="zh-CN" w:bidi="ar"/>
              </w:rPr>
              <w:t xml:space="preserve">102.00 </w:t>
            </w:r>
          </w:p>
        </w:tc>
        <w:tc>
          <w:tcPr>
            <w:tcW w:w="1572"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noWrap/>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本年收入合计</w:t>
            </w:r>
          </w:p>
        </w:tc>
        <w:tc>
          <w:tcPr>
            <w:tcW w:w="480"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9</w:t>
            </w:r>
          </w:p>
        </w:tc>
        <w:tc>
          <w:tcPr>
            <w:tcW w:w="1880" w:type="dxa"/>
            <w:noWrap/>
            <w:vAlign w:val="center"/>
          </w:tcPr>
          <w:p>
            <w:pPr>
              <w:keepNext w:val="0"/>
              <w:keepLines w:val="0"/>
              <w:widowControl/>
              <w:suppressLineNumbers w:val="0"/>
              <w:jc w:val="right"/>
              <w:textAlignment w:val="center"/>
              <w:rPr>
                <w:rFonts w:hint="eastAsia" w:ascii="仿宋_GB2312" w:hAnsi="仿宋_GB2312" w:eastAsia="仿宋_GB2312" w:cs="仿宋_GB2312"/>
                <w:b/>
                <w:bCs/>
                <w:kern w:val="0"/>
                <w:sz w:val="24"/>
                <w:szCs w:val="24"/>
              </w:rPr>
            </w:pPr>
            <w:r>
              <w:rPr>
                <w:rFonts w:hint="eastAsia" w:ascii="宋体" w:hAnsi="宋体" w:eastAsia="宋体" w:cs="宋体"/>
                <w:i w:val="0"/>
                <w:color w:val="000000"/>
                <w:kern w:val="0"/>
                <w:sz w:val="22"/>
                <w:szCs w:val="22"/>
                <w:u w:val="none"/>
                <w:lang w:val="en-US" w:eastAsia="zh-CN" w:bidi="ar"/>
              </w:rPr>
              <w:t xml:space="preserve">1,439.98 </w:t>
            </w:r>
          </w:p>
        </w:tc>
        <w:tc>
          <w:tcPr>
            <w:tcW w:w="3761" w:type="dxa"/>
            <w:noWrap/>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本年支出合计</w:t>
            </w:r>
          </w:p>
        </w:tc>
        <w:tc>
          <w:tcPr>
            <w:tcW w:w="457"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23</w:t>
            </w:r>
          </w:p>
        </w:tc>
        <w:tc>
          <w:tcPr>
            <w:tcW w:w="1880" w:type="dxa"/>
            <w:noWrap/>
            <w:vAlign w:val="center"/>
          </w:tcPr>
          <w:p>
            <w:pPr>
              <w:keepNext w:val="0"/>
              <w:keepLines w:val="0"/>
              <w:widowControl/>
              <w:suppressLineNumbers w:val="0"/>
              <w:jc w:val="right"/>
              <w:textAlignment w:val="center"/>
              <w:rPr>
                <w:rFonts w:hint="eastAsia" w:ascii="仿宋_GB2312" w:hAnsi="仿宋_GB2312" w:eastAsia="仿宋_GB2312" w:cs="仿宋_GB2312"/>
                <w:b/>
                <w:bCs/>
                <w:kern w:val="0"/>
                <w:sz w:val="24"/>
                <w:szCs w:val="24"/>
                <w:lang w:val="en-US" w:eastAsia="zh-CN"/>
              </w:rPr>
            </w:pPr>
            <w:r>
              <w:rPr>
                <w:rFonts w:hint="eastAsia" w:ascii="宋体" w:hAnsi="宋体" w:eastAsia="宋体" w:cs="宋体"/>
                <w:i w:val="0"/>
                <w:color w:val="000000"/>
                <w:kern w:val="0"/>
                <w:sz w:val="22"/>
                <w:szCs w:val="22"/>
                <w:u w:val="none"/>
                <w:lang w:val="en-US" w:eastAsia="zh-CN" w:bidi="ar"/>
              </w:rPr>
              <w:t xml:space="preserve">1,273.73 </w:t>
            </w:r>
          </w:p>
        </w:tc>
        <w:tc>
          <w:tcPr>
            <w:tcW w:w="1660" w:type="dxa"/>
            <w:noWrap/>
            <w:vAlign w:val="center"/>
          </w:tcPr>
          <w:p>
            <w:pPr>
              <w:keepNext w:val="0"/>
              <w:keepLines w:val="0"/>
              <w:widowControl/>
              <w:suppressLineNumbers w:val="0"/>
              <w:jc w:val="right"/>
              <w:textAlignment w:val="center"/>
              <w:rPr>
                <w:rFonts w:hint="eastAsia" w:ascii="仿宋_GB2312" w:hAnsi="仿宋_GB2312" w:eastAsia="仿宋_GB2312" w:cs="仿宋_GB2312"/>
                <w:b/>
                <w:bCs/>
                <w:kern w:val="0"/>
                <w:sz w:val="24"/>
                <w:szCs w:val="24"/>
                <w:lang w:val="en-US" w:eastAsia="zh-CN"/>
              </w:rPr>
            </w:pPr>
            <w:r>
              <w:rPr>
                <w:rFonts w:hint="eastAsia" w:ascii="宋体" w:hAnsi="宋体" w:eastAsia="宋体" w:cs="宋体"/>
                <w:i w:val="0"/>
                <w:color w:val="000000"/>
                <w:kern w:val="0"/>
                <w:sz w:val="22"/>
                <w:szCs w:val="22"/>
                <w:u w:val="none"/>
                <w:lang w:val="en-US" w:eastAsia="zh-CN" w:bidi="ar"/>
              </w:rPr>
              <w:t xml:space="preserve">1,273.73 </w:t>
            </w:r>
          </w:p>
        </w:tc>
        <w:tc>
          <w:tcPr>
            <w:tcW w:w="1572" w:type="dxa"/>
            <w:noWrap/>
            <w:vAlign w:val="center"/>
          </w:tcPr>
          <w:p>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年初财政拨款结转和结余</w:t>
            </w:r>
          </w:p>
        </w:tc>
        <w:tc>
          <w:tcPr>
            <w:tcW w:w="480"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10</w:t>
            </w:r>
          </w:p>
        </w:tc>
        <w:tc>
          <w:tcPr>
            <w:tcW w:w="1880" w:type="dxa"/>
            <w:noWrap/>
            <w:vAlign w:val="center"/>
          </w:tcPr>
          <w:p>
            <w:pPr>
              <w:keepNext w:val="0"/>
              <w:keepLines w:val="0"/>
              <w:widowControl/>
              <w:suppressLineNumbers w:val="0"/>
              <w:jc w:val="right"/>
              <w:textAlignment w:val="center"/>
              <w:rPr>
                <w:rFonts w:hint="eastAsia" w:ascii="仿宋_GB2312" w:hAnsi="仿宋_GB2312" w:eastAsia="仿宋_GB2312" w:cs="仿宋_GB2312"/>
                <w:b/>
                <w:bCs/>
                <w:kern w:val="0"/>
                <w:sz w:val="24"/>
                <w:szCs w:val="24"/>
              </w:rPr>
            </w:pPr>
            <w:r>
              <w:rPr>
                <w:rFonts w:hint="eastAsia" w:ascii="宋体" w:hAnsi="宋体" w:eastAsia="宋体" w:cs="宋体"/>
                <w:i w:val="0"/>
                <w:color w:val="000000"/>
                <w:kern w:val="0"/>
                <w:sz w:val="22"/>
                <w:szCs w:val="22"/>
                <w:u w:val="none"/>
                <w:lang w:val="en-US" w:eastAsia="zh-CN" w:bidi="ar"/>
              </w:rPr>
              <w:t xml:space="preserve">158.95 </w:t>
            </w:r>
          </w:p>
        </w:tc>
        <w:tc>
          <w:tcPr>
            <w:tcW w:w="3761"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年末财政拨款结转和结余</w:t>
            </w:r>
          </w:p>
        </w:tc>
        <w:tc>
          <w:tcPr>
            <w:tcW w:w="457"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24</w:t>
            </w:r>
          </w:p>
        </w:tc>
        <w:tc>
          <w:tcPr>
            <w:tcW w:w="1880" w:type="dxa"/>
            <w:noWrap/>
            <w:vAlign w:val="center"/>
          </w:tcPr>
          <w:p>
            <w:pPr>
              <w:keepNext w:val="0"/>
              <w:keepLines w:val="0"/>
              <w:widowControl/>
              <w:suppressLineNumbers w:val="0"/>
              <w:jc w:val="right"/>
              <w:textAlignment w:val="center"/>
              <w:rPr>
                <w:rFonts w:hint="eastAsia" w:ascii="仿宋_GB2312" w:hAnsi="仿宋_GB2312" w:eastAsia="仿宋_GB2312" w:cs="仿宋_GB2312"/>
                <w:b/>
                <w:bCs/>
                <w:kern w:val="0"/>
                <w:sz w:val="24"/>
                <w:szCs w:val="24"/>
                <w:lang w:val="en-US" w:eastAsia="zh-CN"/>
              </w:rPr>
            </w:pPr>
            <w:r>
              <w:rPr>
                <w:rFonts w:hint="eastAsia" w:ascii="宋体" w:hAnsi="宋体" w:eastAsia="宋体" w:cs="宋体"/>
                <w:i w:val="0"/>
                <w:color w:val="000000"/>
                <w:kern w:val="0"/>
                <w:sz w:val="22"/>
                <w:szCs w:val="22"/>
                <w:u w:val="none"/>
                <w:lang w:val="en-US" w:eastAsia="zh-CN" w:bidi="ar"/>
              </w:rPr>
              <w:t xml:space="preserve">325.19 </w:t>
            </w:r>
          </w:p>
        </w:tc>
        <w:tc>
          <w:tcPr>
            <w:tcW w:w="1660" w:type="dxa"/>
            <w:noWrap/>
            <w:vAlign w:val="center"/>
          </w:tcPr>
          <w:p>
            <w:pPr>
              <w:keepNext w:val="0"/>
              <w:keepLines w:val="0"/>
              <w:widowControl/>
              <w:suppressLineNumbers w:val="0"/>
              <w:jc w:val="right"/>
              <w:textAlignment w:val="center"/>
              <w:rPr>
                <w:rFonts w:hint="eastAsia" w:ascii="仿宋_GB2312" w:hAnsi="仿宋_GB2312" w:eastAsia="仿宋_GB2312" w:cs="仿宋_GB2312"/>
                <w:b/>
                <w:bCs/>
                <w:kern w:val="0"/>
                <w:sz w:val="24"/>
                <w:szCs w:val="24"/>
                <w:lang w:val="en-US" w:eastAsia="zh-CN"/>
              </w:rPr>
            </w:pPr>
            <w:r>
              <w:rPr>
                <w:rFonts w:hint="eastAsia" w:ascii="宋体" w:hAnsi="宋体" w:eastAsia="宋体" w:cs="宋体"/>
                <w:i w:val="0"/>
                <w:color w:val="000000"/>
                <w:kern w:val="0"/>
                <w:sz w:val="22"/>
                <w:szCs w:val="22"/>
                <w:u w:val="none"/>
                <w:lang w:val="en-US" w:eastAsia="zh-CN" w:bidi="ar"/>
              </w:rPr>
              <w:t xml:space="preserve">325.19 </w:t>
            </w:r>
          </w:p>
        </w:tc>
        <w:tc>
          <w:tcPr>
            <w:tcW w:w="1572" w:type="dxa"/>
            <w:noWrap/>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一、一般公共预算财政拨款</w:t>
            </w:r>
          </w:p>
        </w:tc>
        <w:tc>
          <w:tcPr>
            <w:tcW w:w="480"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11</w:t>
            </w:r>
          </w:p>
        </w:tc>
        <w:tc>
          <w:tcPr>
            <w:tcW w:w="1880" w:type="dxa"/>
            <w:noWrap/>
            <w:vAlign w:val="center"/>
          </w:tcPr>
          <w:p>
            <w:pPr>
              <w:keepNext w:val="0"/>
              <w:keepLines w:val="0"/>
              <w:widowControl/>
              <w:suppressLineNumbers w:val="0"/>
              <w:jc w:val="right"/>
              <w:textAlignment w:val="center"/>
              <w:rPr>
                <w:rFonts w:hint="eastAsia" w:ascii="仿宋_GB2312" w:hAnsi="仿宋_GB2312" w:eastAsia="仿宋_GB2312" w:cs="仿宋_GB2312"/>
                <w:b/>
                <w:bCs/>
                <w:kern w:val="0"/>
                <w:sz w:val="24"/>
                <w:szCs w:val="24"/>
              </w:rPr>
            </w:pPr>
            <w:r>
              <w:rPr>
                <w:rFonts w:hint="eastAsia" w:ascii="宋体" w:hAnsi="宋体" w:eastAsia="宋体" w:cs="宋体"/>
                <w:i w:val="0"/>
                <w:color w:val="000000"/>
                <w:kern w:val="0"/>
                <w:sz w:val="22"/>
                <w:szCs w:val="22"/>
                <w:u w:val="none"/>
                <w:lang w:val="en-US" w:eastAsia="zh-CN" w:bidi="ar"/>
              </w:rPr>
              <w:t xml:space="preserve">158.95 </w:t>
            </w:r>
          </w:p>
        </w:tc>
        <w:tc>
          <w:tcPr>
            <w:tcW w:w="3761" w:type="dxa"/>
            <w:noWrap/>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457"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25</w:t>
            </w:r>
          </w:p>
        </w:tc>
        <w:tc>
          <w:tcPr>
            <w:tcW w:w="1880" w:type="dxa"/>
            <w:noWrap/>
            <w:vAlign w:val="center"/>
          </w:tcPr>
          <w:p>
            <w:pPr>
              <w:widowControl/>
              <w:jc w:val="right"/>
              <w:rPr>
                <w:rFonts w:hint="eastAsia" w:ascii="仿宋_GB2312" w:hAnsi="仿宋_GB2312" w:eastAsia="仿宋_GB2312" w:cs="仿宋_GB2312"/>
                <w:b/>
                <w:bCs/>
                <w:kern w:val="0"/>
                <w:sz w:val="24"/>
                <w:szCs w:val="24"/>
                <w:lang w:val="en-US" w:eastAsia="zh-CN"/>
              </w:rPr>
            </w:pPr>
          </w:p>
        </w:tc>
        <w:tc>
          <w:tcPr>
            <w:tcW w:w="1660" w:type="dxa"/>
            <w:noWrap/>
            <w:vAlign w:val="center"/>
          </w:tcPr>
          <w:p>
            <w:pPr>
              <w:widowControl/>
              <w:jc w:val="right"/>
              <w:rPr>
                <w:rFonts w:hint="eastAsia" w:ascii="仿宋_GB2312" w:hAnsi="仿宋_GB2312" w:eastAsia="仿宋_GB2312" w:cs="仿宋_GB2312"/>
                <w:b/>
                <w:bCs/>
                <w:kern w:val="0"/>
                <w:sz w:val="24"/>
                <w:szCs w:val="24"/>
                <w:lang w:val="en-US" w:eastAsia="zh-CN"/>
              </w:rPr>
            </w:pPr>
          </w:p>
        </w:tc>
        <w:tc>
          <w:tcPr>
            <w:tcW w:w="1572" w:type="dxa"/>
            <w:noWrap/>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二、政府性基金预算财政拨款</w:t>
            </w:r>
          </w:p>
        </w:tc>
        <w:tc>
          <w:tcPr>
            <w:tcW w:w="480"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12</w:t>
            </w:r>
          </w:p>
        </w:tc>
        <w:tc>
          <w:tcPr>
            <w:tcW w:w="1880" w:type="dxa"/>
            <w:noWrap/>
            <w:vAlign w:val="center"/>
          </w:tcPr>
          <w:p>
            <w:pPr>
              <w:widowControl/>
              <w:jc w:val="right"/>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　</w:t>
            </w:r>
          </w:p>
        </w:tc>
        <w:tc>
          <w:tcPr>
            <w:tcW w:w="3761" w:type="dxa"/>
            <w:noWrap/>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457"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26</w:t>
            </w:r>
          </w:p>
        </w:tc>
        <w:tc>
          <w:tcPr>
            <w:tcW w:w="1880" w:type="dxa"/>
            <w:noWrap/>
            <w:vAlign w:val="center"/>
          </w:tcPr>
          <w:p>
            <w:pPr>
              <w:widowControl/>
              <w:jc w:val="right"/>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b/>
                <w:bCs/>
                <w:kern w:val="0"/>
                <w:sz w:val="24"/>
                <w:szCs w:val="24"/>
                <w:lang w:val="en-US" w:eastAsia="zh-CN"/>
              </w:rPr>
              <w:t>　</w:t>
            </w:r>
          </w:p>
        </w:tc>
        <w:tc>
          <w:tcPr>
            <w:tcW w:w="1660" w:type="dxa"/>
            <w:noWrap/>
            <w:vAlign w:val="center"/>
          </w:tcPr>
          <w:p>
            <w:pPr>
              <w:widowControl/>
              <w:jc w:val="right"/>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b/>
                <w:bCs/>
                <w:kern w:val="0"/>
                <w:sz w:val="24"/>
                <w:szCs w:val="24"/>
                <w:lang w:val="en-US" w:eastAsia="zh-CN"/>
              </w:rPr>
              <w:t>　</w:t>
            </w:r>
          </w:p>
        </w:tc>
        <w:tc>
          <w:tcPr>
            <w:tcW w:w="1572" w:type="dxa"/>
            <w:noWrap/>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480"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13</w:t>
            </w:r>
          </w:p>
        </w:tc>
        <w:tc>
          <w:tcPr>
            <w:tcW w:w="1880" w:type="dxa"/>
            <w:noWrap/>
            <w:vAlign w:val="center"/>
          </w:tcPr>
          <w:p>
            <w:pPr>
              <w:widowControl/>
              <w:jc w:val="right"/>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　</w:t>
            </w:r>
          </w:p>
        </w:tc>
        <w:tc>
          <w:tcPr>
            <w:tcW w:w="3761" w:type="dxa"/>
            <w:noWrap/>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457"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27</w:t>
            </w:r>
          </w:p>
        </w:tc>
        <w:tc>
          <w:tcPr>
            <w:tcW w:w="1880" w:type="dxa"/>
            <w:noWrap/>
            <w:vAlign w:val="center"/>
          </w:tcPr>
          <w:p>
            <w:pPr>
              <w:widowControl/>
              <w:jc w:val="right"/>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b/>
                <w:bCs/>
                <w:kern w:val="0"/>
                <w:sz w:val="24"/>
                <w:szCs w:val="24"/>
                <w:lang w:val="en-US" w:eastAsia="zh-CN"/>
              </w:rPr>
              <w:t>　</w:t>
            </w:r>
          </w:p>
        </w:tc>
        <w:tc>
          <w:tcPr>
            <w:tcW w:w="1660" w:type="dxa"/>
            <w:noWrap/>
            <w:vAlign w:val="center"/>
          </w:tcPr>
          <w:p>
            <w:pPr>
              <w:widowControl/>
              <w:jc w:val="right"/>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b/>
                <w:bCs/>
                <w:kern w:val="0"/>
                <w:sz w:val="24"/>
                <w:szCs w:val="24"/>
                <w:lang w:val="en-US" w:eastAsia="zh-CN"/>
              </w:rPr>
              <w:t>　</w:t>
            </w:r>
          </w:p>
        </w:tc>
        <w:tc>
          <w:tcPr>
            <w:tcW w:w="1572" w:type="dxa"/>
            <w:noWrap/>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noWrap/>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总计</w:t>
            </w:r>
          </w:p>
        </w:tc>
        <w:tc>
          <w:tcPr>
            <w:tcW w:w="480"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14</w:t>
            </w:r>
          </w:p>
        </w:tc>
        <w:tc>
          <w:tcPr>
            <w:tcW w:w="1880" w:type="dxa"/>
            <w:noWrap/>
            <w:vAlign w:val="center"/>
          </w:tcPr>
          <w:p>
            <w:pPr>
              <w:keepNext w:val="0"/>
              <w:keepLines w:val="0"/>
              <w:widowControl/>
              <w:suppressLineNumbers w:val="0"/>
              <w:jc w:val="right"/>
              <w:textAlignment w:val="center"/>
              <w:rPr>
                <w:rFonts w:hint="eastAsia" w:ascii="仿宋_GB2312" w:hAnsi="仿宋_GB2312" w:eastAsia="仿宋_GB2312" w:cs="仿宋_GB2312"/>
                <w:b/>
                <w:bCs/>
                <w:kern w:val="0"/>
                <w:sz w:val="24"/>
                <w:szCs w:val="24"/>
                <w:lang w:val="en-US" w:eastAsia="zh-CN"/>
              </w:rPr>
            </w:pPr>
            <w:r>
              <w:rPr>
                <w:rFonts w:hint="eastAsia" w:ascii="宋体" w:hAnsi="宋体" w:eastAsia="宋体" w:cs="宋体"/>
                <w:i w:val="0"/>
                <w:color w:val="000000"/>
                <w:kern w:val="0"/>
                <w:sz w:val="22"/>
                <w:szCs w:val="22"/>
                <w:u w:val="none"/>
                <w:lang w:val="en-US" w:eastAsia="zh-CN" w:bidi="ar"/>
              </w:rPr>
              <w:t xml:space="preserve">1,598.93 </w:t>
            </w:r>
          </w:p>
        </w:tc>
        <w:tc>
          <w:tcPr>
            <w:tcW w:w="3761" w:type="dxa"/>
            <w:noWrap/>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总计</w:t>
            </w:r>
          </w:p>
        </w:tc>
        <w:tc>
          <w:tcPr>
            <w:tcW w:w="457" w:type="dxa"/>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28</w:t>
            </w:r>
          </w:p>
        </w:tc>
        <w:tc>
          <w:tcPr>
            <w:tcW w:w="1880" w:type="dxa"/>
            <w:noWrap/>
            <w:vAlign w:val="center"/>
          </w:tcPr>
          <w:p>
            <w:pPr>
              <w:keepNext w:val="0"/>
              <w:keepLines w:val="0"/>
              <w:widowControl/>
              <w:suppressLineNumbers w:val="0"/>
              <w:jc w:val="right"/>
              <w:textAlignment w:val="center"/>
              <w:rPr>
                <w:rFonts w:hint="eastAsia" w:ascii="仿宋_GB2312" w:hAnsi="仿宋_GB2312" w:eastAsia="仿宋_GB2312" w:cs="仿宋_GB2312"/>
                <w:b/>
                <w:bCs/>
                <w:kern w:val="0"/>
                <w:sz w:val="24"/>
                <w:szCs w:val="24"/>
                <w:lang w:val="en-US" w:eastAsia="zh-CN"/>
              </w:rPr>
            </w:pPr>
            <w:r>
              <w:rPr>
                <w:rFonts w:hint="eastAsia" w:ascii="宋体" w:hAnsi="宋体" w:eastAsia="宋体" w:cs="宋体"/>
                <w:i w:val="0"/>
                <w:color w:val="000000"/>
                <w:kern w:val="0"/>
                <w:sz w:val="22"/>
                <w:szCs w:val="22"/>
                <w:u w:val="none"/>
                <w:lang w:val="en-US" w:eastAsia="zh-CN" w:bidi="ar"/>
              </w:rPr>
              <w:t xml:space="preserve">1,598.93 </w:t>
            </w:r>
          </w:p>
        </w:tc>
        <w:tc>
          <w:tcPr>
            <w:tcW w:w="1660" w:type="dxa"/>
            <w:noWrap/>
            <w:vAlign w:val="center"/>
          </w:tcPr>
          <w:p>
            <w:pPr>
              <w:keepNext w:val="0"/>
              <w:keepLines w:val="0"/>
              <w:widowControl/>
              <w:suppressLineNumbers w:val="0"/>
              <w:jc w:val="right"/>
              <w:textAlignment w:val="center"/>
              <w:rPr>
                <w:rFonts w:hint="eastAsia" w:ascii="仿宋_GB2312" w:hAnsi="仿宋_GB2312" w:eastAsia="仿宋_GB2312" w:cs="仿宋_GB2312"/>
                <w:b/>
                <w:bCs/>
                <w:kern w:val="0"/>
                <w:sz w:val="24"/>
                <w:szCs w:val="24"/>
                <w:lang w:val="en-US" w:eastAsia="zh-CN"/>
              </w:rPr>
            </w:pPr>
            <w:r>
              <w:rPr>
                <w:rFonts w:hint="eastAsia" w:ascii="宋体" w:hAnsi="宋体" w:eastAsia="宋体" w:cs="宋体"/>
                <w:i w:val="0"/>
                <w:color w:val="000000"/>
                <w:kern w:val="0"/>
                <w:sz w:val="22"/>
                <w:szCs w:val="22"/>
                <w:u w:val="none"/>
                <w:lang w:val="en-US" w:eastAsia="zh-CN" w:bidi="ar"/>
              </w:rPr>
              <w:t xml:space="preserve">1,598.93 </w:t>
            </w:r>
          </w:p>
        </w:tc>
        <w:tc>
          <w:tcPr>
            <w:tcW w:w="1572" w:type="dxa"/>
            <w:noWrap/>
            <w:vAlign w:val="center"/>
          </w:tcPr>
          <w:p>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　</w:t>
            </w:r>
          </w:p>
        </w:tc>
      </w:tr>
    </w:tbl>
    <w:p>
      <w:pPr>
        <w:widowControl/>
        <w:ind w:firstLine="480" w:firstLineChars="200"/>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注：本表反映部门本年度一般公共预算财政拨款和政府性基金预算财政拨款的总收支和年末结转结余情况。</w:t>
      </w:r>
    </w:p>
    <w:p>
      <w:pPr>
        <w:widowControl/>
        <w:jc w:val="left"/>
        <w:rPr>
          <w:rFonts w:hint="eastAsia" w:ascii="仿宋" w:hAnsi="仿宋" w:eastAsia="仿宋" w:cs="仿宋"/>
          <w:kern w:val="0"/>
        </w:rPr>
      </w:pPr>
      <w:r>
        <w:rPr>
          <w:rFonts w:hint="eastAsia" w:ascii="仿宋_GB2312" w:hAnsi="仿宋_GB2312" w:eastAsia="仿宋_GB2312" w:cs="仿宋_GB2312"/>
          <w:kern w:val="0"/>
          <w:sz w:val="24"/>
          <w:szCs w:val="24"/>
        </w:rPr>
        <w:br w:type="page"/>
      </w:r>
    </w:p>
    <w:p>
      <w:pPr>
        <w:widowControl/>
        <w:jc w:val="center"/>
        <w:rPr>
          <w:rFonts w:ascii="黑体" w:hAnsi="黑体" w:eastAsia="黑体"/>
          <w:sz w:val="36"/>
          <w:szCs w:val="36"/>
        </w:rPr>
      </w:pPr>
      <w:bookmarkStart w:id="0" w:name="RANGE_A1_F16"/>
      <w:r>
        <w:rPr>
          <w:rFonts w:hint="eastAsia" w:ascii="黑体" w:hAnsi="黑体" w:eastAsia="黑体" w:cs="黑体"/>
          <w:sz w:val="36"/>
          <w:szCs w:val="36"/>
        </w:rPr>
        <w:t>一般公共预算财政拨款支出决算表</w:t>
      </w:r>
      <w:bookmarkEnd w:id="0"/>
    </w:p>
    <w:p>
      <w:pPr>
        <w:widowControl/>
        <w:spacing w:beforeLines="50"/>
        <w:ind w:firstLine="723" w:firstLineChars="300"/>
        <w:jc w:val="left"/>
        <w:rPr>
          <w:rFonts w:hint="eastAsia" w:ascii="仿宋" w:hAnsi="仿宋" w:eastAsia="仿宋" w:cs="仿宋"/>
          <w:color w:val="000000"/>
          <w:kern w:val="0"/>
          <w:sz w:val="24"/>
          <w:szCs w:val="24"/>
        </w:rPr>
      </w:pPr>
      <w:r>
        <w:rPr>
          <w:rFonts w:hint="eastAsia" w:ascii="仿宋" w:hAnsi="仿宋" w:eastAsia="仿宋" w:cs="仿宋"/>
          <w:b/>
          <w:bCs/>
          <w:color w:val="000000"/>
          <w:kern w:val="0"/>
          <w:sz w:val="24"/>
          <w:szCs w:val="24"/>
        </w:rPr>
        <w:t xml:space="preserve">部门：湖南省人民政府驻上海办事处        </w:t>
      </w:r>
      <w:r>
        <w:rPr>
          <w:rFonts w:hint="eastAsia" w:ascii="仿宋" w:hAnsi="仿宋" w:eastAsia="仿宋" w:cs="仿宋"/>
          <w:color w:val="000000"/>
          <w:kern w:val="0"/>
          <w:sz w:val="24"/>
          <w:szCs w:val="24"/>
        </w:rPr>
        <w:t xml:space="preserve">                                                                公开05表</w:t>
      </w:r>
    </w:p>
    <w:p>
      <w:pPr>
        <w:widowControl/>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xml:space="preserve">                                                                                            </w:t>
      </w:r>
      <w:r>
        <w:rPr>
          <w:rFonts w:hint="eastAsia" w:ascii="仿宋" w:hAnsi="仿宋" w:eastAsia="仿宋" w:cs="仿宋"/>
          <w:color w:val="000000"/>
          <w:kern w:val="0"/>
          <w:sz w:val="24"/>
          <w:szCs w:val="24"/>
          <w:lang w:val="en-US" w:eastAsia="zh-CN"/>
        </w:rPr>
        <w:t xml:space="preserve"> </w:t>
      </w:r>
      <w:r>
        <w:rPr>
          <w:rFonts w:hint="eastAsia" w:ascii="仿宋" w:hAnsi="仿宋" w:eastAsia="仿宋" w:cs="仿宋"/>
          <w:color w:val="000000"/>
          <w:kern w:val="0"/>
          <w:sz w:val="24"/>
          <w:szCs w:val="24"/>
        </w:rPr>
        <w:t xml:space="preserve">                 单位：万元</w:t>
      </w:r>
    </w:p>
    <w:tbl>
      <w:tblPr>
        <w:tblStyle w:val="11"/>
        <w:tblW w:w="14219" w:type="dxa"/>
        <w:jc w:val="center"/>
        <w:tblLayout w:type="autofit"/>
        <w:tblCellMar>
          <w:top w:w="0" w:type="dxa"/>
          <w:left w:w="108" w:type="dxa"/>
          <w:bottom w:w="0" w:type="dxa"/>
          <w:right w:w="108" w:type="dxa"/>
        </w:tblCellMar>
      </w:tblPr>
      <w:tblGrid>
        <w:gridCol w:w="2011"/>
        <w:gridCol w:w="3898"/>
        <w:gridCol w:w="3069"/>
        <w:gridCol w:w="2423"/>
        <w:gridCol w:w="2818"/>
      </w:tblGrid>
      <w:tr>
        <w:tblPrEx>
          <w:tblCellMar>
            <w:top w:w="0" w:type="dxa"/>
            <w:left w:w="108" w:type="dxa"/>
            <w:bottom w:w="0" w:type="dxa"/>
            <w:right w:w="108" w:type="dxa"/>
          </w:tblCellMar>
        </w:tblPrEx>
        <w:trPr>
          <w:trHeight w:val="541" w:hRule="atLeast"/>
          <w:jc w:val="center"/>
        </w:trPr>
        <w:tc>
          <w:tcPr>
            <w:tcW w:w="5909" w:type="dxa"/>
            <w:gridSpan w:val="2"/>
            <w:tcBorders>
              <w:top w:val="single" w:color="auto" w:sz="8" w:space="0"/>
              <w:left w:val="single" w:color="auto" w:sz="8" w:space="0"/>
              <w:bottom w:val="single" w:color="auto" w:sz="4" w:space="0"/>
              <w:right w:val="single" w:color="auto" w:sz="4" w:space="0"/>
            </w:tcBorders>
            <w:vAlign w:val="center"/>
          </w:tcPr>
          <w:p>
            <w:pPr>
              <w:widowControl/>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 xml:space="preserve">项 </w:t>
            </w:r>
            <w:r>
              <w:rPr>
                <w:rFonts w:hint="eastAsia" w:ascii="仿宋" w:hAnsi="仿宋" w:eastAsia="仿宋" w:cs="仿宋"/>
                <w:b/>
                <w:bCs/>
                <w:color w:val="000000"/>
                <w:kern w:val="0"/>
                <w:sz w:val="24"/>
                <w:szCs w:val="24"/>
              </w:rPr>
              <w:t xml:space="preserve">   </w:t>
            </w:r>
            <w:r>
              <w:rPr>
                <w:rFonts w:hint="eastAsia" w:ascii="仿宋" w:hAnsi="仿宋" w:eastAsia="仿宋" w:cs="仿宋"/>
                <w:b/>
                <w:bCs/>
                <w:kern w:val="0"/>
                <w:sz w:val="24"/>
                <w:szCs w:val="24"/>
              </w:rPr>
              <w:t>目</w:t>
            </w:r>
          </w:p>
        </w:tc>
        <w:tc>
          <w:tcPr>
            <w:tcW w:w="8310" w:type="dxa"/>
            <w:gridSpan w:val="3"/>
            <w:tcBorders>
              <w:top w:val="single" w:color="auto" w:sz="8" w:space="0"/>
              <w:left w:val="nil"/>
              <w:bottom w:val="single" w:color="auto" w:sz="4" w:space="0"/>
              <w:right w:val="single" w:color="000000" w:sz="8" w:space="0"/>
            </w:tcBorders>
            <w:vAlign w:val="center"/>
          </w:tcPr>
          <w:p>
            <w:pPr>
              <w:widowControl/>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本年支出</w:t>
            </w:r>
          </w:p>
        </w:tc>
      </w:tr>
      <w:tr>
        <w:tblPrEx>
          <w:tblCellMar>
            <w:top w:w="0" w:type="dxa"/>
            <w:left w:w="108" w:type="dxa"/>
            <w:bottom w:w="0" w:type="dxa"/>
            <w:right w:w="108" w:type="dxa"/>
          </w:tblCellMar>
        </w:tblPrEx>
        <w:trPr>
          <w:trHeight w:val="495" w:hRule="atLeast"/>
          <w:jc w:val="center"/>
        </w:trPr>
        <w:tc>
          <w:tcPr>
            <w:tcW w:w="2011" w:type="dxa"/>
            <w:vMerge w:val="restart"/>
            <w:tcBorders>
              <w:top w:val="single" w:color="auto" w:sz="4" w:space="0"/>
              <w:left w:val="single" w:color="auto" w:sz="8" w:space="0"/>
              <w:bottom w:val="single" w:color="auto" w:sz="4" w:space="0"/>
              <w:right w:val="single" w:color="auto" w:sz="4" w:space="0"/>
            </w:tcBorders>
            <w:vAlign w:val="center"/>
          </w:tcPr>
          <w:p>
            <w:pPr>
              <w:widowControl/>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功能分类科目编码</w:t>
            </w:r>
          </w:p>
        </w:tc>
        <w:tc>
          <w:tcPr>
            <w:tcW w:w="3898" w:type="dxa"/>
            <w:vMerge w:val="restart"/>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科目名称</w:t>
            </w:r>
          </w:p>
        </w:tc>
        <w:tc>
          <w:tcPr>
            <w:tcW w:w="3069" w:type="dxa"/>
            <w:vMerge w:val="restart"/>
            <w:tcBorders>
              <w:top w:val="nil"/>
              <w:left w:val="single" w:color="auto" w:sz="4" w:space="0"/>
              <w:bottom w:val="single" w:color="000000" w:sz="4" w:space="0"/>
              <w:right w:val="single" w:color="auto" w:sz="4" w:space="0"/>
            </w:tcBorders>
            <w:vAlign w:val="center"/>
          </w:tcPr>
          <w:p>
            <w:pPr>
              <w:widowControl/>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小计</w:t>
            </w:r>
          </w:p>
        </w:tc>
        <w:tc>
          <w:tcPr>
            <w:tcW w:w="2423" w:type="dxa"/>
            <w:vMerge w:val="restart"/>
            <w:tcBorders>
              <w:top w:val="nil"/>
              <w:left w:val="single" w:color="auto" w:sz="4" w:space="0"/>
              <w:bottom w:val="single" w:color="000000" w:sz="4" w:space="0"/>
              <w:right w:val="single" w:color="auto" w:sz="4" w:space="0"/>
            </w:tcBorders>
            <w:vAlign w:val="center"/>
          </w:tcPr>
          <w:p>
            <w:pPr>
              <w:widowControl/>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基本支出</w:t>
            </w:r>
          </w:p>
        </w:tc>
        <w:tc>
          <w:tcPr>
            <w:tcW w:w="2818" w:type="dxa"/>
            <w:vMerge w:val="restart"/>
            <w:tcBorders>
              <w:top w:val="nil"/>
              <w:left w:val="single" w:color="auto" w:sz="4" w:space="0"/>
              <w:bottom w:val="single" w:color="000000" w:sz="4" w:space="0"/>
              <w:right w:val="single" w:color="auto" w:sz="8" w:space="0"/>
            </w:tcBorders>
            <w:vAlign w:val="center"/>
          </w:tcPr>
          <w:p>
            <w:pPr>
              <w:widowControl/>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项目支出</w:t>
            </w:r>
          </w:p>
        </w:tc>
      </w:tr>
      <w:tr>
        <w:tblPrEx>
          <w:tblCellMar>
            <w:top w:w="0" w:type="dxa"/>
            <w:left w:w="108" w:type="dxa"/>
            <w:bottom w:w="0" w:type="dxa"/>
            <w:right w:w="108" w:type="dxa"/>
          </w:tblCellMar>
        </w:tblPrEx>
        <w:trPr>
          <w:trHeight w:val="360" w:hRule="atLeast"/>
          <w:jc w:val="center"/>
        </w:trPr>
        <w:tc>
          <w:tcPr>
            <w:tcW w:w="2011"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hint="eastAsia" w:ascii="仿宋" w:hAnsi="仿宋" w:eastAsia="仿宋" w:cs="仿宋"/>
                <w:kern w:val="0"/>
                <w:sz w:val="24"/>
                <w:szCs w:val="24"/>
              </w:rPr>
            </w:pPr>
          </w:p>
        </w:tc>
        <w:tc>
          <w:tcPr>
            <w:tcW w:w="3898"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kern w:val="0"/>
                <w:sz w:val="24"/>
                <w:szCs w:val="24"/>
              </w:rPr>
            </w:pPr>
          </w:p>
        </w:tc>
        <w:tc>
          <w:tcPr>
            <w:tcW w:w="3069"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kern w:val="0"/>
                <w:sz w:val="24"/>
                <w:szCs w:val="24"/>
              </w:rPr>
            </w:pPr>
          </w:p>
        </w:tc>
        <w:tc>
          <w:tcPr>
            <w:tcW w:w="2423"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kern w:val="0"/>
                <w:sz w:val="24"/>
                <w:szCs w:val="24"/>
              </w:rPr>
            </w:pPr>
          </w:p>
        </w:tc>
        <w:tc>
          <w:tcPr>
            <w:tcW w:w="2818" w:type="dxa"/>
            <w:vMerge w:val="continue"/>
            <w:tcBorders>
              <w:top w:val="nil"/>
              <w:left w:val="single" w:color="auto" w:sz="4" w:space="0"/>
              <w:bottom w:val="single" w:color="000000" w:sz="4" w:space="0"/>
              <w:right w:val="single" w:color="auto" w:sz="8" w:space="0"/>
            </w:tcBorders>
            <w:vAlign w:val="center"/>
          </w:tcPr>
          <w:p>
            <w:pPr>
              <w:widowControl/>
              <w:jc w:val="left"/>
              <w:rPr>
                <w:rFonts w:hint="eastAsia" w:ascii="仿宋" w:hAnsi="仿宋" w:eastAsia="仿宋" w:cs="仿宋"/>
                <w:kern w:val="0"/>
                <w:sz w:val="24"/>
                <w:szCs w:val="24"/>
              </w:rPr>
            </w:pPr>
          </w:p>
        </w:tc>
      </w:tr>
      <w:tr>
        <w:tblPrEx>
          <w:tblCellMar>
            <w:top w:w="0" w:type="dxa"/>
            <w:left w:w="108" w:type="dxa"/>
            <w:bottom w:w="0" w:type="dxa"/>
            <w:right w:w="108" w:type="dxa"/>
          </w:tblCellMar>
        </w:tblPrEx>
        <w:trPr>
          <w:trHeight w:val="312" w:hRule="atLeast"/>
          <w:jc w:val="center"/>
        </w:trPr>
        <w:tc>
          <w:tcPr>
            <w:tcW w:w="2011"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hint="eastAsia" w:ascii="仿宋" w:hAnsi="仿宋" w:eastAsia="仿宋" w:cs="仿宋"/>
                <w:kern w:val="0"/>
                <w:sz w:val="24"/>
                <w:szCs w:val="24"/>
              </w:rPr>
            </w:pPr>
          </w:p>
        </w:tc>
        <w:tc>
          <w:tcPr>
            <w:tcW w:w="3898"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kern w:val="0"/>
                <w:sz w:val="24"/>
                <w:szCs w:val="24"/>
              </w:rPr>
            </w:pPr>
          </w:p>
        </w:tc>
        <w:tc>
          <w:tcPr>
            <w:tcW w:w="3069"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kern w:val="0"/>
                <w:sz w:val="24"/>
                <w:szCs w:val="24"/>
              </w:rPr>
            </w:pPr>
          </w:p>
        </w:tc>
        <w:tc>
          <w:tcPr>
            <w:tcW w:w="2423"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kern w:val="0"/>
                <w:sz w:val="24"/>
                <w:szCs w:val="24"/>
              </w:rPr>
            </w:pPr>
          </w:p>
        </w:tc>
        <w:tc>
          <w:tcPr>
            <w:tcW w:w="2818" w:type="dxa"/>
            <w:vMerge w:val="continue"/>
            <w:tcBorders>
              <w:top w:val="nil"/>
              <w:left w:val="single" w:color="auto" w:sz="4" w:space="0"/>
              <w:bottom w:val="single" w:color="000000" w:sz="4" w:space="0"/>
              <w:right w:val="single" w:color="auto" w:sz="8" w:space="0"/>
            </w:tcBorders>
            <w:vAlign w:val="center"/>
          </w:tcPr>
          <w:p>
            <w:pPr>
              <w:widowControl/>
              <w:jc w:val="left"/>
              <w:rPr>
                <w:rFonts w:hint="eastAsia" w:ascii="仿宋" w:hAnsi="仿宋" w:eastAsia="仿宋" w:cs="仿宋"/>
                <w:kern w:val="0"/>
                <w:sz w:val="24"/>
                <w:szCs w:val="24"/>
              </w:rPr>
            </w:pPr>
          </w:p>
        </w:tc>
      </w:tr>
      <w:tr>
        <w:tblPrEx>
          <w:tblCellMar>
            <w:top w:w="0" w:type="dxa"/>
            <w:left w:w="108" w:type="dxa"/>
            <w:bottom w:w="0" w:type="dxa"/>
            <w:right w:w="108" w:type="dxa"/>
          </w:tblCellMar>
        </w:tblPrEx>
        <w:trPr>
          <w:trHeight w:val="450" w:hRule="atLeast"/>
          <w:jc w:val="center"/>
        </w:trPr>
        <w:tc>
          <w:tcPr>
            <w:tcW w:w="5909" w:type="dxa"/>
            <w:gridSpan w:val="2"/>
            <w:tcBorders>
              <w:top w:val="single" w:color="auto" w:sz="4" w:space="0"/>
              <w:left w:val="single" w:color="auto" w:sz="8" w:space="0"/>
              <w:bottom w:val="single" w:color="auto" w:sz="4" w:space="0"/>
              <w:right w:val="single" w:color="auto" w:sz="4" w:space="0"/>
            </w:tcBorders>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栏次</w:t>
            </w:r>
          </w:p>
        </w:tc>
        <w:tc>
          <w:tcPr>
            <w:tcW w:w="3069"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1</w:t>
            </w:r>
          </w:p>
        </w:tc>
        <w:tc>
          <w:tcPr>
            <w:tcW w:w="2423"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2</w:t>
            </w:r>
          </w:p>
        </w:tc>
        <w:tc>
          <w:tcPr>
            <w:tcW w:w="2818" w:type="dxa"/>
            <w:tcBorders>
              <w:top w:val="nil"/>
              <w:left w:val="nil"/>
              <w:bottom w:val="single" w:color="auto" w:sz="4" w:space="0"/>
              <w:right w:val="single" w:color="auto" w:sz="8" w:space="0"/>
            </w:tcBorders>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3</w:t>
            </w:r>
          </w:p>
        </w:tc>
      </w:tr>
      <w:tr>
        <w:tblPrEx>
          <w:tblCellMar>
            <w:top w:w="0" w:type="dxa"/>
            <w:left w:w="108" w:type="dxa"/>
            <w:bottom w:w="0" w:type="dxa"/>
            <w:right w:w="108" w:type="dxa"/>
          </w:tblCellMar>
        </w:tblPrEx>
        <w:trPr>
          <w:trHeight w:val="450" w:hRule="atLeast"/>
          <w:jc w:val="center"/>
        </w:trPr>
        <w:tc>
          <w:tcPr>
            <w:tcW w:w="5909" w:type="dxa"/>
            <w:gridSpan w:val="2"/>
            <w:tcBorders>
              <w:top w:val="single" w:color="auto" w:sz="4" w:space="0"/>
              <w:left w:val="single" w:color="auto" w:sz="8" w:space="0"/>
              <w:bottom w:val="single" w:color="auto" w:sz="4" w:space="0"/>
              <w:right w:val="single" w:color="auto" w:sz="4" w:space="0"/>
            </w:tcBorders>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合计</w:t>
            </w:r>
          </w:p>
        </w:tc>
        <w:tc>
          <w:tcPr>
            <w:tcW w:w="3069"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宋体" w:hAnsi="宋体" w:eastAsia="宋体" w:cs="宋体"/>
                <w:b/>
                <w:i w:val="0"/>
                <w:color w:val="000000"/>
                <w:kern w:val="0"/>
                <w:sz w:val="22"/>
                <w:szCs w:val="22"/>
                <w:u w:val="none"/>
                <w:lang w:val="en-US" w:eastAsia="zh-CN" w:bidi="ar"/>
              </w:rPr>
              <w:t xml:space="preserve">1,273.73 </w:t>
            </w:r>
          </w:p>
        </w:tc>
        <w:tc>
          <w:tcPr>
            <w:tcW w:w="2423"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宋体" w:hAnsi="宋体" w:eastAsia="宋体" w:cs="宋体"/>
                <w:b/>
                <w:i w:val="0"/>
                <w:color w:val="000000"/>
                <w:kern w:val="0"/>
                <w:sz w:val="22"/>
                <w:szCs w:val="22"/>
                <w:u w:val="none"/>
                <w:lang w:val="en-US" w:eastAsia="zh-CN" w:bidi="ar"/>
              </w:rPr>
              <w:t xml:space="preserve">1,033.92 </w:t>
            </w:r>
          </w:p>
        </w:tc>
        <w:tc>
          <w:tcPr>
            <w:tcW w:w="2818" w:type="dxa"/>
            <w:tcBorders>
              <w:top w:val="nil"/>
              <w:left w:val="nil"/>
              <w:bottom w:val="single" w:color="auto" w:sz="4" w:space="0"/>
              <w:right w:val="single" w:color="auto" w:sz="8" w:space="0"/>
            </w:tcBorders>
            <w:vAlign w:val="center"/>
          </w:tcPr>
          <w:p>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宋体" w:hAnsi="宋体" w:eastAsia="宋体" w:cs="宋体"/>
                <w:b/>
                <w:i w:val="0"/>
                <w:color w:val="000000"/>
                <w:kern w:val="0"/>
                <w:sz w:val="22"/>
                <w:szCs w:val="22"/>
                <w:u w:val="none"/>
                <w:lang w:val="en-US" w:eastAsia="zh-CN" w:bidi="ar"/>
              </w:rPr>
              <w:t xml:space="preserve">239.81 </w:t>
            </w:r>
          </w:p>
        </w:tc>
      </w:tr>
      <w:tr>
        <w:tblPrEx>
          <w:tblCellMar>
            <w:top w:w="0" w:type="dxa"/>
            <w:left w:w="108" w:type="dxa"/>
            <w:bottom w:w="0" w:type="dxa"/>
            <w:right w:w="108" w:type="dxa"/>
          </w:tblCellMar>
        </w:tblPrEx>
        <w:trPr>
          <w:trHeight w:val="450" w:hRule="atLeast"/>
          <w:jc w:val="center"/>
        </w:trPr>
        <w:tc>
          <w:tcPr>
            <w:tcW w:w="2011" w:type="dxa"/>
            <w:tcBorders>
              <w:top w:val="single" w:color="auto" w:sz="4" w:space="0"/>
              <w:left w:val="single" w:color="auto" w:sz="8"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b/>
                <w:bCs/>
                <w:kern w:val="0"/>
                <w:sz w:val="24"/>
                <w:szCs w:val="24"/>
              </w:rPr>
            </w:pPr>
            <w:r>
              <w:rPr>
                <w:rFonts w:hint="eastAsia" w:ascii="宋体" w:hAnsi="宋体" w:eastAsia="宋体" w:cs="宋体"/>
                <w:i w:val="0"/>
                <w:color w:val="000000"/>
                <w:kern w:val="0"/>
                <w:sz w:val="22"/>
                <w:szCs w:val="22"/>
                <w:u w:val="none"/>
                <w:lang w:val="en-US" w:eastAsia="zh-CN" w:bidi="ar"/>
              </w:rPr>
              <w:t>2010301</w:t>
            </w:r>
          </w:p>
        </w:tc>
        <w:tc>
          <w:tcPr>
            <w:tcW w:w="389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b/>
                <w:bCs/>
                <w:kern w:val="0"/>
                <w:sz w:val="24"/>
                <w:szCs w:val="24"/>
              </w:rPr>
            </w:pPr>
            <w:r>
              <w:rPr>
                <w:rFonts w:hint="eastAsia" w:ascii="宋体" w:hAnsi="宋体" w:eastAsia="宋体" w:cs="宋体"/>
                <w:i w:val="0"/>
                <w:color w:val="000000"/>
                <w:kern w:val="0"/>
                <w:sz w:val="22"/>
                <w:szCs w:val="22"/>
                <w:u w:val="none"/>
                <w:lang w:val="en-US" w:eastAsia="zh-CN" w:bidi="ar"/>
              </w:rPr>
              <w:t>行政运行</w:t>
            </w:r>
          </w:p>
        </w:tc>
        <w:tc>
          <w:tcPr>
            <w:tcW w:w="3069"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仿宋" w:hAnsi="仿宋" w:eastAsia="仿宋" w:cs="仿宋"/>
                <w:b/>
                <w:bCs/>
                <w:kern w:val="0"/>
                <w:sz w:val="24"/>
                <w:szCs w:val="24"/>
              </w:rPr>
            </w:pPr>
            <w:r>
              <w:rPr>
                <w:rFonts w:hint="eastAsia" w:ascii="宋体" w:hAnsi="宋体" w:eastAsia="宋体" w:cs="宋体"/>
                <w:i w:val="0"/>
                <w:color w:val="000000"/>
                <w:kern w:val="0"/>
                <w:sz w:val="22"/>
                <w:szCs w:val="22"/>
                <w:u w:val="none"/>
                <w:lang w:val="en-US" w:eastAsia="zh-CN" w:bidi="ar"/>
              </w:rPr>
              <w:t xml:space="preserve">623.31 </w:t>
            </w:r>
          </w:p>
        </w:tc>
        <w:tc>
          <w:tcPr>
            <w:tcW w:w="2423"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仿宋" w:hAnsi="仿宋" w:eastAsia="仿宋" w:cs="仿宋"/>
                <w:b/>
                <w:bCs/>
                <w:kern w:val="0"/>
                <w:sz w:val="24"/>
                <w:szCs w:val="24"/>
              </w:rPr>
            </w:pPr>
            <w:r>
              <w:rPr>
                <w:rFonts w:hint="eastAsia" w:ascii="宋体" w:hAnsi="宋体" w:eastAsia="宋体" w:cs="宋体"/>
                <w:i w:val="0"/>
                <w:color w:val="000000"/>
                <w:kern w:val="0"/>
                <w:sz w:val="22"/>
                <w:szCs w:val="22"/>
                <w:u w:val="none"/>
                <w:lang w:val="en-US" w:eastAsia="zh-CN" w:bidi="ar"/>
              </w:rPr>
              <w:t xml:space="preserve">623.31 </w:t>
            </w:r>
          </w:p>
        </w:tc>
        <w:tc>
          <w:tcPr>
            <w:tcW w:w="2818" w:type="dxa"/>
            <w:tcBorders>
              <w:top w:val="nil"/>
              <w:left w:val="nil"/>
              <w:bottom w:val="single" w:color="auto" w:sz="4" w:space="0"/>
              <w:right w:val="single" w:color="auto" w:sz="8" w:space="0"/>
            </w:tcBorders>
            <w:vAlign w:val="center"/>
          </w:tcPr>
          <w:p>
            <w:pPr>
              <w:jc w:val="right"/>
              <w:rPr>
                <w:rFonts w:hint="eastAsia" w:ascii="仿宋" w:hAnsi="仿宋" w:eastAsia="仿宋" w:cs="仿宋"/>
                <w:b/>
                <w:bCs/>
                <w:kern w:val="0"/>
                <w:sz w:val="24"/>
                <w:szCs w:val="24"/>
              </w:rPr>
            </w:pPr>
          </w:p>
        </w:tc>
      </w:tr>
      <w:tr>
        <w:tblPrEx>
          <w:tblCellMar>
            <w:top w:w="0" w:type="dxa"/>
            <w:left w:w="108" w:type="dxa"/>
            <w:bottom w:w="0" w:type="dxa"/>
            <w:right w:w="108" w:type="dxa"/>
          </w:tblCellMar>
        </w:tblPrEx>
        <w:trPr>
          <w:trHeight w:val="450" w:hRule="atLeast"/>
          <w:jc w:val="center"/>
        </w:trPr>
        <w:tc>
          <w:tcPr>
            <w:tcW w:w="2011" w:type="dxa"/>
            <w:tcBorders>
              <w:top w:val="single" w:color="auto" w:sz="4" w:space="0"/>
              <w:left w:val="single" w:color="auto" w:sz="8"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b/>
                <w:bCs/>
                <w:kern w:val="0"/>
                <w:sz w:val="24"/>
                <w:szCs w:val="24"/>
              </w:rPr>
            </w:pPr>
            <w:r>
              <w:rPr>
                <w:rFonts w:hint="eastAsia" w:ascii="宋体" w:hAnsi="宋体" w:eastAsia="宋体" w:cs="宋体"/>
                <w:i w:val="0"/>
                <w:color w:val="000000"/>
                <w:kern w:val="0"/>
                <w:sz w:val="22"/>
                <w:szCs w:val="22"/>
                <w:u w:val="none"/>
                <w:lang w:val="en-US" w:eastAsia="zh-CN" w:bidi="ar"/>
              </w:rPr>
              <w:t>2010302</w:t>
            </w:r>
          </w:p>
        </w:tc>
        <w:tc>
          <w:tcPr>
            <w:tcW w:w="389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b/>
                <w:bCs/>
                <w:kern w:val="0"/>
                <w:sz w:val="24"/>
                <w:szCs w:val="24"/>
              </w:rPr>
            </w:pPr>
            <w:r>
              <w:rPr>
                <w:rFonts w:hint="eastAsia" w:ascii="宋体" w:hAnsi="宋体" w:eastAsia="宋体" w:cs="宋体"/>
                <w:i w:val="0"/>
                <w:color w:val="000000"/>
                <w:kern w:val="0"/>
                <w:sz w:val="22"/>
                <w:szCs w:val="22"/>
                <w:u w:val="none"/>
                <w:lang w:val="en-US" w:eastAsia="zh-CN" w:bidi="ar"/>
              </w:rPr>
              <w:t>一般行政管理事务</w:t>
            </w:r>
          </w:p>
        </w:tc>
        <w:tc>
          <w:tcPr>
            <w:tcW w:w="3069"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仿宋" w:hAnsi="仿宋" w:eastAsia="仿宋" w:cs="仿宋"/>
                <w:b/>
                <w:bCs/>
                <w:kern w:val="0"/>
                <w:sz w:val="24"/>
                <w:szCs w:val="24"/>
              </w:rPr>
            </w:pPr>
            <w:r>
              <w:rPr>
                <w:rFonts w:hint="eastAsia" w:ascii="宋体" w:hAnsi="宋体" w:eastAsia="宋体" w:cs="宋体"/>
                <w:i w:val="0"/>
                <w:color w:val="000000"/>
                <w:kern w:val="0"/>
                <w:sz w:val="22"/>
                <w:szCs w:val="22"/>
                <w:u w:val="none"/>
                <w:lang w:val="en-US" w:eastAsia="zh-CN" w:bidi="ar"/>
              </w:rPr>
              <w:t xml:space="preserve">225.07 </w:t>
            </w:r>
          </w:p>
        </w:tc>
        <w:tc>
          <w:tcPr>
            <w:tcW w:w="2423" w:type="dxa"/>
            <w:tcBorders>
              <w:top w:val="nil"/>
              <w:left w:val="nil"/>
              <w:bottom w:val="single" w:color="auto" w:sz="4" w:space="0"/>
              <w:right w:val="single" w:color="auto" w:sz="4" w:space="0"/>
            </w:tcBorders>
            <w:vAlign w:val="center"/>
          </w:tcPr>
          <w:p>
            <w:pPr>
              <w:jc w:val="right"/>
              <w:rPr>
                <w:rFonts w:hint="eastAsia" w:ascii="仿宋" w:hAnsi="仿宋" w:eastAsia="仿宋" w:cs="仿宋"/>
                <w:b/>
                <w:bCs/>
                <w:kern w:val="0"/>
                <w:sz w:val="24"/>
                <w:szCs w:val="24"/>
              </w:rPr>
            </w:pPr>
          </w:p>
        </w:tc>
        <w:tc>
          <w:tcPr>
            <w:tcW w:w="2818" w:type="dxa"/>
            <w:tcBorders>
              <w:top w:val="nil"/>
              <w:left w:val="nil"/>
              <w:bottom w:val="single" w:color="auto" w:sz="4" w:space="0"/>
              <w:right w:val="single" w:color="auto" w:sz="8" w:space="0"/>
            </w:tcBorders>
            <w:vAlign w:val="center"/>
          </w:tcPr>
          <w:p>
            <w:pPr>
              <w:keepNext w:val="0"/>
              <w:keepLines w:val="0"/>
              <w:widowControl/>
              <w:suppressLineNumbers w:val="0"/>
              <w:jc w:val="right"/>
              <w:textAlignment w:val="center"/>
              <w:rPr>
                <w:rFonts w:hint="eastAsia" w:ascii="仿宋" w:hAnsi="仿宋" w:eastAsia="仿宋" w:cs="仿宋"/>
                <w:b/>
                <w:bCs/>
                <w:kern w:val="0"/>
                <w:sz w:val="24"/>
                <w:szCs w:val="24"/>
              </w:rPr>
            </w:pPr>
            <w:r>
              <w:rPr>
                <w:rFonts w:hint="eastAsia" w:ascii="宋体" w:hAnsi="宋体" w:eastAsia="宋体" w:cs="宋体"/>
                <w:i w:val="0"/>
                <w:color w:val="000000"/>
                <w:kern w:val="0"/>
                <w:sz w:val="22"/>
                <w:szCs w:val="22"/>
                <w:u w:val="none"/>
                <w:lang w:val="en-US" w:eastAsia="zh-CN" w:bidi="ar"/>
              </w:rPr>
              <w:t xml:space="preserve">225.07 </w:t>
            </w:r>
          </w:p>
        </w:tc>
      </w:tr>
      <w:tr>
        <w:tblPrEx>
          <w:tblCellMar>
            <w:top w:w="0" w:type="dxa"/>
            <w:left w:w="108" w:type="dxa"/>
            <w:bottom w:w="0" w:type="dxa"/>
            <w:right w:w="108" w:type="dxa"/>
          </w:tblCellMar>
        </w:tblPrEx>
        <w:trPr>
          <w:trHeight w:val="450" w:hRule="atLeast"/>
          <w:jc w:val="center"/>
        </w:trPr>
        <w:tc>
          <w:tcPr>
            <w:tcW w:w="2011" w:type="dxa"/>
            <w:tcBorders>
              <w:top w:val="single" w:color="auto" w:sz="4" w:space="0"/>
              <w:left w:val="single" w:color="auto" w:sz="8"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宋体" w:hAnsi="宋体" w:eastAsia="宋体" w:cs="宋体"/>
                <w:i w:val="0"/>
                <w:color w:val="000000"/>
                <w:kern w:val="0"/>
                <w:sz w:val="22"/>
                <w:szCs w:val="22"/>
                <w:u w:val="none"/>
                <w:lang w:val="en-US" w:eastAsia="zh-CN" w:bidi="ar"/>
              </w:rPr>
              <w:t>2050803</w:t>
            </w:r>
          </w:p>
        </w:tc>
        <w:tc>
          <w:tcPr>
            <w:tcW w:w="389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宋体" w:hAnsi="宋体" w:eastAsia="宋体" w:cs="宋体"/>
                <w:i w:val="0"/>
                <w:color w:val="000000"/>
                <w:kern w:val="0"/>
                <w:sz w:val="22"/>
                <w:szCs w:val="22"/>
                <w:u w:val="none"/>
                <w:lang w:val="en-US" w:eastAsia="zh-CN" w:bidi="ar"/>
              </w:rPr>
              <w:t>培训支出</w:t>
            </w:r>
          </w:p>
        </w:tc>
        <w:tc>
          <w:tcPr>
            <w:tcW w:w="3069"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宋体" w:hAnsi="宋体" w:eastAsia="宋体" w:cs="宋体"/>
                <w:i w:val="0"/>
                <w:color w:val="000000"/>
                <w:kern w:val="0"/>
                <w:sz w:val="22"/>
                <w:szCs w:val="22"/>
                <w:u w:val="none"/>
                <w:lang w:val="en-US" w:eastAsia="zh-CN" w:bidi="ar"/>
              </w:rPr>
              <w:t xml:space="preserve">14.74 </w:t>
            </w:r>
          </w:p>
        </w:tc>
        <w:tc>
          <w:tcPr>
            <w:tcW w:w="2423" w:type="dxa"/>
            <w:tcBorders>
              <w:top w:val="nil"/>
              <w:left w:val="nil"/>
              <w:bottom w:val="single" w:color="auto" w:sz="4" w:space="0"/>
              <w:right w:val="single" w:color="auto" w:sz="4" w:space="0"/>
            </w:tcBorders>
            <w:vAlign w:val="center"/>
          </w:tcPr>
          <w:p>
            <w:pPr>
              <w:jc w:val="right"/>
              <w:rPr>
                <w:rFonts w:hint="eastAsia" w:ascii="仿宋" w:hAnsi="仿宋" w:eastAsia="仿宋" w:cs="仿宋"/>
                <w:kern w:val="0"/>
                <w:sz w:val="24"/>
                <w:szCs w:val="24"/>
              </w:rPr>
            </w:pPr>
          </w:p>
        </w:tc>
        <w:tc>
          <w:tcPr>
            <w:tcW w:w="2818" w:type="dxa"/>
            <w:tcBorders>
              <w:top w:val="nil"/>
              <w:left w:val="nil"/>
              <w:bottom w:val="single" w:color="auto" w:sz="4" w:space="0"/>
              <w:right w:val="single" w:color="auto" w:sz="8" w:space="0"/>
            </w:tcBorders>
            <w:vAlign w:val="center"/>
          </w:tcPr>
          <w:p>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宋体" w:hAnsi="宋体" w:eastAsia="宋体" w:cs="宋体"/>
                <w:i w:val="0"/>
                <w:color w:val="000000"/>
                <w:kern w:val="0"/>
                <w:sz w:val="22"/>
                <w:szCs w:val="22"/>
                <w:u w:val="none"/>
                <w:lang w:val="en-US" w:eastAsia="zh-CN" w:bidi="ar"/>
              </w:rPr>
              <w:t xml:space="preserve">14.74 </w:t>
            </w:r>
          </w:p>
        </w:tc>
      </w:tr>
      <w:tr>
        <w:tblPrEx>
          <w:tblCellMar>
            <w:top w:w="0" w:type="dxa"/>
            <w:left w:w="108" w:type="dxa"/>
            <w:bottom w:w="0" w:type="dxa"/>
            <w:right w:w="108" w:type="dxa"/>
          </w:tblCellMar>
        </w:tblPrEx>
        <w:trPr>
          <w:trHeight w:val="450" w:hRule="atLeast"/>
          <w:jc w:val="center"/>
        </w:trPr>
        <w:tc>
          <w:tcPr>
            <w:tcW w:w="2011" w:type="dxa"/>
            <w:tcBorders>
              <w:top w:val="single" w:color="auto" w:sz="4" w:space="0"/>
              <w:left w:val="single" w:color="auto" w:sz="8"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宋体" w:hAnsi="宋体" w:eastAsia="宋体" w:cs="宋体"/>
                <w:i w:val="0"/>
                <w:color w:val="000000"/>
                <w:kern w:val="0"/>
                <w:sz w:val="22"/>
                <w:szCs w:val="22"/>
                <w:u w:val="none"/>
                <w:lang w:val="en-US" w:eastAsia="zh-CN" w:bidi="ar"/>
              </w:rPr>
              <w:t>2080501</w:t>
            </w:r>
          </w:p>
        </w:tc>
        <w:tc>
          <w:tcPr>
            <w:tcW w:w="389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宋体" w:hAnsi="宋体" w:eastAsia="宋体" w:cs="宋体"/>
                <w:i w:val="0"/>
                <w:color w:val="000000"/>
                <w:kern w:val="0"/>
                <w:sz w:val="22"/>
                <w:szCs w:val="22"/>
                <w:u w:val="none"/>
                <w:lang w:val="en-US" w:eastAsia="zh-CN" w:bidi="ar"/>
              </w:rPr>
              <w:t>行政单位离退休</w:t>
            </w:r>
          </w:p>
        </w:tc>
        <w:tc>
          <w:tcPr>
            <w:tcW w:w="3069"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宋体" w:hAnsi="宋体" w:eastAsia="宋体" w:cs="宋体"/>
                <w:i w:val="0"/>
                <w:color w:val="000000"/>
                <w:kern w:val="0"/>
                <w:sz w:val="22"/>
                <w:szCs w:val="22"/>
                <w:u w:val="none"/>
                <w:lang w:val="en-US" w:eastAsia="zh-CN" w:bidi="ar"/>
              </w:rPr>
              <w:t xml:space="preserve">161.10 </w:t>
            </w:r>
          </w:p>
        </w:tc>
        <w:tc>
          <w:tcPr>
            <w:tcW w:w="2423"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宋体" w:hAnsi="宋体" w:eastAsia="宋体" w:cs="宋体"/>
                <w:i w:val="0"/>
                <w:color w:val="000000"/>
                <w:kern w:val="0"/>
                <w:sz w:val="22"/>
                <w:szCs w:val="22"/>
                <w:u w:val="none"/>
                <w:lang w:val="en-US" w:eastAsia="zh-CN" w:bidi="ar"/>
              </w:rPr>
              <w:t xml:space="preserve">161.10 </w:t>
            </w:r>
          </w:p>
        </w:tc>
        <w:tc>
          <w:tcPr>
            <w:tcW w:w="2818" w:type="dxa"/>
            <w:tcBorders>
              <w:top w:val="nil"/>
              <w:left w:val="nil"/>
              <w:bottom w:val="single" w:color="auto" w:sz="4" w:space="0"/>
              <w:right w:val="single" w:color="auto" w:sz="8" w:space="0"/>
            </w:tcBorders>
            <w:vAlign w:val="center"/>
          </w:tcPr>
          <w:p>
            <w:pPr>
              <w:jc w:val="right"/>
              <w:rPr>
                <w:rFonts w:hint="eastAsia" w:ascii="仿宋" w:hAnsi="仿宋" w:eastAsia="仿宋" w:cs="仿宋"/>
                <w:kern w:val="0"/>
                <w:sz w:val="24"/>
                <w:szCs w:val="24"/>
              </w:rPr>
            </w:pPr>
          </w:p>
        </w:tc>
      </w:tr>
      <w:tr>
        <w:tblPrEx>
          <w:tblCellMar>
            <w:top w:w="0" w:type="dxa"/>
            <w:left w:w="108" w:type="dxa"/>
            <w:bottom w:w="0" w:type="dxa"/>
            <w:right w:w="108" w:type="dxa"/>
          </w:tblCellMar>
        </w:tblPrEx>
        <w:trPr>
          <w:trHeight w:val="450" w:hRule="atLeast"/>
          <w:jc w:val="center"/>
        </w:trPr>
        <w:tc>
          <w:tcPr>
            <w:tcW w:w="2011" w:type="dxa"/>
            <w:tcBorders>
              <w:top w:val="single" w:color="auto" w:sz="4" w:space="0"/>
              <w:left w:val="single" w:color="auto" w:sz="8"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b/>
                <w:bCs/>
                <w:kern w:val="0"/>
                <w:sz w:val="24"/>
                <w:szCs w:val="24"/>
              </w:rPr>
            </w:pPr>
            <w:r>
              <w:rPr>
                <w:rFonts w:hint="eastAsia" w:ascii="宋体" w:hAnsi="宋体" w:eastAsia="宋体" w:cs="宋体"/>
                <w:i w:val="0"/>
                <w:color w:val="000000"/>
                <w:kern w:val="0"/>
                <w:sz w:val="22"/>
                <w:szCs w:val="22"/>
                <w:u w:val="none"/>
                <w:lang w:val="en-US" w:eastAsia="zh-CN" w:bidi="ar"/>
              </w:rPr>
              <w:t>2080505</w:t>
            </w:r>
          </w:p>
        </w:tc>
        <w:tc>
          <w:tcPr>
            <w:tcW w:w="389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b/>
                <w:bCs/>
                <w:kern w:val="0"/>
                <w:sz w:val="24"/>
                <w:szCs w:val="24"/>
              </w:rPr>
            </w:pPr>
            <w:r>
              <w:rPr>
                <w:rFonts w:hint="eastAsia" w:ascii="宋体" w:hAnsi="宋体" w:eastAsia="宋体" w:cs="宋体"/>
                <w:i w:val="0"/>
                <w:color w:val="000000"/>
                <w:kern w:val="0"/>
                <w:sz w:val="22"/>
                <w:szCs w:val="22"/>
                <w:u w:val="none"/>
                <w:lang w:val="en-US" w:eastAsia="zh-CN" w:bidi="ar"/>
              </w:rPr>
              <w:t>机关事业单位基本养老保险缴费支出</w:t>
            </w:r>
          </w:p>
        </w:tc>
        <w:tc>
          <w:tcPr>
            <w:tcW w:w="3069"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仿宋" w:hAnsi="仿宋" w:eastAsia="仿宋" w:cs="仿宋"/>
                <w:b/>
                <w:bCs/>
                <w:kern w:val="0"/>
                <w:sz w:val="24"/>
                <w:szCs w:val="24"/>
              </w:rPr>
            </w:pPr>
            <w:r>
              <w:rPr>
                <w:rFonts w:hint="eastAsia" w:ascii="宋体" w:hAnsi="宋体" w:eastAsia="宋体" w:cs="宋体"/>
                <w:i w:val="0"/>
                <w:color w:val="000000"/>
                <w:kern w:val="0"/>
                <w:sz w:val="22"/>
                <w:szCs w:val="22"/>
                <w:u w:val="none"/>
                <w:lang w:val="en-US" w:eastAsia="zh-CN" w:bidi="ar"/>
              </w:rPr>
              <w:t xml:space="preserve">54.51 </w:t>
            </w:r>
          </w:p>
        </w:tc>
        <w:tc>
          <w:tcPr>
            <w:tcW w:w="2423"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仿宋" w:hAnsi="仿宋" w:eastAsia="仿宋" w:cs="仿宋"/>
                <w:b/>
                <w:bCs/>
                <w:kern w:val="0"/>
                <w:sz w:val="24"/>
                <w:szCs w:val="24"/>
              </w:rPr>
            </w:pPr>
            <w:r>
              <w:rPr>
                <w:rFonts w:hint="eastAsia" w:ascii="宋体" w:hAnsi="宋体" w:eastAsia="宋体" w:cs="宋体"/>
                <w:i w:val="0"/>
                <w:color w:val="000000"/>
                <w:kern w:val="0"/>
                <w:sz w:val="22"/>
                <w:szCs w:val="22"/>
                <w:u w:val="none"/>
                <w:lang w:val="en-US" w:eastAsia="zh-CN" w:bidi="ar"/>
              </w:rPr>
              <w:t xml:space="preserve">54.51 </w:t>
            </w:r>
          </w:p>
        </w:tc>
        <w:tc>
          <w:tcPr>
            <w:tcW w:w="2818" w:type="dxa"/>
            <w:tcBorders>
              <w:top w:val="nil"/>
              <w:left w:val="nil"/>
              <w:bottom w:val="single" w:color="auto" w:sz="4" w:space="0"/>
              <w:right w:val="single" w:color="auto" w:sz="8" w:space="0"/>
            </w:tcBorders>
            <w:vAlign w:val="center"/>
          </w:tcPr>
          <w:p>
            <w:pPr>
              <w:jc w:val="right"/>
              <w:rPr>
                <w:rFonts w:hint="eastAsia" w:ascii="仿宋" w:hAnsi="仿宋" w:eastAsia="仿宋" w:cs="仿宋"/>
                <w:b/>
                <w:bCs/>
                <w:kern w:val="0"/>
                <w:sz w:val="24"/>
                <w:szCs w:val="24"/>
              </w:rPr>
            </w:pPr>
          </w:p>
        </w:tc>
      </w:tr>
      <w:tr>
        <w:tblPrEx>
          <w:tblCellMar>
            <w:top w:w="0" w:type="dxa"/>
            <w:left w:w="108" w:type="dxa"/>
            <w:bottom w:w="0" w:type="dxa"/>
            <w:right w:w="108" w:type="dxa"/>
          </w:tblCellMar>
        </w:tblPrEx>
        <w:trPr>
          <w:trHeight w:val="375" w:hRule="atLeast"/>
          <w:jc w:val="center"/>
        </w:trPr>
        <w:tc>
          <w:tcPr>
            <w:tcW w:w="2011" w:type="dxa"/>
            <w:tcBorders>
              <w:top w:val="single" w:color="auto" w:sz="4" w:space="0"/>
              <w:left w:val="single" w:color="auto" w:sz="8"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宋体" w:hAnsi="宋体" w:eastAsia="宋体" w:cs="宋体"/>
                <w:i w:val="0"/>
                <w:color w:val="000000"/>
                <w:kern w:val="0"/>
                <w:sz w:val="22"/>
                <w:szCs w:val="22"/>
                <w:u w:val="none"/>
                <w:lang w:val="en-US" w:eastAsia="zh-CN" w:bidi="ar"/>
              </w:rPr>
              <w:t>2080506</w:t>
            </w:r>
          </w:p>
        </w:tc>
        <w:tc>
          <w:tcPr>
            <w:tcW w:w="389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宋体" w:hAnsi="宋体" w:eastAsia="宋体" w:cs="宋体"/>
                <w:i w:val="0"/>
                <w:color w:val="000000"/>
                <w:kern w:val="0"/>
                <w:sz w:val="22"/>
                <w:szCs w:val="22"/>
                <w:u w:val="none"/>
                <w:lang w:val="en-US" w:eastAsia="zh-CN" w:bidi="ar"/>
              </w:rPr>
              <w:t>机关事业单位职业年金缴费支出</w:t>
            </w:r>
          </w:p>
        </w:tc>
        <w:tc>
          <w:tcPr>
            <w:tcW w:w="3069"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宋体" w:hAnsi="宋体" w:eastAsia="宋体" w:cs="宋体"/>
                <w:i w:val="0"/>
                <w:color w:val="000000"/>
                <w:kern w:val="0"/>
                <w:sz w:val="22"/>
                <w:szCs w:val="22"/>
                <w:u w:val="none"/>
                <w:lang w:val="en-US" w:eastAsia="zh-CN" w:bidi="ar"/>
              </w:rPr>
              <w:t xml:space="preserve">15.00 </w:t>
            </w:r>
          </w:p>
        </w:tc>
        <w:tc>
          <w:tcPr>
            <w:tcW w:w="2423"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宋体" w:hAnsi="宋体" w:eastAsia="宋体" w:cs="宋体"/>
                <w:i w:val="0"/>
                <w:color w:val="000000"/>
                <w:kern w:val="0"/>
                <w:sz w:val="22"/>
                <w:szCs w:val="22"/>
                <w:u w:val="none"/>
                <w:lang w:val="en-US" w:eastAsia="zh-CN" w:bidi="ar"/>
              </w:rPr>
              <w:t xml:space="preserve">15.00 </w:t>
            </w:r>
          </w:p>
        </w:tc>
        <w:tc>
          <w:tcPr>
            <w:tcW w:w="2818" w:type="dxa"/>
            <w:tcBorders>
              <w:top w:val="nil"/>
              <w:left w:val="nil"/>
              <w:bottom w:val="single" w:color="auto" w:sz="4" w:space="0"/>
              <w:right w:val="single" w:color="auto" w:sz="8" w:space="0"/>
            </w:tcBorders>
            <w:vAlign w:val="center"/>
          </w:tcPr>
          <w:p>
            <w:pPr>
              <w:jc w:val="right"/>
              <w:rPr>
                <w:rFonts w:hint="eastAsia" w:ascii="仿宋" w:hAnsi="仿宋" w:eastAsia="仿宋" w:cs="仿宋"/>
                <w:kern w:val="0"/>
                <w:sz w:val="24"/>
                <w:szCs w:val="24"/>
              </w:rPr>
            </w:pPr>
          </w:p>
        </w:tc>
      </w:tr>
      <w:tr>
        <w:tblPrEx>
          <w:tblCellMar>
            <w:top w:w="0" w:type="dxa"/>
            <w:left w:w="108" w:type="dxa"/>
            <w:bottom w:w="0" w:type="dxa"/>
            <w:right w:w="108" w:type="dxa"/>
          </w:tblCellMar>
        </w:tblPrEx>
        <w:trPr>
          <w:trHeight w:val="390" w:hRule="atLeast"/>
          <w:jc w:val="center"/>
        </w:trPr>
        <w:tc>
          <w:tcPr>
            <w:tcW w:w="2011" w:type="dxa"/>
            <w:tcBorders>
              <w:top w:val="single" w:color="auto" w:sz="4" w:space="0"/>
              <w:left w:val="single" w:color="auto" w:sz="8"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b/>
                <w:bCs/>
                <w:kern w:val="0"/>
                <w:sz w:val="24"/>
                <w:szCs w:val="24"/>
              </w:rPr>
            </w:pPr>
            <w:r>
              <w:rPr>
                <w:rFonts w:hint="eastAsia" w:ascii="宋体" w:hAnsi="宋体" w:eastAsia="宋体" w:cs="宋体"/>
                <w:i w:val="0"/>
                <w:color w:val="000000"/>
                <w:kern w:val="0"/>
                <w:sz w:val="22"/>
                <w:szCs w:val="22"/>
                <w:u w:val="none"/>
                <w:lang w:val="en-US" w:eastAsia="zh-CN" w:bidi="ar"/>
              </w:rPr>
              <w:t>2089999</w:t>
            </w:r>
          </w:p>
        </w:tc>
        <w:tc>
          <w:tcPr>
            <w:tcW w:w="389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b/>
                <w:bCs/>
                <w:kern w:val="0"/>
                <w:sz w:val="24"/>
                <w:szCs w:val="24"/>
              </w:rPr>
            </w:pPr>
            <w:r>
              <w:rPr>
                <w:rFonts w:hint="eastAsia" w:ascii="宋体" w:hAnsi="宋体" w:eastAsia="宋体" w:cs="宋体"/>
                <w:i w:val="0"/>
                <w:color w:val="000000"/>
                <w:kern w:val="0"/>
                <w:sz w:val="22"/>
                <w:szCs w:val="22"/>
                <w:u w:val="none"/>
                <w:lang w:val="en-US" w:eastAsia="zh-CN" w:bidi="ar"/>
              </w:rPr>
              <w:t>其他社会保障和就业支出</w:t>
            </w:r>
          </w:p>
        </w:tc>
        <w:tc>
          <w:tcPr>
            <w:tcW w:w="3069"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仿宋" w:hAnsi="仿宋" w:eastAsia="仿宋" w:cs="仿宋"/>
                <w:b/>
                <w:bCs/>
                <w:kern w:val="0"/>
                <w:sz w:val="24"/>
                <w:szCs w:val="24"/>
              </w:rPr>
            </w:pPr>
            <w:r>
              <w:rPr>
                <w:rFonts w:hint="eastAsia" w:ascii="宋体" w:hAnsi="宋体" w:eastAsia="宋体" w:cs="宋体"/>
                <w:i w:val="0"/>
                <w:color w:val="000000"/>
                <w:kern w:val="0"/>
                <w:sz w:val="22"/>
                <w:szCs w:val="22"/>
                <w:u w:val="none"/>
                <w:lang w:val="en-US" w:eastAsia="zh-CN" w:bidi="ar"/>
              </w:rPr>
              <w:t xml:space="preserve">17.00 </w:t>
            </w:r>
          </w:p>
        </w:tc>
        <w:tc>
          <w:tcPr>
            <w:tcW w:w="2423"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仿宋" w:hAnsi="仿宋" w:eastAsia="仿宋" w:cs="仿宋"/>
                <w:b/>
                <w:bCs/>
                <w:kern w:val="0"/>
                <w:sz w:val="24"/>
                <w:szCs w:val="24"/>
              </w:rPr>
            </w:pPr>
            <w:r>
              <w:rPr>
                <w:rFonts w:hint="eastAsia" w:ascii="宋体" w:hAnsi="宋体" w:eastAsia="宋体" w:cs="宋体"/>
                <w:i w:val="0"/>
                <w:color w:val="000000"/>
                <w:kern w:val="0"/>
                <w:sz w:val="22"/>
                <w:szCs w:val="22"/>
                <w:u w:val="none"/>
                <w:lang w:val="en-US" w:eastAsia="zh-CN" w:bidi="ar"/>
              </w:rPr>
              <w:t xml:space="preserve">17.00 </w:t>
            </w:r>
          </w:p>
        </w:tc>
        <w:tc>
          <w:tcPr>
            <w:tcW w:w="2818" w:type="dxa"/>
            <w:tcBorders>
              <w:top w:val="nil"/>
              <w:left w:val="nil"/>
              <w:bottom w:val="single" w:color="auto" w:sz="4" w:space="0"/>
              <w:right w:val="single" w:color="auto" w:sz="8" w:space="0"/>
            </w:tcBorders>
            <w:vAlign w:val="center"/>
          </w:tcPr>
          <w:p>
            <w:pPr>
              <w:jc w:val="right"/>
              <w:rPr>
                <w:rFonts w:hint="eastAsia" w:ascii="仿宋" w:hAnsi="仿宋" w:eastAsia="仿宋" w:cs="仿宋"/>
                <w:b/>
                <w:bCs/>
                <w:kern w:val="0"/>
                <w:sz w:val="24"/>
                <w:szCs w:val="24"/>
              </w:rPr>
            </w:pPr>
          </w:p>
        </w:tc>
      </w:tr>
      <w:tr>
        <w:tblPrEx>
          <w:tblCellMar>
            <w:top w:w="0" w:type="dxa"/>
            <w:left w:w="108" w:type="dxa"/>
            <w:bottom w:w="0" w:type="dxa"/>
            <w:right w:w="108" w:type="dxa"/>
          </w:tblCellMar>
        </w:tblPrEx>
        <w:trPr>
          <w:trHeight w:val="450" w:hRule="atLeast"/>
          <w:jc w:val="center"/>
        </w:trPr>
        <w:tc>
          <w:tcPr>
            <w:tcW w:w="2011" w:type="dxa"/>
            <w:tcBorders>
              <w:top w:val="single" w:color="auto" w:sz="4" w:space="0"/>
              <w:left w:val="single" w:color="auto" w:sz="8"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b/>
                <w:bCs/>
                <w:kern w:val="0"/>
                <w:sz w:val="24"/>
                <w:szCs w:val="24"/>
              </w:rPr>
            </w:pPr>
            <w:r>
              <w:rPr>
                <w:rFonts w:hint="eastAsia" w:ascii="宋体" w:hAnsi="宋体" w:eastAsia="宋体" w:cs="宋体"/>
                <w:i w:val="0"/>
                <w:color w:val="000000"/>
                <w:kern w:val="0"/>
                <w:sz w:val="22"/>
                <w:szCs w:val="22"/>
                <w:u w:val="none"/>
                <w:lang w:val="en-US" w:eastAsia="zh-CN" w:bidi="ar"/>
              </w:rPr>
              <w:t>2101101</w:t>
            </w:r>
          </w:p>
        </w:tc>
        <w:tc>
          <w:tcPr>
            <w:tcW w:w="389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b/>
                <w:bCs/>
                <w:kern w:val="0"/>
                <w:sz w:val="24"/>
                <w:szCs w:val="24"/>
              </w:rPr>
            </w:pPr>
            <w:r>
              <w:rPr>
                <w:rFonts w:hint="eastAsia" w:ascii="宋体" w:hAnsi="宋体" w:eastAsia="宋体" w:cs="宋体"/>
                <w:i w:val="0"/>
                <w:color w:val="000000"/>
                <w:kern w:val="0"/>
                <w:sz w:val="22"/>
                <w:szCs w:val="22"/>
                <w:u w:val="none"/>
                <w:lang w:val="en-US" w:eastAsia="zh-CN" w:bidi="ar"/>
              </w:rPr>
              <w:t>行政单位医疗</w:t>
            </w:r>
          </w:p>
        </w:tc>
        <w:tc>
          <w:tcPr>
            <w:tcW w:w="3069"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仿宋" w:hAnsi="仿宋" w:eastAsia="仿宋" w:cs="仿宋"/>
                <w:b/>
                <w:bCs/>
                <w:kern w:val="0"/>
                <w:sz w:val="24"/>
                <w:szCs w:val="24"/>
              </w:rPr>
            </w:pPr>
            <w:r>
              <w:rPr>
                <w:rFonts w:hint="eastAsia" w:ascii="宋体" w:hAnsi="宋体" w:eastAsia="宋体" w:cs="宋体"/>
                <w:i w:val="0"/>
                <w:color w:val="000000"/>
                <w:kern w:val="0"/>
                <w:sz w:val="22"/>
                <w:szCs w:val="22"/>
                <w:u w:val="none"/>
                <w:lang w:val="en-US" w:eastAsia="zh-CN" w:bidi="ar"/>
              </w:rPr>
              <w:t xml:space="preserve">34.00 </w:t>
            </w:r>
          </w:p>
        </w:tc>
        <w:tc>
          <w:tcPr>
            <w:tcW w:w="2423"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仿宋" w:hAnsi="仿宋" w:eastAsia="仿宋" w:cs="仿宋"/>
                <w:b/>
                <w:bCs/>
                <w:kern w:val="0"/>
                <w:sz w:val="24"/>
                <w:szCs w:val="24"/>
              </w:rPr>
            </w:pPr>
            <w:r>
              <w:rPr>
                <w:rFonts w:hint="eastAsia" w:ascii="宋体" w:hAnsi="宋体" w:eastAsia="宋体" w:cs="宋体"/>
                <w:i w:val="0"/>
                <w:color w:val="000000"/>
                <w:kern w:val="0"/>
                <w:sz w:val="22"/>
                <w:szCs w:val="22"/>
                <w:u w:val="none"/>
                <w:lang w:val="en-US" w:eastAsia="zh-CN" w:bidi="ar"/>
              </w:rPr>
              <w:t xml:space="preserve">34.00 </w:t>
            </w:r>
          </w:p>
        </w:tc>
        <w:tc>
          <w:tcPr>
            <w:tcW w:w="2818" w:type="dxa"/>
            <w:tcBorders>
              <w:top w:val="nil"/>
              <w:left w:val="nil"/>
              <w:bottom w:val="single" w:color="auto" w:sz="4" w:space="0"/>
              <w:right w:val="single" w:color="auto" w:sz="8" w:space="0"/>
            </w:tcBorders>
            <w:vAlign w:val="center"/>
          </w:tcPr>
          <w:p>
            <w:pPr>
              <w:jc w:val="right"/>
              <w:rPr>
                <w:rFonts w:hint="eastAsia" w:ascii="仿宋" w:hAnsi="仿宋" w:eastAsia="仿宋" w:cs="仿宋"/>
                <w:b/>
                <w:bCs/>
                <w:kern w:val="0"/>
                <w:sz w:val="24"/>
                <w:szCs w:val="24"/>
              </w:rPr>
            </w:pPr>
          </w:p>
        </w:tc>
      </w:tr>
      <w:tr>
        <w:tblPrEx>
          <w:tblCellMar>
            <w:top w:w="0" w:type="dxa"/>
            <w:left w:w="108" w:type="dxa"/>
            <w:bottom w:w="0" w:type="dxa"/>
            <w:right w:w="108" w:type="dxa"/>
          </w:tblCellMar>
        </w:tblPrEx>
        <w:trPr>
          <w:trHeight w:val="450" w:hRule="atLeast"/>
          <w:jc w:val="center"/>
        </w:trPr>
        <w:tc>
          <w:tcPr>
            <w:tcW w:w="2011" w:type="dxa"/>
            <w:tcBorders>
              <w:top w:val="single" w:color="auto" w:sz="4" w:space="0"/>
              <w:left w:val="single" w:color="auto" w:sz="8"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宋体" w:hAnsi="宋体" w:eastAsia="宋体" w:cs="宋体"/>
                <w:i w:val="0"/>
                <w:color w:val="000000"/>
                <w:kern w:val="0"/>
                <w:sz w:val="22"/>
                <w:szCs w:val="22"/>
                <w:u w:val="none"/>
                <w:lang w:val="en-US" w:eastAsia="zh-CN" w:bidi="ar"/>
              </w:rPr>
              <w:t>2101103</w:t>
            </w:r>
          </w:p>
        </w:tc>
        <w:tc>
          <w:tcPr>
            <w:tcW w:w="389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宋体" w:hAnsi="宋体" w:eastAsia="宋体" w:cs="宋体"/>
                <w:i w:val="0"/>
                <w:color w:val="000000"/>
                <w:kern w:val="0"/>
                <w:sz w:val="22"/>
                <w:szCs w:val="22"/>
                <w:u w:val="none"/>
                <w:lang w:val="en-US" w:eastAsia="zh-CN" w:bidi="ar"/>
              </w:rPr>
              <w:t>公务员医疗补助</w:t>
            </w:r>
          </w:p>
        </w:tc>
        <w:tc>
          <w:tcPr>
            <w:tcW w:w="3069"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宋体" w:hAnsi="宋体" w:eastAsia="宋体" w:cs="宋体"/>
                <w:i w:val="0"/>
                <w:color w:val="000000"/>
                <w:kern w:val="0"/>
                <w:sz w:val="22"/>
                <w:szCs w:val="22"/>
                <w:u w:val="none"/>
                <w:lang w:val="en-US" w:eastAsia="zh-CN" w:bidi="ar"/>
              </w:rPr>
              <w:t xml:space="preserve">27.00 </w:t>
            </w:r>
          </w:p>
        </w:tc>
        <w:tc>
          <w:tcPr>
            <w:tcW w:w="2423"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宋体" w:hAnsi="宋体" w:eastAsia="宋体" w:cs="宋体"/>
                <w:i w:val="0"/>
                <w:color w:val="000000"/>
                <w:kern w:val="0"/>
                <w:sz w:val="22"/>
                <w:szCs w:val="22"/>
                <w:u w:val="none"/>
                <w:lang w:val="en-US" w:eastAsia="zh-CN" w:bidi="ar"/>
              </w:rPr>
              <w:t xml:space="preserve">27.00 </w:t>
            </w:r>
          </w:p>
        </w:tc>
        <w:tc>
          <w:tcPr>
            <w:tcW w:w="2818" w:type="dxa"/>
            <w:tcBorders>
              <w:top w:val="nil"/>
              <w:left w:val="nil"/>
              <w:bottom w:val="single" w:color="auto" w:sz="4" w:space="0"/>
              <w:right w:val="single" w:color="auto" w:sz="8" w:space="0"/>
            </w:tcBorders>
            <w:vAlign w:val="center"/>
          </w:tcPr>
          <w:p>
            <w:pPr>
              <w:jc w:val="right"/>
              <w:rPr>
                <w:rFonts w:hint="eastAsia" w:ascii="仿宋" w:hAnsi="仿宋" w:eastAsia="仿宋" w:cs="仿宋"/>
                <w:kern w:val="0"/>
                <w:sz w:val="24"/>
                <w:szCs w:val="24"/>
              </w:rPr>
            </w:pPr>
          </w:p>
        </w:tc>
      </w:tr>
      <w:tr>
        <w:tblPrEx>
          <w:tblCellMar>
            <w:top w:w="0" w:type="dxa"/>
            <w:left w:w="108" w:type="dxa"/>
            <w:bottom w:w="0" w:type="dxa"/>
            <w:right w:w="108" w:type="dxa"/>
          </w:tblCellMar>
        </w:tblPrEx>
        <w:trPr>
          <w:trHeight w:val="395" w:hRule="atLeast"/>
          <w:jc w:val="center"/>
        </w:trPr>
        <w:tc>
          <w:tcPr>
            <w:tcW w:w="2011" w:type="dxa"/>
            <w:tcBorders>
              <w:top w:val="single" w:color="auto" w:sz="4" w:space="0"/>
              <w:left w:val="single" w:color="auto" w:sz="8" w:space="0"/>
              <w:bottom w:val="single" w:color="auto" w:sz="8"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b/>
                <w:bCs/>
                <w:kern w:val="0"/>
                <w:sz w:val="24"/>
                <w:szCs w:val="24"/>
              </w:rPr>
            </w:pPr>
            <w:r>
              <w:rPr>
                <w:rFonts w:hint="eastAsia" w:ascii="宋体" w:hAnsi="宋体" w:eastAsia="宋体" w:cs="宋体"/>
                <w:i w:val="0"/>
                <w:color w:val="000000"/>
                <w:kern w:val="0"/>
                <w:sz w:val="22"/>
                <w:szCs w:val="22"/>
                <w:u w:val="none"/>
                <w:lang w:val="en-US" w:eastAsia="zh-CN" w:bidi="ar"/>
              </w:rPr>
              <w:t>2210201</w:t>
            </w:r>
          </w:p>
        </w:tc>
        <w:tc>
          <w:tcPr>
            <w:tcW w:w="3898" w:type="dxa"/>
            <w:tcBorders>
              <w:top w:val="nil"/>
              <w:left w:val="nil"/>
              <w:bottom w:val="single" w:color="auto" w:sz="8"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b/>
                <w:bCs/>
                <w:kern w:val="0"/>
                <w:sz w:val="24"/>
                <w:szCs w:val="24"/>
              </w:rPr>
            </w:pPr>
            <w:r>
              <w:rPr>
                <w:rFonts w:hint="eastAsia" w:ascii="宋体" w:hAnsi="宋体" w:eastAsia="宋体" w:cs="宋体"/>
                <w:i w:val="0"/>
                <w:color w:val="000000"/>
                <w:kern w:val="0"/>
                <w:sz w:val="22"/>
                <w:szCs w:val="22"/>
                <w:u w:val="none"/>
                <w:lang w:val="en-US" w:eastAsia="zh-CN" w:bidi="ar"/>
              </w:rPr>
              <w:t>住房公积金</w:t>
            </w:r>
          </w:p>
        </w:tc>
        <w:tc>
          <w:tcPr>
            <w:tcW w:w="3069" w:type="dxa"/>
            <w:tcBorders>
              <w:top w:val="nil"/>
              <w:left w:val="nil"/>
              <w:bottom w:val="single" w:color="auto" w:sz="8" w:space="0"/>
              <w:right w:val="single" w:color="auto" w:sz="4" w:space="0"/>
            </w:tcBorders>
            <w:vAlign w:val="center"/>
          </w:tcPr>
          <w:p>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宋体" w:hAnsi="宋体" w:eastAsia="宋体" w:cs="宋体"/>
                <w:i w:val="0"/>
                <w:color w:val="000000"/>
                <w:kern w:val="0"/>
                <w:sz w:val="22"/>
                <w:szCs w:val="22"/>
                <w:u w:val="none"/>
                <w:lang w:val="en-US" w:eastAsia="zh-CN" w:bidi="ar"/>
              </w:rPr>
              <w:t>68.00</w:t>
            </w:r>
          </w:p>
        </w:tc>
        <w:tc>
          <w:tcPr>
            <w:tcW w:w="2423" w:type="dxa"/>
            <w:tcBorders>
              <w:top w:val="nil"/>
              <w:left w:val="nil"/>
              <w:bottom w:val="single" w:color="auto" w:sz="8" w:space="0"/>
              <w:right w:val="single" w:color="auto" w:sz="4" w:space="0"/>
            </w:tcBorders>
            <w:vAlign w:val="center"/>
          </w:tcPr>
          <w:p>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宋体" w:hAnsi="宋体" w:eastAsia="宋体" w:cs="宋体"/>
                <w:i w:val="0"/>
                <w:color w:val="000000"/>
                <w:kern w:val="0"/>
                <w:sz w:val="22"/>
                <w:szCs w:val="22"/>
                <w:u w:val="none"/>
                <w:lang w:val="en-US" w:eastAsia="zh-CN" w:bidi="ar"/>
              </w:rPr>
              <w:t>68.00</w:t>
            </w:r>
          </w:p>
        </w:tc>
        <w:tc>
          <w:tcPr>
            <w:tcW w:w="2818" w:type="dxa"/>
            <w:tcBorders>
              <w:top w:val="nil"/>
              <w:left w:val="nil"/>
              <w:bottom w:val="single" w:color="auto" w:sz="8" w:space="0"/>
              <w:right w:val="single" w:color="auto" w:sz="8" w:space="0"/>
            </w:tcBorders>
            <w:vAlign w:val="center"/>
          </w:tcPr>
          <w:p>
            <w:pPr>
              <w:jc w:val="right"/>
              <w:rPr>
                <w:rFonts w:hint="eastAsia" w:ascii="仿宋" w:hAnsi="仿宋" w:eastAsia="仿宋" w:cs="仿宋"/>
                <w:kern w:val="0"/>
                <w:sz w:val="24"/>
                <w:szCs w:val="24"/>
              </w:rPr>
            </w:pPr>
          </w:p>
        </w:tc>
      </w:tr>
      <w:tr>
        <w:tblPrEx>
          <w:tblCellMar>
            <w:top w:w="0" w:type="dxa"/>
            <w:left w:w="108" w:type="dxa"/>
            <w:bottom w:w="0" w:type="dxa"/>
            <w:right w:w="108" w:type="dxa"/>
          </w:tblCellMar>
        </w:tblPrEx>
        <w:trPr>
          <w:trHeight w:val="450" w:hRule="atLeast"/>
          <w:jc w:val="center"/>
        </w:trPr>
        <w:tc>
          <w:tcPr>
            <w:tcW w:w="2011" w:type="dxa"/>
            <w:tcBorders>
              <w:top w:val="single" w:color="auto" w:sz="4" w:space="0"/>
              <w:left w:val="single" w:color="auto" w:sz="8" w:space="0"/>
              <w:bottom w:val="single" w:color="auto" w:sz="8"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b/>
                <w:bCs/>
                <w:kern w:val="0"/>
                <w:sz w:val="24"/>
                <w:szCs w:val="24"/>
              </w:rPr>
            </w:pPr>
            <w:r>
              <w:rPr>
                <w:rFonts w:hint="eastAsia" w:ascii="宋体" w:hAnsi="宋体" w:eastAsia="宋体" w:cs="宋体"/>
                <w:i w:val="0"/>
                <w:color w:val="000000"/>
                <w:kern w:val="0"/>
                <w:sz w:val="22"/>
                <w:szCs w:val="22"/>
                <w:u w:val="none"/>
                <w:lang w:val="en-US" w:eastAsia="zh-CN" w:bidi="ar"/>
              </w:rPr>
              <w:t>2210203</w:t>
            </w:r>
          </w:p>
        </w:tc>
        <w:tc>
          <w:tcPr>
            <w:tcW w:w="389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b/>
                <w:bCs/>
                <w:kern w:val="0"/>
                <w:sz w:val="24"/>
                <w:szCs w:val="24"/>
              </w:rPr>
            </w:pPr>
            <w:r>
              <w:rPr>
                <w:rFonts w:hint="eastAsia" w:ascii="宋体" w:hAnsi="宋体" w:eastAsia="宋体" w:cs="宋体"/>
                <w:i w:val="0"/>
                <w:color w:val="000000"/>
                <w:kern w:val="0"/>
                <w:sz w:val="22"/>
                <w:szCs w:val="22"/>
                <w:u w:val="none"/>
                <w:lang w:val="en-US" w:eastAsia="zh-CN" w:bidi="ar"/>
              </w:rPr>
              <w:t>购房补贴</w:t>
            </w:r>
          </w:p>
        </w:tc>
        <w:tc>
          <w:tcPr>
            <w:tcW w:w="3069"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宋体" w:hAnsi="宋体" w:eastAsia="宋体" w:cs="宋体"/>
                <w:i w:val="0"/>
                <w:color w:val="000000"/>
                <w:kern w:val="0"/>
                <w:sz w:val="22"/>
                <w:szCs w:val="22"/>
                <w:u w:val="none"/>
                <w:lang w:val="en-US" w:eastAsia="zh-CN" w:bidi="ar"/>
              </w:rPr>
              <w:t>34.00</w:t>
            </w:r>
          </w:p>
        </w:tc>
        <w:tc>
          <w:tcPr>
            <w:tcW w:w="2423"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宋体" w:hAnsi="宋体" w:eastAsia="宋体" w:cs="宋体"/>
                <w:i w:val="0"/>
                <w:color w:val="000000"/>
                <w:kern w:val="0"/>
                <w:sz w:val="22"/>
                <w:szCs w:val="22"/>
                <w:u w:val="none"/>
                <w:lang w:val="en-US" w:eastAsia="zh-CN" w:bidi="ar"/>
              </w:rPr>
              <w:t>34.00</w:t>
            </w:r>
          </w:p>
        </w:tc>
        <w:tc>
          <w:tcPr>
            <w:tcW w:w="2818" w:type="dxa"/>
            <w:tcBorders>
              <w:top w:val="nil"/>
              <w:left w:val="nil"/>
              <w:bottom w:val="single" w:color="auto" w:sz="4" w:space="0"/>
              <w:right w:val="single" w:color="auto" w:sz="8" w:space="0"/>
            </w:tcBorders>
            <w:vAlign w:val="center"/>
          </w:tcPr>
          <w:p>
            <w:pPr>
              <w:jc w:val="right"/>
              <w:rPr>
                <w:rFonts w:hint="eastAsia" w:ascii="仿宋" w:hAnsi="仿宋" w:eastAsia="仿宋" w:cs="仿宋"/>
                <w:kern w:val="0"/>
                <w:sz w:val="24"/>
                <w:szCs w:val="24"/>
              </w:rPr>
            </w:pPr>
          </w:p>
        </w:tc>
      </w:tr>
      <w:tr>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注：本表反映部门本年度一般公共预算财政拨款支出情况。</w:t>
            </w:r>
          </w:p>
        </w:tc>
      </w:tr>
    </w:tbl>
    <w:p>
      <w:pPr>
        <w:widowControl/>
        <w:jc w:val="left"/>
        <w:rPr>
          <w:rFonts w:ascii="Times New Roman" w:hAnsi="Times New Roman" w:eastAsia="仿宋_GB2312"/>
          <w:kern w:val="0"/>
        </w:rPr>
      </w:pPr>
      <w:r>
        <w:rPr>
          <w:rFonts w:ascii="Times New Roman" w:hAnsi="Times New Roman" w:eastAsia="仿宋_GB2312"/>
          <w:kern w:val="0"/>
          <w:sz w:val="24"/>
          <w:szCs w:val="24"/>
        </w:rPr>
        <w:br w:type="page"/>
      </w:r>
    </w:p>
    <w:p>
      <w:pPr>
        <w:widowControl/>
        <w:jc w:val="center"/>
        <w:rPr>
          <w:rFonts w:ascii="黑体" w:hAnsi="黑体" w:eastAsia="黑体"/>
          <w:sz w:val="36"/>
          <w:szCs w:val="36"/>
        </w:rPr>
      </w:pPr>
      <w:bookmarkStart w:id="1" w:name="RANGE_A1_I39"/>
      <w:r>
        <w:rPr>
          <w:rFonts w:hint="eastAsia" w:ascii="黑体" w:hAnsi="黑体" w:eastAsia="黑体" w:cs="黑体"/>
          <w:sz w:val="36"/>
          <w:szCs w:val="36"/>
        </w:rPr>
        <w:t>一般公共预算财政拨款基本支出决算表</w:t>
      </w:r>
      <w:bookmarkEnd w:id="1"/>
    </w:p>
    <w:p>
      <w:pPr>
        <w:widowControl/>
        <w:jc w:val="left"/>
        <w:rPr>
          <w:rFonts w:hint="eastAsia" w:ascii="仿宋" w:hAnsi="仿宋" w:eastAsia="仿宋" w:cs="仿宋"/>
          <w:color w:val="000000"/>
          <w:kern w:val="0"/>
        </w:rPr>
      </w:pPr>
      <w:r>
        <w:rPr>
          <w:rFonts w:hint="eastAsia" w:ascii="Times New Roman" w:hAnsi="Times New Roman" w:eastAsia="仿宋_GB2312" w:cs="仿宋_GB2312"/>
          <w:b/>
          <w:bCs/>
          <w:color w:val="000000"/>
          <w:kern w:val="0"/>
        </w:rPr>
        <w:t>部门：湖南省人民政府驻上海办事处</w:t>
      </w:r>
      <w:r>
        <w:rPr>
          <w:rFonts w:ascii="Times New Roman" w:hAnsi="Times New Roman" w:eastAsia="仿宋_GB2312" w:cs="Times New Roman"/>
          <w:b/>
          <w:bCs/>
          <w:color w:val="000000"/>
          <w:kern w:val="0"/>
        </w:rPr>
        <w:t xml:space="preserve">  </w:t>
      </w:r>
      <w:r>
        <w:rPr>
          <w:rFonts w:ascii="Times New Roman" w:hAnsi="Times New Roman" w:eastAsia="仿宋_GB2312" w:cs="Times New Roman"/>
          <w:color w:val="000000"/>
          <w:kern w:val="0"/>
        </w:rPr>
        <w:t xml:space="preserve">                                                                                                  </w:t>
      </w:r>
      <w:r>
        <w:rPr>
          <w:rFonts w:hint="eastAsia" w:ascii="仿宋" w:hAnsi="仿宋" w:eastAsia="仿宋" w:cs="仿宋"/>
          <w:color w:val="000000"/>
          <w:kern w:val="0"/>
        </w:rPr>
        <w:t xml:space="preserve">   公开06表</w:t>
      </w:r>
    </w:p>
    <w:p>
      <w:pPr>
        <w:widowControl/>
        <w:ind w:right="210"/>
        <w:jc w:val="right"/>
        <w:rPr>
          <w:rFonts w:hint="eastAsia" w:ascii="仿宋" w:hAnsi="仿宋" w:eastAsia="仿宋" w:cs="仿宋"/>
          <w:color w:val="000000"/>
          <w:kern w:val="0"/>
        </w:rPr>
      </w:pPr>
      <w:r>
        <w:rPr>
          <w:rFonts w:hint="eastAsia" w:ascii="仿宋" w:hAnsi="仿宋" w:eastAsia="仿宋" w:cs="仿宋"/>
          <w:color w:val="000000"/>
          <w:kern w:val="0"/>
        </w:rPr>
        <w:t>单位：万元</w:t>
      </w:r>
    </w:p>
    <w:tbl>
      <w:tblPr>
        <w:tblStyle w:val="11"/>
        <w:tblW w:w="15900" w:type="dxa"/>
        <w:tblInd w:w="-106" w:type="dxa"/>
        <w:tblLayout w:type="fixed"/>
        <w:tblCellMar>
          <w:top w:w="0" w:type="dxa"/>
          <w:left w:w="108" w:type="dxa"/>
          <w:bottom w:w="0" w:type="dxa"/>
          <w:right w:w="108" w:type="dxa"/>
        </w:tblCellMar>
      </w:tblPr>
      <w:tblGrid>
        <w:gridCol w:w="1149"/>
        <w:gridCol w:w="3306"/>
        <w:gridCol w:w="856"/>
        <w:gridCol w:w="1110"/>
        <w:gridCol w:w="2297"/>
        <w:gridCol w:w="856"/>
        <w:gridCol w:w="1076"/>
        <w:gridCol w:w="4394"/>
        <w:gridCol w:w="856"/>
      </w:tblGrid>
      <w:tr>
        <w:tblPrEx>
          <w:tblCellMar>
            <w:top w:w="0" w:type="dxa"/>
            <w:left w:w="108" w:type="dxa"/>
            <w:bottom w:w="0" w:type="dxa"/>
            <w:right w:w="108" w:type="dxa"/>
          </w:tblCellMar>
        </w:tblPrEx>
        <w:trPr>
          <w:trHeight w:val="529" w:hRule="atLeast"/>
        </w:trPr>
        <w:tc>
          <w:tcPr>
            <w:tcW w:w="1149"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仿宋" w:hAnsi="仿宋" w:eastAsia="仿宋" w:cs="仿宋"/>
                <w:b/>
                <w:bCs/>
                <w:color w:val="000000"/>
                <w:kern w:val="0"/>
                <w:sz w:val="20"/>
                <w:szCs w:val="20"/>
              </w:rPr>
            </w:pPr>
            <w:r>
              <w:rPr>
                <w:rFonts w:hint="eastAsia" w:ascii="仿宋" w:hAnsi="仿宋" w:eastAsia="仿宋" w:cs="仿宋"/>
                <w:b/>
                <w:bCs/>
                <w:color w:val="000000"/>
                <w:kern w:val="0"/>
                <w:sz w:val="20"/>
                <w:szCs w:val="20"/>
              </w:rPr>
              <w:t>经济分类科目编码</w:t>
            </w:r>
          </w:p>
        </w:tc>
        <w:tc>
          <w:tcPr>
            <w:tcW w:w="3306" w:type="dxa"/>
            <w:tcBorders>
              <w:top w:val="single" w:color="auto" w:sz="8" w:space="0"/>
              <w:left w:val="nil"/>
              <w:bottom w:val="single" w:color="auto" w:sz="8" w:space="0"/>
              <w:right w:val="single" w:color="auto" w:sz="8" w:space="0"/>
            </w:tcBorders>
            <w:vAlign w:val="center"/>
          </w:tcPr>
          <w:p>
            <w:pPr>
              <w:widowControl/>
              <w:jc w:val="center"/>
              <w:rPr>
                <w:rFonts w:hint="eastAsia" w:ascii="仿宋" w:hAnsi="仿宋" w:eastAsia="仿宋" w:cs="仿宋"/>
                <w:b/>
                <w:bCs/>
                <w:color w:val="000000"/>
                <w:kern w:val="0"/>
                <w:sz w:val="20"/>
                <w:szCs w:val="20"/>
              </w:rPr>
            </w:pPr>
            <w:r>
              <w:rPr>
                <w:rFonts w:hint="eastAsia" w:ascii="仿宋" w:hAnsi="仿宋" w:eastAsia="仿宋" w:cs="仿宋"/>
                <w:b/>
                <w:bCs/>
                <w:color w:val="000000"/>
                <w:kern w:val="0"/>
                <w:sz w:val="20"/>
                <w:szCs w:val="20"/>
              </w:rPr>
              <w:t>科目名称</w:t>
            </w:r>
          </w:p>
        </w:tc>
        <w:tc>
          <w:tcPr>
            <w:tcW w:w="856" w:type="dxa"/>
            <w:tcBorders>
              <w:top w:val="single" w:color="auto" w:sz="8" w:space="0"/>
              <w:left w:val="nil"/>
              <w:bottom w:val="single" w:color="auto" w:sz="8" w:space="0"/>
              <w:right w:val="single" w:color="auto" w:sz="8" w:space="0"/>
            </w:tcBorders>
            <w:vAlign w:val="center"/>
          </w:tcPr>
          <w:p>
            <w:pPr>
              <w:widowControl/>
              <w:jc w:val="center"/>
              <w:rPr>
                <w:rFonts w:hint="eastAsia" w:ascii="仿宋" w:hAnsi="仿宋" w:eastAsia="仿宋" w:cs="仿宋"/>
                <w:b/>
                <w:bCs/>
                <w:color w:val="000000"/>
                <w:kern w:val="0"/>
                <w:sz w:val="20"/>
                <w:szCs w:val="20"/>
              </w:rPr>
            </w:pPr>
            <w:r>
              <w:rPr>
                <w:rFonts w:hint="eastAsia" w:ascii="仿宋" w:hAnsi="仿宋" w:eastAsia="仿宋" w:cs="仿宋"/>
                <w:b/>
                <w:bCs/>
                <w:color w:val="000000"/>
                <w:kern w:val="0"/>
                <w:sz w:val="20"/>
                <w:szCs w:val="20"/>
              </w:rPr>
              <w:t>决算数</w:t>
            </w:r>
          </w:p>
        </w:tc>
        <w:tc>
          <w:tcPr>
            <w:tcW w:w="1110" w:type="dxa"/>
            <w:tcBorders>
              <w:top w:val="single" w:color="auto" w:sz="8" w:space="0"/>
              <w:left w:val="nil"/>
              <w:bottom w:val="single" w:color="auto" w:sz="8" w:space="0"/>
              <w:right w:val="single" w:color="auto" w:sz="8" w:space="0"/>
            </w:tcBorders>
            <w:vAlign w:val="center"/>
          </w:tcPr>
          <w:p>
            <w:pPr>
              <w:widowControl/>
              <w:jc w:val="center"/>
              <w:rPr>
                <w:rFonts w:hint="eastAsia" w:ascii="仿宋" w:hAnsi="仿宋" w:eastAsia="仿宋" w:cs="仿宋"/>
                <w:b/>
                <w:bCs/>
                <w:color w:val="000000"/>
                <w:kern w:val="0"/>
                <w:sz w:val="20"/>
                <w:szCs w:val="20"/>
              </w:rPr>
            </w:pPr>
            <w:r>
              <w:rPr>
                <w:rFonts w:hint="eastAsia" w:ascii="仿宋" w:hAnsi="仿宋" w:eastAsia="仿宋" w:cs="仿宋"/>
                <w:b/>
                <w:bCs/>
                <w:color w:val="000000"/>
                <w:kern w:val="0"/>
                <w:sz w:val="20"/>
                <w:szCs w:val="20"/>
              </w:rPr>
              <w:t>经济分类科目编码</w:t>
            </w:r>
          </w:p>
        </w:tc>
        <w:tc>
          <w:tcPr>
            <w:tcW w:w="2297" w:type="dxa"/>
            <w:tcBorders>
              <w:top w:val="single" w:color="auto" w:sz="8" w:space="0"/>
              <w:left w:val="nil"/>
              <w:bottom w:val="single" w:color="auto" w:sz="8" w:space="0"/>
              <w:right w:val="single" w:color="auto" w:sz="8" w:space="0"/>
            </w:tcBorders>
            <w:vAlign w:val="center"/>
          </w:tcPr>
          <w:p>
            <w:pPr>
              <w:widowControl/>
              <w:jc w:val="center"/>
              <w:rPr>
                <w:rFonts w:hint="eastAsia" w:ascii="仿宋" w:hAnsi="仿宋" w:eastAsia="仿宋" w:cs="仿宋"/>
                <w:b/>
                <w:bCs/>
                <w:color w:val="000000"/>
                <w:kern w:val="0"/>
                <w:sz w:val="20"/>
                <w:szCs w:val="20"/>
              </w:rPr>
            </w:pPr>
            <w:r>
              <w:rPr>
                <w:rFonts w:hint="eastAsia" w:ascii="仿宋" w:hAnsi="仿宋" w:eastAsia="仿宋" w:cs="仿宋"/>
                <w:b/>
                <w:bCs/>
                <w:color w:val="000000"/>
                <w:kern w:val="0"/>
                <w:sz w:val="20"/>
                <w:szCs w:val="20"/>
              </w:rPr>
              <w:t>科目名称</w:t>
            </w:r>
          </w:p>
        </w:tc>
        <w:tc>
          <w:tcPr>
            <w:tcW w:w="856" w:type="dxa"/>
            <w:tcBorders>
              <w:top w:val="single" w:color="auto" w:sz="8" w:space="0"/>
              <w:left w:val="nil"/>
              <w:bottom w:val="single" w:color="auto" w:sz="8" w:space="0"/>
              <w:right w:val="single" w:color="auto" w:sz="8" w:space="0"/>
            </w:tcBorders>
            <w:vAlign w:val="center"/>
          </w:tcPr>
          <w:p>
            <w:pPr>
              <w:widowControl/>
              <w:jc w:val="center"/>
              <w:rPr>
                <w:rFonts w:hint="eastAsia" w:ascii="仿宋" w:hAnsi="仿宋" w:eastAsia="仿宋" w:cs="仿宋"/>
                <w:b/>
                <w:bCs/>
                <w:color w:val="000000"/>
                <w:kern w:val="0"/>
                <w:sz w:val="20"/>
                <w:szCs w:val="20"/>
              </w:rPr>
            </w:pPr>
            <w:r>
              <w:rPr>
                <w:rFonts w:hint="eastAsia" w:ascii="仿宋" w:hAnsi="仿宋" w:eastAsia="仿宋" w:cs="仿宋"/>
                <w:b/>
                <w:bCs/>
                <w:color w:val="000000"/>
                <w:kern w:val="0"/>
                <w:sz w:val="20"/>
                <w:szCs w:val="20"/>
              </w:rPr>
              <w:t>决算数</w:t>
            </w:r>
          </w:p>
        </w:tc>
        <w:tc>
          <w:tcPr>
            <w:tcW w:w="1076" w:type="dxa"/>
            <w:tcBorders>
              <w:top w:val="single" w:color="auto" w:sz="8" w:space="0"/>
              <w:left w:val="nil"/>
              <w:bottom w:val="single" w:color="auto" w:sz="8" w:space="0"/>
              <w:right w:val="single" w:color="auto" w:sz="8" w:space="0"/>
            </w:tcBorders>
            <w:vAlign w:val="center"/>
          </w:tcPr>
          <w:p>
            <w:pPr>
              <w:widowControl/>
              <w:jc w:val="center"/>
              <w:rPr>
                <w:rFonts w:hint="eastAsia" w:ascii="仿宋" w:hAnsi="仿宋" w:eastAsia="仿宋" w:cs="仿宋"/>
                <w:b/>
                <w:bCs/>
                <w:color w:val="000000"/>
                <w:kern w:val="0"/>
                <w:sz w:val="20"/>
                <w:szCs w:val="20"/>
              </w:rPr>
            </w:pPr>
            <w:r>
              <w:rPr>
                <w:rFonts w:hint="eastAsia" w:ascii="仿宋" w:hAnsi="仿宋" w:eastAsia="仿宋" w:cs="仿宋"/>
                <w:b/>
                <w:bCs/>
                <w:color w:val="000000"/>
                <w:kern w:val="0"/>
                <w:sz w:val="20"/>
                <w:szCs w:val="20"/>
              </w:rPr>
              <w:t>经济分类科目编码</w:t>
            </w:r>
          </w:p>
        </w:tc>
        <w:tc>
          <w:tcPr>
            <w:tcW w:w="4394" w:type="dxa"/>
            <w:tcBorders>
              <w:top w:val="single" w:color="auto" w:sz="8" w:space="0"/>
              <w:left w:val="nil"/>
              <w:bottom w:val="single" w:color="auto" w:sz="8" w:space="0"/>
              <w:right w:val="single" w:color="auto" w:sz="8" w:space="0"/>
            </w:tcBorders>
            <w:vAlign w:val="center"/>
          </w:tcPr>
          <w:p>
            <w:pPr>
              <w:widowControl/>
              <w:jc w:val="center"/>
              <w:rPr>
                <w:rFonts w:hint="eastAsia" w:ascii="仿宋" w:hAnsi="仿宋" w:eastAsia="仿宋" w:cs="仿宋"/>
                <w:b/>
                <w:bCs/>
                <w:color w:val="000000"/>
                <w:kern w:val="0"/>
                <w:sz w:val="20"/>
                <w:szCs w:val="20"/>
              </w:rPr>
            </w:pPr>
            <w:r>
              <w:rPr>
                <w:rFonts w:hint="eastAsia" w:ascii="仿宋" w:hAnsi="仿宋" w:eastAsia="仿宋" w:cs="仿宋"/>
                <w:b/>
                <w:bCs/>
                <w:color w:val="000000"/>
                <w:kern w:val="0"/>
                <w:sz w:val="20"/>
                <w:szCs w:val="20"/>
              </w:rPr>
              <w:t>科目名称</w:t>
            </w:r>
          </w:p>
        </w:tc>
        <w:tc>
          <w:tcPr>
            <w:tcW w:w="856" w:type="dxa"/>
            <w:tcBorders>
              <w:top w:val="single" w:color="auto" w:sz="8" w:space="0"/>
              <w:left w:val="nil"/>
              <w:bottom w:val="single" w:color="auto" w:sz="8" w:space="0"/>
              <w:right w:val="single" w:color="auto" w:sz="8" w:space="0"/>
            </w:tcBorders>
            <w:vAlign w:val="center"/>
          </w:tcPr>
          <w:p>
            <w:pPr>
              <w:widowControl/>
              <w:jc w:val="center"/>
              <w:rPr>
                <w:rFonts w:hint="eastAsia" w:ascii="仿宋" w:hAnsi="仿宋" w:eastAsia="仿宋" w:cs="仿宋"/>
                <w:b/>
                <w:bCs/>
                <w:color w:val="000000"/>
                <w:kern w:val="0"/>
                <w:sz w:val="20"/>
                <w:szCs w:val="20"/>
              </w:rPr>
            </w:pPr>
            <w:r>
              <w:rPr>
                <w:rFonts w:hint="eastAsia" w:ascii="仿宋" w:hAnsi="仿宋" w:eastAsia="仿宋" w:cs="仿宋"/>
                <w:b/>
                <w:bCs/>
                <w:color w:val="000000"/>
                <w:kern w:val="0"/>
                <w:sz w:val="20"/>
                <w:szCs w:val="20"/>
              </w:rPr>
              <w:t>决算数</w:t>
            </w:r>
          </w:p>
        </w:tc>
      </w:tr>
      <w:tr>
        <w:tblPrEx>
          <w:tblCellMar>
            <w:top w:w="0" w:type="dxa"/>
            <w:left w:w="108" w:type="dxa"/>
            <w:bottom w:w="0" w:type="dxa"/>
            <w:right w:w="108" w:type="dxa"/>
          </w:tblCellMar>
        </w:tblPrEx>
        <w:trPr>
          <w:trHeight w:val="272" w:hRule="exact"/>
        </w:trPr>
        <w:tc>
          <w:tcPr>
            <w:tcW w:w="1149" w:type="dxa"/>
            <w:tcBorders>
              <w:top w:val="nil"/>
              <w:left w:val="single" w:color="auto" w:sz="8" w:space="0"/>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301</w:t>
            </w:r>
          </w:p>
        </w:tc>
        <w:tc>
          <w:tcPr>
            <w:tcW w:w="3306" w:type="dxa"/>
            <w:tcBorders>
              <w:top w:val="nil"/>
              <w:left w:val="nil"/>
              <w:bottom w:val="single" w:color="auto" w:sz="8" w:space="0"/>
              <w:right w:val="single" w:color="auto" w:sz="8" w:space="0"/>
            </w:tcBorders>
            <w:noWrap/>
          </w:tcPr>
          <w:p>
            <w:pPr>
              <w:widowControl/>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工资福利支出</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735.70 </w:t>
            </w:r>
          </w:p>
        </w:tc>
        <w:tc>
          <w:tcPr>
            <w:tcW w:w="1110"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302</w:t>
            </w:r>
          </w:p>
        </w:tc>
        <w:tc>
          <w:tcPr>
            <w:tcW w:w="2297"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商品和服务支出</w:t>
            </w:r>
          </w:p>
        </w:tc>
        <w:tc>
          <w:tcPr>
            <w:tcW w:w="856" w:type="dxa"/>
            <w:tcBorders>
              <w:top w:val="nil"/>
              <w:left w:val="nil"/>
              <w:bottom w:val="single" w:color="auto" w:sz="8" w:space="0"/>
              <w:right w:val="single" w:color="auto" w:sz="8" w:space="0"/>
            </w:tcBorders>
            <w:noWrap/>
            <w:vAlign w:val="center"/>
          </w:tcPr>
          <w:p>
            <w:pPr>
              <w:widowControl/>
              <w:jc w:val="right"/>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137.12 </w:t>
            </w:r>
          </w:p>
        </w:tc>
        <w:tc>
          <w:tcPr>
            <w:tcW w:w="1076"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307</w:t>
            </w:r>
          </w:p>
        </w:tc>
        <w:tc>
          <w:tcPr>
            <w:tcW w:w="4394"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债务利息及费用支出</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p>
        </w:tc>
      </w:tr>
      <w:tr>
        <w:tblPrEx>
          <w:tblCellMar>
            <w:top w:w="0" w:type="dxa"/>
            <w:left w:w="108" w:type="dxa"/>
            <w:bottom w:w="0" w:type="dxa"/>
            <w:right w:w="108" w:type="dxa"/>
          </w:tblCellMar>
        </w:tblPrEx>
        <w:trPr>
          <w:trHeight w:val="250" w:hRule="exact"/>
        </w:trPr>
        <w:tc>
          <w:tcPr>
            <w:tcW w:w="1149" w:type="dxa"/>
            <w:tcBorders>
              <w:top w:val="nil"/>
              <w:left w:val="single" w:color="auto" w:sz="8" w:space="0"/>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30101</w:t>
            </w:r>
          </w:p>
        </w:tc>
        <w:tc>
          <w:tcPr>
            <w:tcW w:w="3306" w:type="dxa"/>
            <w:tcBorders>
              <w:top w:val="nil"/>
              <w:left w:val="nil"/>
              <w:bottom w:val="single" w:color="auto" w:sz="8" w:space="0"/>
              <w:right w:val="single" w:color="auto" w:sz="8" w:space="0"/>
            </w:tcBorders>
            <w:noWrap/>
          </w:tcPr>
          <w:p>
            <w:pPr>
              <w:widowControl/>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xml:space="preserve">  基本工资</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75.76 </w:t>
            </w:r>
          </w:p>
        </w:tc>
        <w:tc>
          <w:tcPr>
            <w:tcW w:w="1110"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30201</w:t>
            </w:r>
          </w:p>
        </w:tc>
        <w:tc>
          <w:tcPr>
            <w:tcW w:w="2297"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办公费</w:t>
            </w:r>
          </w:p>
        </w:tc>
        <w:tc>
          <w:tcPr>
            <w:tcW w:w="856" w:type="dxa"/>
            <w:tcBorders>
              <w:top w:val="nil"/>
              <w:left w:val="nil"/>
              <w:bottom w:val="single" w:color="auto" w:sz="8" w:space="0"/>
              <w:right w:val="single" w:color="auto" w:sz="8" w:space="0"/>
            </w:tcBorders>
            <w:noWrap/>
            <w:vAlign w:val="center"/>
          </w:tcPr>
          <w:p>
            <w:pPr>
              <w:widowControl/>
              <w:jc w:val="right"/>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20.00 </w:t>
            </w:r>
          </w:p>
        </w:tc>
        <w:tc>
          <w:tcPr>
            <w:tcW w:w="1076"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30701</w:t>
            </w:r>
          </w:p>
        </w:tc>
        <w:tc>
          <w:tcPr>
            <w:tcW w:w="4394"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国内债务付息</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p>
        </w:tc>
      </w:tr>
      <w:tr>
        <w:tblPrEx>
          <w:tblCellMar>
            <w:top w:w="0" w:type="dxa"/>
            <w:left w:w="108" w:type="dxa"/>
            <w:bottom w:w="0" w:type="dxa"/>
            <w:right w:w="108" w:type="dxa"/>
          </w:tblCellMar>
        </w:tblPrEx>
        <w:trPr>
          <w:trHeight w:val="233" w:hRule="exact"/>
        </w:trPr>
        <w:tc>
          <w:tcPr>
            <w:tcW w:w="1149" w:type="dxa"/>
            <w:tcBorders>
              <w:top w:val="nil"/>
              <w:left w:val="single" w:color="auto" w:sz="8" w:space="0"/>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30102</w:t>
            </w:r>
          </w:p>
        </w:tc>
        <w:tc>
          <w:tcPr>
            <w:tcW w:w="3306" w:type="dxa"/>
            <w:tcBorders>
              <w:top w:val="nil"/>
              <w:left w:val="nil"/>
              <w:bottom w:val="single" w:color="auto" w:sz="8" w:space="0"/>
              <w:right w:val="single" w:color="auto" w:sz="8" w:space="0"/>
            </w:tcBorders>
            <w:noWrap/>
          </w:tcPr>
          <w:p>
            <w:pPr>
              <w:widowControl/>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xml:space="preserve">  津贴补贴</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294.00 </w:t>
            </w:r>
          </w:p>
        </w:tc>
        <w:tc>
          <w:tcPr>
            <w:tcW w:w="1110"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30202</w:t>
            </w:r>
          </w:p>
        </w:tc>
        <w:tc>
          <w:tcPr>
            <w:tcW w:w="2297"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印刷费</w:t>
            </w:r>
          </w:p>
        </w:tc>
        <w:tc>
          <w:tcPr>
            <w:tcW w:w="856" w:type="dxa"/>
            <w:tcBorders>
              <w:top w:val="nil"/>
              <w:left w:val="nil"/>
              <w:bottom w:val="single" w:color="auto" w:sz="8" w:space="0"/>
              <w:right w:val="single" w:color="auto" w:sz="8" w:space="0"/>
            </w:tcBorders>
            <w:noWrap/>
            <w:vAlign w:val="center"/>
          </w:tcPr>
          <w:p>
            <w:pPr>
              <w:jc w:val="right"/>
              <w:rPr>
                <w:rFonts w:hint="eastAsia" w:ascii="仿宋" w:hAnsi="仿宋" w:eastAsia="仿宋" w:cs="仿宋"/>
                <w:color w:val="000000"/>
                <w:kern w:val="0"/>
                <w:sz w:val="18"/>
                <w:szCs w:val="18"/>
                <w:lang w:val="en-US" w:eastAsia="zh-CN" w:bidi="ar-SA"/>
              </w:rPr>
            </w:pPr>
          </w:p>
        </w:tc>
        <w:tc>
          <w:tcPr>
            <w:tcW w:w="1076"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30702</w:t>
            </w:r>
          </w:p>
        </w:tc>
        <w:tc>
          <w:tcPr>
            <w:tcW w:w="4394"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国外债务付息</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p>
        </w:tc>
      </w:tr>
      <w:tr>
        <w:tblPrEx>
          <w:tblCellMar>
            <w:top w:w="0" w:type="dxa"/>
            <w:left w:w="108" w:type="dxa"/>
            <w:bottom w:w="0" w:type="dxa"/>
            <w:right w:w="108" w:type="dxa"/>
          </w:tblCellMar>
        </w:tblPrEx>
        <w:trPr>
          <w:trHeight w:val="221" w:hRule="exact"/>
        </w:trPr>
        <w:tc>
          <w:tcPr>
            <w:tcW w:w="1149" w:type="dxa"/>
            <w:tcBorders>
              <w:top w:val="nil"/>
              <w:left w:val="single" w:color="auto" w:sz="8" w:space="0"/>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30103</w:t>
            </w:r>
          </w:p>
        </w:tc>
        <w:tc>
          <w:tcPr>
            <w:tcW w:w="3306" w:type="dxa"/>
            <w:tcBorders>
              <w:top w:val="nil"/>
              <w:left w:val="nil"/>
              <w:bottom w:val="single" w:color="auto" w:sz="8" w:space="0"/>
              <w:right w:val="single" w:color="auto" w:sz="8" w:space="0"/>
            </w:tcBorders>
            <w:noWrap/>
          </w:tcPr>
          <w:p>
            <w:pPr>
              <w:widowControl/>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xml:space="preserve">  奖金</w:t>
            </w:r>
          </w:p>
        </w:tc>
        <w:tc>
          <w:tcPr>
            <w:tcW w:w="856" w:type="dxa"/>
            <w:tcBorders>
              <w:top w:val="nil"/>
              <w:left w:val="nil"/>
              <w:bottom w:val="single" w:color="auto" w:sz="8" w:space="0"/>
              <w:right w:val="single" w:color="auto" w:sz="8" w:space="0"/>
            </w:tcBorders>
            <w:noWrap/>
            <w:vAlign w:val="center"/>
          </w:tcPr>
          <w:p>
            <w:pPr>
              <w:widowControl/>
              <w:jc w:val="right"/>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71.00 </w:t>
            </w:r>
          </w:p>
        </w:tc>
        <w:tc>
          <w:tcPr>
            <w:tcW w:w="1110"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30203</w:t>
            </w:r>
          </w:p>
        </w:tc>
        <w:tc>
          <w:tcPr>
            <w:tcW w:w="2297"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咨询费</w:t>
            </w:r>
          </w:p>
        </w:tc>
        <w:tc>
          <w:tcPr>
            <w:tcW w:w="856" w:type="dxa"/>
            <w:tcBorders>
              <w:top w:val="nil"/>
              <w:left w:val="nil"/>
              <w:bottom w:val="single" w:color="auto" w:sz="8" w:space="0"/>
              <w:right w:val="single" w:color="auto" w:sz="8" w:space="0"/>
            </w:tcBorders>
            <w:noWrap/>
            <w:vAlign w:val="center"/>
          </w:tcPr>
          <w:p>
            <w:pPr>
              <w:jc w:val="right"/>
              <w:rPr>
                <w:rFonts w:hint="eastAsia" w:ascii="仿宋" w:hAnsi="仿宋" w:eastAsia="仿宋" w:cs="仿宋"/>
                <w:color w:val="000000"/>
                <w:kern w:val="0"/>
                <w:sz w:val="18"/>
                <w:szCs w:val="18"/>
                <w:lang w:val="en-US" w:eastAsia="zh-CN" w:bidi="ar-SA"/>
              </w:rPr>
            </w:pPr>
          </w:p>
        </w:tc>
        <w:tc>
          <w:tcPr>
            <w:tcW w:w="1076"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310</w:t>
            </w:r>
          </w:p>
        </w:tc>
        <w:tc>
          <w:tcPr>
            <w:tcW w:w="4394"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资本性支出</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p>
        </w:tc>
      </w:tr>
      <w:tr>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30106</w:t>
            </w:r>
          </w:p>
        </w:tc>
        <w:tc>
          <w:tcPr>
            <w:tcW w:w="3306" w:type="dxa"/>
            <w:tcBorders>
              <w:top w:val="nil"/>
              <w:left w:val="nil"/>
              <w:bottom w:val="single" w:color="auto" w:sz="8" w:space="0"/>
              <w:right w:val="single" w:color="auto" w:sz="8" w:space="0"/>
            </w:tcBorders>
            <w:noWrap/>
          </w:tcPr>
          <w:p>
            <w:pPr>
              <w:widowControl/>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xml:space="preserve">  伙食补助费</w:t>
            </w:r>
          </w:p>
        </w:tc>
        <w:tc>
          <w:tcPr>
            <w:tcW w:w="856" w:type="dxa"/>
            <w:tcBorders>
              <w:top w:val="nil"/>
              <w:left w:val="nil"/>
              <w:bottom w:val="single" w:color="auto" w:sz="8" w:space="0"/>
              <w:right w:val="single" w:color="auto" w:sz="8" w:space="0"/>
            </w:tcBorders>
            <w:noWrap/>
            <w:vAlign w:val="center"/>
          </w:tcPr>
          <w:p>
            <w:pPr>
              <w:widowControl/>
              <w:jc w:val="right"/>
              <w:rPr>
                <w:rFonts w:hint="default" w:ascii="仿宋" w:hAnsi="仿宋" w:eastAsia="仿宋" w:cs="仿宋"/>
                <w:color w:val="000000"/>
                <w:kern w:val="0"/>
                <w:sz w:val="18"/>
                <w:szCs w:val="18"/>
                <w:lang w:val="en-US" w:eastAsia="zh-CN"/>
              </w:rPr>
            </w:pPr>
          </w:p>
        </w:tc>
        <w:tc>
          <w:tcPr>
            <w:tcW w:w="1110"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30204</w:t>
            </w:r>
          </w:p>
        </w:tc>
        <w:tc>
          <w:tcPr>
            <w:tcW w:w="2297"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手续费</w:t>
            </w:r>
          </w:p>
        </w:tc>
        <w:tc>
          <w:tcPr>
            <w:tcW w:w="856" w:type="dxa"/>
            <w:tcBorders>
              <w:top w:val="nil"/>
              <w:left w:val="nil"/>
              <w:bottom w:val="single" w:color="auto" w:sz="8" w:space="0"/>
              <w:right w:val="single" w:color="auto" w:sz="8" w:space="0"/>
            </w:tcBorders>
            <w:noWrap/>
            <w:vAlign w:val="center"/>
          </w:tcPr>
          <w:p>
            <w:pPr>
              <w:jc w:val="right"/>
              <w:rPr>
                <w:rFonts w:hint="eastAsia" w:ascii="仿宋" w:hAnsi="仿宋" w:eastAsia="仿宋" w:cs="仿宋"/>
                <w:color w:val="000000"/>
                <w:kern w:val="0"/>
                <w:sz w:val="18"/>
                <w:szCs w:val="18"/>
                <w:lang w:val="en-US" w:eastAsia="zh-CN" w:bidi="ar-SA"/>
              </w:rPr>
            </w:pPr>
          </w:p>
        </w:tc>
        <w:tc>
          <w:tcPr>
            <w:tcW w:w="1076"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31001</w:t>
            </w:r>
          </w:p>
        </w:tc>
        <w:tc>
          <w:tcPr>
            <w:tcW w:w="4394"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房屋建筑物购建</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p>
        </w:tc>
      </w:tr>
      <w:tr>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30107</w:t>
            </w:r>
          </w:p>
        </w:tc>
        <w:tc>
          <w:tcPr>
            <w:tcW w:w="3306" w:type="dxa"/>
            <w:tcBorders>
              <w:top w:val="nil"/>
              <w:left w:val="nil"/>
              <w:bottom w:val="single" w:color="auto" w:sz="8" w:space="0"/>
              <w:right w:val="single" w:color="auto" w:sz="8" w:space="0"/>
            </w:tcBorders>
            <w:noWrap/>
          </w:tcPr>
          <w:p>
            <w:pPr>
              <w:widowControl/>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xml:space="preserve">  绩效工资</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p>
        </w:tc>
        <w:tc>
          <w:tcPr>
            <w:tcW w:w="1110"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30205</w:t>
            </w:r>
          </w:p>
        </w:tc>
        <w:tc>
          <w:tcPr>
            <w:tcW w:w="2297"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水费</w:t>
            </w:r>
          </w:p>
        </w:tc>
        <w:tc>
          <w:tcPr>
            <w:tcW w:w="856" w:type="dxa"/>
            <w:tcBorders>
              <w:top w:val="nil"/>
              <w:left w:val="nil"/>
              <w:bottom w:val="single" w:color="auto" w:sz="8" w:space="0"/>
              <w:right w:val="single" w:color="auto" w:sz="8" w:space="0"/>
            </w:tcBorders>
            <w:noWrap/>
            <w:vAlign w:val="center"/>
          </w:tcPr>
          <w:p>
            <w:pPr>
              <w:jc w:val="right"/>
              <w:rPr>
                <w:rFonts w:hint="default" w:ascii="仿宋" w:hAnsi="仿宋" w:eastAsia="仿宋" w:cs="仿宋"/>
                <w:color w:val="000000"/>
                <w:kern w:val="0"/>
                <w:sz w:val="18"/>
                <w:szCs w:val="18"/>
                <w:lang w:val="en-US" w:eastAsia="zh-CN" w:bidi="ar-SA"/>
              </w:rPr>
            </w:pPr>
          </w:p>
        </w:tc>
        <w:tc>
          <w:tcPr>
            <w:tcW w:w="1076"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31002</w:t>
            </w:r>
          </w:p>
        </w:tc>
        <w:tc>
          <w:tcPr>
            <w:tcW w:w="4394"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办公设备购置</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p>
        </w:tc>
      </w:tr>
      <w:tr>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30108</w:t>
            </w:r>
          </w:p>
        </w:tc>
        <w:tc>
          <w:tcPr>
            <w:tcW w:w="3306" w:type="dxa"/>
            <w:tcBorders>
              <w:top w:val="nil"/>
              <w:left w:val="nil"/>
              <w:bottom w:val="single" w:color="auto" w:sz="8" w:space="0"/>
              <w:right w:val="single" w:color="auto" w:sz="8" w:space="0"/>
            </w:tcBorders>
            <w:noWrap/>
          </w:tcPr>
          <w:p>
            <w:pPr>
              <w:widowControl/>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xml:space="preserve">  机关事业单位基本养老保险费</w:t>
            </w:r>
          </w:p>
        </w:tc>
        <w:tc>
          <w:tcPr>
            <w:tcW w:w="856" w:type="dxa"/>
            <w:tcBorders>
              <w:top w:val="nil"/>
              <w:left w:val="nil"/>
              <w:bottom w:val="single" w:color="auto" w:sz="8" w:space="0"/>
              <w:right w:val="single" w:color="auto" w:sz="8" w:space="0"/>
            </w:tcBorders>
            <w:noWrap/>
            <w:vAlign w:val="center"/>
          </w:tcPr>
          <w:p>
            <w:pPr>
              <w:widowControl/>
              <w:jc w:val="right"/>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54.51 </w:t>
            </w:r>
          </w:p>
        </w:tc>
        <w:tc>
          <w:tcPr>
            <w:tcW w:w="1110"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30206</w:t>
            </w:r>
          </w:p>
        </w:tc>
        <w:tc>
          <w:tcPr>
            <w:tcW w:w="2297"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电费</w:t>
            </w:r>
          </w:p>
        </w:tc>
        <w:tc>
          <w:tcPr>
            <w:tcW w:w="856" w:type="dxa"/>
            <w:tcBorders>
              <w:top w:val="nil"/>
              <w:left w:val="nil"/>
              <w:bottom w:val="single" w:color="auto" w:sz="8" w:space="0"/>
              <w:right w:val="single" w:color="auto" w:sz="8" w:space="0"/>
            </w:tcBorders>
            <w:noWrap/>
            <w:vAlign w:val="center"/>
          </w:tcPr>
          <w:p>
            <w:pPr>
              <w:widowControl/>
              <w:jc w:val="right"/>
              <w:rPr>
                <w:rFonts w:hint="default" w:ascii="仿宋" w:hAnsi="仿宋" w:eastAsia="仿宋" w:cs="仿宋"/>
                <w:color w:val="000000"/>
                <w:kern w:val="0"/>
                <w:sz w:val="18"/>
                <w:szCs w:val="18"/>
                <w:lang w:val="en-US" w:eastAsia="zh-CN" w:bidi="ar-SA"/>
              </w:rPr>
            </w:pPr>
          </w:p>
        </w:tc>
        <w:tc>
          <w:tcPr>
            <w:tcW w:w="1076"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31003</w:t>
            </w:r>
          </w:p>
        </w:tc>
        <w:tc>
          <w:tcPr>
            <w:tcW w:w="4394"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专用设备购置</w:t>
            </w:r>
          </w:p>
        </w:tc>
        <w:tc>
          <w:tcPr>
            <w:tcW w:w="856" w:type="dxa"/>
            <w:tcBorders>
              <w:top w:val="nil"/>
              <w:left w:val="nil"/>
              <w:bottom w:val="single" w:color="auto" w:sz="8" w:space="0"/>
              <w:right w:val="single" w:color="auto" w:sz="8" w:space="0"/>
            </w:tcBorders>
            <w:noWrap/>
            <w:vAlign w:val="center"/>
          </w:tcPr>
          <w:p>
            <w:pPr>
              <w:widowControl/>
              <w:jc w:val="right"/>
              <w:rPr>
                <w:rFonts w:hint="default" w:ascii="仿宋" w:hAnsi="仿宋" w:eastAsia="仿宋" w:cs="仿宋"/>
                <w:color w:val="000000"/>
                <w:kern w:val="0"/>
                <w:sz w:val="18"/>
                <w:szCs w:val="18"/>
                <w:lang w:val="en-US" w:eastAsia="zh-CN"/>
              </w:rPr>
            </w:pPr>
          </w:p>
        </w:tc>
      </w:tr>
      <w:tr>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30109</w:t>
            </w:r>
          </w:p>
        </w:tc>
        <w:tc>
          <w:tcPr>
            <w:tcW w:w="3306" w:type="dxa"/>
            <w:tcBorders>
              <w:top w:val="nil"/>
              <w:left w:val="nil"/>
              <w:bottom w:val="single" w:color="auto" w:sz="8" w:space="0"/>
              <w:right w:val="single" w:color="auto" w:sz="8" w:space="0"/>
            </w:tcBorders>
            <w:noWrap/>
          </w:tcPr>
          <w:p>
            <w:pPr>
              <w:widowControl/>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xml:space="preserve">  职业年金缴费</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15.00 </w:t>
            </w:r>
          </w:p>
        </w:tc>
        <w:tc>
          <w:tcPr>
            <w:tcW w:w="1110"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30207</w:t>
            </w:r>
          </w:p>
        </w:tc>
        <w:tc>
          <w:tcPr>
            <w:tcW w:w="2297"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邮电费</w:t>
            </w:r>
          </w:p>
        </w:tc>
        <w:tc>
          <w:tcPr>
            <w:tcW w:w="856" w:type="dxa"/>
            <w:tcBorders>
              <w:top w:val="nil"/>
              <w:left w:val="nil"/>
              <w:bottom w:val="single" w:color="auto" w:sz="8" w:space="0"/>
              <w:right w:val="single" w:color="auto" w:sz="8" w:space="0"/>
            </w:tcBorders>
            <w:noWrap/>
            <w:vAlign w:val="center"/>
          </w:tcPr>
          <w:p>
            <w:pPr>
              <w:widowControl/>
              <w:jc w:val="right"/>
              <w:rPr>
                <w:rFonts w:hint="default"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val="en-US" w:eastAsia="zh-CN" w:bidi="ar-SA"/>
              </w:rPr>
              <w:t xml:space="preserve">2.25 </w:t>
            </w:r>
          </w:p>
        </w:tc>
        <w:tc>
          <w:tcPr>
            <w:tcW w:w="1076"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31005</w:t>
            </w:r>
          </w:p>
        </w:tc>
        <w:tc>
          <w:tcPr>
            <w:tcW w:w="4394"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基础设施建设</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p>
        </w:tc>
      </w:tr>
      <w:tr>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30110</w:t>
            </w:r>
          </w:p>
        </w:tc>
        <w:tc>
          <w:tcPr>
            <w:tcW w:w="3306" w:type="dxa"/>
            <w:tcBorders>
              <w:top w:val="nil"/>
              <w:left w:val="nil"/>
              <w:bottom w:val="single" w:color="auto" w:sz="8" w:space="0"/>
              <w:right w:val="single" w:color="auto" w:sz="8" w:space="0"/>
            </w:tcBorders>
            <w:noWrap/>
          </w:tcPr>
          <w:p>
            <w:pPr>
              <w:widowControl/>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xml:space="preserve">  职工基本医疗保险缴费</w:t>
            </w:r>
          </w:p>
        </w:tc>
        <w:tc>
          <w:tcPr>
            <w:tcW w:w="856" w:type="dxa"/>
            <w:tcBorders>
              <w:top w:val="nil"/>
              <w:left w:val="nil"/>
              <w:bottom w:val="single" w:color="auto" w:sz="8" w:space="0"/>
              <w:right w:val="single" w:color="auto" w:sz="8" w:space="0"/>
            </w:tcBorders>
            <w:noWrap/>
            <w:vAlign w:val="center"/>
          </w:tcPr>
          <w:p>
            <w:pPr>
              <w:widowControl/>
              <w:jc w:val="right"/>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34.00 </w:t>
            </w:r>
          </w:p>
        </w:tc>
        <w:tc>
          <w:tcPr>
            <w:tcW w:w="1110"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30208</w:t>
            </w:r>
          </w:p>
        </w:tc>
        <w:tc>
          <w:tcPr>
            <w:tcW w:w="2297"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取暖费</w:t>
            </w:r>
          </w:p>
        </w:tc>
        <w:tc>
          <w:tcPr>
            <w:tcW w:w="856" w:type="dxa"/>
            <w:tcBorders>
              <w:top w:val="nil"/>
              <w:left w:val="nil"/>
              <w:bottom w:val="single" w:color="auto" w:sz="8" w:space="0"/>
              <w:right w:val="single" w:color="auto" w:sz="8" w:space="0"/>
            </w:tcBorders>
            <w:noWrap/>
            <w:vAlign w:val="center"/>
          </w:tcPr>
          <w:p>
            <w:pPr>
              <w:jc w:val="right"/>
              <w:rPr>
                <w:rFonts w:hint="default" w:ascii="仿宋" w:hAnsi="仿宋" w:eastAsia="仿宋" w:cs="仿宋"/>
                <w:color w:val="000000"/>
                <w:kern w:val="0"/>
                <w:sz w:val="18"/>
                <w:szCs w:val="18"/>
                <w:lang w:val="en-US" w:eastAsia="zh-CN" w:bidi="ar-SA"/>
              </w:rPr>
            </w:pPr>
          </w:p>
        </w:tc>
        <w:tc>
          <w:tcPr>
            <w:tcW w:w="1076"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31006</w:t>
            </w:r>
          </w:p>
        </w:tc>
        <w:tc>
          <w:tcPr>
            <w:tcW w:w="4394"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大型修缮</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p>
        </w:tc>
      </w:tr>
      <w:tr>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30111</w:t>
            </w:r>
          </w:p>
        </w:tc>
        <w:tc>
          <w:tcPr>
            <w:tcW w:w="3306" w:type="dxa"/>
            <w:tcBorders>
              <w:top w:val="nil"/>
              <w:left w:val="nil"/>
              <w:bottom w:val="single" w:color="auto" w:sz="8" w:space="0"/>
              <w:right w:val="single" w:color="auto" w:sz="8" w:space="0"/>
            </w:tcBorders>
            <w:noWrap/>
          </w:tcPr>
          <w:p>
            <w:pPr>
              <w:widowControl/>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xml:space="preserve">  公务员医疗补助缴费</w:t>
            </w:r>
          </w:p>
        </w:tc>
        <w:tc>
          <w:tcPr>
            <w:tcW w:w="856" w:type="dxa"/>
            <w:tcBorders>
              <w:top w:val="nil"/>
              <w:left w:val="nil"/>
              <w:bottom w:val="single" w:color="auto" w:sz="8" w:space="0"/>
              <w:right w:val="single" w:color="auto" w:sz="8" w:space="0"/>
            </w:tcBorders>
            <w:noWrap/>
            <w:vAlign w:val="center"/>
          </w:tcPr>
          <w:p>
            <w:pPr>
              <w:widowControl/>
              <w:jc w:val="right"/>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27.00 </w:t>
            </w:r>
          </w:p>
        </w:tc>
        <w:tc>
          <w:tcPr>
            <w:tcW w:w="1110"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30209</w:t>
            </w:r>
          </w:p>
        </w:tc>
        <w:tc>
          <w:tcPr>
            <w:tcW w:w="2297"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物业管理费</w:t>
            </w:r>
          </w:p>
        </w:tc>
        <w:tc>
          <w:tcPr>
            <w:tcW w:w="856" w:type="dxa"/>
            <w:tcBorders>
              <w:top w:val="nil"/>
              <w:left w:val="nil"/>
              <w:bottom w:val="single" w:color="auto" w:sz="8" w:space="0"/>
              <w:right w:val="single" w:color="auto" w:sz="8" w:space="0"/>
            </w:tcBorders>
            <w:noWrap/>
            <w:vAlign w:val="center"/>
          </w:tcPr>
          <w:p>
            <w:pPr>
              <w:widowControl/>
              <w:jc w:val="right"/>
              <w:rPr>
                <w:rFonts w:hint="default"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val="en-US" w:eastAsia="zh-CN" w:bidi="ar-SA"/>
              </w:rPr>
              <w:t xml:space="preserve">30.00 </w:t>
            </w:r>
          </w:p>
        </w:tc>
        <w:tc>
          <w:tcPr>
            <w:tcW w:w="1076"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31007</w:t>
            </w:r>
          </w:p>
        </w:tc>
        <w:tc>
          <w:tcPr>
            <w:tcW w:w="4394"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信息网络及软件购置更新</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p>
        </w:tc>
      </w:tr>
      <w:tr>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30112</w:t>
            </w:r>
          </w:p>
        </w:tc>
        <w:tc>
          <w:tcPr>
            <w:tcW w:w="3306" w:type="dxa"/>
            <w:tcBorders>
              <w:top w:val="nil"/>
              <w:left w:val="nil"/>
              <w:bottom w:val="single" w:color="auto" w:sz="8" w:space="0"/>
              <w:right w:val="single" w:color="auto" w:sz="8" w:space="0"/>
            </w:tcBorders>
            <w:noWrap/>
          </w:tcPr>
          <w:p>
            <w:pPr>
              <w:widowControl/>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xml:space="preserve">  其他社会保障缴费</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17.00 </w:t>
            </w:r>
          </w:p>
        </w:tc>
        <w:tc>
          <w:tcPr>
            <w:tcW w:w="1110"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30211</w:t>
            </w:r>
          </w:p>
        </w:tc>
        <w:tc>
          <w:tcPr>
            <w:tcW w:w="2297"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差旅费</w:t>
            </w:r>
          </w:p>
        </w:tc>
        <w:tc>
          <w:tcPr>
            <w:tcW w:w="856" w:type="dxa"/>
            <w:tcBorders>
              <w:top w:val="nil"/>
              <w:left w:val="nil"/>
              <w:bottom w:val="single" w:color="auto" w:sz="8" w:space="0"/>
              <w:right w:val="single" w:color="auto" w:sz="8" w:space="0"/>
            </w:tcBorders>
            <w:noWrap/>
            <w:vAlign w:val="center"/>
          </w:tcPr>
          <w:p>
            <w:pPr>
              <w:widowControl/>
              <w:jc w:val="right"/>
              <w:rPr>
                <w:rFonts w:hint="default"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val="en-US" w:eastAsia="zh-CN" w:bidi="ar-SA"/>
              </w:rPr>
              <w:t xml:space="preserve">9.00 </w:t>
            </w:r>
          </w:p>
        </w:tc>
        <w:tc>
          <w:tcPr>
            <w:tcW w:w="1076"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31008</w:t>
            </w:r>
          </w:p>
        </w:tc>
        <w:tc>
          <w:tcPr>
            <w:tcW w:w="4394"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物资储备</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p>
        </w:tc>
      </w:tr>
      <w:tr>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30113</w:t>
            </w:r>
          </w:p>
        </w:tc>
        <w:tc>
          <w:tcPr>
            <w:tcW w:w="3306" w:type="dxa"/>
            <w:tcBorders>
              <w:top w:val="nil"/>
              <w:left w:val="nil"/>
              <w:bottom w:val="single" w:color="auto" w:sz="8" w:space="0"/>
              <w:right w:val="single" w:color="auto" w:sz="8" w:space="0"/>
            </w:tcBorders>
            <w:noWrap/>
          </w:tcPr>
          <w:p>
            <w:pPr>
              <w:widowControl/>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xml:space="preserve">  住房公积金</w:t>
            </w:r>
          </w:p>
        </w:tc>
        <w:tc>
          <w:tcPr>
            <w:tcW w:w="856" w:type="dxa"/>
            <w:tcBorders>
              <w:top w:val="nil"/>
              <w:left w:val="nil"/>
              <w:bottom w:val="single" w:color="auto" w:sz="8" w:space="0"/>
              <w:right w:val="single" w:color="auto" w:sz="8" w:space="0"/>
            </w:tcBorders>
            <w:noWrap/>
            <w:vAlign w:val="center"/>
          </w:tcPr>
          <w:p>
            <w:pPr>
              <w:widowControl/>
              <w:jc w:val="right"/>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102.00 </w:t>
            </w:r>
          </w:p>
        </w:tc>
        <w:tc>
          <w:tcPr>
            <w:tcW w:w="1110"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30212</w:t>
            </w:r>
          </w:p>
        </w:tc>
        <w:tc>
          <w:tcPr>
            <w:tcW w:w="2297"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因公出国（境）费用</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bidi="ar-SA"/>
              </w:rPr>
            </w:pPr>
          </w:p>
        </w:tc>
        <w:tc>
          <w:tcPr>
            <w:tcW w:w="1076"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31009</w:t>
            </w:r>
          </w:p>
        </w:tc>
        <w:tc>
          <w:tcPr>
            <w:tcW w:w="4394"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土地补偿</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p>
        </w:tc>
      </w:tr>
      <w:tr>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30114</w:t>
            </w:r>
          </w:p>
        </w:tc>
        <w:tc>
          <w:tcPr>
            <w:tcW w:w="3306" w:type="dxa"/>
            <w:tcBorders>
              <w:top w:val="nil"/>
              <w:left w:val="nil"/>
              <w:bottom w:val="single" w:color="auto" w:sz="8" w:space="0"/>
              <w:right w:val="single" w:color="auto" w:sz="8" w:space="0"/>
            </w:tcBorders>
            <w:noWrap/>
          </w:tcPr>
          <w:p>
            <w:pPr>
              <w:widowControl/>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xml:space="preserve">  医疗费</w:t>
            </w:r>
          </w:p>
        </w:tc>
        <w:tc>
          <w:tcPr>
            <w:tcW w:w="856" w:type="dxa"/>
            <w:tcBorders>
              <w:top w:val="nil"/>
              <w:left w:val="nil"/>
              <w:bottom w:val="single" w:color="auto" w:sz="8" w:space="0"/>
              <w:right w:val="single" w:color="auto" w:sz="8" w:space="0"/>
            </w:tcBorders>
            <w:noWrap/>
            <w:vAlign w:val="center"/>
          </w:tcPr>
          <w:p>
            <w:pPr>
              <w:widowControl/>
              <w:jc w:val="right"/>
              <w:rPr>
                <w:rFonts w:hint="default" w:ascii="仿宋" w:hAnsi="仿宋" w:eastAsia="仿宋" w:cs="仿宋"/>
                <w:color w:val="000000"/>
                <w:kern w:val="0"/>
                <w:sz w:val="18"/>
                <w:szCs w:val="18"/>
                <w:lang w:val="en-US" w:eastAsia="zh-CN"/>
              </w:rPr>
            </w:pPr>
          </w:p>
        </w:tc>
        <w:tc>
          <w:tcPr>
            <w:tcW w:w="1110"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30213</w:t>
            </w:r>
          </w:p>
        </w:tc>
        <w:tc>
          <w:tcPr>
            <w:tcW w:w="2297"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维修（护）费</w:t>
            </w:r>
          </w:p>
        </w:tc>
        <w:tc>
          <w:tcPr>
            <w:tcW w:w="856" w:type="dxa"/>
            <w:tcBorders>
              <w:top w:val="nil"/>
              <w:left w:val="nil"/>
              <w:bottom w:val="single" w:color="auto" w:sz="8" w:space="0"/>
              <w:right w:val="single" w:color="auto" w:sz="8" w:space="0"/>
            </w:tcBorders>
            <w:noWrap/>
            <w:vAlign w:val="center"/>
          </w:tcPr>
          <w:p>
            <w:pPr>
              <w:widowControl/>
              <w:jc w:val="right"/>
              <w:rPr>
                <w:rFonts w:hint="default" w:ascii="仿宋" w:hAnsi="仿宋" w:eastAsia="仿宋" w:cs="仿宋"/>
                <w:color w:val="000000"/>
                <w:kern w:val="0"/>
                <w:sz w:val="18"/>
                <w:szCs w:val="18"/>
                <w:lang w:val="en-US" w:eastAsia="zh-CN" w:bidi="ar-SA"/>
              </w:rPr>
            </w:pPr>
          </w:p>
        </w:tc>
        <w:tc>
          <w:tcPr>
            <w:tcW w:w="1076"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31010</w:t>
            </w:r>
          </w:p>
        </w:tc>
        <w:tc>
          <w:tcPr>
            <w:tcW w:w="4394"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安置补助</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p>
        </w:tc>
      </w:tr>
      <w:tr>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30199</w:t>
            </w:r>
          </w:p>
        </w:tc>
        <w:tc>
          <w:tcPr>
            <w:tcW w:w="3306" w:type="dxa"/>
            <w:tcBorders>
              <w:top w:val="nil"/>
              <w:left w:val="nil"/>
              <w:bottom w:val="single" w:color="auto" w:sz="8" w:space="0"/>
              <w:right w:val="single" w:color="auto" w:sz="8" w:space="0"/>
            </w:tcBorders>
            <w:noWrap/>
          </w:tcPr>
          <w:p>
            <w:pPr>
              <w:widowControl/>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xml:space="preserve">  其他工资福利支出</w:t>
            </w:r>
          </w:p>
        </w:tc>
        <w:tc>
          <w:tcPr>
            <w:tcW w:w="856" w:type="dxa"/>
            <w:tcBorders>
              <w:top w:val="nil"/>
              <w:left w:val="nil"/>
              <w:bottom w:val="single" w:color="auto" w:sz="8" w:space="0"/>
              <w:right w:val="single" w:color="auto" w:sz="8" w:space="0"/>
            </w:tcBorders>
            <w:noWrap/>
            <w:vAlign w:val="center"/>
          </w:tcPr>
          <w:p>
            <w:pPr>
              <w:widowControl/>
              <w:jc w:val="right"/>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45.42 </w:t>
            </w:r>
          </w:p>
        </w:tc>
        <w:tc>
          <w:tcPr>
            <w:tcW w:w="1110"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30214</w:t>
            </w:r>
          </w:p>
        </w:tc>
        <w:tc>
          <w:tcPr>
            <w:tcW w:w="2297"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租赁费</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bidi="ar-SA"/>
              </w:rPr>
            </w:pPr>
          </w:p>
        </w:tc>
        <w:tc>
          <w:tcPr>
            <w:tcW w:w="1076"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31011</w:t>
            </w:r>
          </w:p>
        </w:tc>
        <w:tc>
          <w:tcPr>
            <w:tcW w:w="4394"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地上附着物和青苗补偿</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p>
        </w:tc>
      </w:tr>
      <w:tr>
        <w:tblPrEx>
          <w:tblCellMar>
            <w:top w:w="0" w:type="dxa"/>
            <w:left w:w="108" w:type="dxa"/>
            <w:bottom w:w="0" w:type="dxa"/>
            <w:right w:w="108" w:type="dxa"/>
          </w:tblCellMar>
        </w:tblPrEx>
        <w:trPr>
          <w:trHeight w:val="273" w:hRule="exact"/>
        </w:trPr>
        <w:tc>
          <w:tcPr>
            <w:tcW w:w="1149" w:type="dxa"/>
            <w:tcBorders>
              <w:top w:val="nil"/>
              <w:left w:val="single" w:color="auto" w:sz="8" w:space="0"/>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303</w:t>
            </w:r>
          </w:p>
        </w:tc>
        <w:tc>
          <w:tcPr>
            <w:tcW w:w="3306" w:type="dxa"/>
            <w:tcBorders>
              <w:top w:val="nil"/>
              <w:left w:val="nil"/>
              <w:bottom w:val="single" w:color="auto" w:sz="8" w:space="0"/>
              <w:right w:val="single" w:color="auto" w:sz="8" w:space="0"/>
            </w:tcBorders>
            <w:noWrap/>
          </w:tcPr>
          <w:p>
            <w:pPr>
              <w:widowControl/>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对个人和家庭的补助</w:t>
            </w:r>
          </w:p>
        </w:tc>
        <w:tc>
          <w:tcPr>
            <w:tcW w:w="856" w:type="dxa"/>
            <w:tcBorders>
              <w:top w:val="nil"/>
              <w:left w:val="nil"/>
              <w:bottom w:val="single" w:color="auto" w:sz="8" w:space="0"/>
              <w:right w:val="single" w:color="auto" w:sz="8" w:space="0"/>
            </w:tcBorders>
            <w:noWrap/>
            <w:vAlign w:val="center"/>
          </w:tcPr>
          <w:p>
            <w:pPr>
              <w:keepNext w:val="0"/>
              <w:keepLines w:val="0"/>
              <w:widowControl/>
              <w:suppressLineNumbers w:val="0"/>
              <w:jc w:val="right"/>
              <w:textAlignment w:val="center"/>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161.10 </w:t>
            </w:r>
          </w:p>
        </w:tc>
        <w:tc>
          <w:tcPr>
            <w:tcW w:w="1110"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30215</w:t>
            </w:r>
          </w:p>
        </w:tc>
        <w:tc>
          <w:tcPr>
            <w:tcW w:w="2297"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会议费</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bidi="ar-SA"/>
              </w:rPr>
            </w:pPr>
          </w:p>
        </w:tc>
        <w:tc>
          <w:tcPr>
            <w:tcW w:w="1076"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31012</w:t>
            </w:r>
          </w:p>
        </w:tc>
        <w:tc>
          <w:tcPr>
            <w:tcW w:w="4394"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拆迁补偿</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p>
        </w:tc>
      </w:tr>
      <w:tr>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30301</w:t>
            </w:r>
          </w:p>
        </w:tc>
        <w:tc>
          <w:tcPr>
            <w:tcW w:w="3306" w:type="dxa"/>
            <w:tcBorders>
              <w:top w:val="nil"/>
              <w:left w:val="nil"/>
              <w:bottom w:val="single" w:color="auto" w:sz="8" w:space="0"/>
              <w:right w:val="single" w:color="auto" w:sz="8" w:space="0"/>
            </w:tcBorders>
            <w:noWrap/>
          </w:tcPr>
          <w:p>
            <w:pPr>
              <w:widowControl/>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xml:space="preserve">  离休费</w:t>
            </w:r>
          </w:p>
        </w:tc>
        <w:tc>
          <w:tcPr>
            <w:tcW w:w="856" w:type="dxa"/>
            <w:tcBorders>
              <w:top w:val="nil"/>
              <w:left w:val="nil"/>
              <w:bottom w:val="single" w:color="auto" w:sz="8" w:space="0"/>
              <w:right w:val="single" w:color="auto" w:sz="8" w:space="0"/>
            </w:tcBorders>
            <w:noWrap/>
            <w:vAlign w:val="center"/>
          </w:tcPr>
          <w:p>
            <w:pPr>
              <w:widowControl/>
              <w:jc w:val="right"/>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25.62 </w:t>
            </w:r>
          </w:p>
        </w:tc>
        <w:tc>
          <w:tcPr>
            <w:tcW w:w="1110"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30216</w:t>
            </w:r>
          </w:p>
        </w:tc>
        <w:tc>
          <w:tcPr>
            <w:tcW w:w="2297"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培训费</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bidi="ar-SA"/>
              </w:rPr>
            </w:pPr>
          </w:p>
        </w:tc>
        <w:tc>
          <w:tcPr>
            <w:tcW w:w="1076"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31013</w:t>
            </w:r>
          </w:p>
        </w:tc>
        <w:tc>
          <w:tcPr>
            <w:tcW w:w="4394"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公务用车购置</w:t>
            </w:r>
          </w:p>
        </w:tc>
        <w:tc>
          <w:tcPr>
            <w:tcW w:w="856" w:type="dxa"/>
            <w:tcBorders>
              <w:top w:val="nil"/>
              <w:left w:val="nil"/>
              <w:bottom w:val="single" w:color="auto" w:sz="8" w:space="0"/>
              <w:right w:val="single" w:color="auto" w:sz="8" w:space="0"/>
            </w:tcBorders>
            <w:noWrap/>
            <w:vAlign w:val="center"/>
          </w:tcPr>
          <w:p>
            <w:pPr>
              <w:widowControl/>
              <w:jc w:val="right"/>
              <w:rPr>
                <w:rFonts w:hint="default" w:ascii="仿宋" w:hAnsi="仿宋" w:eastAsia="仿宋" w:cs="仿宋"/>
                <w:color w:val="000000"/>
                <w:kern w:val="0"/>
                <w:sz w:val="18"/>
                <w:szCs w:val="18"/>
                <w:lang w:val="en-US" w:eastAsia="zh-CN"/>
              </w:rPr>
            </w:pPr>
          </w:p>
        </w:tc>
      </w:tr>
      <w:tr>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30302</w:t>
            </w:r>
          </w:p>
        </w:tc>
        <w:tc>
          <w:tcPr>
            <w:tcW w:w="3306" w:type="dxa"/>
            <w:tcBorders>
              <w:top w:val="nil"/>
              <w:left w:val="nil"/>
              <w:bottom w:val="single" w:color="auto" w:sz="8" w:space="0"/>
              <w:right w:val="single" w:color="auto" w:sz="8" w:space="0"/>
            </w:tcBorders>
            <w:noWrap/>
          </w:tcPr>
          <w:p>
            <w:pPr>
              <w:widowControl/>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xml:space="preserve">  退休费</w:t>
            </w:r>
          </w:p>
        </w:tc>
        <w:tc>
          <w:tcPr>
            <w:tcW w:w="856" w:type="dxa"/>
            <w:tcBorders>
              <w:top w:val="nil"/>
              <w:left w:val="nil"/>
              <w:bottom w:val="single" w:color="auto" w:sz="8" w:space="0"/>
              <w:right w:val="single" w:color="auto" w:sz="8" w:space="0"/>
            </w:tcBorders>
            <w:noWrap/>
            <w:vAlign w:val="center"/>
          </w:tcPr>
          <w:p>
            <w:pPr>
              <w:widowControl/>
              <w:jc w:val="right"/>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135.48 </w:t>
            </w:r>
          </w:p>
        </w:tc>
        <w:tc>
          <w:tcPr>
            <w:tcW w:w="1110"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30217</w:t>
            </w:r>
          </w:p>
        </w:tc>
        <w:tc>
          <w:tcPr>
            <w:tcW w:w="2297"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公务接待费</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bidi="ar-SA"/>
              </w:rPr>
            </w:pPr>
          </w:p>
        </w:tc>
        <w:tc>
          <w:tcPr>
            <w:tcW w:w="1076"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31019</w:t>
            </w:r>
          </w:p>
        </w:tc>
        <w:tc>
          <w:tcPr>
            <w:tcW w:w="4394"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其他交通工具购置</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p>
        </w:tc>
      </w:tr>
      <w:tr>
        <w:tblPrEx>
          <w:tblCellMar>
            <w:top w:w="0" w:type="dxa"/>
            <w:left w:w="108" w:type="dxa"/>
            <w:bottom w:w="0" w:type="dxa"/>
            <w:right w:w="108" w:type="dxa"/>
          </w:tblCellMar>
        </w:tblPrEx>
        <w:trPr>
          <w:trHeight w:val="313" w:hRule="exact"/>
        </w:trPr>
        <w:tc>
          <w:tcPr>
            <w:tcW w:w="1149" w:type="dxa"/>
            <w:tcBorders>
              <w:top w:val="nil"/>
              <w:left w:val="single" w:color="auto" w:sz="8" w:space="0"/>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30303</w:t>
            </w:r>
          </w:p>
        </w:tc>
        <w:tc>
          <w:tcPr>
            <w:tcW w:w="3306" w:type="dxa"/>
            <w:tcBorders>
              <w:top w:val="nil"/>
              <w:left w:val="nil"/>
              <w:bottom w:val="single" w:color="auto" w:sz="8" w:space="0"/>
              <w:right w:val="single" w:color="auto" w:sz="8" w:space="0"/>
            </w:tcBorders>
            <w:noWrap/>
          </w:tcPr>
          <w:p>
            <w:pPr>
              <w:widowControl/>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xml:space="preserve">  退职（役）费</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p>
        </w:tc>
        <w:tc>
          <w:tcPr>
            <w:tcW w:w="1110"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30218</w:t>
            </w:r>
          </w:p>
        </w:tc>
        <w:tc>
          <w:tcPr>
            <w:tcW w:w="2297"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专用材料费</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bidi="ar-SA"/>
              </w:rPr>
            </w:pPr>
          </w:p>
        </w:tc>
        <w:tc>
          <w:tcPr>
            <w:tcW w:w="1076"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31021</w:t>
            </w:r>
          </w:p>
        </w:tc>
        <w:tc>
          <w:tcPr>
            <w:tcW w:w="4394"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文物和陈列品购置</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p>
        </w:tc>
      </w:tr>
      <w:tr>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30304</w:t>
            </w:r>
          </w:p>
        </w:tc>
        <w:tc>
          <w:tcPr>
            <w:tcW w:w="3306" w:type="dxa"/>
            <w:tcBorders>
              <w:top w:val="nil"/>
              <w:left w:val="nil"/>
              <w:bottom w:val="single" w:color="auto" w:sz="8" w:space="0"/>
              <w:right w:val="single" w:color="auto" w:sz="8" w:space="0"/>
            </w:tcBorders>
            <w:noWrap/>
          </w:tcPr>
          <w:p>
            <w:pPr>
              <w:widowControl/>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xml:space="preserve">  抚恤金</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p>
        </w:tc>
        <w:tc>
          <w:tcPr>
            <w:tcW w:w="1110"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30224</w:t>
            </w:r>
          </w:p>
        </w:tc>
        <w:tc>
          <w:tcPr>
            <w:tcW w:w="2297"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被装购置费</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bidi="ar-SA"/>
              </w:rPr>
            </w:pPr>
          </w:p>
        </w:tc>
        <w:tc>
          <w:tcPr>
            <w:tcW w:w="1076"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31022</w:t>
            </w:r>
          </w:p>
        </w:tc>
        <w:tc>
          <w:tcPr>
            <w:tcW w:w="4394"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无形资产购置</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p>
        </w:tc>
      </w:tr>
      <w:tr>
        <w:tblPrEx>
          <w:tblCellMar>
            <w:top w:w="0" w:type="dxa"/>
            <w:left w:w="108" w:type="dxa"/>
            <w:bottom w:w="0" w:type="dxa"/>
            <w:right w:w="108" w:type="dxa"/>
          </w:tblCellMar>
        </w:tblPrEx>
        <w:trPr>
          <w:trHeight w:val="266" w:hRule="exact"/>
        </w:trPr>
        <w:tc>
          <w:tcPr>
            <w:tcW w:w="1149" w:type="dxa"/>
            <w:tcBorders>
              <w:top w:val="nil"/>
              <w:left w:val="single" w:color="auto" w:sz="8" w:space="0"/>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30305</w:t>
            </w:r>
          </w:p>
        </w:tc>
        <w:tc>
          <w:tcPr>
            <w:tcW w:w="3306" w:type="dxa"/>
            <w:tcBorders>
              <w:top w:val="nil"/>
              <w:left w:val="nil"/>
              <w:bottom w:val="single" w:color="auto" w:sz="8" w:space="0"/>
              <w:right w:val="single" w:color="auto" w:sz="8" w:space="0"/>
            </w:tcBorders>
            <w:noWrap/>
          </w:tcPr>
          <w:p>
            <w:pPr>
              <w:widowControl/>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xml:space="preserve">  生活补助</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p>
        </w:tc>
        <w:tc>
          <w:tcPr>
            <w:tcW w:w="1110"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30225</w:t>
            </w:r>
          </w:p>
        </w:tc>
        <w:tc>
          <w:tcPr>
            <w:tcW w:w="2297"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专用燃料费</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bidi="ar-SA"/>
              </w:rPr>
            </w:pPr>
          </w:p>
        </w:tc>
        <w:tc>
          <w:tcPr>
            <w:tcW w:w="1076"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31099</w:t>
            </w:r>
          </w:p>
        </w:tc>
        <w:tc>
          <w:tcPr>
            <w:tcW w:w="4394"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其他资本性支出</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p>
        </w:tc>
      </w:tr>
      <w:tr>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30306</w:t>
            </w:r>
          </w:p>
        </w:tc>
        <w:tc>
          <w:tcPr>
            <w:tcW w:w="3306" w:type="dxa"/>
            <w:tcBorders>
              <w:top w:val="nil"/>
              <w:left w:val="nil"/>
              <w:bottom w:val="single" w:color="auto" w:sz="8" w:space="0"/>
              <w:right w:val="single" w:color="auto" w:sz="8" w:space="0"/>
            </w:tcBorders>
            <w:noWrap/>
          </w:tcPr>
          <w:p>
            <w:pPr>
              <w:widowControl/>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xml:space="preserve">  救济费</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p>
        </w:tc>
        <w:tc>
          <w:tcPr>
            <w:tcW w:w="1110"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30226</w:t>
            </w:r>
          </w:p>
        </w:tc>
        <w:tc>
          <w:tcPr>
            <w:tcW w:w="2297"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劳务费</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val="en-US" w:eastAsia="zh-CN" w:bidi="ar-SA"/>
              </w:rPr>
              <w:t xml:space="preserve">40.00 </w:t>
            </w:r>
          </w:p>
        </w:tc>
        <w:tc>
          <w:tcPr>
            <w:tcW w:w="1076"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399</w:t>
            </w:r>
          </w:p>
        </w:tc>
        <w:tc>
          <w:tcPr>
            <w:tcW w:w="4394"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其他支出</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p>
        </w:tc>
      </w:tr>
      <w:tr>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30307</w:t>
            </w:r>
          </w:p>
        </w:tc>
        <w:tc>
          <w:tcPr>
            <w:tcW w:w="3306" w:type="dxa"/>
            <w:tcBorders>
              <w:top w:val="nil"/>
              <w:left w:val="nil"/>
              <w:bottom w:val="single" w:color="auto" w:sz="8" w:space="0"/>
              <w:right w:val="single" w:color="auto" w:sz="8" w:space="0"/>
            </w:tcBorders>
            <w:noWrap/>
          </w:tcPr>
          <w:p>
            <w:pPr>
              <w:widowControl/>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xml:space="preserve">  医疗费补助</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p>
        </w:tc>
        <w:tc>
          <w:tcPr>
            <w:tcW w:w="1110"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30227</w:t>
            </w:r>
          </w:p>
        </w:tc>
        <w:tc>
          <w:tcPr>
            <w:tcW w:w="2297"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委托业务费</w:t>
            </w:r>
          </w:p>
        </w:tc>
        <w:tc>
          <w:tcPr>
            <w:tcW w:w="856" w:type="dxa"/>
            <w:tcBorders>
              <w:top w:val="nil"/>
              <w:left w:val="nil"/>
              <w:bottom w:val="single" w:color="auto" w:sz="8" w:space="0"/>
              <w:right w:val="single" w:color="auto" w:sz="8" w:space="0"/>
            </w:tcBorders>
            <w:noWrap/>
            <w:vAlign w:val="center"/>
          </w:tcPr>
          <w:p>
            <w:pPr>
              <w:jc w:val="right"/>
              <w:rPr>
                <w:rFonts w:hint="eastAsia" w:ascii="仿宋" w:hAnsi="仿宋" w:eastAsia="仿宋" w:cs="仿宋"/>
                <w:color w:val="000000"/>
                <w:kern w:val="0"/>
                <w:sz w:val="18"/>
                <w:szCs w:val="18"/>
                <w:lang w:val="en-US" w:eastAsia="zh-CN" w:bidi="ar-SA"/>
              </w:rPr>
            </w:pPr>
          </w:p>
        </w:tc>
        <w:tc>
          <w:tcPr>
            <w:tcW w:w="107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39907</w:t>
            </w:r>
          </w:p>
        </w:tc>
        <w:tc>
          <w:tcPr>
            <w:tcW w:w="4394" w:type="dxa"/>
            <w:tcBorders>
              <w:top w:val="nil"/>
              <w:left w:val="nil"/>
              <w:bottom w:val="single" w:color="auto" w:sz="8" w:space="0"/>
              <w:right w:val="single" w:color="auto" w:sz="8" w:space="0"/>
            </w:tcBorders>
            <w:noWrap/>
            <w:vAlign w:val="center"/>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国家赔偿费用支出</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p>
        </w:tc>
      </w:tr>
      <w:tr>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30308</w:t>
            </w:r>
          </w:p>
        </w:tc>
        <w:tc>
          <w:tcPr>
            <w:tcW w:w="3306" w:type="dxa"/>
            <w:tcBorders>
              <w:top w:val="nil"/>
              <w:left w:val="nil"/>
              <w:bottom w:val="single" w:color="auto" w:sz="8" w:space="0"/>
              <w:right w:val="single" w:color="auto" w:sz="8" w:space="0"/>
            </w:tcBorders>
            <w:noWrap/>
          </w:tcPr>
          <w:p>
            <w:pPr>
              <w:widowControl/>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xml:space="preserve">  助学金</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p>
        </w:tc>
        <w:tc>
          <w:tcPr>
            <w:tcW w:w="1110"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30228</w:t>
            </w:r>
          </w:p>
        </w:tc>
        <w:tc>
          <w:tcPr>
            <w:tcW w:w="2297"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工会经费</w:t>
            </w:r>
          </w:p>
        </w:tc>
        <w:tc>
          <w:tcPr>
            <w:tcW w:w="856" w:type="dxa"/>
            <w:tcBorders>
              <w:top w:val="nil"/>
              <w:left w:val="nil"/>
              <w:bottom w:val="single" w:color="auto" w:sz="8" w:space="0"/>
              <w:right w:val="single" w:color="auto" w:sz="8" w:space="0"/>
            </w:tcBorders>
            <w:noWrap/>
            <w:vAlign w:val="center"/>
          </w:tcPr>
          <w:p>
            <w:pPr>
              <w:widowControl/>
              <w:jc w:val="right"/>
              <w:rPr>
                <w:rFonts w:hint="default"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val="en-US" w:eastAsia="zh-CN" w:bidi="ar-SA"/>
              </w:rPr>
              <w:t xml:space="preserve">22.53 </w:t>
            </w:r>
          </w:p>
        </w:tc>
        <w:tc>
          <w:tcPr>
            <w:tcW w:w="107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39908</w:t>
            </w:r>
          </w:p>
        </w:tc>
        <w:tc>
          <w:tcPr>
            <w:tcW w:w="4394" w:type="dxa"/>
            <w:tcBorders>
              <w:top w:val="nil"/>
              <w:left w:val="nil"/>
              <w:bottom w:val="single" w:color="auto" w:sz="8" w:space="0"/>
              <w:right w:val="single" w:color="auto" w:sz="8" w:space="0"/>
            </w:tcBorders>
            <w:noWrap/>
            <w:vAlign w:val="center"/>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对民间非营利组织和群众性自治组织补贴</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p>
        </w:tc>
      </w:tr>
      <w:tr>
        <w:tblPrEx>
          <w:tblCellMar>
            <w:top w:w="0" w:type="dxa"/>
            <w:left w:w="108" w:type="dxa"/>
            <w:bottom w:w="0" w:type="dxa"/>
            <w:right w:w="108" w:type="dxa"/>
          </w:tblCellMar>
        </w:tblPrEx>
        <w:trPr>
          <w:trHeight w:val="284" w:hRule="exact"/>
        </w:trPr>
        <w:tc>
          <w:tcPr>
            <w:tcW w:w="1149" w:type="dxa"/>
            <w:tcBorders>
              <w:top w:val="single" w:color="auto" w:sz="8" w:space="0"/>
              <w:left w:val="single" w:color="auto" w:sz="8" w:space="0"/>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30309</w:t>
            </w:r>
          </w:p>
        </w:tc>
        <w:tc>
          <w:tcPr>
            <w:tcW w:w="3306" w:type="dxa"/>
            <w:tcBorders>
              <w:top w:val="nil"/>
              <w:left w:val="nil"/>
              <w:bottom w:val="single" w:color="auto" w:sz="8" w:space="0"/>
              <w:right w:val="single" w:color="auto" w:sz="8" w:space="0"/>
            </w:tcBorders>
            <w:noWrap/>
          </w:tcPr>
          <w:p>
            <w:pPr>
              <w:widowControl/>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xml:space="preserve">  奖励金</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p>
        </w:tc>
        <w:tc>
          <w:tcPr>
            <w:tcW w:w="1110"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30229</w:t>
            </w:r>
          </w:p>
        </w:tc>
        <w:tc>
          <w:tcPr>
            <w:tcW w:w="2297"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福利费</w:t>
            </w:r>
          </w:p>
        </w:tc>
        <w:tc>
          <w:tcPr>
            <w:tcW w:w="856" w:type="dxa"/>
            <w:tcBorders>
              <w:top w:val="nil"/>
              <w:left w:val="nil"/>
              <w:bottom w:val="single" w:color="auto" w:sz="8" w:space="0"/>
              <w:right w:val="single" w:color="auto" w:sz="8" w:space="0"/>
            </w:tcBorders>
            <w:noWrap/>
            <w:vAlign w:val="center"/>
          </w:tcPr>
          <w:p>
            <w:pPr>
              <w:widowControl/>
              <w:jc w:val="right"/>
              <w:rPr>
                <w:rFonts w:hint="default"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val="en-US" w:eastAsia="zh-CN" w:bidi="ar-SA"/>
              </w:rPr>
              <w:t xml:space="preserve">0.34 </w:t>
            </w:r>
          </w:p>
        </w:tc>
        <w:tc>
          <w:tcPr>
            <w:tcW w:w="107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39909</w:t>
            </w:r>
          </w:p>
        </w:tc>
        <w:tc>
          <w:tcPr>
            <w:tcW w:w="4394" w:type="dxa"/>
            <w:tcBorders>
              <w:top w:val="nil"/>
              <w:left w:val="nil"/>
              <w:bottom w:val="single" w:color="auto" w:sz="8" w:space="0"/>
              <w:right w:val="single" w:color="auto" w:sz="8" w:space="0"/>
            </w:tcBorders>
            <w:noWrap/>
            <w:vAlign w:val="center"/>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经常性赠与</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p>
        </w:tc>
      </w:tr>
      <w:tr>
        <w:tblPrEx>
          <w:tblCellMar>
            <w:top w:w="0" w:type="dxa"/>
            <w:left w:w="108" w:type="dxa"/>
            <w:bottom w:w="0" w:type="dxa"/>
            <w:right w:w="108" w:type="dxa"/>
          </w:tblCellMar>
        </w:tblPrEx>
        <w:trPr>
          <w:trHeight w:val="255" w:hRule="exact"/>
        </w:trPr>
        <w:tc>
          <w:tcPr>
            <w:tcW w:w="1149" w:type="dxa"/>
            <w:tcBorders>
              <w:top w:val="single" w:color="auto" w:sz="8" w:space="0"/>
              <w:left w:val="single" w:color="auto" w:sz="8" w:space="0"/>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30310</w:t>
            </w:r>
          </w:p>
        </w:tc>
        <w:tc>
          <w:tcPr>
            <w:tcW w:w="3306" w:type="dxa"/>
            <w:tcBorders>
              <w:top w:val="nil"/>
              <w:left w:val="nil"/>
              <w:bottom w:val="single" w:color="auto" w:sz="8" w:space="0"/>
              <w:right w:val="single" w:color="auto" w:sz="8" w:space="0"/>
            </w:tcBorders>
            <w:noWrap/>
          </w:tcPr>
          <w:p>
            <w:pPr>
              <w:widowControl/>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xml:space="preserve">  个人农业生产补贴</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p>
        </w:tc>
        <w:tc>
          <w:tcPr>
            <w:tcW w:w="1110"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30231</w:t>
            </w:r>
          </w:p>
        </w:tc>
        <w:tc>
          <w:tcPr>
            <w:tcW w:w="2297"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公务用车运行维护费</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bidi="ar-SA"/>
              </w:rPr>
            </w:pPr>
          </w:p>
        </w:tc>
        <w:tc>
          <w:tcPr>
            <w:tcW w:w="107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39910</w:t>
            </w:r>
          </w:p>
        </w:tc>
        <w:tc>
          <w:tcPr>
            <w:tcW w:w="4394" w:type="dxa"/>
            <w:tcBorders>
              <w:top w:val="nil"/>
              <w:left w:val="nil"/>
              <w:bottom w:val="single" w:color="auto" w:sz="8" w:space="0"/>
              <w:right w:val="single" w:color="auto" w:sz="8" w:space="0"/>
            </w:tcBorders>
            <w:noWrap/>
            <w:vAlign w:val="center"/>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资本性赠与</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p>
        </w:tc>
      </w:tr>
      <w:tr>
        <w:tblPrEx>
          <w:tblCellMar>
            <w:top w:w="0" w:type="dxa"/>
            <w:left w:w="108" w:type="dxa"/>
            <w:bottom w:w="0" w:type="dxa"/>
            <w:right w:w="108" w:type="dxa"/>
          </w:tblCellMar>
        </w:tblPrEx>
        <w:trPr>
          <w:trHeight w:val="255" w:hRule="exact"/>
        </w:trPr>
        <w:tc>
          <w:tcPr>
            <w:tcW w:w="1149" w:type="dxa"/>
            <w:tcBorders>
              <w:top w:val="single" w:color="auto" w:sz="8" w:space="0"/>
              <w:left w:val="single" w:color="auto" w:sz="8" w:space="0"/>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30311</w:t>
            </w:r>
          </w:p>
        </w:tc>
        <w:tc>
          <w:tcPr>
            <w:tcW w:w="3306" w:type="dxa"/>
            <w:tcBorders>
              <w:top w:val="single" w:color="auto" w:sz="8" w:space="0"/>
              <w:left w:val="nil"/>
              <w:bottom w:val="single" w:color="auto" w:sz="8" w:space="0"/>
              <w:right w:val="single" w:color="auto" w:sz="8" w:space="0"/>
            </w:tcBorders>
            <w:noWrap/>
            <w:vAlign w:val="center"/>
          </w:tcPr>
          <w:p>
            <w:pPr>
              <w:widowControl/>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 xml:space="preserve">  代缴社会保险费</w:t>
            </w:r>
          </w:p>
        </w:tc>
        <w:tc>
          <w:tcPr>
            <w:tcW w:w="856" w:type="dxa"/>
            <w:tcBorders>
              <w:top w:val="single" w:color="auto" w:sz="8" w:space="0"/>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p>
        </w:tc>
        <w:tc>
          <w:tcPr>
            <w:tcW w:w="1110" w:type="dxa"/>
            <w:tcBorders>
              <w:top w:val="single" w:color="auto" w:sz="8" w:space="0"/>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30239</w:t>
            </w:r>
          </w:p>
        </w:tc>
        <w:tc>
          <w:tcPr>
            <w:tcW w:w="2297" w:type="dxa"/>
            <w:tcBorders>
              <w:top w:val="single" w:color="auto" w:sz="8" w:space="0"/>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其他交通费用</w:t>
            </w:r>
          </w:p>
        </w:tc>
        <w:tc>
          <w:tcPr>
            <w:tcW w:w="856" w:type="dxa"/>
            <w:tcBorders>
              <w:top w:val="single" w:color="auto" w:sz="8" w:space="0"/>
              <w:left w:val="nil"/>
              <w:bottom w:val="single" w:color="auto" w:sz="8" w:space="0"/>
              <w:right w:val="single" w:color="auto" w:sz="8" w:space="0"/>
            </w:tcBorders>
            <w:noWrap/>
            <w:vAlign w:val="center"/>
          </w:tcPr>
          <w:p>
            <w:pPr>
              <w:widowControl/>
              <w:jc w:val="right"/>
              <w:rPr>
                <w:rFonts w:hint="default" w:ascii="仿宋" w:hAnsi="仿宋" w:eastAsia="仿宋" w:cs="仿宋"/>
                <w:color w:val="000000"/>
                <w:kern w:val="0"/>
                <w:sz w:val="18"/>
                <w:szCs w:val="18"/>
                <w:lang w:val="en-US" w:eastAsia="zh-CN" w:bidi="ar-SA"/>
              </w:rPr>
            </w:pPr>
          </w:p>
        </w:tc>
        <w:tc>
          <w:tcPr>
            <w:tcW w:w="1076" w:type="dxa"/>
            <w:tcBorders>
              <w:top w:val="single" w:color="auto" w:sz="8" w:space="0"/>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39999</w:t>
            </w:r>
          </w:p>
        </w:tc>
        <w:tc>
          <w:tcPr>
            <w:tcW w:w="4394" w:type="dxa"/>
            <w:tcBorders>
              <w:top w:val="single" w:color="auto" w:sz="8" w:space="0"/>
              <w:left w:val="nil"/>
              <w:bottom w:val="single" w:color="auto" w:sz="8" w:space="0"/>
              <w:right w:val="single" w:color="auto" w:sz="8" w:space="0"/>
            </w:tcBorders>
            <w:noWrap/>
            <w:vAlign w:val="center"/>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其他支出</w:t>
            </w:r>
          </w:p>
        </w:tc>
        <w:tc>
          <w:tcPr>
            <w:tcW w:w="856" w:type="dxa"/>
            <w:tcBorders>
              <w:top w:val="single" w:color="auto" w:sz="8" w:space="0"/>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p>
        </w:tc>
      </w:tr>
      <w:tr>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30399</w:t>
            </w:r>
          </w:p>
        </w:tc>
        <w:tc>
          <w:tcPr>
            <w:tcW w:w="3306" w:type="dxa"/>
            <w:tcBorders>
              <w:top w:val="nil"/>
              <w:left w:val="nil"/>
              <w:bottom w:val="single" w:color="auto" w:sz="8" w:space="0"/>
              <w:right w:val="single" w:color="auto" w:sz="8" w:space="0"/>
            </w:tcBorders>
            <w:noWrap/>
            <w:vAlign w:val="center"/>
          </w:tcPr>
          <w:p>
            <w:pPr>
              <w:widowControl/>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 xml:space="preserve">  其他对个人和家庭的补助</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p>
        </w:tc>
        <w:tc>
          <w:tcPr>
            <w:tcW w:w="1110"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30240</w:t>
            </w:r>
          </w:p>
        </w:tc>
        <w:tc>
          <w:tcPr>
            <w:tcW w:w="2297"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税金及附加费用</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bidi="ar-SA"/>
              </w:rPr>
            </w:pPr>
          </w:p>
        </w:tc>
        <w:tc>
          <w:tcPr>
            <w:tcW w:w="107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p>
        </w:tc>
        <w:tc>
          <w:tcPr>
            <w:tcW w:w="4394" w:type="dxa"/>
            <w:tcBorders>
              <w:top w:val="nil"/>
              <w:left w:val="nil"/>
              <w:bottom w:val="single" w:color="auto" w:sz="8" w:space="0"/>
              <w:right w:val="single" w:color="auto" w:sz="8" w:space="0"/>
            </w:tcBorders>
            <w:noWrap/>
            <w:vAlign w:val="center"/>
          </w:tcPr>
          <w:p>
            <w:pPr>
              <w:keepNext w:val="0"/>
              <w:keepLines w:val="0"/>
              <w:widowControl/>
              <w:suppressLineNumbers w:val="0"/>
              <w:jc w:val="left"/>
              <w:textAlignment w:val="center"/>
              <w:rPr>
                <w:rFonts w:hint="eastAsia" w:ascii="仿宋" w:hAnsi="仿宋" w:eastAsia="仿宋" w:cs="仿宋"/>
                <w:color w:val="000000"/>
                <w:kern w:val="0"/>
                <w:sz w:val="18"/>
                <w:szCs w:val="18"/>
                <w:lang w:val="en-US" w:eastAsia="zh-CN"/>
              </w:rPr>
            </w:pPr>
          </w:p>
        </w:tc>
        <w:tc>
          <w:tcPr>
            <w:tcW w:w="856" w:type="dxa"/>
            <w:tcBorders>
              <w:top w:val="nil"/>
              <w:left w:val="nil"/>
              <w:bottom w:val="single" w:color="auto" w:sz="8" w:space="0"/>
              <w:right w:val="single" w:color="auto" w:sz="8" w:space="0"/>
            </w:tcBorders>
            <w:noWrap/>
            <w:vAlign w:val="center"/>
          </w:tcPr>
          <w:p>
            <w:pPr>
              <w:widowControl/>
              <w:rPr>
                <w:rFonts w:hint="eastAsia" w:ascii="仿宋" w:hAnsi="仿宋" w:eastAsia="仿宋" w:cs="仿宋"/>
                <w:color w:val="000000"/>
                <w:kern w:val="0"/>
                <w:sz w:val="18"/>
                <w:szCs w:val="18"/>
              </w:rPr>
            </w:pPr>
          </w:p>
        </w:tc>
      </w:tr>
      <w:tr>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noWrap/>
            <w:vAlign w:val="center"/>
          </w:tcPr>
          <w:p>
            <w:pPr>
              <w:widowControl/>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3306" w:type="dxa"/>
            <w:tcBorders>
              <w:top w:val="nil"/>
              <w:left w:val="nil"/>
              <w:bottom w:val="single" w:color="auto" w:sz="8" w:space="0"/>
              <w:right w:val="single" w:color="auto" w:sz="8" w:space="0"/>
            </w:tcBorders>
            <w:noWrap/>
          </w:tcPr>
          <w:p>
            <w:pPr>
              <w:widowControl/>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p>
        </w:tc>
        <w:tc>
          <w:tcPr>
            <w:tcW w:w="1110"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30299</w:t>
            </w:r>
          </w:p>
        </w:tc>
        <w:tc>
          <w:tcPr>
            <w:tcW w:w="2297" w:type="dxa"/>
            <w:tcBorders>
              <w:top w:val="nil"/>
              <w:left w:val="nil"/>
              <w:bottom w:val="single" w:color="auto" w:sz="8" w:space="0"/>
              <w:right w:val="single" w:color="auto" w:sz="8" w:space="0"/>
            </w:tcBorders>
            <w:noWrap/>
          </w:tcPr>
          <w:p>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  其他商品和服务支出</w:t>
            </w:r>
          </w:p>
        </w:tc>
        <w:tc>
          <w:tcPr>
            <w:tcW w:w="856" w:type="dxa"/>
            <w:tcBorders>
              <w:top w:val="nil"/>
              <w:left w:val="nil"/>
              <w:bottom w:val="single" w:color="auto" w:sz="8" w:space="0"/>
              <w:right w:val="single" w:color="auto" w:sz="8" w:space="0"/>
            </w:tcBorders>
            <w:noWrap/>
            <w:vAlign w:val="center"/>
          </w:tcPr>
          <w:p>
            <w:pPr>
              <w:widowControl/>
              <w:jc w:val="right"/>
              <w:rPr>
                <w:rFonts w:hint="default"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val="en-US" w:eastAsia="zh-CN" w:bidi="ar-SA"/>
              </w:rPr>
              <w:t xml:space="preserve">13.00 </w:t>
            </w:r>
          </w:p>
        </w:tc>
        <w:tc>
          <w:tcPr>
            <w:tcW w:w="1076"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w:t>
            </w:r>
          </w:p>
        </w:tc>
        <w:tc>
          <w:tcPr>
            <w:tcW w:w="4394" w:type="dxa"/>
            <w:tcBorders>
              <w:top w:val="nil"/>
              <w:left w:val="nil"/>
              <w:bottom w:val="single" w:color="auto" w:sz="8" w:space="0"/>
              <w:right w:val="single" w:color="auto" w:sz="8" w:space="0"/>
            </w:tcBorders>
            <w:noWrap/>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w:t>
            </w:r>
          </w:p>
        </w:tc>
        <w:tc>
          <w:tcPr>
            <w:tcW w:w="856" w:type="dxa"/>
            <w:tcBorders>
              <w:top w:val="nil"/>
              <w:left w:val="nil"/>
              <w:bottom w:val="single" w:color="auto" w:sz="8" w:space="0"/>
              <w:right w:val="single" w:color="auto" w:sz="8" w:space="0"/>
            </w:tcBorders>
            <w:noWrap/>
            <w:vAlign w:val="center"/>
          </w:tcPr>
          <w:p>
            <w:pPr>
              <w:widowControl/>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w:t>
            </w:r>
          </w:p>
        </w:tc>
      </w:tr>
      <w:tr>
        <w:tblPrEx>
          <w:tblCellMar>
            <w:top w:w="0" w:type="dxa"/>
            <w:left w:w="108" w:type="dxa"/>
            <w:bottom w:w="0" w:type="dxa"/>
            <w:right w:w="108" w:type="dxa"/>
          </w:tblCellMar>
        </w:tblPrEx>
        <w:trPr>
          <w:trHeight w:val="255" w:hRule="exact"/>
        </w:trPr>
        <w:tc>
          <w:tcPr>
            <w:tcW w:w="4455" w:type="dxa"/>
            <w:gridSpan w:val="2"/>
            <w:tcBorders>
              <w:top w:val="nil"/>
              <w:left w:val="single" w:color="auto" w:sz="8" w:space="0"/>
              <w:bottom w:val="single" w:color="auto" w:sz="8" w:space="0"/>
              <w:right w:val="single" w:color="auto" w:sz="8" w:space="0"/>
            </w:tcBorders>
            <w:noWrap/>
          </w:tcPr>
          <w:p>
            <w:pPr>
              <w:widowControl/>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人员经费合计</w:t>
            </w:r>
          </w:p>
        </w:tc>
        <w:tc>
          <w:tcPr>
            <w:tcW w:w="856" w:type="dxa"/>
            <w:tcBorders>
              <w:top w:val="nil"/>
              <w:left w:val="nil"/>
              <w:bottom w:val="single" w:color="auto" w:sz="8" w:space="0"/>
              <w:right w:val="single" w:color="auto" w:sz="8" w:space="0"/>
            </w:tcBorders>
            <w:noWrap/>
            <w:vAlign w:val="center"/>
          </w:tcPr>
          <w:p>
            <w:pPr>
              <w:widowControl/>
              <w:jc w:val="righ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 xml:space="preserve">896.80 </w:t>
            </w:r>
          </w:p>
        </w:tc>
        <w:tc>
          <w:tcPr>
            <w:tcW w:w="9733" w:type="dxa"/>
            <w:gridSpan w:val="5"/>
            <w:tcBorders>
              <w:top w:val="nil"/>
              <w:left w:val="nil"/>
              <w:bottom w:val="single" w:color="auto" w:sz="8" w:space="0"/>
              <w:right w:val="single" w:color="auto" w:sz="8" w:space="0"/>
            </w:tcBorders>
            <w:noWrap/>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公用经费合计</w:t>
            </w:r>
          </w:p>
        </w:tc>
        <w:tc>
          <w:tcPr>
            <w:tcW w:w="856" w:type="dxa"/>
            <w:tcBorders>
              <w:top w:val="nil"/>
              <w:left w:val="nil"/>
              <w:bottom w:val="single" w:color="auto" w:sz="8" w:space="0"/>
              <w:right w:val="single" w:color="auto" w:sz="8" w:space="0"/>
            </w:tcBorders>
            <w:vAlign w:val="center"/>
          </w:tcPr>
          <w:p>
            <w:pPr>
              <w:keepNext w:val="0"/>
              <w:keepLines w:val="0"/>
              <w:widowControl/>
              <w:suppressLineNumbers w:val="0"/>
              <w:jc w:val="right"/>
              <w:textAlignment w:val="center"/>
              <w:rPr>
                <w:rFonts w:hint="default"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val="en-US" w:eastAsia="zh-CN" w:bidi="ar-SA"/>
              </w:rPr>
              <w:t xml:space="preserve">137.12 </w:t>
            </w:r>
          </w:p>
        </w:tc>
      </w:tr>
    </w:tbl>
    <w:p>
      <w:pPr>
        <w:autoSpaceDE w:val="0"/>
        <w:autoSpaceDN w:val="0"/>
        <w:adjustRightInd w:val="0"/>
        <w:ind w:left="315" w:leftChars="150"/>
        <w:jc w:val="left"/>
        <w:rPr>
          <w:rFonts w:ascii="宋体"/>
          <w:kern w:val="0"/>
          <w:sz w:val="24"/>
          <w:szCs w:val="24"/>
        </w:rPr>
      </w:pPr>
      <w:r>
        <w:rPr>
          <w:rFonts w:hint="eastAsia" w:ascii="仿宋" w:hAnsi="仿宋" w:eastAsia="仿宋" w:cs="仿宋"/>
          <w:color w:val="000000"/>
          <w:kern w:val="0"/>
          <w:sz w:val="18"/>
          <w:szCs w:val="18"/>
        </w:rPr>
        <w:t>注：本表反映部门年度一般公共预算财政拨款基本支出明细情况。</w:t>
      </w:r>
      <w:r>
        <w:rPr>
          <w:rFonts w:hint="eastAsia" w:ascii="仿宋" w:hAnsi="仿宋" w:eastAsia="仿宋" w:cs="仿宋"/>
        </w:rPr>
        <w:br w:type="page"/>
      </w:r>
    </w:p>
    <w:p>
      <w:pPr>
        <w:jc w:val="center"/>
        <w:rPr>
          <w:rFonts w:ascii="黑体" w:hAnsi="黑体" w:eastAsia="黑体"/>
          <w:b/>
          <w:bCs/>
          <w:sz w:val="36"/>
          <w:szCs w:val="36"/>
        </w:rPr>
      </w:pPr>
      <w:r>
        <w:rPr>
          <w:rFonts w:hint="eastAsia" w:ascii="黑体" w:hAnsi="黑体" w:eastAsia="黑体" w:cs="黑体"/>
          <w:b/>
          <w:bCs/>
          <w:sz w:val="36"/>
          <w:szCs w:val="36"/>
        </w:rPr>
        <w:t>政府性基金预算财政拨款收入支出决算表</w:t>
      </w:r>
    </w:p>
    <w:p>
      <w:pPr>
        <w:widowControl/>
        <w:ind w:firstLine="241" w:firstLineChars="100"/>
        <w:rPr>
          <w:rFonts w:hint="eastAsia" w:ascii="仿宋" w:hAnsi="仿宋" w:eastAsia="仿宋" w:cs="仿宋"/>
          <w:color w:val="000000"/>
          <w:kern w:val="0"/>
          <w:sz w:val="24"/>
          <w:szCs w:val="24"/>
        </w:rPr>
      </w:pPr>
      <w:r>
        <w:rPr>
          <w:rFonts w:hint="eastAsia" w:ascii="仿宋" w:hAnsi="仿宋" w:eastAsia="仿宋" w:cs="仿宋"/>
          <w:b/>
          <w:bCs/>
          <w:color w:val="000000"/>
          <w:kern w:val="0"/>
          <w:sz w:val="24"/>
          <w:szCs w:val="24"/>
        </w:rPr>
        <w:t xml:space="preserve">   部门：湖南省人民政府驻上海办事处</w:t>
      </w:r>
      <w:r>
        <w:rPr>
          <w:rFonts w:hint="eastAsia" w:ascii="仿宋" w:hAnsi="仿宋" w:eastAsia="仿宋" w:cs="仿宋"/>
          <w:color w:val="000000"/>
          <w:kern w:val="0"/>
          <w:sz w:val="24"/>
          <w:szCs w:val="24"/>
        </w:rPr>
        <w:t xml:space="preserve">                                                                            公开0</w:t>
      </w:r>
      <w:r>
        <w:rPr>
          <w:rFonts w:hint="eastAsia" w:ascii="仿宋" w:hAnsi="仿宋" w:eastAsia="仿宋" w:cs="仿宋"/>
          <w:color w:val="000000"/>
          <w:kern w:val="0"/>
          <w:sz w:val="24"/>
          <w:szCs w:val="24"/>
          <w:lang w:val="en-US" w:eastAsia="zh-CN"/>
        </w:rPr>
        <w:t>7</w:t>
      </w:r>
      <w:r>
        <w:rPr>
          <w:rFonts w:hint="eastAsia" w:ascii="仿宋" w:hAnsi="仿宋" w:eastAsia="仿宋" w:cs="仿宋"/>
          <w:color w:val="000000"/>
          <w:kern w:val="0"/>
          <w:sz w:val="24"/>
          <w:szCs w:val="24"/>
        </w:rPr>
        <w:t>表</w:t>
      </w:r>
    </w:p>
    <w:p>
      <w:pPr>
        <w:widowControl/>
        <w:ind w:right="630"/>
        <w:jc w:val="righ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单位：万元</w:t>
      </w:r>
    </w:p>
    <w:tbl>
      <w:tblPr>
        <w:tblStyle w:val="11"/>
        <w:tblW w:w="144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120"/>
        <w:gridCol w:w="1320"/>
        <w:gridCol w:w="2000"/>
        <w:gridCol w:w="2000"/>
        <w:gridCol w:w="2000"/>
        <w:gridCol w:w="2000"/>
        <w:gridCol w:w="2000"/>
        <w:gridCol w:w="200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vAlign w:val="center"/>
          </w:tcPr>
          <w:p>
            <w:pPr>
              <w:widowControl/>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 xml:space="preserve">项 </w:t>
            </w:r>
            <w:r>
              <w:rPr>
                <w:rFonts w:hint="eastAsia" w:ascii="仿宋" w:hAnsi="仿宋" w:eastAsia="仿宋" w:cs="仿宋"/>
                <w:b/>
                <w:bCs/>
                <w:color w:val="000000"/>
                <w:kern w:val="0"/>
                <w:sz w:val="24"/>
                <w:szCs w:val="24"/>
              </w:rPr>
              <w:t xml:space="preserve">   </w:t>
            </w:r>
            <w:r>
              <w:rPr>
                <w:rFonts w:hint="eastAsia" w:ascii="仿宋" w:hAnsi="仿宋" w:eastAsia="仿宋" w:cs="仿宋"/>
                <w:b/>
                <w:bCs/>
                <w:kern w:val="0"/>
                <w:sz w:val="24"/>
                <w:szCs w:val="24"/>
              </w:rPr>
              <w:t>目</w:t>
            </w:r>
          </w:p>
        </w:tc>
        <w:tc>
          <w:tcPr>
            <w:tcW w:w="2000" w:type="dxa"/>
            <w:vMerge w:val="restart"/>
            <w:vAlign w:val="center"/>
          </w:tcPr>
          <w:p>
            <w:pPr>
              <w:widowControl/>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年初结转和结余</w:t>
            </w:r>
          </w:p>
        </w:tc>
        <w:tc>
          <w:tcPr>
            <w:tcW w:w="2000" w:type="dxa"/>
            <w:vMerge w:val="restart"/>
            <w:vAlign w:val="center"/>
          </w:tcPr>
          <w:p>
            <w:pPr>
              <w:widowControl/>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本年收入</w:t>
            </w:r>
          </w:p>
        </w:tc>
        <w:tc>
          <w:tcPr>
            <w:tcW w:w="6000" w:type="dxa"/>
            <w:gridSpan w:val="3"/>
            <w:vAlign w:val="center"/>
          </w:tcPr>
          <w:p>
            <w:pPr>
              <w:widowControl/>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本年支出</w:t>
            </w:r>
          </w:p>
        </w:tc>
        <w:tc>
          <w:tcPr>
            <w:tcW w:w="2000" w:type="dxa"/>
            <w:vMerge w:val="restart"/>
            <w:vAlign w:val="center"/>
          </w:tcPr>
          <w:p>
            <w:pPr>
              <w:widowControl/>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年末结转和结余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restart"/>
            <w:vAlign w:val="center"/>
          </w:tcPr>
          <w:p>
            <w:pPr>
              <w:widowControl/>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功能分类科目编码</w:t>
            </w:r>
          </w:p>
        </w:tc>
        <w:tc>
          <w:tcPr>
            <w:tcW w:w="1320" w:type="dxa"/>
            <w:vMerge w:val="restart"/>
            <w:vAlign w:val="center"/>
          </w:tcPr>
          <w:p>
            <w:pPr>
              <w:widowControl/>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科目名称</w:t>
            </w:r>
          </w:p>
        </w:tc>
        <w:tc>
          <w:tcPr>
            <w:tcW w:w="2000" w:type="dxa"/>
            <w:vMerge w:val="continue"/>
            <w:vAlign w:val="center"/>
          </w:tcPr>
          <w:p>
            <w:pPr>
              <w:widowControl/>
              <w:jc w:val="left"/>
              <w:rPr>
                <w:rFonts w:hint="eastAsia" w:ascii="仿宋" w:hAnsi="仿宋" w:eastAsia="仿宋" w:cs="仿宋"/>
                <w:b/>
                <w:bCs/>
                <w:kern w:val="0"/>
                <w:sz w:val="24"/>
                <w:szCs w:val="24"/>
              </w:rPr>
            </w:pPr>
          </w:p>
        </w:tc>
        <w:tc>
          <w:tcPr>
            <w:tcW w:w="2000" w:type="dxa"/>
            <w:vMerge w:val="continue"/>
            <w:vAlign w:val="center"/>
          </w:tcPr>
          <w:p>
            <w:pPr>
              <w:widowControl/>
              <w:jc w:val="left"/>
              <w:rPr>
                <w:rFonts w:hint="eastAsia" w:ascii="仿宋" w:hAnsi="仿宋" w:eastAsia="仿宋" w:cs="仿宋"/>
                <w:b/>
                <w:bCs/>
                <w:kern w:val="0"/>
                <w:sz w:val="24"/>
                <w:szCs w:val="24"/>
              </w:rPr>
            </w:pPr>
          </w:p>
        </w:tc>
        <w:tc>
          <w:tcPr>
            <w:tcW w:w="2000" w:type="dxa"/>
            <w:vMerge w:val="restart"/>
            <w:vAlign w:val="center"/>
          </w:tcPr>
          <w:p>
            <w:pPr>
              <w:widowControl/>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小计</w:t>
            </w:r>
          </w:p>
        </w:tc>
        <w:tc>
          <w:tcPr>
            <w:tcW w:w="2000" w:type="dxa"/>
            <w:vMerge w:val="restart"/>
            <w:vAlign w:val="center"/>
          </w:tcPr>
          <w:p>
            <w:pPr>
              <w:widowControl/>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 xml:space="preserve">基本支出  </w:t>
            </w:r>
          </w:p>
        </w:tc>
        <w:tc>
          <w:tcPr>
            <w:tcW w:w="2000" w:type="dxa"/>
            <w:vMerge w:val="restart"/>
            <w:vAlign w:val="center"/>
          </w:tcPr>
          <w:p>
            <w:pPr>
              <w:widowControl/>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项目支出</w:t>
            </w:r>
          </w:p>
        </w:tc>
        <w:tc>
          <w:tcPr>
            <w:tcW w:w="2000" w:type="dxa"/>
            <w:vMerge w:val="continue"/>
            <w:vAlign w:val="center"/>
          </w:tcPr>
          <w:p>
            <w:pPr>
              <w:widowControl/>
              <w:jc w:val="left"/>
              <w:rPr>
                <w:rFonts w:hint="eastAsia" w:ascii="仿宋" w:hAnsi="仿宋" w:eastAsia="仿宋" w:cs="仿宋"/>
                <w:b/>
                <w:bCs/>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pPr>
              <w:widowControl/>
              <w:jc w:val="left"/>
              <w:rPr>
                <w:rFonts w:hint="eastAsia" w:ascii="仿宋" w:hAnsi="仿宋" w:eastAsia="仿宋" w:cs="仿宋"/>
                <w:kern w:val="0"/>
                <w:sz w:val="24"/>
                <w:szCs w:val="24"/>
              </w:rPr>
            </w:pPr>
          </w:p>
        </w:tc>
        <w:tc>
          <w:tcPr>
            <w:tcW w:w="1320" w:type="dxa"/>
            <w:vMerge w:val="continue"/>
            <w:vAlign w:val="center"/>
          </w:tcPr>
          <w:p>
            <w:pPr>
              <w:widowControl/>
              <w:jc w:val="left"/>
              <w:rPr>
                <w:rFonts w:hint="eastAsia" w:ascii="仿宋" w:hAnsi="仿宋" w:eastAsia="仿宋" w:cs="仿宋"/>
                <w:kern w:val="0"/>
                <w:sz w:val="24"/>
                <w:szCs w:val="24"/>
              </w:rPr>
            </w:pPr>
          </w:p>
        </w:tc>
        <w:tc>
          <w:tcPr>
            <w:tcW w:w="2000" w:type="dxa"/>
            <w:vMerge w:val="continue"/>
            <w:vAlign w:val="center"/>
          </w:tcPr>
          <w:p>
            <w:pPr>
              <w:widowControl/>
              <w:jc w:val="left"/>
              <w:rPr>
                <w:rFonts w:hint="eastAsia" w:ascii="仿宋" w:hAnsi="仿宋" w:eastAsia="仿宋" w:cs="仿宋"/>
                <w:kern w:val="0"/>
                <w:sz w:val="24"/>
                <w:szCs w:val="24"/>
              </w:rPr>
            </w:pPr>
          </w:p>
        </w:tc>
        <w:tc>
          <w:tcPr>
            <w:tcW w:w="2000" w:type="dxa"/>
            <w:vMerge w:val="continue"/>
            <w:vAlign w:val="center"/>
          </w:tcPr>
          <w:p>
            <w:pPr>
              <w:widowControl/>
              <w:jc w:val="left"/>
              <w:rPr>
                <w:rFonts w:hint="eastAsia" w:ascii="仿宋" w:hAnsi="仿宋" w:eastAsia="仿宋" w:cs="仿宋"/>
                <w:kern w:val="0"/>
                <w:sz w:val="24"/>
                <w:szCs w:val="24"/>
              </w:rPr>
            </w:pPr>
          </w:p>
        </w:tc>
        <w:tc>
          <w:tcPr>
            <w:tcW w:w="2000" w:type="dxa"/>
            <w:vMerge w:val="continue"/>
            <w:vAlign w:val="center"/>
          </w:tcPr>
          <w:p>
            <w:pPr>
              <w:widowControl/>
              <w:jc w:val="left"/>
              <w:rPr>
                <w:rFonts w:hint="eastAsia" w:ascii="仿宋" w:hAnsi="仿宋" w:eastAsia="仿宋" w:cs="仿宋"/>
                <w:kern w:val="0"/>
                <w:sz w:val="24"/>
                <w:szCs w:val="24"/>
              </w:rPr>
            </w:pPr>
          </w:p>
        </w:tc>
        <w:tc>
          <w:tcPr>
            <w:tcW w:w="2000" w:type="dxa"/>
            <w:vMerge w:val="continue"/>
            <w:vAlign w:val="center"/>
          </w:tcPr>
          <w:p>
            <w:pPr>
              <w:widowControl/>
              <w:jc w:val="left"/>
              <w:rPr>
                <w:rFonts w:hint="eastAsia" w:ascii="仿宋" w:hAnsi="仿宋" w:eastAsia="仿宋" w:cs="仿宋"/>
                <w:kern w:val="0"/>
                <w:sz w:val="24"/>
                <w:szCs w:val="24"/>
              </w:rPr>
            </w:pPr>
          </w:p>
        </w:tc>
        <w:tc>
          <w:tcPr>
            <w:tcW w:w="2000" w:type="dxa"/>
            <w:vMerge w:val="continue"/>
            <w:vAlign w:val="center"/>
          </w:tcPr>
          <w:p>
            <w:pPr>
              <w:widowControl/>
              <w:jc w:val="left"/>
              <w:rPr>
                <w:rFonts w:hint="eastAsia" w:ascii="仿宋" w:hAnsi="仿宋" w:eastAsia="仿宋" w:cs="仿宋"/>
                <w:kern w:val="0"/>
                <w:sz w:val="24"/>
                <w:szCs w:val="24"/>
              </w:rPr>
            </w:pPr>
          </w:p>
        </w:tc>
        <w:tc>
          <w:tcPr>
            <w:tcW w:w="2000" w:type="dxa"/>
            <w:vMerge w:val="continue"/>
            <w:vAlign w:val="center"/>
          </w:tcPr>
          <w:p>
            <w:pPr>
              <w:widowControl/>
              <w:jc w:val="left"/>
              <w:rPr>
                <w:rFonts w:hint="eastAsia" w:ascii="仿宋" w:hAnsi="仿宋" w:eastAsia="仿宋" w:cs="仿宋"/>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pPr>
              <w:widowControl/>
              <w:jc w:val="left"/>
              <w:rPr>
                <w:rFonts w:hint="eastAsia" w:ascii="仿宋" w:hAnsi="仿宋" w:eastAsia="仿宋" w:cs="仿宋"/>
                <w:kern w:val="0"/>
                <w:sz w:val="24"/>
                <w:szCs w:val="24"/>
              </w:rPr>
            </w:pPr>
          </w:p>
        </w:tc>
        <w:tc>
          <w:tcPr>
            <w:tcW w:w="1320" w:type="dxa"/>
            <w:vMerge w:val="continue"/>
            <w:vAlign w:val="center"/>
          </w:tcPr>
          <w:p>
            <w:pPr>
              <w:widowControl/>
              <w:jc w:val="left"/>
              <w:rPr>
                <w:rFonts w:hint="eastAsia" w:ascii="仿宋" w:hAnsi="仿宋" w:eastAsia="仿宋" w:cs="仿宋"/>
                <w:kern w:val="0"/>
                <w:sz w:val="24"/>
                <w:szCs w:val="24"/>
              </w:rPr>
            </w:pPr>
          </w:p>
        </w:tc>
        <w:tc>
          <w:tcPr>
            <w:tcW w:w="2000" w:type="dxa"/>
            <w:vMerge w:val="continue"/>
            <w:vAlign w:val="center"/>
          </w:tcPr>
          <w:p>
            <w:pPr>
              <w:widowControl/>
              <w:jc w:val="left"/>
              <w:rPr>
                <w:rFonts w:hint="eastAsia" w:ascii="仿宋" w:hAnsi="仿宋" w:eastAsia="仿宋" w:cs="仿宋"/>
                <w:kern w:val="0"/>
                <w:sz w:val="24"/>
                <w:szCs w:val="24"/>
              </w:rPr>
            </w:pPr>
          </w:p>
        </w:tc>
        <w:tc>
          <w:tcPr>
            <w:tcW w:w="2000" w:type="dxa"/>
            <w:vMerge w:val="continue"/>
            <w:vAlign w:val="center"/>
          </w:tcPr>
          <w:p>
            <w:pPr>
              <w:widowControl/>
              <w:jc w:val="left"/>
              <w:rPr>
                <w:rFonts w:hint="eastAsia" w:ascii="仿宋" w:hAnsi="仿宋" w:eastAsia="仿宋" w:cs="仿宋"/>
                <w:kern w:val="0"/>
                <w:sz w:val="24"/>
                <w:szCs w:val="24"/>
              </w:rPr>
            </w:pPr>
          </w:p>
        </w:tc>
        <w:tc>
          <w:tcPr>
            <w:tcW w:w="2000" w:type="dxa"/>
            <w:vMerge w:val="continue"/>
            <w:vAlign w:val="center"/>
          </w:tcPr>
          <w:p>
            <w:pPr>
              <w:widowControl/>
              <w:jc w:val="left"/>
              <w:rPr>
                <w:rFonts w:hint="eastAsia" w:ascii="仿宋" w:hAnsi="仿宋" w:eastAsia="仿宋" w:cs="仿宋"/>
                <w:kern w:val="0"/>
                <w:sz w:val="24"/>
                <w:szCs w:val="24"/>
              </w:rPr>
            </w:pPr>
          </w:p>
        </w:tc>
        <w:tc>
          <w:tcPr>
            <w:tcW w:w="2000" w:type="dxa"/>
            <w:vMerge w:val="continue"/>
            <w:vAlign w:val="center"/>
          </w:tcPr>
          <w:p>
            <w:pPr>
              <w:widowControl/>
              <w:jc w:val="left"/>
              <w:rPr>
                <w:rFonts w:hint="eastAsia" w:ascii="仿宋" w:hAnsi="仿宋" w:eastAsia="仿宋" w:cs="仿宋"/>
                <w:kern w:val="0"/>
                <w:sz w:val="24"/>
                <w:szCs w:val="24"/>
              </w:rPr>
            </w:pPr>
          </w:p>
        </w:tc>
        <w:tc>
          <w:tcPr>
            <w:tcW w:w="2000" w:type="dxa"/>
            <w:vMerge w:val="continue"/>
            <w:vAlign w:val="center"/>
          </w:tcPr>
          <w:p>
            <w:pPr>
              <w:widowControl/>
              <w:jc w:val="left"/>
              <w:rPr>
                <w:rFonts w:hint="eastAsia" w:ascii="仿宋" w:hAnsi="仿宋" w:eastAsia="仿宋" w:cs="仿宋"/>
                <w:kern w:val="0"/>
                <w:sz w:val="24"/>
                <w:szCs w:val="24"/>
              </w:rPr>
            </w:pPr>
          </w:p>
        </w:tc>
        <w:tc>
          <w:tcPr>
            <w:tcW w:w="2000" w:type="dxa"/>
            <w:vMerge w:val="continue"/>
            <w:vAlign w:val="center"/>
          </w:tcPr>
          <w:p>
            <w:pPr>
              <w:widowControl/>
              <w:jc w:val="left"/>
              <w:rPr>
                <w:rFonts w:hint="eastAsia" w:ascii="仿宋" w:hAnsi="仿宋" w:eastAsia="仿宋" w:cs="仿宋"/>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栏次</w:t>
            </w:r>
          </w:p>
        </w:tc>
        <w:tc>
          <w:tcPr>
            <w:tcW w:w="2000" w:type="dxa"/>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1</w:t>
            </w:r>
          </w:p>
        </w:tc>
        <w:tc>
          <w:tcPr>
            <w:tcW w:w="2000" w:type="dxa"/>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2</w:t>
            </w:r>
          </w:p>
        </w:tc>
        <w:tc>
          <w:tcPr>
            <w:tcW w:w="2000" w:type="dxa"/>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3</w:t>
            </w:r>
          </w:p>
        </w:tc>
        <w:tc>
          <w:tcPr>
            <w:tcW w:w="2000" w:type="dxa"/>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4</w:t>
            </w:r>
          </w:p>
        </w:tc>
        <w:tc>
          <w:tcPr>
            <w:tcW w:w="2000" w:type="dxa"/>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5</w:t>
            </w:r>
          </w:p>
        </w:tc>
        <w:tc>
          <w:tcPr>
            <w:tcW w:w="2000" w:type="dxa"/>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合计</w:t>
            </w:r>
          </w:p>
        </w:tc>
        <w:tc>
          <w:tcPr>
            <w:tcW w:w="2000" w:type="dxa"/>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无　</w:t>
            </w:r>
          </w:p>
        </w:tc>
        <w:tc>
          <w:tcPr>
            <w:tcW w:w="2000" w:type="dxa"/>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000" w:type="dxa"/>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000" w:type="dxa"/>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000" w:type="dxa"/>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000" w:type="dxa"/>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1320" w:type="dxa"/>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000" w:type="dxa"/>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000" w:type="dxa"/>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000" w:type="dxa"/>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000" w:type="dxa"/>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000" w:type="dxa"/>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000" w:type="dxa"/>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1320" w:type="dxa"/>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000" w:type="dxa"/>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000" w:type="dxa"/>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000" w:type="dxa"/>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000" w:type="dxa"/>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000" w:type="dxa"/>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000" w:type="dxa"/>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1320" w:type="dxa"/>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000" w:type="dxa"/>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000" w:type="dxa"/>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000" w:type="dxa"/>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000" w:type="dxa"/>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000" w:type="dxa"/>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000" w:type="dxa"/>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1320" w:type="dxa"/>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000" w:type="dxa"/>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000" w:type="dxa"/>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000" w:type="dxa"/>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000" w:type="dxa"/>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000" w:type="dxa"/>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000" w:type="dxa"/>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1320" w:type="dxa"/>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000" w:type="dxa"/>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000" w:type="dxa"/>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000" w:type="dxa"/>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000" w:type="dxa"/>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000" w:type="dxa"/>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000" w:type="dxa"/>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1320" w:type="dxa"/>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000" w:type="dxa"/>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000" w:type="dxa"/>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000" w:type="dxa"/>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000" w:type="dxa"/>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000" w:type="dxa"/>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000" w:type="dxa"/>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r>
    </w:tbl>
    <w:p>
      <w:pPr>
        <w:widowControl/>
        <w:ind w:firstLine="720" w:firstLineChars="300"/>
        <w:jc w:val="left"/>
        <w:rPr>
          <w:rFonts w:hint="eastAsia" w:ascii="仿宋" w:hAnsi="仿宋" w:eastAsia="仿宋" w:cs="仿宋"/>
          <w:kern w:val="0"/>
          <w:sz w:val="24"/>
          <w:szCs w:val="24"/>
        </w:rPr>
      </w:pPr>
      <w:r>
        <w:rPr>
          <w:rFonts w:hint="eastAsia" w:ascii="仿宋" w:hAnsi="仿宋" w:eastAsia="仿宋" w:cs="仿宋"/>
          <w:kern w:val="0"/>
          <w:sz w:val="24"/>
          <w:szCs w:val="24"/>
        </w:rPr>
        <w:t>注：本表反映部门本年度政府性基金预算财政拨款收入、支出及结转和结余情况</w:t>
      </w:r>
    </w:p>
    <w:p>
      <w:pPr>
        <w:widowControl/>
        <w:ind w:firstLine="720" w:firstLineChars="300"/>
        <w:jc w:val="left"/>
        <w:rPr>
          <w:rFonts w:hint="eastAsia" w:ascii="仿宋" w:hAnsi="仿宋" w:eastAsia="仿宋" w:cs="仿宋"/>
          <w:kern w:val="0"/>
          <w:sz w:val="24"/>
          <w:szCs w:val="24"/>
        </w:rPr>
      </w:pPr>
      <w:r>
        <w:rPr>
          <w:rFonts w:hint="eastAsia" w:ascii="仿宋" w:hAnsi="仿宋" w:eastAsia="仿宋" w:cs="仿宋"/>
          <w:kern w:val="0"/>
          <w:sz w:val="24"/>
          <w:szCs w:val="24"/>
        </w:rPr>
        <w:t>说明：</w:t>
      </w:r>
      <w:r>
        <w:rPr>
          <w:rFonts w:hint="eastAsia" w:ascii="仿宋" w:hAnsi="仿宋" w:eastAsia="仿宋" w:cs="仿宋"/>
          <w:kern w:val="0"/>
          <w:sz w:val="24"/>
          <w:szCs w:val="24"/>
          <w:lang w:val="en-US" w:eastAsia="zh-CN"/>
        </w:rPr>
        <w:t>湖南省人民政府驻上海办事处</w:t>
      </w:r>
      <w:r>
        <w:rPr>
          <w:rFonts w:hint="eastAsia" w:ascii="仿宋" w:hAnsi="仿宋" w:eastAsia="仿宋" w:cs="仿宋"/>
          <w:kern w:val="0"/>
          <w:sz w:val="24"/>
          <w:szCs w:val="24"/>
        </w:rPr>
        <w:t>没有政府性基金收入，也没有使用政府性基金安排的支出，故本表无数据。</w:t>
      </w:r>
    </w:p>
    <w:p>
      <w:pPr>
        <w:widowControl/>
        <w:jc w:val="left"/>
        <w:rPr>
          <w:rFonts w:hint="eastAsia" w:ascii="黑体" w:hAnsi="黑体" w:eastAsia="黑体" w:cs="黑体"/>
          <w:sz w:val="36"/>
          <w:szCs w:val="36"/>
        </w:rPr>
      </w:pPr>
      <w:r>
        <w:rPr>
          <w:rFonts w:hint="eastAsia" w:ascii="仿宋" w:hAnsi="仿宋" w:eastAsia="仿宋" w:cs="仿宋"/>
          <w:sz w:val="24"/>
          <w:szCs w:val="24"/>
        </w:rPr>
        <w:br w:type="page"/>
      </w:r>
    </w:p>
    <w:tbl>
      <w:tblPr>
        <w:tblStyle w:val="11"/>
        <w:tblW w:w="14190" w:type="dxa"/>
        <w:tblInd w:w="93" w:type="dxa"/>
        <w:tblLayout w:type="autofit"/>
        <w:tblCellMar>
          <w:top w:w="0" w:type="dxa"/>
          <w:left w:w="108" w:type="dxa"/>
          <w:bottom w:w="0" w:type="dxa"/>
          <w:right w:w="108" w:type="dxa"/>
        </w:tblCellMar>
      </w:tblPr>
      <w:tblGrid>
        <w:gridCol w:w="1060"/>
        <w:gridCol w:w="560"/>
        <w:gridCol w:w="1089"/>
        <w:gridCol w:w="2126"/>
        <w:gridCol w:w="1225"/>
        <w:gridCol w:w="1326"/>
        <w:gridCol w:w="1294"/>
        <w:gridCol w:w="1683"/>
        <w:gridCol w:w="3827"/>
      </w:tblGrid>
      <w:tr>
        <w:tblPrEx>
          <w:tblCellMar>
            <w:top w:w="0" w:type="dxa"/>
            <w:left w:w="108" w:type="dxa"/>
            <w:bottom w:w="0" w:type="dxa"/>
            <w:right w:w="108" w:type="dxa"/>
          </w:tblCellMar>
        </w:tblPrEx>
        <w:trPr>
          <w:trHeight w:val="720" w:hRule="atLeast"/>
        </w:trPr>
        <w:tc>
          <w:tcPr>
            <w:tcW w:w="14190" w:type="dxa"/>
            <w:gridSpan w:val="9"/>
            <w:tcBorders>
              <w:top w:val="nil"/>
              <w:left w:val="nil"/>
              <w:bottom w:val="nil"/>
              <w:right w:val="nil"/>
            </w:tcBorders>
            <w:shd w:val="clear" w:color="000000" w:fill="FFFFFF"/>
            <w:vAlign w:val="center"/>
          </w:tcPr>
          <w:p>
            <w:pPr>
              <w:widowControl/>
              <w:jc w:val="center"/>
              <w:rPr>
                <w:rFonts w:hint="eastAsia" w:ascii="黑体" w:hAnsi="黑体" w:eastAsia="黑体" w:cs="黑体"/>
                <w:kern w:val="0"/>
                <w:sz w:val="36"/>
                <w:szCs w:val="36"/>
              </w:rPr>
            </w:pPr>
            <w:r>
              <w:rPr>
                <w:rFonts w:hint="eastAsia" w:ascii="黑体" w:hAnsi="黑体" w:eastAsia="黑体" w:cs="黑体"/>
                <w:b/>
                <w:bCs/>
                <w:kern w:val="0"/>
                <w:sz w:val="36"/>
                <w:szCs w:val="36"/>
              </w:rPr>
              <w:t>国有资本经营预算财政拨款支出决算表</w:t>
            </w:r>
          </w:p>
        </w:tc>
      </w:tr>
      <w:tr>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560" w:type="dxa"/>
            <w:tcBorders>
              <w:top w:val="nil"/>
              <w:left w:val="nil"/>
              <w:bottom w:val="nil"/>
              <w:right w:val="nil"/>
            </w:tcBorders>
            <w:shd w:val="clear" w:color="000000" w:fill="FFFFFF"/>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3215" w:type="dxa"/>
            <w:gridSpan w:val="2"/>
            <w:tcBorders>
              <w:top w:val="nil"/>
              <w:left w:val="nil"/>
              <w:bottom w:val="nil"/>
              <w:right w:val="nil"/>
            </w:tcBorders>
            <w:shd w:val="clear" w:color="000000" w:fill="FFFFFF"/>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1225" w:type="dxa"/>
            <w:tcBorders>
              <w:top w:val="nil"/>
              <w:left w:val="nil"/>
              <w:bottom w:val="nil"/>
              <w:right w:val="nil"/>
            </w:tcBorders>
            <w:shd w:val="clear" w:color="000000" w:fill="FFFFFF"/>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620" w:type="dxa"/>
            <w:gridSpan w:val="2"/>
            <w:tcBorders>
              <w:top w:val="nil"/>
              <w:left w:val="nil"/>
              <w:bottom w:val="nil"/>
              <w:right w:val="nil"/>
            </w:tcBorders>
            <w:shd w:val="clear" w:color="000000" w:fill="FFFFFF"/>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5510" w:type="dxa"/>
            <w:gridSpan w:val="2"/>
            <w:tcBorders>
              <w:top w:val="nil"/>
              <w:left w:val="nil"/>
              <w:bottom w:val="nil"/>
              <w:right w:val="nil"/>
            </w:tcBorders>
            <w:shd w:val="clear" w:color="000000" w:fill="FFFFFF"/>
            <w:noWrap/>
            <w:vAlign w:val="center"/>
          </w:tcPr>
          <w:p>
            <w:pPr>
              <w:widowControl/>
              <w:jc w:val="righ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公开0</w:t>
            </w:r>
            <w:r>
              <w:rPr>
                <w:rFonts w:hint="eastAsia" w:ascii="仿宋" w:hAnsi="仿宋" w:eastAsia="仿宋" w:cs="仿宋"/>
                <w:color w:val="000000"/>
                <w:kern w:val="0"/>
                <w:sz w:val="24"/>
                <w:szCs w:val="24"/>
                <w:lang w:val="en-US" w:eastAsia="zh-CN"/>
              </w:rPr>
              <w:t>8</w:t>
            </w:r>
            <w:r>
              <w:rPr>
                <w:rFonts w:hint="eastAsia" w:ascii="仿宋" w:hAnsi="仿宋" w:eastAsia="仿宋" w:cs="仿宋"/>
                <w:color w:val="000000"/>
                <w:kern w:val="0"/>
                <w:sz w:val="24"/>
                <w:szCs w:val="24"/>
              </w:rPr>
              <w:t>表</w:t>
            </w:r>
          </w:p>
        </w:tc>
      </w:tr>
      <w:tr>
        <w:tblPrEx>
          <w:tblCellMar>
            <w:top w:w="0" w:type="dxa"/>
            <w:left w:w="108" w:type="dxa"/>
            <w:bottom w:w="0" w:type="dxa"/>
            <w:right w:w="108" w:type="dxa"/>
          </w:tblCellMar>
        </w:tblPrEx>
        <w:trPr>
          <w:trHeight w:val="483" w:hRule="atLeast"/>
        </w:trPr>
        <w:tc>
          <w:tcPr>
            <w:tcW w:w="4835" w:type="dxa"/>
            <w:gridSpan w:val="4"/>
            <w:tcBorders>
              <w:top w:val="nil"/>
              <w:left w:val="nil"/>
              <w:bottom w:val="nil"/>
              <w:right w:val="nil"/>
            </w:tcBorders>
            <w:shd w:val="clear" w:color="000000" w:fill="FFFFFF"/>
            <w:noWrap/>
            <w:vAlign w:val="center"/>
          </w:tcPr>
          <w:p>
            <w:pPr>
              <w:widowControl/>
              <w:jc w:val="left"/>
              <w:rPr>
                <w:rFonts w:hint="eastAsia" w:ascii="仿宋" w:hAnsi="仿宋" w:eastAsia="仿宋" w:cs="仿宋"/>
                <w:kern w:val="0"/>
                <w:sz w:val="24"/>
                <w:szCs w:val="24"/>
              </w:rPr>
            </w:pPr>
            <w:r>
              <w:rPr>
                <w:rFonts w:hint="eastAsia" w:ascii="仿宋" w:hAnsi="仿宋" w:eastAsia="仿宋" w:cs="仿宋"/>
                <w:color w:val="000000"/>
                <w:kern w:val="0"/>
                <w:sz w:val="24"/>
                <w:szCs w:val="24"/>
              </w:rPr>
              <w:t>部门：</w:t>
            </w:r>
            <w:r>
              <w:rPr>
                <w:rFonts w:hint="eastAsia" w:ascii="仿宋" w:hAnsi="仿宋" w:eastAsia="仿宋" w:cs="仿宋"/>
                <w:color w:val="000000"/>
                <w:kern w:val="0"/>
                <w:sz w:val="24"/>
                <w:szCs w:val="24"/>
                <w:lang w:val="en-US" w:eastAsia="zh-CN"/>
              </w:rPr>
              <w:t>湖南省人民政府驻上海办事处</w:t>
            </w:r>
            <w:r>
              <w:rPr>
                <w:rFonts w:hint="eastAsia" w:ascii="仿宋" w:hAnsi="仿宋" w:eastAsia="仿宋" w:cs="仿宋"/>
                <w:kern w:val="0"/>
                <w:sz w:val="24"/>
                <w:szCs w:val="24"/>
              </w:rPr>
              <w:t>　</w:t>
            </w:r>
          </w:p>
        </w:tc>
        <w:tc>
          <w:tcPr>
            <w:tcW w:w="1225" w:type="dxa"/>
            <w:tcBorders>
              <w:top w:val="nil"/>
              <w:left w:val="nil"/>
              <w:bottom w:val="single" w:color="auto" w:sz="8" w:space="0"/>
              <w:right w:val="nil"/>
            </w:tcBorders>
            <w:shd w:val="clear" w:color="000000" w:fill="FFFFFF"/>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620" w:type="dxa"/>
            <w:gridSpan w:val="2"/>
            <w:tcBorders>
              <w:top w:val="nil"/>
              <w:left w:val="nil"/>
              <w:bottom w:val="single" w:color="auto" w:sz="8" w:space="0"/>
              <w:right w:val="nil"/>
            </w:tcBorders>
            <w:shd w:val="clear" w:color="000000" w:fill="FFFFFF"/>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5510" w:type="dxa"/>
            <w:gridSpan w:val="2"/>
            <w:tcBorders>
              <w:top w:val="nil"/>
              <w:left w:val="nil"/>
              <w:bottom w:val="nil"/>
              <w:right w:val="nil"/>
            </w:tcBorders>
            <w:shd w:val="clear" w:color="000000" w:fill="FFFFFF"/>
            <w:noWrap/>
            <w:vAlign w:val="center"/>
          </w:tcPr>
          <w:p>
            <w:pPr>
              <w:widowControl/>
              <w:jc w:val="righ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单位：万元</w:t>
            </w:r>
          </w:p>
        </w:tc>
      </w:tr>
      <w:tr>
        <w:tblPrEx>
          <w:tblCellMar>
            <w:top w:w="0" w:type="dxa"/>
            <w:left w:w="108" w:type="dxa"/>
            <w:bottom w:w="0" w:type="dxa"/>
            <w:right w:w="108" w:type="dxa"/>
          </w:tblCellMar>
        </w:tblPrEx>
        <w:trPr>
          <w:trHeight w:val="402" w:hRule="atLeast"/>
        </w:trPr>
        <w:tc>
          <w:tcPr>
            <w:tcW w:w="4835" w:type="dxa"/>
            <w:gridSpan w:val="4"/>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 xml:space="preserve">项 </w:t>
            </w:r>
            <w:r>
              <w:rPr>
                <w:rFonts w:hint="eastAsia" w:ascii="仿宋" w:hAnsi="仿宋" w:eastAsia="仿宋" w:cs="仿宋"/>
                <w:color w:val="000000"/>
                <w:kern w:val="0"/>
                <w:sz w:val="24"/>
                <w:szCs w:val="24"/>
              </w:rPr>
              <w:t xml:space="preserve">   </w:t>
            </w:r>
            <w:r>
              <w:rPr>
                <w:rFonts w:hint="eastAsia" w:ascii="仿宋" w:hAnsi="仿宋" w:eastAsia="仿宋" w:cs="仿宋"/>
                <w:kern w:val="0"/>
                <w:sz w:val="24"/>
                <w:szCs w:val="24"/>
              </w:rPr>
              <w:t>目</w:t>
            </w:r>
          </w:p>
        </w:tc>
        <w:tc>
          <w:tcPr>
            <w:tcW w:w="9355" w:type="dxa"/>
            <w:gridSpan w:val="5"/>
            <w:tcBorders>
              <w:top w:val="single" w:color="auto" w:sz="8" w:space="0"/>
              <w:left w:val="nil"/>
              <w:bottom w:val="single" w:color="auto" w:sz="4" w:space="0"/>
              <w:right w:val="single" w:color="000000" w:sz="4" w:space="0"/>
            </w:tcBorders>
            <w:shd w:val="clear" w:color="auto" w:fill="auto"/>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本年支出</w:t>
            </w:r>
          </w:p>
        </w:tc>
      </w:tr>
      <w:tr>
        <w:tblPrEx>
          <w:tblCellMar>
            <w:top w:w="0" w:type="dxa"/>
            <w:left w:w="108" w:type="dxa"/>
            <w:bottom w:w="0" w:type="dxa"/>
            <w:right w:w="108" w:type="dxa"/>
          </w:tblCellMar>
        </w:tblPrEx>
        <w:trPr>
          <w:trHeight w:val="402" w:hRule="atLeast"/>
        </w:trPr>
        <w:tc>
          <w:tcPr>
            <w:tcW w:w="2709" w:type="dxa"/>
            <w:gridSpan w:val="3"/>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功能分类科目编码</w:t>
            </w:r>
          </w:p>
        </w:tc>
        <w:tc>
          <w:tcPr>
            <w:tcW w:w="2126"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科目名称</w:t>
            </w:r>
          </w:p>
        </w:tc>
        <w:tc>
          <w:tcPr>
            <w:tcW w:w="255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合计</w:t>
            </w:r>
          </w:p>
        </w:tc>
        <w:tc>
          <w:tcPr>
            <w:tcW w:w="2977"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 xml:space="preserve">基本支出  </w:t>
            </w:r>
          </w:p>
        </w:tc>
        <w:tc>
          <w:tcPr>
            <w:tcW w:w="3827"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项目支出</w:t>
            </w:r>
          </w:p>
        </w:tc>
      </w:tr>
      <w:tr>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hint="eastAsia" w:ascii="仿宋" w:hAnsi="仿宋" w:eastAsia="仿宋" w:cs="仿宋"/>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kern w:val="0"/>
                <w:sz w:val="24"/>
                <w:szCs w:val="24"/>
              </w:rPr>
            </w:pPr>
          </w:p>
        </w:tc>
      </w:tr>
      <w:tr>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hint="eastAsia" w:ascii="仿宋" w:hAnsi="仿宋" w:eastAsia="仿宋" w:cs="仿宋"/>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kern w:val="0"/>
                <w:sz w:val="24"/>
                <w:szCs w:val="24"/>
              </w:rPr>
            </w:pPr>
          </w:p>
        </w:tc>
      </w:tr>
      <w:tr>
        <w:tblPrEx>
          <w:tblCellMar>
            <w:top w:w="0" w:type="dxa"/>
            <w:left w:w="108" w:type="dxa"/>
            <w:bottom w:w="0" w:type="dxa"/>
            <w:right w:w="108" w:type="dxa"/>
          </w:tblCellMar>
        </w:tblPrEx>
        <w:trPr>
          <w:trHeight w:val="402" w:hRule="atLeast"/>
        </w:trPr>
        <w:tc>
          <w:tcPr>
            <w:tcW w:w="4835" w:type="dxa"/>
            <w:gridSpan w:val="4"/>
            <w:tcBorders>
              <w:top w:val="single" w:color="auto" w:sz="4" w:space="0"/>
              <w:left w:val="single" w:color="auto" w:sz="8" w:space="0"/>
              <w:bottom w:val="single" w:color="auto" w:sz="4" w:space="0"/>
              <w:right w:val="single" w:color="000000" w:sz="4" w:space="0"/>
            </w:tcBorders>
            <w:shd w:val="clear" w:color="auto" w:fill="auto"/>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栏次</w:t>
            </w:r>
          </w:p>
        </w:tc>
        <w:tc>
          <w:tcPr>
            <w:tcW w:w="255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1</w:t>
            </w:r>
          </w:p>
        </w:tc>
        <w:tc>
          <w:tcPr>
            <w:tcW w:w="2977"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2</w:t>
            </w:r>
          </w:p>
        </w:tc>
        <w:tc>
          <w:tcPr>
            <w:tcW w:w="3827"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3</w:t>
            </w:r>
          </w:p>
        </w:tc>
      </w:tr>
      <w:tr>
        <w:tblPrEx>
          <w:tblCellMar>
            <w:top w:w="0" w:type="dxa"/>
            <w:left w:w="108" w:type="dxa"/>
            <w:bottom w:w="0" w:type="dxa"/>
            <w:right w:w="108" w:type="dxa"/>
          </w:tblCellMar>
        </w:tblPrEx>
        <w:trPr>
          <w:trHeight w:val="402" w:hRule="atLeast"/>
        </w:trPr>
        <w:tc>
          <w:tcPr>
            <w:tcW w:w="4835" w:type="dxa"/>
            <w:gridSpan w:val="4"/>
            <w:tcBorders>
              <w:top w:val="nil"/>
              <w:left w:val="single" w:color="auto" w:sz="8" w:space="0"/>
              <w:bottom w:val="single" w:color="auto" w:sz="4" w:space="0"/>
              <w:right w:val="single" w:color="000000" w:sz="4" w:space="0"/>
            </w:tcBorders>
            <w:shd w:val="clear" w:color="auto" w:fill="auto"/>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合计</w:t>
            </w:r>
          </w:p>
        </w:tc>
        <w:tc>
          <w:tcPr>
            <w:tcW w:w="255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无</w:t>
            </w:r>
            <w:r>
              <w:rPr>
                <w:rFonts w:hint="eastAsia" w:ascii="仿宋" w:hAnsi="仿宋" w:eastAsia="仿宋" w:cs="仿宋"/>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　</w:t>
            </w:r>
          </w:p>
        </w:tc>
      </w:tr>
      <w:tr>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r>
      <w:tr>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r>
      <w:tr>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r>
      <w:tr>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r>
      <w:tr>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r>
      <w:tr>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3215" w:type="dxa"/>
            <w:gridSpan w:val="2"/>
            <w:tcBorders>
              <w:top w:val="nil"/>
              <w:left w:val="nil"/>
              <w:bottom w:val="single" w:color="auto" w:sz="8" w:space="0"/>
              <w:right w:val="single" w:color="auto" w:sz="4" w:space="0"/>
            </w:tcBorders>
            <w:shd w:val="clear" w:color="auto" w:fill="auto"/>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551" w:type="dxa"/>
            <w:gridSpan w:val="2"/>
            <w:tcBorders>
              <w:top w:val="nil"/>
              <w:left w:val="nil"/>
              <w:bottom w:val="single" w:color="auto" w:sz="8" w:space="0"/>
              <w:right w:val="single" w:color="auto" w:sz="4" w:space="0"/>
            </w:tcBorders>
            <w:shd w:val="clear" w:color="auto" w:fill="auto"/>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977" w:type="dxa"/>
            <w:gridSpan w:val="2"/>
            <w:tcBorders>
              <w:top w:val="nil"/>
              <w:left w:val="nil"/>
              <w:bottom w:val="single" w:color="auto" w:sz="8" w:space="0"/>
              <w:right w:val="single" w:color="auto" w:sz="4" w:space="0"/>
            </w:tcBorders>
            <w:shd w:val="clear" w:color="auto" w:fill="auto"/>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3827" w:type="dxa"/>
            <w:tcBorders>
              <w:top w:val="nil"/>
              <w:left w:val="nil"/>
              <w:bottom w:val="single" w:color="auto" w:sz="8" w:space="0"/>
              <w:right w:val="single" w:color="auto" w:sz="4" w:space="0"/>
            </w:tcBorders>
            <w:shd w:val="clear" w:color="auto" w:fill="auto"/>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r>
      <w:tr>
        <w:tblPrEx>
          <w:tblCellMar>
            <w:top w:w="0" w:type="dxa"/>
            <w:left w:w="108" w:type="dxa"/>
            <w:bottom w:w="0" w:type="dxa"/>
            <w:right w:w="108" w:type="dxa"/>
          </w:tblCellMar>
        </w:tblPrEx>
        <w:trPr>
          <w:trHeight w:val="720" w:hRule="atLeast"/>
        </w:trPr>
        <w:tc>
          <w:tcPr>
            <w:tcW w:w="14190" w:type="dxa"/>
            <w:gridSpan w:val="9"/>
            <w:tcBorders>
              <w:top w:val="single" w:color="auto" w:sz="8" w:space="0"/>
              <w:left w:val="nil"/>
              <w:bottom w:val="nil"/>
              <w:right w:val="nil"/>
            </w:tcBorders>
            <w:shd w:val="clear" w:color="auto" w:fill="auto"/>
            <w:vAlign w:val="center"/>
          </w:tcPr>
          <w:p>
            <w:pPr>
              <w:widowControl/>
              <w:jc w:val="left"/>
              <w:rPr>
                <w:rFonts w:hint="eastAsia"/>
              </w:rPr>
            </w:pPr>
            <w:r>
              <w:rPr>
                <w:rFonts w:hint="eastAsia"/>
              </w:rPr>
              <w:t>注：本表反映部门本年度国有资本经营预算财政拨款支出情况。</w:t>
            </w:r>
          </w:p>
          <w:p>
            <w:pPr>
              <w:pStyle w:val="2"/>
              <w:ind w:left="0" w:leftChars="0" w:firstLine="0" w:firstLineChars="0"/>
              <w:rPr>
                <w:rFonts w:hint="default" w:eastAsia="仿宋"/>
                <w:lang w:val="en-US" w:eastAsia="zh-CN"/>
              </w:rPr>
            </w:pPr>
            <w:r>
              <w:rPr>
                <w:rFonts w:hint="eastAsia" w:ascii="仿宋" w:hAnsi="仿宋" w:eastAsia="仿宋" w:cs="仿宋"/>
                <w:kern w:val="0"/>
                <w:sz w:val="24"/>
                <w:szCs w:val="24"/>
                <w:lang w:val="en-US" w:eastAsia="zh-CN"/>
              </w:rPr>
              <w:t>说明：湖南省人民政府驻上海办事处没有国有资本经营预算财政拨款支出，所以本表无数据。</w:t>
            </w:r>
          </w:p>
        </w:tc>
      </w:tr>
    </w:tbl>
    <w:p>
      <w:pPr>
        <w:widowControl/>
        <w:rPr>
          <w:rFonts w:hint="eastAsia" w:ascii="仿宋" w:hAnsi="仿宋" w:eastAsia="仿宋" w:cs="仿宋"/>
          <w:kern w:val="0"/>
          <w:sz w:val="24"/>
          <w:szCs w:val="24"/>
        </w:rPr>
      </w:pPr>
    </w:p>
    <w:p>
      <w:pPr>
        <w:widowControl/>
        <w:jc w:val="left"/>
        <w:rPr>
          <w:rFonts w:hint="eastAsia" w:ascii="黑体" w:hAnsi="黑体" w:eastAsia="黑体" w:cs="黑体"/>
          <w:sz w:val="36"/>
          <w:szCs w:val="36"/>
        </w:rPr>
      </w:pPr>
      <w:r>
        <w:rPr>
          <w:rFonts w:hint="eastAsia" w:ascii="仿宋" w:hAnsi="仿宋" w:eastAsia="仿宋" w:cs="仿宋"/>
          <w:kern w:val="0"/>
          <w:sz w:val="24"/>
          <w:szCs w:val="24"/>
        </w:rPr>
        <w:br w:type="page"/>
      </w:r>
    </w:p>
    <w:tbl>
      <w:tblPr>
        <w:tblStyle w:val="11"/>
        <w:tblW w:w="15233" w:type="dxa"/>
        <w:tblInd w:w="93" w:type="dxa"/>
        <w:tblLayout w:type="fixed"/>
        <w:tblCellMar>
          <w:top w:w="0" w:type="dxa"/>
          <w:left w:w="108" w:type="dxa"/>
          <w:bottom w:w="0" w:type="dxa"/>
          <w:right w:w="108" w:type="dxa"/>
        </w:tblCellMar>
      </w:tblPr>
      <w:tblGrid>
        <w:gridCol w:w="1117"/>
        <w:gridCol w:w="1085"/>
        <w:gridCol w:w="956"/>
        <w:gridCol w:w="1313"/>
        <w:gridCol w:w="1556"/>
        <w:gridCol w:w="1575"/>
        <w:gridCol w:w="236"/>
        <w:gridCol w:w="795"/>
        <w:gridCol w:w="1144"/>
        <w:gridCol w:w="1050"/>
        <w:gridCol w:w="922"/>
        <w:gridCol w:w="409"/>
        <w:gridCol w:w="1369"/>
        <w:gridCol w:w="1706"/>
      </w:tblGrid>
      <w:tr>
        <w:tblPrEx>
          <w:tblCellMar>
            <w:top w:w="0" w:type="dxa"/>
            <w:left w:w="108" w:type="dxa"/>
            <w:bottom w:w="0" w:type="dxa"/>
            <w:right w:w="108" w:type="dxa"/>
          </w:tblCellMar>
        </w:tblPrEx>
        <w:trPr>
          <w:trHeight w:val="720" w:hRule="atLeast"/>
        </w:trPr>
        <w:tc>
          <w:tcPr>
            <w:tcW w:w="15233" w:type="dxa"/>
            <w:gridSpan w:val="14"/>
            <w:tcBorders>
              <w:top w:val="nil"/>
              <w:left w:val="nil"/>
              <w:bottom w:val="nil"/>
              <w:right w:val="nil"/>
            </w:tcBorders>
            <w:shd w:val="clear" w:color="000000" w:fill="FFFFFF"/>
            <w:vAlign w:val="center"/>
          </w:tcPr>
          <w:p>
            <w:pPr>
              <w:widowControl/>
              <w:jc w:val="center"/>
              <w:rPr>
                <w:rFonts w:hint="eastAsia" w:ascii="黑体" w:hAnsi="黑体" w:eastAsia="黑体" w:cs="黑体"/>
                <w:kern w:val="0"/>
                <w:sz w:val="36"/>
                <w:szCs w:val="36"/>
              </w:rPr>
            </w:pPr>
            <w:r>
              <w:rPr>
                <w:rFonts w:hint="eastAsia" w:ascii="黑体" w:hAnsi="黑体" w:eastAsia="黑体" w:cs="黑体"/>
                <w:b/>
                <w:bCs/>
                <w:sz w:val="36"/>
                <w:szCs w:val="36"/>
              </w:rPr>
              <w:t>财政拨款“三公”经费支出决算表</w:t>
            </w:r>
          </w:p>
        </w:tc>
      </w:tr>
      <w:tr>
        <w:tblPrEx>
          <w:tblCellMar>
            <w:top w:w="0" w:type="dxa"/>
            <w:left w:w="108" w:type="dxa"/>
            <w:bottom w:w="0" w:type="dxa"/>
            <w:right w:w="108" w:type="dxa"/>
          </w:tblCellMar>
        </w:tblPrEx>
        <w:trPr>
          <w:trHeight w:val="285" w:hRule="atLeast"/>
        </w:trPr>
        <w:tc>
          <w:tcPr>
            <w:tcW w:w="1117" w:type="dxa"/>
            <w:tcBorders>
              <w:top w:val="nil"/>
              <w:left w:val="nil"/>
              <w:bottom w:val="nil"/>
              <w:right w:val="nil"/>
            </w:tcBorders>
            <w:shd w:val="clear" w:color="000000" w:fill="FFFFFF"/>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1085" w:type="dxa"/>
            <w:tcBorders>
              <w:top w:val="nil"/>
              <w:left w:val="nil"/>
              <w:bottom w:val="nil"/>
              <w:right w:val="nil"/>
            </w:tcBorders>
            <w:shd w:val="clear" w:color="000000" w:fill="FFFFFF"/>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5400" w:type="dxa"/>
            <w:gridSpan w:val="4"/>
            <w:tcBorders>
              <w:top w:val="nil"/>
              <w:left w:val="nil"/>
              <w:bottom w:val="nil"/>
              <w:right w:val="nil"/>
            </w:tcBorders>
            <w:shd w:val="clear" w:color="000000" w:fill="FFFFFF"/>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236" w:type="dxa"/>
            <w:tcBorders>
              <w:top w:val="nil"/>
              <w:left w:val="nil"/>
              <w:bottom w:val="nil"/>
              <w:right w:val="nil"/>
            </w:tcBorders>
            <w:shd w:val="clear" w:color="000000" w:fill="FFFFFF"/>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3911" w:type="dxa"/>
            <w:gridSpan w:val="4"/>
            <w:tcBorders>
              <w:top w:val="nil"/>
              <w:left w:val="nil"/>
              <w:bottom w:val="nil"/>
              <w:right w:val="nil"/>
            </w:tcBorders>
            <w:shd w:val="clear" w:color="000000" w:fill="FFFFFF"/>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3484" w:type="dxa"/>
            <w:gridSpan w:val="3"/>
            <w:tcBorders>
              <w:top w:val="nil"/>
              <w:left w:val="nil"/>
              <w:bottom w:val="nil"/>
              <w:right w:val="nil"/>
            </w:tcBorders>
            <w:shd w:val="clear" w:color="000000" w:fill="FFFFFF"/>
            <w:noWrap/>
            <w:vAlign w:val="center"/>
          </w:tcPr>
          <w:p>
            <w:pPr>
              <w:widowControl/>
              <w:jc w:val="righ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公开09表</w:t>
            </w:r>
          </w:p>
        </w:tc>
      </w:tr>
      <w:tr>
        <w:tblPrEx>
          <w:tblCellMar>
            <w:top w:w="0" w:type="dxa"/>
            <w:left w:w="108" w:type="dxa"/>
            <w:bottom w:w="0" w:type="dxa"/>
            <w:right w:w="108" w:type="dxa"/>
          </w:tblCellMar>
        </w:tblPrEx>
        <w:trPr>
          <w:trHeight w:val="483" w:hRule="atLeast"/>
        </w:trPr>
        <w:tc>
          <w:tcPr>
            <w:tcW w:w="7602" w:type="dxa"/>
            <w:gridSpan w:val="6"/>
            <w:tcBorders>
              <w:top w:val="nil"/>
              <w:left w:val="nil"/>
              <w:bottom w:val="nil"/>
              <w:right w:val="nil"/>
            </w:tcBorders>
            <w:shd w:val="clear" w:color="000000" w:fill="FFFFFF"/>
            <w:noWrap/>
            <w:vAlign w:val="center"/>
          </w:tcPr>
          <w:p>
            <w:pPr>
              <w:widowControl/>
              <w:jc w:val="left"/>
              <w:rPr>
                <w:rFonts w:hint="eastAsia" w:ascii="仿宋" w:hAnsi="仿宋" w:eastAsia="仿宋" w:cs="仿宋"/>
                <w:kern w:val="0"/>
                <w:sz w:val="24"/>
                <w:szCs w:val="24"/>
              </w:rPr>
            </w:pPr>
            <w:r>
              <w:rPr>
                <w:rFonts w:hint="eastAsia" w:ascii="仿宋" w:hAnsi="仿宋" w:eastAsia="仿宋" w:cs="仿宋"/>
                <w:color w:val="000000"/>
                <w:kern w:val="0"/>
                <w:sz w:val="24"/>
                <w:szCs w:val="24"/>
              </w:rPr>
              <w:t>部门：</w:t>
            </w:r>
            <w:r>
              <w:rPr>
                <w:rFonts w:hint="eastAsia" w:ascii="仿宋" w:hAnsi="仿宋" w:eastAsia="仿宋" w:cs="仿宋"/>
                <w:color w:val="000000"/>
                <w:kern w:val="0"/>
                <w:sz w:val="24"/>
                <w:szCs w:val="24"/>
                <w:lang w:val="en-US" w:eastAsia="zh-CN"/>
              </w:rPr>
              <w:t>湖南省人民政府驻上海办事处</w:t>
            </w:r>
            <w:r>
              <w:rPr>
                <w:rFonts w:hint="eastAsia" w:ascii="仿宋" w:hAnsi="仿宋" w:eastAsia="仿宋" w:cs="仿宋"/>
                <w:kern w:val="0"/>
                <w:sz w:val="24"/>
                <w:szCs w:val="24"/>
              </w:rPr>
              <w:t>　</w:t>
            </w:r>
          </w:p>
        </w:tc>
        <w:tc>
          <w:tcPr>
            <w:tcW w:w="236" w:type="dxa"/>
            <w:tcBorders>
              <w:top w:val="nil"/>
              <w:left w:val="nil"/>
              <w:bottom w:val="single" w:color="auto" w:sz="8" w:space="0"/>
              <w:right w:val="nil"/>
            </w:tcBorders>
            <w:shd w:val="clear" w:color="000000" w:fill="FFFFFF"/>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3911" w:type="dxa"/>
            <w:gridSpan w:val="4"/>
            <w:tcBorders>
              <w:top w:val="nil"/>
              <w:left w:val="nil"/>
              <w:bottom w:val="single" w:color="auto" w:sz="8" w:space="0"/>
              <w:right w:val="nil"/>
            </w:tcBorders>
            <w:shd w:val="clear" w:color="000000" w:fill="FFFFFF"/>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3484" w:type="dxa"/>
            <w:gridSpan w:val="3"/>
            <w:tcBorders>
              <w:top w:val="nil"/>
              <w:left w:val="nil"/>
              <w:bottom w:val="nil"/>
              <w:right w:val="nil"/>
            </w:tcBorders>
            <w:shd w:val="clear" w:color="000000" w:fill="FFFFFF"/>
            <w:noWrap/>
            <w:vAlign w:val="center"/>
          </w:tcPr>
          <w:p>
            <w:pPr>
              <w:widowControl/>
              <w:jc w:val="righ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单位：万元</w:t>
            </w:r>
          </w:p>
        </w:tc>
      </w:tr>
      <w:tr>
        <w:tblPrEx>
          <w:tblCellMar>
            <w:top w:w="0" w:type="dxa"/>
            <w:left w:w="108" w:type="dxa"/>
            <w:bottom w:w="0" w:type="dxa"/>
            <w:right w:w="108" w:type="dxa"/>
          </w:tblCellMar>
        </w:tblPrEx>
        <w:trPr>
          <w:trHeight w:val="402" w:hRule="atLeast"/>
        </w:trPr>
        <w:tc>
          <w:tcPr>
            <w:tcW w:w="7602" w:type="dxa"/>
            <w:gridSpan w:val="6"/>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预算数</w:t>
            </w:r>
          </w:p>
        </w:tc>
        <w:tc>
          <w:tcPr>
            <w:tcW w:w="7631" w:type="dxa"/>
            <w:gridSpan w:val="8"/>
            <w:tcBorders>
              <w:top w:val="single" w:color="auto" w:sz="8" w:space="0"/>
              <w:left w:val="nil"/>
              <w:bottom w:val="single" w:color="auto" w:sz="4" w:space="0"/>
              <w:right w:val="single" w:color="000000" w:sz="4" w:space="0"/>
            </w:tcBorders>
            <w:shd w:val="clear" w:color="auto" w:fill="auto"/>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决算数</w:t>
            </w:r>
          </w:p>
        </w:tc>
      </w:tr>
      <w:tr>
        <w:tblPrEx>
          <w:tblCellMar>
            <w:top w:w="0" w:type="dxa"/>
            <w:left w:w="108" w:type="dxa"/>
            <w:bottom w:w="0" w:type="dxa"/>
            <w:right w:w="108" w:type="dxa"/>
          </w:tblCellMar>
        </w:tblPrEx>
        <w:trPr>
          <w:trHeight w:val="402" w:hRule="atLeast"/>
        </w:trPr>
        <w:tc>
          <w:tcPr>
            <w:tcW w:w="1117"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合计</w:t>
            </w:r>
          </w:p>
        </w:tc>
        <w:tc>
          <w:tcPr>
            <w:tcW w:w="1085"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pPr>
            <w:r>
              <w:rPr>
                <w:rFonts w:hint="eastAsia" w:ascii="仿宋" w:hAnsi="仿宋" w:eastAsia="仿宋" w:cs="仿宋"/>
                <w:kern w:val="0"/>
                <w:sz w:val="24"/>
                <w:szCs w:val="24"/>
              </w:rPr>
              <w:t>因公出国（境）费</w:t>
            </w:r>
          </w:p>
        </w:tc>
        <w:tc>
          <w:tcPr>
            <w:tcW w:w="3825" w:type="dxa"/>
            <w:gridSpan w:val="3"/>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pPr>
            <w:r>
              <w:rPr>
                <w:rFonts w:hint="eastAsia" w:ascii="仿宋" w:hAnsi="仿宋" w:eastAsia="仿宋" w:cs="仿宋"/>
                <w:kern w:val="0"/>
                <w:sz w:val="24"/>
                <w:szCs w:val="24"/>
              </w:rPr>
              <w:t>公务用车购置及运行费</w:t>
            </w:r>
          </w:p>
        </w:tc>
        <w:tc>
          <w:tcPr>
            <w:tcW w:w="1575"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公务</w:t>
            </w:r>
          </w:p>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接待费</w:t>
            </w:r>
          </w:p>
        </w:tc>
        <w:tc>
          <w:tcPr>
            <w:tcW w:w="103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合计</w:t>
            </w:r>
          </w:p>
        </w:tc>
        <w:tc>
          <w:tcPr>
            <w:tcW w:w="114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因公出国（境）费</w:t>
            </w:r>
          </w:p>
        </w:tc>
        <w:tc>
          <w:tcPr>
            <w:tcW w:w="3750" w:type="dxa"/>
            <w:gridSpan w:val="4"/>
            <w:tcBorders>
              <w:top w:val="nil"/>
              <w:left w:val="single" w:color="auto" w:sz="4" w:space="0"/>
              <w:bottom w:val="single" w:color="000000" w:sz="4" w:space="0"/>
              <w:right w:val="single" w:color="auto" w:sz="4" w:space="0"/>
            </w:tcBorders>
            <w:shd w:val="clear" w:color="auto" w:fill="auto"/>
            <w:vAlign w:val="center"/>
          </w:tcPr>
          <w:p>
            <w:pPr>
              <w:widowControl/>
              <w:jc w:val="center"/>
            </w:pPr>
            <w:r>
              <w:rPr>
                <w:rFonts w:hint="eastAsia" w:ascii="仿宋" w:hAnsi="仿宋" w:eastAsia="仿宋" w:cs="仿宋"/>
                <w:kern w:val="0"/>
                <w:sz w:val="24"/>
                <w:szCs w:val="24"/>
              </w:rPr>
              <w:t>公务用车购置及运行费</w:t>
            </w:r>
          </w:p>
        </w:tc>
        <w:tc>
          <w:tcPr>
            <w:tcW w:w="170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公务</w:t>
            </w:r>
          </w:p>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接待费</w:t>
            </w:r>
          </w:p>
        </w:tc>
      </w:tr>
      <w:tr>
        <w:tblPrEx>
          <w:tblCellMar>
            <w:top w:w="0" w:type="dxa"/>
            <w:left w:w="108" w:type="dxa"/>
            <w:bottom w:w="0" w:type="dxa"/>
            <w:right w:w="108" w:type="dxa"/>
          </w:tblCellMar>
        </w:tblPrEx>
        <w:trPr>
          <w:trHeight w:val="402" w:hRule="atLeast"/>
        </w:trPr>
        <w:tc>
          <w:tcPr>
            <w:tcW w:w="1117"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hint="eastAsia" w:ascii="仿宋" w:hAnsi="仿宋" w:eastAsia="仿宋" w:cs="仿宋"/>
                <w:kern w:val="0"/>
                <w:sz w:val="24"/>
                <w:szCs w:val="24"/>
              </w:rPr>
            </w:pPr>
          </w:p>
        </w:tc>
        <w:tc>
          <w:tcPr>
            <w:tcW w:w="1085"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pPr>
          </w:p>
        </w:tc>
        <w:tc>
          <w:tcPr>
            <w:tcW w:w="956" w:type="dxa"/>
            <w:tcBorders>
              <w:top w:val="single" w:color="auto" w:sz="4" w:space="0"/>
              <w:left w:val="single" w:color="auto" w:sz="8" w:space="0"/>
              <w:bottom w:val="single" w:color="auto" w:sz="4" w:space="0"/>
              <w:right w:val="single" w:color="auto" w:sz="4" w:space="0"/>
            </w:tcBorders>
            <w:vAlign w:val="center"/>
          </w:tcPr>
          <w:p>
            <w:pPr>
              <w:widowControl/>
              <w:jc w:val="center"/>
            </w:pPr>
            <w:r>
              <w:rPr>
                <w:rFonts w:hint="eastAsia" w:ascii="仿宋" w:hAnsi="仿宋" w:eastAsia="仿宋" w:cs="仿宋"/>
                <w:kern w:val="0"/>
                <w:sz w:val="24"/>
                <w:szCs w:val="24"/>
              </w:rPr>
              <w:t>小计</w:t>
            </w:r>
          </w:p>
        </w:tc>
        <w:tc>
          <w:tcPr>
            <w:tcW w:w="1313"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公务用车</w:t>
            </w:r>
            <w:r>
              <w:rPr>
                <w:rFonts w:hint="eastAsia" w:ascii="仿宋" w:hAnsi="仿宋" w:eastAsia="仿宋" w:cs="仿宋"/>
                <w:kern w:val="0"/>
                <w:sz w:val="24"/>
                <w:szCs w:val="24"/>
              </w:rPr>
              <w:br w:type="textWrapping"/>
            </w:r>
            <w:r>
              <w:rPr>
                <w:rFonts w:hint="eastAsia" w:ascii="仿宋" w:hAnsi="仿宋" w:eastAsia="仿宋" w:cs="仿宋"/>
                <w:kern w:val="0"/>
                <w:sz w:val="24"/>
                <w:szCs w:val="24"/>
              </w:rPr>
              <w:t>购置费</w:t>
            </w:r>
          </w:p>
        </w:tc>
        <w:tc>
          <w:tcPr>
            <w:tcW w:w="1556" w:type="dxa"/>
            <w:tcBorders>
              <w:top w:val="nil"/>
              <w:left w:val="single" w:color="auto" w:sz="4" w:space="0"/>
              <w:bottom w:val="single" w:color="auto" w:sz="4" w:space="0"/>
              <w:right w:val="single" w:color="auto" w:sz="4" w:space="0"/>
            </w:tcBorders>
            <w:vAlign w:val="center"/>
          </w:tcPr>
          <w:p>
            <w:pPr>
              <w:widowControl/>
              <w:jc w:val="center"/>
            </w:pPr>
            <w:r>
              <w:rPr>
                <w:rFonts w:hint="eastAsia" w:ascii="仿宋" w:hAnsi="仿宋" w:eastAsia="仿宋" w:cs="仿宋"/>
                <w:kern w:val="0"/>
                <w:sz w:val="24"/>
                <w:szCs w:val="24"/>
              </w:rPr>
              <w:t>公务用车</w:t>
            </w:r>
            <w:r>
              <w:rPr>
                <w:rFonts w:hint="eastAsia" w:ascii="仿宋" w:hAnsi="仿宋" w:eastAsia="仿宋" w:cs="仿宋"/>
                <w:kern w:val="0"/>
                <w:sz w:val="24"/>
                <w:szCs w:val="24"/>
              </w:rPr>
              <w:br w:type="textWrapping"/>
            </w:r>
            <w:r>
              <w:rPr>
                <w:rFonts w:hint="eastAsia" w:ascii="仿宋" w:hAnsi="仿宋" w:eastAsia="仿宋" w:cs="仿宋"/>
                <w:kern w:val="0"/>
                <w:sz w:val="24"/>
                <w:szCs w:val="24"/>
              </w:rPr>
              <w:t>运行费</w:t>
            </w:r>
          </w:p>
        </w:tc>
        <w:tc>
          <w:tcPr>
            <w:tcW w:w="1575" w:type="dxa"/>
            <w:vMerge w:val="continue"/>
            <w:tcBorders>
              <w:top w:val="nil"/>
              <w:left w:val="single" w:color="auto" w:sz="4" w:space="0"/>
              <w:bottom w:val="single" w:color="auto" w:sz="4" w:space="0"/>
              <w:right w:val="single" w:color="auto" w:sz="4" w:space="0"/>
            </w:tcBorders>
            <w:vAlign w:val="center"/>
          </w:tcPr>
          <w:p>
            <w:pPr>
              <w:widowControl/>
              <w:jc w:val="left"/>
            </w:pPr>
          </w:p>
        </w:tc>
        <w:tc>
          <w:tcPr>
            <w:tcW w:w="103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kern w:val="0"/>
                <w:sz w:val="24"/>
                <w:szCs w:val="24"/>
              </w:rPr>
            </w:pPr>
          </w:p>
        </w:tc>
        <w:tc>
          <w:tcPr>
            <w:tcW w:w="1144"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kern w:val="0"/>
                <w:sz w:val="24"/>
                <w:szCs w:val="24"/>
              </w:rPr>
            </w:pPr>
          </w:p>
        </w:tc>
        <w:tc>
          <w:tcPr>
            <w:tcW w:w="1050" w:type="dxa"/>
            <w:tcBorders>
              <w:top w:val="nil"/>
              <w:left w:val="single" w:color="auto" w:sz="4" w:space="0"/>
              <w:bottom w:val="single" w:color="000000" w:sz="4" w:space="0"/>
              <w:right w:val="single" w:color="auto" w:sz="4" w:space="0"/>
            </w:tcBorders>
            <w:vAlign w:val="center"/>
          </w:tcPr>
          <w:p>
            <w:pPr>
              <w:widowControl/>
              <w:jc w:val="center"/>
            </w:pPr>
            <w:r>
              <w:rPr>
                <w:rFonts w:hint="eastAsia" w:ascii="仿宋" w:hAnsi="仿宋" w:eastAsia="仿宋" w:cs="仿宋"/>
                <w:kern w:val="0"/>
                <w:sz w:val="24"/>
                <w:szCs w:val="24"/>
              </w:rPr>
              <w:t>小计</w:t>
            </w:r>
          </w:p>
        </w:tc>
        <w:tc>
          <w:tcPr>
            <w:tcW w:w="1331" w:type="dxa"/>
            <w:gridSpan w:val="2"/>
            <w:tcBorders>
              <w:top w:val="nil"/>
              <w:left w:val="single" w:color="auto" w:sz="4" w:space="0"/>
              <w:bottom w:val="single" w:color="000000" w:sz="4" w:space="0"/>
              <w:right w:val="single" w:color="auto" w:sz="4" w:space="0"/>
            </w:tcBorders>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公务用车</w:t>
            </w:r>
            <w:r>
              <w:rPr>
                <w:rFonts w:hint="eastAsia" w:ascii="仿宋" w:hAnsi="仿宋" w:eastAsia="仿宋" w:cs="仿宋"/>
                <w:kern w:val="0"/>
                <w:sz w:val="24"/>
                <w:szCs w:val="24"/>
              </w:rPr>
              <w:br w:type="textWrapping"/>
            </w:r>
            <w:r>
              <w:rPr>
                <w:rFonts w:hint="eastAsia" w:ascii="仿宋" w:hAnsi="仿宋" w:eastAsia="仿宋" w:cs="仿宋"/>
                <w:kern w:val="0"/>
                <w:sz w:val="24"/>
                <w:szCs w:val="24"/>
              </w:rPr>
              <w:t>购置费</w:t>
            </w:r>
          </w:p>
        </w:tc>
        <w:tc>
          <w:tcPr>
            <w:tcW w:w="1369" w:type="dxa"/>
            <w:tcBorders>
              <w:top w:val="nil"/>
              <w:left w:val="single" w:color="auto" w:sz="4" w:space="0"/>
              <w:bottom w:val="single" w:color="000000" w:sz="4" w:space="0"/>
              <w:right w:val="single" w:color="auto" w:sz="4" w:space="0"/>
            </w:tcBorders>
            <w:vAlign w:val="center"/>
          </w:tcPr>
          <w:p>
            <w:pPr>
              <w:widowControl/>
              <w:jc w:val="center"/>
            </w:pPr>
            <w:r>
              <w:rPr>
                <w:rFonts w:hint="eastAsia" w:ascii="仿宋" w:hAnsi="仿宋" w:eastAsia="仿宋" w:cs="仿宋"/>
                <w:kern w:val="0"/>
                <w:sz w:val="24"/>
                <w:szCs w:val="24"/>
              </w:rPr>
              <w:t>公务用车</w:t>
            </w:r>
            <w:r>
              <w:rPr>
                <w:rFonts w:hint="eastAsia" w:ascii="仿宋" w:hAnsi="仿宋" w:eastAsia="仿宋" w:cs="仿宋"/>
                <w:kern w:val="0"/>
                <w:sz w:val="24"/>
                <w:szCs w:val="24"/>
              </w:rPr>
              <w:br w:type="textWrapping"/>
            </w:r>
            <w:r>
              <w:rPr>
                <w:rFonts w:hint="eastAsia" w:ascii="仿宋" w:hAnsi="仿宋" w:eastAsia="仿宋" w:cs="仿宋"/>
                <w:kern w:val="0"/>
                <w:sz w:val="24"/>
                <w:szCs w:val="24"/>
              </w:rPr>
              <w:t>运行费</w:t>
            </w:r>
          </w:p>
        </w:tc>
        <w:tc>
          <w:tcPr>
            <w:tcW w:w="1706" w:type="dxa"/>
            <w:vMerge w:val="continue"/>
            <w:tcBorders>
              <w:top w:val="nil"/>
              <w:left w:val="single" w:color="auto" w:sz="4" w:space="0"/>
              <w:bottom w:val="single" w:color="000000" w:sz="4" w:space="0"/>
              <w:right w:val="single" w:color="auto" w:sz="4" w:space="0"/>
            </w:tcBorders>
            <w:vAlign w:val="center"/>
          </w:tcPr>
          <w:p>
            <w:pPr>
              <w:widowControl/>
              <w:jc w:val="left"/>
            </w:pPr>
          </w:p>
        </w:tc>
      </w:tr>
      <w:tr>
        <w:tblPrEx>
          <w:tblCellMar>
            <w:top w:w="0" w:type="dxa"/>
            <w:left w:w="108" w:type="dxa"/>
            <w:bottom w:w="0" w:type="dxa"/>
            <w:right w:w="108" w:type="dxa"/>
          </w:tblCellMar>
        </w:tblPrEx>
        <w:trPr>
          <w:trHeight w:val="402" w:hRule="atLeast"/>
        </w:trPr>
        <w:tc>
          <w:tcPr>
            <w:tcW w:w="1117" w:type="dxa"/>
            <w:tcBorders>
              <w:top w:val="single" w:color="auto" w:sz="4" w:space="0"/>
              <w:left w:val="single" w:color="auto" w:sz="8" w:space="0"/>
              <w:bottom w:val="single" w:color="auto" w:sz="4" w:space="0"/>
              <w:right w:val="single" w:color="auto" w:sz="4" w:space="0"/>
            </w:tcBorders>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1</w:t>
            </w:r>
          </w:p>
        </w:tc>
        <w:tc>
          <w:tcPr>
            <w:tcW w:w="1085" w:type="dxa"/>
            <w:tcBorders>
              <w:top w:val="single" w:color="auto" w:sz="4" w:space="0"/>
              <w:left w:val="single" w:color="auto" w:sz="8" w:space="0"/>
              <w:bottom w:val="single" w:color="auto" w:sz="4" w:space="0"/>
              <w:right w:val="single" w:color="auto" w:sz="4" w:space="0"/>
            </w:tcBorders>
            <w:vAlign w:val="center"/>
          </w:tcPr>
          <w:p>
            <w:pPr>
              <w:widowControl/>
              <w:jc w:val="center"/>
            </w:pPr>
            <w:r>
              <w:rPr>
                <w:rFonts w:hint="eastAsia" w:ascii="仿宋" w:hAnsi="仿宋" w:eastAsia="仿宋" w:cs="仿宋"/>
                <w:kern w:val="0"/>
                <w:sz w:val="24"/>
                <w:szCs w:val="24"/>
              </w:rPr>
              <w:t>2</w:t>
            </w:r>
          </w:p>
        </w:tc>
        <w:tc>
          <w:tcPr>
            <w:tcW w:w="956" w:type="dxa"/>
            <w:tcBorders>
              <w:top w:val="single" w:color="auto" w:sz="4" w:space="0"/>
              <w:left w:val="single" w:color="auto" w:sz="8" w:space="0"/>
              <w:bottom w:val="single" w:color="auto" w:sz="4" w:space="0"/>
              <w:right w:val="single" w:color="auto" w:sz="4" w:space="0"/>
            </w:tcBorders>
            <w:vAlign w:val="center"/>
          </w:tcPr>
          <w:p>
            <w:pPr>
              <w:widowControl/>
              <w:jc w:val="center"/>
            </w:pPr>
            <w:r>
              <w:rPr>
                <w:rFonts w:hint="eastAsia" w:ascii="仿宋" w:hAnsi="仿宋" w:eastAsia="仿宋" w:cs="仿宋"/>
                <w:kern w:val="0"/>
                <w:sz w:val="24"/>
                <w:szCs w:val="24"/>
              </w:rPr>
              <w:t>3</w:t>
            </w:r>
          </w:p>
        </w:tc>
        <w:tc>
          <w:tcPr>
            <w:tcW w:w="1313"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4</w:t>
            </w:r>
          </w:p>
        </w:tc>
        <w:tc>
          <w:tcPr>
            <w:tcW w:w="1556" w:type="dxa"/>
            <w:tcBorders>
              <w:top w:val="nil"/>
              <w:left w:val="single" w:color="auto" w:sz="4" w:space="0"/>
              <w:bottom w:val="single" w:color="auto" w:sz="4" w:space="0"/>
              <w:right w:val="single" w:color="auto" w:sz="4" w:space="0"/>
            </w:tcBorders>
            <w:vAlign w:val="center"/>
          </w:tcPr>
          <w:p>
            <w:pPr>
              <w:widowControl/>
              <w:jc w:val="center"/>
            </w:pPr>
            <w:r>
              <w:rPr>
                <w:rFonts w:hint="eastAsia" w:ascii="仿宋" w:hAnsi="仿宋" w:eastAsia="仿宋" w:cs="仿宋"/>
                <w:kern w:val="0"/>
                <w:sz w:val="24"/>
                <w:szCs w:val="24"/>
              </w:rPr>
              <w:t>5</w:t>
            </w:r>
          </w:p>
        </w:tc>
        <w:tc>
          <w:tcPr>
            <w:tcW w:w="1575" w:type="dxa"/>
            <w:tcBorders>
              <w:top w:val="nil"/>
              <w:left w:val="single" w:color="auto" w:sz="4" w:space="0"/>
              <w:bottom w:val="single" w:color="auto" w:sz="4" w:space="0"/>
              <w:right w:val="single" w:color="auto" w:sz="4" w:space="0"/>
            </w:tcBorders>
            <w:vAlign w:val="center"/>
          </w:tcPr>
          <w:p>
            <w:pPr>
              <w:widowControl/>
              <w:jc w:val="center"/>
            </w:pPr>
            <w:r>
              <w:rPr>
                <w:rFonts w:hint="eastAsia" w:ascii="仿宋" w:hAnsi="仿宋" w:eastAsia="仿宋" w:cs="仿宋"/>
                <w:kern w:val="0"/>
                <w:sz w:val="24"/>
                <w:szCs w:val="24"/>
              </w:rPr>
              <w:t>6</w:t>
            </w:r>
          </w:p>
        </w:tc>
        <w:tc>
          <w:tcPr>
            <w:tcW w:w="1031" w:type="dxa"/>
            <w:gridSpan w:val="2"/>
            <w:tcBorders>
              <w:top w:val="nil"/>
              <w:left w:val="single" w:color="auto" w:sz="4" w:space="0"/>
              <w:bottom w:val="single" w:color="000000" w:sz="4" w:space="0"/>
              <w:right w:val="single" w:color="auto" w:sz="4" w:space="0"/>
            </w:tcBorders>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7</w:t>
            </w:r>
          </w:p>
        </w:tc>
        <w:tc>
          <w:tcPr>
            <w:tcW w:w="1144" w:type="dxa"/>
            <w:tcBorders>
              <w:top w:val="nil"/>
              <w:left w:val="single" w:color="auto" w:sz="4" w:space="0"/>
              <w:bottom w:val="single" w:color="000000" w:sz="4" w:space="0"/>
              <w:right w:val="single" w:color="auto" w:sz="4" w:space="0"/>
            </w:tcBorders>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8</w:t>
            </w:r>
          </w:p>
        </w:tc>
        <w:tc>
          <w:tcPr>
            <w:tcW w:w="1050" w:type="dxa"/>
            <w:tcBorders>
              <w:top w:val="nil"/>
              <w:left w:val="single" w:color="auto" w:sz="4" w:space="0"/>
              <w:bottom w:val="single" w:color="000000" w:sz="4" w:space="0"/>
              <w:right w:val="single" w:color="auto" w:sz="4" w:space="0"/>
            </w:tcBorders>
            <w:vAlign w:val="center"/>
          </w:tcPr>
          <w:p>
            <w:pPr>
              <w:widowControl/>
              <w:jc w:val="center"/>
            </w:pPr>
            <w:r>
              <w:rPr>
                <w:rFonts w:hint="eastAsia" w:ascii="仿宋" w:hAnsi="仿宋" w:eastAsia="仿宋" w:cs="仿宋"/>
                <w:kern w:val="0"/>
                <w:sz w:val="24"/>
                <w:szCs w:val="24"/>
              </w:rPr>
              <w:t>9</w:t>
            </w:r>
          </w:p>
        </w:tc>
        <w:tc>
          <w:tcPr>
            <w:tcW w:w="1331" w:type="dxa"/>
            <w:gridSpan w:val="2"/>
            <w:tcBorders>
              <w:top w:val="nil"/>
              <w:left w:val="single" w:color="auto" w:sz="4" w:space="0"/>
              <w:bottom w:val="single" w:color="000000" w:sz="4" w:space="0"/>
              <w:right w:val="single" w:color="auto" w:sz="4" w:space="0"/>
            </w:tcBorders>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10</w:t>
            </w:r>
          </w:p>
        </w:tc>
        <w:tc>
          <w:tcPr>
            <w:tcW w:w="1369" w:type="dxa"/>
            <w:tcBorders>
              <w:top w:val="nil"/>
              <w:left w:val="single" w:color="auto" w:sz="4" w:space="0"/>
              <w:bottom w:val="single" w:color="000000" w:sz="4" w:space="0"/>
              <w:right w:val="single" w:color="auto" w:sz="4" w:space="0"/>
            </w:tcBorders>
            <w:vAlign w:val="center"/>
          </w:tcPr>
          <w:p>
            <w:pPr>
              <w:widowControl/>
              <w:jc w:val="center"/>
            </w:pPr>
            <w:r>
              <w:rPr>
                <w:rFonts w:hint="eastAsia" w:ascii="仿宋" w:hAnsi="仿宋" w:eastAsia="仿宋" w:cs="仿宋"/>
                <w:kern w:val="0"/>
                <w:sz w:val="24"/>
                <w:szCs w:val="24"/>
              </w:rPr>
              <w:t>11</w:t>
            </w:r>
          </w:p>
        </w:tc>
        <w:tc>
          <w:tcPr>
            <w:tcW w:w="1706" w:type="dxa"/>
            <w:tcBorders>
              <w:top w:val="nil"/>
              <w:left w:val="single" w:color="auto" w:sz="4" w:space="0"/>
              <w:bottom w:val="single" w:color="000000" w:sz="4" w:space="0"/>
              <w:right w:val="single" w:color="auto" w:sz="4" w:space="0"/>
            </w:tcBorders>
            <w:vAlign w:val="center"/>
          </w:tcPr>
          <w:p>
            <w:pPr>
              <w:widowControl/>
              <w:jc w:val="center"/>
            </w:pPr>
            <w:r>
              <w:rPr>
                <w:rFonts w:hint="eastAsia" w:ascii="仿宋" w:hAnsi="仿宋" w:eastAsia="仿宋" w:cs="仿宋"/>
                <w:kern w:val="0"/>
                <w:sz w:val="24"/>
                <w:szCs w:val="24"/>
              </w:rPr>
              <w:t>12</w:t>
            </w:r>
          </w:p>
        </w:tc>
      </w:tr>
      <w:tr>
        <w:tblPrEx>
          <w:tblCellMar>
            <w:top w:w="0" w:type="dxa"/>
            <w:left w:w="108" w:type="dxa"/>
            <w:bottom w:w="0" w:type="dxa"/>
            <w:right w:w="108" w:type="dxa"/>
          </w:tblCellMar>
        </w:tblPrEx>
        <w:trPr>
          <w:trHeight w:val="402" w:hRule="atLeast"/>
        </w:trPr>
        <w:tc>
          <w:tcPr>
            <w:tcW w:w="1117" w:type="dxa"/>
            <w:tcBorders>
              <w:top w:val="single" w:color="auto" w:sz="4" w:space="0"/>
              <w:left w:val="single" w:color="auto" w:sz="8" w:space="0"/>
              <w:bottom w:val="single" w:color="auto" w:sz="4" w:space="0"/>
              <w:right w:val="single" w:color="000000" w:sz="4" w:space="0"/>
            </w:tcBorders>
            <w:shd w:val="clear" w:color="auto" w:fill="auto"/>
            <w:vAlign w:val="center"/>
          </w:tcPr>
          <w:p>
            <w:pPr>
              <w:widowControl/>
              <w:jc w:val="center"/>
              <w:rPr>
                <w:rFonts w:hint="eastAsia" w:ascii="仿宋" w:hAnsi="仿宋" w:eastAsia="仿宋" w:cs="仿宋"/>
                <w:kern w:val="0"/>
                <w:sz w:val="24"/>
                <w:szCs w:val="24"/>
              </w:rPr>
            </w:pPr>
            <w:r>
              <w:rPr>
                <w:rFonts w:hint="eastAsia" w:ascii="仿宋" w:hAnsi="仿宋" w:eastAsia="仿宋" w:cs="仿宋"/>
                <w:b/>
                <w:bCs/>
                <w:kern w:val="0"/>
                <w:sz w:val="24"/>
                <w:szCs w:val="24"/>
                <w:lang w:val="en-US" w:eastAsia="zh-CN"/>
              </w:rPr>
              <w:t>60.00</w:t>
            </w:r>
          </w:p>
        </w:tc>
        <w:tc>
          <w:tcPr>
            <w:tcW w:w="1085" w:type="dxa"/>
            <w:tcBorders>
              <w:top w:val="single" w:color="auto" w:sz="4" w:space="0"/>
              <w:left w:val="single" w:color="auto" w:sz="8" w:space="0"/>
              <w:bottom w:val="single" w:color="auto" w:sz="4" w:space="0"/>
              <w:right w:val="single" w:color="000000" w:sz="4" w:space="0"/>
            </w:tcBorders>
            <w:shd w:val="clear" w:color="auto" w:fill="auto"/>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0.00</w:t>
            </w:r>
          </w:p>
        </w:tc>
        <w:tc>
          <w:tcPr>
            <w:tcW w:w="956" w:type="dxa"/>
            <w:tcBorders>
              <w:top w:val="single" w:color="auto" w:sz="4" w:space="0"/>
              <w:left w:val="single" w:color="auto" w:sz="8" w:space="0"/>
              <w:bottom w:val="single" w:color="auto" w:sz="4" w:space="0"/>
              <w:right w:val="single" w:color="000000" w:sz="4" w:space="0"/>
            </w:tcBorders>
            <w:shd w:val="clear" w:color="auto" w:fill="auto"/>
            <w:vAlign w:val="center"/>
          </w:tcPr>
          <w:p>
            <w:pPr>
              <w:widowControl/>
              <w:jc w:val="center"/>
              <w:rPr>
                <w:rFonts w:hint="eastAsia" w:ascii="仿宋" w:hAnsi="仿宋" w:eastAsia="仿宋" w:cs="仿宋"/>
                <w:kern w:val="0"/>
                <w:sz w:val="24"/>
                <w:szCs w:val="24"/>
              </w:rPr>
            </w:pPr>
            <w:r>
              <w:rPr>
                <w:rFonts w:hint="eastAsia" w:ascii="仿宋" w:hAnsi="仿宋" w:eastAsia="仿宋" w:cs="仿宋"/>
                <w:b/>
                <w:bCs/>
                <w:kern w:val="0"/>
                <w:sz w:val="24"/>
                <w:szCs w:val="24"/>
                <w:lang w:val="en-US" w:eastAsia="zh-CN"/>
              </w:rPr>
              <w:t>25.00</w:t>
            </w:r>
          </w:p>
        </w:tc>
        <w:tc>
          <w:tcPr>
            <w:tcW w:w="1313" w:type="dxa"/>
            <w:tcBorders>
              <w:top w:val="single" w:color="auto" w:sz="4" w:space="0"/>
              <w:left w:val="single" w:color="auto" w:sz="8" w:space="0"/>
              <w:bottom w:val="single" w:color="auto" w:sz="4" w:space="0"/>
              <w:right w:val="single" w:color="000000" w:sz="4" w:space="0"/>
            </w:tcBorders>
            <w:shd w:val="clear" w:color="auto" w:fill="auto"/>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0.00</w:t>
            </w:r>
          </w:p>
        </w:tc>
        <w:tc>
          <w:tcPr>
            <w:tcW w:w="1556" w:type="dxa"/>
            <w:tcBorders>
              <w:top w:val="single" w:color="auto" w:sz="4" w:space="0"/>
              <w:left w:val="single" w:color="auto" w:sz="8" w:space="0"/>
              <w:bottom w:val="single" w:color="auto" w:sz="4" w:space="0"/>
              <w:right w:val="single" w:color="000000" w:sz="4" w:space="0"/>
            </w:tcBorders>
            <w:shd w:val="clear" w:color="auto" w:fill="auto"/>
            <w:vAlign w:val="center"/>
          </w:tcPr>
          <w:p>
            <w:pPr>
              <w:widowControl/>
              <w:jc w:val="center"/>
              <w:rPr>
                <w:rFonts w:hint="eastAsia" w:ascii="仿宋" w:hAnsi="仿宋" w:eastAsia="仿宋" w:cs="仿宋"/>
                <w:kern w:val="0"/>
                <w:sz w:val="24"/>
                <w:szCs w:val="24"/>
              </w:rPr>
            </w:pPr>
            <w:r>
              <w:rPr>
                <w:rFonts w:hint="eastAsia" w:ascii="仿宋" w:hAnsi="仿宋" w:eastAsia="仿宋" w:cs="仿宋"/>
                <w:b/>
                <w:bCs/>
                <w:kern w:val="0"/>
                <w:sz w:val="24"/>
                <w:szCs w:val="24"/>
                <w:lang w:val="en-US" w:eastAsia="zh-CN"/>
              </w:rPr>
              <w:t>25.00</w:t>
            </w:r>
          </w:p>
        </w:tc>
        <w:tc>
          <w:tcPr>
            <w:tcW w:w="1575" w:type="dxa"/>
            <w:tcBorders>
              <w:top w:val="single" w:color="auto" w:sz="4" w:space="0"/>
              <w:left w:val="single" w:color="auto" w:sz="8" w:space="0"/>
              <w:bottom w:val="single" w:color="auto" w:sz="4" w:space="0"/>
              <w:right w:val="single" w:color="000000" w:sz="4" w:space="0"/>
            </w:tcBorders>
            <w:shd w:val="clear" w:color="auto" w:fill="auto"/>
            <w:vAlign w:val="center"/>
          </w:tcPr>
          <w:p>
            <w:pPr>
              <w:widowControl/>
              <w:jc w:val="center"/>
              <w:rPr>
                <w:rFonts w:hint="eastAsia" w:ascii="仿宋" w:hAnsi="仿宋" w:eastAsia="仿宋" w:cs="仿宋"/>
                <w:kern w:val="0"/>
                <w:sz w:val="24"/>
                <w:szCs w:val="24"/>
              </w:rPr>
            </w:pPr>
            <w:r>
              <w:rPr>
                <w:rFonts w:hint="eastAsia" w:ascii="仿宋" w:hAnsi="仿宋" w:eastAsia="仿宋" w:cs="仿宋"/>
                <w:b/>
                <w:bCs/>
                <w:kern w:val="0"/>
                <w:sz w:val="24"/>
                <w:szCs w:val="24"/>
                <w:lang w:val="en-US" w:eastAsia="zh-CN"/>
              </w:rPr>
              <w:t>35.00</w:t>
            </w:r>
          </w:p>
        </w:tc>
        <w:tc>
          <w:tcPr>
            <w:tcW w:w="103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2"/>
                <w:sz w:val="22"/>
                <w:szCs w:val="22"/>
                <w:u w:val="none"/>
                <w:lang w:val="en-US" w:eastAsia="zh-CN" w:bidi="ar-SA"/>
              </w:rPr>
            </w:pPr>
            <w:r>
              <w:rPr>
                <w:rFonts w:hint="eastAsia" w:ascii="仿宋" w:hAnsi="仿宋" w:eastAsia="仿宋" w:cs="仿宋"/>
                <w:b/>
                <w:bCs/>
                <w:kern w:val="0"/>
                <w:sz w:val="24"/>
                <w:szCs w:val="24"/>
                <w:lang w:val="en-US" w:eastAsia="zh-CN"/>
              </w:rPr>
              <w:t>58.04</w:t>
            </w:r>
            <w:r>
              <w:rPr>
                <w:rFonts w:hint="eastAsia" w:ascii="宋体" w:hAnsi="宋体" w:eastAsia="宋体" w:cs="宋体"/>
                <w:i w:val="0"/>
                <w:color w:val="000000"/>
                <w:kern w:val="0"/>
                <w:sz w:val="22"/>
                <w:szCs w:val="22"/>
                <w:u w:val="none"/>
                <w:lang w:val="en-US" w:eastAsia="zh-CN" w:bidi="ar"/>
              </w:rPr>
              <w:t xml:space="preserve"> </w:t>
            </w:r>
          </w:p>
        </w:tc>
        <w:tc>
          <w:tcPr>
            <w:tcW w:w="1144" w:type="dxa"/>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0.00</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 xml:space="preserve">24.51 </w:t>
            </w:r>
          </w:p>
        </w:tc>
        <w:tc>
          <w:tcPr>
            <w:tcW w:w="133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b/>
                <w:bCs/>
                <w:kern w:val="0"/>
                <w:sz w:val="24"/>
                <w:szCs w:val="24"/>
                <w:lang w:val="en-US" w:eastAsia="zh-CN"/>
              </w:rPr>
            </w:pPr>
          </w:p>
        </w:tc>
        <w:tc>
          <w:tcPr>
            <w:tcW w:w="1369"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 xml:space="preserve">24.51 </w:t>
            </w:r>
          </w:p>
        </w:tc>
        <w:tc>
          <w:tcPr>
            <w:tcW w:w="170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 xml:space="preserve">33.53 </w:t>
            </w:r>
          </w:p>
        </w:tc>
      </w:tr>
      <w:tr>
        <w:tblPrEx>
          <w:tblCellMar>
            <w:top w:w="0" w:type="dxa"/>
            <w:left w:w="108" w:type="dxa"/>
            <w:bottom w:w="0" w:type="dxa"/>
            <w:right w:w="108" w:type="dxa"/>
          </w:tblCellMar>
        </w:tblPrEx>
        <w:trPr>
          <w:trHeight w:val="720" w:hRule="atLeast"/>
        </w:trPr>
        <w:tc>
          <w:tcPr>
            <w:tcW w:w="15233" w:type="dxa"/>
            <w:gridSpan w:val="14"/>
            <w:tcBorders>
              <w:top w:val="single" w:color="auto" w:sz="8" w:space="0"/>
              <w:left w:val="nil"/>
              <w:bottom w:val="nil"/>
              <w:right w:val="nil"/>
            </w:tcBorders>
            <w:shd w:val="clear" w:color="auto" w:fill="auto"/>
            <w:vAlign w:val="center"/>
          </w:tcPr>
          <w:p>
            <w:pPr>
              <w:widowControl/>
              <w:rPr>
                <w:rFonts w:hint="eastAsia" w:ascii="仿宋" w:hAnsi="仿宋" w:eastAsia="仿宋" w:cs="仿宋"/>
                <w:kern w:val="0"/>
                <w:sz w:val="24"/>
                <w:szCs w:val="24"/>
              </w:rPr>
            </w:pPr>
            <w:r>
              <w:rPr>
                <w:rFonts w:hint="eastAsia" w:ascii="仿宋" w:hAnsi="仿宋" w:eastAsia="仿宋" w:cs="仿宋"/>
                <w:kern w:val="0"/>
                <w:sz w:val="24"/>
                <w:szCs w:val="24"/>
              </w:rPr>
              <w:t>注：本表反映部门本年度“三公”经费支出预决算情况。其中，预算数为“三公”经费全年预算数，反映按规定程序调整后的预算数；决算数是包括当年财政拨款和以前年度结转资金安排的实际支出。</w:t>
            </w:r>
          </w:p>
          <w:p>
            <w:pPr>
              <w:widowControl/>
              <w:jc w:val="left"/>
              <w:rPr>
                <w:rFonts w:hint="eastAsia" w:ascii="仿宋" w:hAnsi="仿宋" w:eastAsia="仿宋" w:cs="仿宋"/>
                <w:kern w:val="0"/>
                <w:sz w:val="24"/>
                <w:szCs w:val="24"/>
              </w:rPr>
            </w:pPr>
          </w:p>
        </w:tc>
      </w:tr>
    </w:tbl>
    <w:p>
      <w:pPr>
        <w:pStyle w:val="15"/>
        <w:rPr>
          <w:rFonts w:cs="Calibri"/>
          <w:sz w:val="72"/>
          <w:szCs w:val="72"/>
        </w:rPr>
        <w:sectPr>
          <w:pgSz w:w="16838" w:h="11906" w:orient="landscape"/>
          <w:pgMar w:top="720" w:right="720" w:bottom="720" w:left="720" w:header="851" w:footer="992" w:gutter="0"/>
          <w:pgNumType w:fmt="decimal"/>
          <w:cols w:space="425" w:num="1"/>
          <w:docGrid w:type="lines" w:linePitch="312" w:charSpace="0"/>
        </w:sectPr>
      </w:pPr>
    </w:p>
    <w:p>
      <w:pPr>
        <w:pStyle w:val="15"/>
        <w:rPr>
          <w:rFonts w:cs="Calibri"/>
          <w:sz w:val="32"/>
          <w:szCs w:val="32"/>
        </w:rPr>
      </w:pPr>
    </w:p>
    <w:p>
      <w:pPr>
        <w:pStyle w:val="15"/>
        <w:rPr>
          <w:rFonts w:cs="Calibri"/>
          <w:sz w:val="32"/>
          <w:szCs w:val="32"/>
        </w:rPr>
      </w:pPr>
    </w:p>
    <w:p>
      <w:pPr>
        <w:pStyle w:val="15"/>
        <w:rPr>
          <w:rFonts w:cs="Calibri"/>
          <w:sz w:val="32"/>
          <w:szCs w:val="32"/>
        </w:rPr>
      </w:pPr>
    </w:p>
    <w:p>
      <w:pPr>
        <w:pStyle w:val="15"/>
        <w:jc w:val="both"/>
        <w:rPr>
          <w:rFonts w:cs="Calibri"/>
          <w:sz w:val="32"/>
          <w:szCs w:val="32"/>
        </w:rPr>
      </w:pPr>
    </w:p>
    <w:p>
      <w:pPr>
        <w:pStyle w:val="15"/>
        <w:jc w:val="both"/>
        <w:rPr>
          <w:rFonts w:cs="Calibri"/>
          <w:sz w:val="32"/>
          <w:szCs w:val="32"/>
        </w:rPr>
      </w:pPr>
    </w:p>
    <w:p>
      <w:pPr>
        <w:pStyle w:val="15"/>
        <w:spacing w:line="360" w:lineRule="auto"/>
        <w:jc w:val="center"/>
        <w:rPr>
          <w:rFonts w:hint="eastAsia"/>
          <w:sz w:val="56"/>
          <w:szCs w:val="56"/>
        </w:rPr>
      </w:pPr>
      <w:r>
        <w:rPr>
          <w:rFonts w:hint="eastAsia"/>
          <w:sz w:val="56"/>
          <w:szCs w:val="56"/>
        </w:rPr>
        <w:t>第三部分</w:t>
      </w:r>
    </w:p>
    <w:p>
      <w:pPr>
        <w:pStyle w:val="15"/>
        <w:spacing w:line="360" w:lineRule="auto"/>
        <w:jc w:val="center"/>
        <w:rPr>
          <w:rFonts w:hint="eastAsia"/>
          <w:sz w:val="56"/>
          <w:szCs w:val="56"/>
        </w:rPr>
      </w:pPr>
    </w:p>
    <w:p>
      <w:pPr>
        <w:pStyle w:val="15"/>
        <w:spacing w:line="360" w:lineRule="auto"/>
        <w:jc w:val="center"/>
        <w:rPr>
          <w:rFonts w:hint="eastAsia"/>
          <w:sz w:val="56"/>
          <w:szCs w:val="56"/>
        </w:rPr>
      </w:pPr>
      <w:r>
        <w:rPr>
          <w:rFonts w:hint="eastAsia"/>
          <w:sz w:val="56"/>
          <w:szCs w:val="56"/>
          <w:lang w:eastAsia="zh-CN"/>
        </w:rPr>
        <w:t>2025</w:t>
      </w:r>
      <w:r>
        <w:rPr>
          <w:rFonts w:hint="eastAsia"/>
          <w:sz w:val="56"/>
          <w:szCs w:val="56"/>
        </w:rPr>
        <w:t>年度部门决算情况说明</w:t>
      </w:r>
    </w:p>
    <w:p>
      <w:pPr>
        <w:pStyle w:val="15"/>
        <w:spacing w:line="360" w:lineRule="auto"/>
        <w:jc w:val="both"/>
        <w:rPr>
          <w:rFonts w:hint="eastAsia"/>
          <w:lang w:val="en-US" w:eastAsia="zh-CN"/>
        </w:rPr>
      </w:pPr>
    </w:p>
    <w:p>
      <w:pPr>
        <w:pStyle w:val="15"/>
        <w:spacing w:line="360" w:lineRule="auto"/>
        <w:jc w:val="both"/>
        <w:rPr>
          <w:rFonts w:hint="eastAsia"/>
          <w:lang w:val="en-US" w:eastAsia="zh-CN"/>
        </w:rPr>
      </w:pPr>
    </w:p>
    <w:p>
      <w:pPr>
        <w:pStyle w:val="15"/>
        <w:spacing w:line="360" w:lineRule="auto"/>
        <w:jc w:val="both"/>
        <w:rPr>
          <w:rFonts w:hint="eastAsia"/>
          <w:lang w:val="en-US" w:eastAsia="zh-CN"/>
        </w:rPr>
      </w:pPr>
    </w:p>
    <w:p>
      <w:pPr>
        <w:pStyle w:val="15"/>
        <w:spacing w:line="360" w:lineRule="auto"/>
        <w:jc w:val="both"/>
        <w:rPr>
          <w:rFonts w:hint="eastAsia"/>
          <w:lang w:val="en-US" w:eastAsia="zh-CN"/>
        </w:rPr>
      </w:pPr>
    </w:p>
    <w:p>
      <w:pPr>
        <w:pStyle w:val="15"/>
        <w:spacing w:line="360" w:lineRule="auto"/>
        <w:jc w:val="both"/>
        <w:rPr>
          <w:rFonts w:hint="eastAsia"/>
          <w:lang w:val="en-US" w:eastAsia="zh-CN"/>
        </w:rPr>
      </w:pPr>
    </w:p>
    <w:p>
      <w:pPr>
        <w:pStyle w:val="15"/>
        <w:spacing w:line="360" w:lineRule="auto"/>
        <w:jc w:val="both"/>
        <w:rPr>
          <w:rFonts w:hint="eastAsia"/>
          <w:lang w:val="en-US" w:eastAsia="zh-CN"/>
        </w:rPr>
      </w:pPr>
    </w:p>
    <w:p>
      <w:pPr>
        <w:pStyle w:val="15"/>
        <w:spacing w:line="360" w:lineRule="auto"/>
        <w:jc w:val="both"/>
        <w:rPr>
          <w:rFonts w:hint="eastAsia"/>
          <w:lang w:val="en-US" w:eastAsia="zh-CN"/>
        </w:rPr>
      </w:pPr>
    </w:p>
    <w:p>
      <w:pPr>
        <w:pStyle w:val="15"/>
        <w:spacing w:line="360" w:lineRule="auto"/>
        <w:jc w:val="both"/>
        <w:rPr>
          <w:rFonts w:hint="eastAsia"/>
          <w:lang w:val="en-US" w:eastAsia="zh-CN"/>
        </w:rPr>
      </w:pPr>
    </w:p>
    <w:p>
      <w:pPr>
        <w:pStyle w:val="15"/>
        <w:spacing w:line="360" w:lineRule="auto"/>
        <w:jc w:val="both"/>
        <w:rPr>
          <w:rFonts w:hint="eastAsia"/>
          <w:lang w:val="en-US" w:eastAsia="zh-CN"/>
        </w:rPr>
      </w:pPr>
    </w:p>
    <w:p>
      <w:pPr>
        <w:pStyle w:val="15"/>
        <w:spacing w:line="360" w:lineRule="auto"/>
        <w:jc w:val="both"/>
        <w:rPr>
          <w:rFonts w:hint="eastAsia"/>
          <w:lang w:val="en-US" w:eastAsia="zh-CN"/>
        </w:rPr>
      </w:pPr>
    </w:p>
    <w:p>
      <w:pPr>
        <w:pStyle w:val="15"/>
        <w:spacing w:line="360" w:lineRule="auto"/>
        <w:jc w:val="both"/>
        <w:rPr>
          <w:rFonts w:hint="eastAsia"/>
          <w:lang w:val="en-US" w:eastAsia="zh-CN"/>
        </w:rPr>
      </w:pPr>
    </w:p>
    <w:p>
      <w:pPr>
        <w:pStyle w:val="15"/>
        <w:spacing w:line="360" w:lineRule="auto"/>
        <w:jc w:val="both"/>
        <w:rPr>
          <w:rFonts w:hint="eastAsia"/>
          <w:lang w:val="en-US" w:eastAsia="zh-CN"/>
        </w:rPr>
      </w:pPr>
    </w:p>
    <w:p>
      <w:pPr>
        <w:pStyle w:val="15"/>
        <w:spacing w:line="360" w:lineRule="auto"/>
        <w:jc w:val="both"/>
        <w:rPr>
          <w:rFonts w:hint="eastAsia"/>
          <w:lang w:val="en-US" w:eastAsia="zh-CN"/>
        </w:rPr>
      </w:pPr>
    </w:p>
    <w:p>
      <w:pPr>
        <w:pStyle w:val="15"/>
        <w:spacing w:line="360" w:lineRule="auto"/>
        <w:jc w:val="both"/>
        <w:rPr>
          <w:rFonts w:hint="eastAsia"/>
          <w:lang w:val="en-US" w:eastAsia="zh-CN"/>
        </w:rPr>
      </w:pPr>
    </w:p>
    <w:p>
      <w:pPr>
        <w:pStyle w:val="15"/>
        <w:spacing w:line="360" w:lineRule="auto"/>
        <w:jc w:val="both"/>
        <w:rPr>
          <w:rFonts w:hint="eastAsia"/>
          <w:lang w:val="en-US" w:eastAsia="zh-CN"/>
        </w:rPr>
      </w:pPr>
    </w:p>
    <w:p>
      <w:pPr>
        <w:pStyle w:val="15"/>
        <w:spacing w:line="360" w:lineRule="auto"/>
        <w:jc w:val="both"/>
        <w:rPr>
          <w:rFonts w:hint="eastAsia" w:ascii="黑体" w:hAnsi="黑体" w:eastAsia="黑体" w:cs="黑体"/>
          <w:sz w:val="32"/>
          <w:szCs w:val="32"/>
        </w:rPr>
      </w:pPr>
      <w:r>
        <w:rPr>
          <w:rFonts w:hint="eastAsia"/>
          <w:lang w:val="en-US" w:eastAsia="zh-CN"/>
        </w:rPr>
        <w:t xml:space="preserve">      </w:t>
      </w:r>
      <w:r>
        <w:rPr>
          <w:rFonts w:hint="eastAsia" w:ascii="黑体" w:hAnsi="黑体" w:eastAsia="黑体" w:cs="黑体"/>
          <w:sz w:val="32"/>
          <w:szCs w:val="32"/>
          <w:lang w:val="en-US" w:eastAsia="zh-CN"/>
        </w:rPr>
        <w:t>一、</w:t>
      </w:r>
      <w:r>
        <w:rPr>
          <w:rFonts w:hint="eastAsia"/>
          <w:lang w:val="en-US" w:eastAsia="zh-CN"/>
        </w:rPr>
        <w:t xml:space="preserve"> </w:t>
      </w:r>
      <w:r>
        <w:rPr>
          <w:rFonts w:hint="eastAsia" w:ascii="黑体" w:hAnsi="黑体" w:eastAsia="黑体" w:cs="黑体"/>
          <w:sz w:val="32"/>
          <w:szCs w:val="32"/>
        </w:rPr>
        <w:t>收入支出决算总体情况说明</w:t>
      </w:r>
    </w:p>
    <w:p>
      <w:pPr>
        <w:keepNext w:val="0"/>
        <w:keepLines w:val="0"/>
        <w:pageBreakBefore w:val="0"/>
        <w:kinsoku/>
        <w:wordWrap/>
        <w:overflowPunct/>
        <w:topLinePunct w:val="0"/>
        <w:bidi w:val="0"/>
        <w:adjustRightInd w:val="0"/>
        <w:snapToGrid w:val="0"/>
        <w:spacing w:line="360" w:lineRule="auto"/>
        <w:ind w:firstLine="630" w:firstLineChars="300"/>
        <w:textAlignment w:val="auto"/>
        <w:rPr>
          <w:rFonts w:hint="default" w:ascii="仿宋" w:hAnsi="仿宋" w:eastAsia="仿宋" w:cs="仿宋"/>
          <w:color w:val="000000"/>
          <w:kern w:val="0"/>
          <w:sz w:val="32"/>
          <w:szCs w:val="32"/>
          <w:lang w:val="en-US" w:eastAsia="zh-CN"/>
        </w:rPr>
      </w:pPr>
      <w:r>
        <w:rPr>
          <w:rFonts w:hint="eastAsia"/>
          <w:lang w:val="en-US" w:eastAsia="zh-CN"/>
        </w:rPr>
        <w:t xml:space="preserve"> </w:t>
      </w:r>
      <w:r>
        <w:rPr>
          <w:rFonts w:hint="eastAsia" w:ascii="仿宋" w:hAnsi="仿宋" w:eastAsia="仿宋" w:cs="仿宋"/>
          <w:color w:val="000000"/>
          <w:kern w:val="0"/>
          <w:sz w:val="32"/>
          <w:szCs w:val="32"/>
          <w:lang w:eastAsia="zh-CN"/>
        </w:rPr>
        <w:t>2025</w:t>
      </w:r>
      <w:r>
        <w:rPr>
          <w:rFonts w:hint="eastAsia" w:ascii="仿宋" w:hAnsi="仿宋" w:eastAsia="仿宋" w:cs="仿宋"/>
          <w:color w:val="000000"/>
          <w:kern w:val="0"/>
          <w:sz w:val="32"/>
          <w:szCs w:val="32"/>
        </w:rPr>
        <w:t>年度收入</w:t>
      </w:r>
      <w:r>
        <w:rPr>
          <w:rFonts w:hint="eastAsia" w:ascii="仿宋" w:hAnsi="仿宋" w:eastAsia="仿宋" w:cs="仿宋"/>
          <w:color w:val="000000"/>
          <w:kern w:val="0"/>
          <w:sz w:val="32"/>
          <w:szCs w:val="32"/>
          <w:lang w:val="en-US" w:eastAsia="zh-CN"/>
        </w:rPr>
        <w:t>1439.98</w:t>
      </w:r>
      <w:r>
        <w:rPr>
          <w:rFonts w:hint="eastAsia" w:ascii="仿宋" w:hAnsi="仿宋" w:eastAsia="仿宋" w:cs="仿宋"/>
          <w:color w:val="000000"/>
          <w:kern w:val="0"/>
          <w:sz w:val="32"/>
          <w:szCs w:val="32"/>
        </w:rPr>
        <w:t>万元，上年结余</w:t>
      </w:r>
      <w:r>
        <w:rPr>
          <w:rFonts w:hint="eastAsia" w:ascii="仿宋" w:hAnsi="仿宋" w:eastAsia="仿宋" w:cs="仿宋"/>
          <w:color w:val="000000"/>
          <w:kern w:val="0"/>
          <w:sz w:val="32"/>
          <w:szCs w:val="32"/>
          <w:lang w:val="en-US" w:eastAsia="zh-CN"/>
        </w:rPr>
        <w:t>158.95</w:t>
      </w:r>
      <w:r>
        <w:rPr>
          <w:rFonts w:hint="eastAsia" w:ascii="仿宋" w:hAnsi="仿宋" w:eastAsia="仿宋" w:cs="仿宋"/>
          <w:color w:val="000000"/>
          <w:kern w:val="0"/>
          <w:sz w:val="32"/>
          <w:szCs w:val="32"/>
        </w:rPr>
        <w:t>万元，总计</w:t>
      </w:r>
      <w:r>
        <w:rPr>
          <w:rFonts w:hint="eastAsia" w:ascii="仿宋" w:hAnsi="仿宋" w:eastAsia="仿宋" w:cs="仿宋"/>
          <w:color w:val="000000"/>
          <w:kern w:val="0"/>
          <w:sz w:val="32"/>
          <w:szCs w:val="32"/>
          <w:lang w:val="en-US" w:eastAsia="zh-CN"/>
        </w:rPr>
        <w:t>1598.93</w:t>
      </w:r>
      <w:r>
        <w:rPr>
          <w:rFonts w:hint="eastAsia" w:ascii="仿宋" w:hAnsi="仿宋" w:eastAsia="仿宋" w:cs="仿宋"/>
          <w:color w:val="000000"/>
          <w:kern w:val="0"/>
          <w:sz w:val="32"/>
          <w:szCs w:val="32"/>
        </w:rPr>
        <w:t>万元。支</w:t>
      </w:r>
      <w:r>
        <w:rPr>
          <w:rFonts w:hint="eastAsia" w:ascii="仿宋" w:hAnsi="仿宋" w:eastAsia="仿宋" w:cs="仿宋"/>
          <w:color w:val="000000"/>
          <w:kern w:val="0"/>
          <w:sz w:val="32"/>
          <w:szCs w:val="32"/>
          <w:lang w:val="en-US" w:eastAsia="zh-CN"/>
        </w:rPr>
        <w:t>出</w:t>
      </w:r>
      <w:r>
        <w:rPr>
          <w:rFonts w:hint="eastAsia" w:ascii="仿宋" w:hAnsi="仿宋" w:eastAsia="仿宋" w:cs="仿宋"/>
          <w:color w:val="000000"/>
          <w:kern w:val="0"/>
          <w:sz w:val="32"/>
          <w:szCs w:val="32"/>
        </w:rPr>
        <w:t>总计</w:t>
      </w:r>
      <w:r>
        <w:rPr>
          <w:rFonts w:hint="eastAsia" w:ascii="仿宋" w:hAnsi="仿宋" w:eastAsia="仿宋" w:cs="仿宋"/>
          <w:color w:val="000000"/>
          <w:kern w:val="0"/>
          <w:sz w:val="32"/>
          <w:szCs w:val="32"/>
          <w:lang w:val="en-US" w:eastAsia="zh-CN"/>
        </w:rPr>
        <w:t>1273.73</w:t>
      </w:r>
      <w:r>
        <w:rPr>
          <w:rFonts w:hint="eastAsia" w:ascii="仿宋" w:hAnsi="仿宋" w:eastAsia="仿宋" w:cs="仿宋"/>
          <w:color w:val="000000"/>
          <w:kern w:val="0"/>
          <w:sz w:val="32"/>
          <w:szCs w:val="32"/>
        </w:rPr>
        <w:t>万元</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lang w:val="en-US" w:eastAsia="zh-CN"/>
        </w:rPr>
        <w:t>结余325.19万元。</w:t>
      </w:r>
    </w:p>
    <w:p>
      <w:pPr>
        <w:keepNext w:val="0"/>
        <w:keepLines w:val="0"/>
        <w:pageBreakBefore w:val="0"/>
        <w:kinsoku/>
        <w:wordWrap/>
        <w:overflowPunct/>
        <w:topLinePunct w:val="0"/>
        <w:bidi w:val="0"/>
        <w:adjustRightInd w:val="0"/>
        <w:snapToGrid w:val="0"/>
        <w:spacing w:line="360" w:lineRule="auto"/>
        <w:ind w:firstLine="640" w:firstLineChars="200"/>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贯彻落实党政机关习惯过紧日子有关要求，厉行节约办一切事业，严控一般性支出，进一步优化支出结构，持续压降“三公”经费、办公经费、会议培训等行政开支。同时坚持有保有压，优化支出结构，提高资金使用效率，合理保障事业发展资金等重点支出。</w:t>
      </w:r>
    </w:p>
    <w:p>
      <w:pPr>
        <w:keepNext w:val="0"/>
        <w:keepLines w:val="0"/>
        <w:pageBreakBefore w:val="0"/>
        <w:kinsoku/>
        <w:wordWrap/>
        <w:overflowPunct/>
        <w:topLinePunct w:val="0"/>
        <w:bidi w:val="0"/>
        <w:adjustRightInd w:val="0"/>
        <w:snapToGrid w:val="0"/>
        <w:spacing w:line="360" w:lineRule="auto"/>
        <w:ind w:firstLine="420" w:firstLineChars="200"/>
        <w:textAlignment w:val="auto"/>
        <w:rPr>
          <w:rFonts w:ascii="黑体" w:hAnsi="黑体" w:eastAsia="黑体"/>
          <w:sz w:val="32"/>
          <w:szCs w:val="32"/>
        </w:rPr>
      </w:pPr>
      <w:r>
        <w:rPr>
          <w:rFonts w:hint="eastAsia"/>
          <w:lang w:val="en-US" w:eastAsia="zh-CN"/>
        </w:rPr>
        <w:t xml:space="preserve">  </w:t>
      </w:r>
      <w:r>
        <w:rPr>
          <w:rFonts w:hint="eastAsia" w:ascii="黑体" w:hAnsi="黑体" w:eastAsia="黑体" w:cs="黑体"/>
          <w:sz w:val="32"/>
          <w:szCs w:val="32"/>
        </w:rPr>
        <w:t>二、收入决算情况说明</w:t>
      </w:r>
    </w:p>
    <w:p>
      <w:pPr>
        <w:pStyle w:val="15"/>
        <w:keepNext w:val="0"/>
        <w:keepLines w:val="0"/>
        <w:pageBreakBefore w:val="0"/>
        <w:kinsoku/>
        <w:wordWrap/>
        <w:overflowPunct/>
        <w:topLinePunct w:val="0"/>
        <w:bidi w:val="0"/>
        <w:adjustRightInd w:val="0"/>
        <w:snapToGrid w:val="0"/>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2025</w:t>
      </w:r>
      <w:r>
        <w:rPr>
          <w:rFonts w:hint="eastAsia" w:ascii="仿宋" w:hAnsi="仿宋" w:eastAsia="仿宋" w:cs="仿宋"/>
          <w:sz w:val="32"/>
          <w:szCs w:val="32"/>
        </w:rPr>
        <w:t>年</w:t>
      </w:r>
      <w:r>
        <w:rPr>
          <w:rFonts w:hint="eastAsia" w:ascii="仿宋" w:hAnsi="仿宋" w:eastAsia="仿宋" w:cs="仿宋"/>
          <w:sz w:val="32"/>
          <w:szCs w:val="32"/>
          <w:lang w:val="en-US" w:eastAsia="zh-CN"/>
        </w:rPr>
        <w:t>度</w:t>
      </w:r>
      <w:r>
        <w:rPr>
          <w:rFonts w:hint="eastAsia" w:ascii="仿宋" w:hAnsi="仿宋" w:eastAsia="仿宋" w:cs="仿宋"/>
          <w:sz w:val="32"/>
          <w:szCs w:val="32"/>
        </w:rPr>
        <w:t>收入合计</w:t>
      </w:r>
      <w:r>
        <w:rPr>
          <w:rFonts w:hint="eastAsia" w:ascii="仿宋" w:hAnsi="仿宋" w:eastAsia="仿宋" w:cs="仿宋"/>
          <w:sz w:val="32"/>
          <w:szCs w:val="32"/>
          <w:lang w:val="en-US" w:eastAsia="zh-CN"/>
        </w:rPr>
        <w:t>1598.93万</w:t>
      </w:r>
      <w:r>
        <w:rPr>
          <w:rFonts w:hint="eastAsia" w:ascii="仿宋" w:hAnsi="仿宋" w:eastAsia="仿宋" w:cs="仿宋"/>
          <w:sz w:val="32"/>
          <w:szCs w:val="32"/>
        </w:rPr>
        <w:t>元，其中：财政拨款收入</w:t>
      </w:r>
      <w:r>
        <w:rPr>
          <w:rFonts w:hint="eastAsia" w:ascii="仿宋" w:hAnsi="仿宋" w:eastAsia="仿宋" w:cs="仿宋"/>
          <w:sz w:val="32"/>
          <w:szCs w:val="32"/>
          <w:lang w:val="en-US" w:eastAsia="zh-CN"/>
        </w:rPr>
        <w:t>1598.93</w:t>
      </w:r>
      <w:r>
        <w:rPr>
          <w:rFonts w:hint="eastAsia" w:ascii="仿宋" w:hAnsi="仿宋" w:eastAsia="仿宋" w:cs="仿宋"/>
          <w:sz w:val="32"/>
          <w:szCs w:val="32"/>
        </w:rPr>
        <w:t>万元，占</w:t>
      </w:r>
      <w:r>
        <w:rPr>
          <w:rFonts w:hint="eastAsia" w:ascii="仿宋" w:hAnsi="仿宋" w:eastAsia="仿宋" w:cs="仿宋"/>
          <w:sz w:val="32"/>
          <w:szCs w:val="32"/>
          <w:lang w:val="en-US" w:eastAsia="zh-CN"/>
        </w:rPr>
        <w:t>100</w:t>
      </w:r>
      <w:r>
        <w:rPr>
          <w:rFonts w:hint="eastAsia" w:ascii="仿宋" w:hAnsi="仿宋" w:eastAsia="仿宋" w:cs="仿宋"/>
          <w:sz w:val="32"/>
          <w:szCs w:val="32"/>
        </w:rPr>
        <w:t>%</w:t>
      </w:r>
      <w:r>
        <w:rPr>
          <w:rFonts w:hint="eastAsia" w:ascii="仿宋" w:hAnsi="仿宋" w:eastAsia="仿宋" w:cs="仿宋"/>
          <w:sz w:val="32"/>
          <w:szCs w:val="32"/>
          <w:lang w:eastAsia="zh-CN"/>
        </w:rPr>
        <w:t>。</w:t>
      </w:r>
    </w:p>
    <w:p>
      <w:pPr>
        <w:keepNext w:val="0"/>
        <w:keepLines w:val="0"/>
        <w:pageBreakBefore w:val="0"/>
        <w:kinsoku/>
        <w:wordWrap/>
        <w:overflowPunct/>
        <w:topLinePunct w:val="0"/>
        <w:bidi w:val="0"/>
        <w:adjustRightInd w:val="0"/>
        <w:snapToGrid w:val="0"/>
        <w:spacing w:line="360" w:lineRule="auto"/>
        <w:ind w:firstLine="640" w:firstLineChars="200"/>
        <w:textAlignment w:val="auto"/>
        <w:rPr>
          <w:rFonts w:ascii="黑体" w:hAnsi="黑体" w:eastAsia="黑体"/>
          <w:sz w:val="32"/>
          <w:szCs w:val="32"/>
        </w:rPr>
      </w:pPr>
      <w:r>
        <w:rPr>
          <w:rFonts w:hint="eastAsia" w:ascii="黑体" w:hAnsi="黑体" w:eastAsia="黑体" w:cs="黑体"/>
          <w:sz w:val="32"/>
          <w:szCs w:val="32"/>
        </w:rPr>
        <w:t>三、支出决算情况说明</w:t>
      </w:r>
    </w:p>
    <w:p>
      <w:pPr>
        <w:pStyle w:val="15"/>
        <w:keepNext w:val="0"/>
        <w:keepLines w:val="0"/>
        <w:pageBreakBefore w:val="0"/>
        <w:kinsoku/>
        <w:wordWrap/>
        <w:overflowPunct/>
        <w:topLinePunct w:val="0"/>
        <w:bidi w:val="0"/>
        <w:adjustRightInd w:val="0"/>
        <w:snapToGrid w:val="0"/>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2025</w:t>
      </w:r>
      <w:r>
        <w:rPr>
          <w:rFonts w:hint="eastAsia" w:ascii="仿宋" w:hAnsi="仿宋" w:eastAsia="仿宋" w:cs="仿宋"/>
          <w:sz w:val="32"/>
          <w:szCs w:val="32"/>
        </w:rPr>
        <w:t>年</w:t>
      </w:r>
      <w:r>
        <w:rPr>
          <w:rFonts w:hint="eastAsia" w:ascii="仿宋" w:hAnsi="仿宋" w:eastAsia="仿宋" w:cs="仿宋"/>
          <w:sz w:val="32"/>
          <w:szCs w:val="32"/>
          <w:lang w:val="en-US" w:eastAsia="zh-CN"/>
        </w:rPr>
        <w:t>度</w:t>
      </w:r>
      <w:r>
        <w:rPr>
          <w:rFonts w:hint="eastAsia" w:ascii="仿宋" w:hAnsi="仿宋" w:eastAsia="仿宋" w:cs="仿宋"/>
          <w:sz w:val="32"/>
          <w:szCs w:val="32"/>
        </w:rPr>
        <w:t>支出合计</w:t>
      </w:r>
      <w:r>
        <w:rPr>
          <w:rFonts w:hint="eastAsia" w:ascii="仿宋" w:hAnsi="仿宋" w:eastAsia="仿宋" w:cs="仿宋"/>
          <w:sz w:val="32"/>
          <w:szCs w:val="32"/>
          <w:lang w:val="en-US" w:eastAsia="zh-CN"/>
        </w:rPr>
        <w:t>1273.73</w:t>
      </w:r>
      <w:r>
        <w:rPr>
          <w:rFonts w:hint="eastAsia" w:ascii="仿宋" w:hAnsi="仿宋" w:eastAsia="仿宋" w:cs="仿宋"/>
          <w:sz w:val="32"/>
          <w:szCs w:val="32"/>
        </w:rPr>
        <w:t>万元，其中：基本支出</w:t>
      </w:r>
      <w:r>
        <w:rPr>
          <w:rFonts w:hint="eastAsia" w:ascii="仿宋" w:hAnsi="仿宋" w:eastAsia="仿宋" w:cs="仿宋"/>
          <w:sz w:val="32"/>
          <w:szCs w:val="32"/>
          <w:lang w:val="en-US" w:eastAsia="zh-CN"/>
        </w:rPr>
        <w:t>1033.92</w:t>
      </w:r>
      <w:r>
        <w:rPr>
          <w:rFonts w:hint="eastAsia" w:ascii="仿宋" w:hAnsi="仿宋" w:eastAsia="仿宋" w:cs="仿宋"/>
          <w:sz w:val="32"/>
          <w:szCs w:val="32"/>
        </w:rPr>
        <w:t>万元，占</w:t>
      </w:r>
      <w:r>
        <w:rPr>
          <w:rFonts w:hint="eastAsia" w:ascii="仿宋" w:hAnsi="仿宋" w:eastAsia="仿宋" w:cs="仿宋"/>
          <w:sz w:val="32"/>
          <w:szCs w:val="32"/>
          <w:lang w:val="en-US" w:eastAsia="zh-CN"/>
        </w:rPr>
        <w:t>81.2</w:t>
      </w:r>
      <w:r>
        <w:rPr>
          <w:rFonts w:hint="eastAsia" w:ascii="仿宋" w:hAnsi="仿宋" w:eastAsia="仿宋" w:cs="仿宋"/>
          <w:sz w:val="32"/>
          <w:szCs w:val="32"/>
        </w:rPr>
        <w:t>%；项目支239.81万元，占</w:t>
      </w:r>
      <w:r>
        <w:rPr>
          <w:rFonts w:hint="eastAsia" w:ascii="仿宋" w:hAnsi="仿宋" w:eastAsia="仿宋" w:cs="仿宋"/>
          <w:sz w:val="32"/>
          <w:szCs w:val="32"/>
          <w:lang w:val="en-US" w:eastAsia="zh-CN"/>
        </w:rPr>
        <w:t>18.8</w:t>
      </w:r>
      <w:r>
        <w:rPr>
          <w:rFonts w:hint="eastAsia" w:ascii="仿宋" w:hAnsi="仿宋" w:eastAsia="仿宋" w:cs="仿宋"/>
          <w:sz w:val="32"/>
          <w:szCs w:val="32"/>
        </w:rPr>
        <w:t>%。</w:t>
      </w:r>
    </w:p>
    <w:p>
      <w:pPr>
        <w:keepNext w:val="0"/>
        <w:keepLines w:val="0"/>
        <w:pageBreakBefore w:val="0"/>
        <w:numPr>
          <w:ilvl w:val="0"/>
          <w:numId w:val="2"/>
        </w:numPr>
        <w:kinsoku/>
        <w:wordWrap/>
        <w:overflowPunct/>
        <w:topLinePunct w:val="0"/>
        <w:bidi w:val="0"/>
        <w:adjustRightInd w:val="0"/>
        <w:snapToGrid w:val="0"/>
        <w:spacing w:line="360" w:lineRule="auto"/>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财政拨款收入支出决算总体情况说明</w:t>
      </w:r>
    </w:p>
    <w:p>
      <w:pPr>
        <w:pStyle w:val="15"/>
        <w:keepNext w:val="0"/>
        <w:keepLines w:val="0"/>
        <w:pageBreakBefore w:val="0"/>
        <w:kinsoku/>
        <w:wordWrap/>
        <w:overflowPunct/>
        <w:topLinePunct w:val="0"/>
        <w:bidi w:val="0"/>
        <w:adjustRightInd w:val="0"/>
        <w:snapToGrid w:val="0"/>
        <w:spacing w:line="360" w:lineRule="auto"/>
        <w:ind w:firstLine="645"/>
        <w:textAlignment w:val="auto"/>
        <w:rPr>
          <w:rFonts w:hint="eastAsia" w:ascii="仿宋" w:hAnsi="仿宋" w:eastAsia="仿宋" w:cs="仿宋"/>
          <w:sz w:val="32"/>
          <w:szCs w:val="32"/>
        </w:rPr>
      </w:pPr>
      <w:r>
        <w:rPr>
          <w:rFonts w:hint="eastAsia" w:ascii="仿宋" w:hAnsi="仿宋" w:eastAsia="仿宋" w:cs="仿宋"/>
          <w:sz w:val="32"/>
          <w:szCs w:val="32"/>
          <w:lang w:eastAsia="zh-CN"/>
        </w:rPr>
        <w:t>2025</w:t>
      </w:r>
      <w:r>
        <w:rPr>
          <w:rFonts w:hint="eastAsia" w:ascii="仿宋" w:hAnsi="仿宋" w:eastAsia="仿宋" w:cs="仿宋"/>
          <w:sz w:val="32"/>
          <w:szCs w:val="32"/>
        </w:rPr>
        <w:t>年度财政拨款收入</w:t>
      </w:r>
      <w:r>
        <w:rPr>
          <w:rFonts w:hint="eastAsia" w:ascii="仿宋" w:hAnsi="仿宋" w:eastAsia="仿宋" w:cs="仿宋"/>
          <w:color w:val="000000"/>
          <w:kern w:val="0"/>
          <w:sz w:val="32"/>
          <w:szCs w:val="32"/>
          <w:lang w:val="en-US" w:eastAsia="zh-CN"/>
        </w:rPr>
        <w:t>1439.98</w:t>
      </w:r>
      <w:r>
        <w:rPr>
          <w:rFonts w:hint="eastAsia" w:ascii="仿宋" w:hAnsi="仿宋" w:eastAsia="仿宋" w:cs="仿宋"/>
          <w:sz w:val="32"/>
          <w:szCs w:val="32"/>
        </w:rPr>
        <w:t>万元，支出总计</w:t>
      </w:r>
      <w:r>
        <w:rPr>
          <w:rFonts w:hint="eastAsia" w:ascii="仿宋" w:hAnsi="仿宋" w:eastAsia="仿宋" w:cs="仿宋"/>
          <w:color w:val="000000"/>
          <w:kern w:val="0"/>
          <w:sz w:val="32"/>
          <w:szCs w:val="32"/>
          <w:lang w:val="en-US" w:eastAsia="zh-CN"/>
        </w:rPr>
        <w:t>1273.73</w:t>
      </w:r>
      <w:r>
        <w:rPr>
          <w:rFonts w:hint="eastAsia" w:ascii="仿宋" w:hAnsi="仿宋" w:eastAsia="仿宋" w:cs="仿宋"/>
          <w:sz w:val="32"/>
          <w:szCs w:val="32"/>
        </w:rPr>
        <w:t>万元。</w:t>
      </w:r>
    </w:p>
    <w:p>
      <w:pPr>
        <w:keepNext w:val="0"/>
        <w:keepLines w:val="0"/>
        <w:pageBreakBefore w:val="0"/>
        <w:kinsoku/>
        <w:wordWrap/>
        <w:overflowPunct/>
        <w:topLinePunct w:val="0"/>
        <w:bidi w:val="0"/>
        <w:adjustRightInd w:val="0"/>
        <w:snapToGrid w:val="0"/>
        <w:spacing w:line="360" w:lineRule="auto"/>
        <w:ind w:firstLine="640" w:firstLineChars="200"/>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rPr>
        <w:t>与</w:t>
      </w:r>
      <w:r>
        <w:rPr>
          <w:rFonts w:hint="eastAsia" w:ascii="仿宋" w:hAnsi="仿宋" w:eastAsia="仿宋" w:cs="仿宋"/>
          <w:color w:val="000000"/>
          <w:kern w:val="0"/>
          <w:sz w:val="32"/>
          <w:szCs w:val="32"/>
          <w:lang w:val="en-US" w:eastAsia="zh-CN"/>
        </w:rPr>
        <w:t>上</w:t>
      </w:r>
      <w:r>
        <w:rPr>
          <w:rFonts w:hint="eastAsia" w:ascii="仿宋" w:hAnsi="仿宋" w:eastAsia="仿宋" w:cs="仿宋"/>
          <w:color w:val="000000"/>
          <w:kern w:val="0"/>
          <w:sz w:val="32"/>
          <w:szCs w:val="32"/>
        </w:rPr>
        <w:t>年相比，</w:t>
      </w:r>
      <w:r>
        <w:rPr>
          <w:rFonts w:hint="eastAsia" w:ascii="仿宋" w:hAnsi="仿宋" w:eastAsia="仿宋" w:cs="仿宋"/>
          <w:sz w:val="32"/>
          <w:szCs w:val="32"/>
        </w:rPr>
        <w:t>财政拨款</w:t>
      </w:r>
      <w:r>
        <w:rPr>
          <w:rFonts w:hint="eastAsia" w:ascii="仿宋" w:hAnsi="仿宋" w:eastAsia="仿宋" w:cs="仿宋"/>
          <w:color w:val="000000"/>
          <w:kern w:val="0"/>
          <w:sz w:val="32"/>
          <w:szCs w:val="32"/>
        </w:rPr>
        <w:t>收入</w:t>
      </w:r>
      <w:r>
        <w:rPr>
          <w:rFonts w:hint="eastAsia" w:ascii="仿宋" w:hAnsi="仿宋" w:eastAsia="仿宋" w:cs="仿宋"/>
          <w:color w:val="000000"/>
          <w:kern w:val="0"/>
          <w:sz w:val="32"/>
          <w:szCs w:val="32"/>
          <w:lang w:val="en-US" w:eastAsia="zh-CN"/>
        </w:rPr>
        <w:t>增加11.95</w:t>
      </w:r>
      <w:r>
        <w:rPr>
          <w:rFonts w:hint="eastAsia" w:ascii="仿宋" w:hAnsi="仿宋" w:eastAsia="仿宋" w:cs="仿宋"/>
          <w:color w:val="000000"/>
          <w:kern w:val="0"/>
          <w:sz w:val="32"/>
          <w:szCs w:val="32"/>
        </w:rPr>
        <w:t>万元,</w:t>
      </w:r>
      <w:r>
        <w:rPr>
          <w:rFonts w:hint="eastAsia" w:ascii="仿宋" w:hAnsi="仿宋" w:eastAsia="仿宋" w:cs="仿宋"/>
          <w:color w:val="000000"/>
          <w:kern w:val="0"/>
          <w:sz w:val="32"/>
          <w:szCs w:val="32"/>
          <w:lang w:val="en-US" w:eastAsia="zh-CN"/>
        </w:rPr>
        <w:t>增加1%</w:t>
      </w:r>
      <w:r>
        <w:rPr>
          <w:rFonts w:hint="eastAsia" w:ascii="仿宋" w:hAnsi="仿宋" w:eastAsia="仿宋" w:cs="仿宋"/>
          <w:color w:val="000000"/>
          <w:kern w:val="0"/>
          <w:sz w:val="32"/>
          <w:szCs w:val="32"/>
        </w:rPr>
        <w:t>；</w:t>
      </w:r>
      <w:r>
        <w:rPr>
          <w:rFonts w:hint="eastAsia" w:ascii="仿宋" w:hAnsi="仿宋" w:eastAsia="仿宋" w:cs="仿宋"/>
          <w:sz w:val="32"/>
          <w:szCs w:val="32"/>
        </w:rPr>
        <w:t>财政拨款</w:t>
      </w:r>
      <w:r>
        <w:rPr>
          <w:rFonts w:hint="eastAsia" w:ascii="仿宋" w:hAnsi="仿宋" w:eastAsia="仿宋" w:cs="仿宋"/>
          <w:color w:val="000000"/>
          <w:kern w:val="0"/>
          <w:sz w:val="32"/>
          <w:szCs w:val="32"/>
        </w:rPr>
        <w:t>支出</w:t>
      </w:r>
      <w:r>
        <w:rPr>
          <w:rFonts w:hint="eastAsia" w:ascii="仿宋" w:hAnsi="仿宋" w:eastAsia="仿宋" w:cs="仿宋"/>
          <w:color w:val="000000"/>
          <w:kern w:val="0"/>
          <w:sz w:val="32"/>
          <w:szCs w:val="32"/>
          <w:lang w:val="en-US" w:eastAsia="zh-CN"/>
        </w:rPr>
        <w:t>减少13.36</w:t>
      </w:r>
      <w:r>
        <w:rPr>
          <w:rFonts w:hint="eastAsia" w:ascii="仿宋" w:hAnsi="仿宋" w:eastAsia="仿宋" w:cs="仿宋"/>
          <w:color w:val="000000"/>
          <w:kern w:val="0"/>
          <w:sz w:val="32"/>
          <w:szCs w:val="32"/>
        </w:rPr>
        <w:t>万元，</w:t>
      </w:r>
      <w:r>
        <w:rPr>
          <w:rFonts w:hint="eastAsia" w:ascii="仿宋" w:hAnsi="仿宋" w:eastAsia="仿宋" w:cs="仿宋"/>
          <w:color w:val="000000"/>
          <w:kern w:val="0"/>
          <w:sz w:val="32"/>
          <w:szCs w:val="32"/>
          <w:lang w:val="en-US" w:eastAsia="zh-CN"/>
        </w:rPr>
        <w:t>减少1</w:t>
      </w: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val="en-US" w:eastAsia="zh-CN"/>
        </w:rPr>
        <w:t>收入增加是因为非税收入增加；支出减少主要是因为“过紧日子”的要求。</w:t>
      </w:r>
    </w:p>
    <w:p>
      <w:pPr>
        <w:keepNext w:val="0"/>
        <w:keepLines w:val="0"/>
        <w:pageBreakBefore w:val="0"/>
        <w:kinsoku/>
        <w:wordWrap/>
        <w:overflowPunct/>
        <w:topLinePunct w:val="0"/>
        <w:bidi w:val="0"/>
        <w:adjustRightInd w:val="0"/>
        <w:snapToGrid w:val="0"/>
        <w:spacing w:line="360" w:lineRule="auto"/>
        <w:ind w:firstLine="640" w:firstLineChars="200"/>
        <w:textAlignment w:val="auto"/>
        <w:rPr>
          <w:rFonts w:ascii="黑体" w:hAnsi="黑体" w:eastAsia="黑体"/>
          <w:sz w:val="32"/>
          <w:szCs w:val="32"/>
        </w:rPr>
      </w:pPr>
      <w:r>
        <w:rPr>
          <w:rFonts w:hint="eastAsia" w:ascii="黑体" w:hAnsi="黑体" w:eastAsia="黑体" w:cs="黑体"/>
          <w:sz w:val="32"/>
          <w:szCs w:val="32"/>
        </w:rPr>
        <w:t>五、一般公共预算财政拨款支出决算情况说明</w:t>
      </w:r>
    </w:p>
    <w:p>
      <w:pPr>
        <w:keepNext w:val="0"/>
        <w:keepLines w:val="0"/>
        <w:pageBreakBefore w:val="0"/>
        <w:kinsoku/>
        <w:wordWrap/>
        <w:overflowPunct/>
        <w:topLinePunct w:val="0"/>
        <w:bidi w:val="0"/>
        <w:adjustRightInd w:val="0"/>
        <w:snapToGrid w:val="0"/>
        <w:spacing w:line="360" w:lineRule="auto"/>
        <w:ind w:firstLine="640"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（一）一般公共预算财政拨款支出决算总体情况</w:t>
      </w:r>
    </w:p>
    <w:p>
      <w:pPr>
        <w:keepNext w:val="0"/>
        <w:keepLines w:val="0"/>
        <w:pageBreakBefore w:val="0"/>
        <w:kinsoku/>
        <w:wordWrap/>
        <w:overflowPunct/>
        <w:topLinePunct w:val="0"/>
        <w:bidi w:val="0"/>
        <w:adjustRightInd w:val="0"/>
        <w:snapToGrid w:val="0"/>
        <w:spacing w:line="360" w:lineRule="auto"/>
        <w:ind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2025年度财政拨款支出1273.73万元，占本年支出合计的100</w:t>
      </w:r>
      <w:r>
        <w:rPr>
          <w:rFonts w:hint="eastAsia" w:ascii="仿宋" w:hAnsi="仿宋" w:eastAsia="仿宋" w:cs="仿宋"/>
          <w:color w:val="000000"/>
          <w:kern w:val="0"/>
          <w:sz w:val="32"/>
          <w:szCs w:val="32"/>
        </w:rPr>
        <w:t>%，与</w:t>
      </w:r>
      <w:r>
        <w:rPr>
          <w:rFonts w:hint="eastAsia" w:ascii="仿宋" w:hAnsi="仿宋" w:eastAsia="仿宋" w:cs="仿宋"/>
          <w:color w:val="000000"/>
          <w:kern w:val="0"/>
          <w:sz w:val="32"/>
          <w:szCs w:val="32"/>
          <w:lang w:val="en-US" w:eastAsia="zh-CN"/>
        </w:rPr>
        <w:t>上</w:t>
      </w:r>
      <w:r>
        <w:rPr>
          <w:rFonts w:hint="eastAsia" w:ascii="仿宋" w:hAnsi="仿宋" w:eastAsia="仿宋" w:cs="仿宋"/>
          <w:color w:val="000000"/>
          <w:kern w:val="0"/>
          <w:sz w:val="32"/>
          <w:szCs w:val="32"/>
        </w:rPr>
        <w:t>年相比，财政拨款支出</w:t>
      </w:r>
      <w:r>
        <w:rPr>
          <w:rFonts w:hint="eastAsia" w:ascii="仿宋" w:hAnsi="仿宋" w:eastAsia="仿宋" w:cs="仿宋"/>
          <w:color w:val="000000"/>
          <w:kern w:val="0"/>
          <w:sz w:val="32"/>
          <w:szCs w:val="32"/>
          <w:lang w:val="en-US" w:eastAsia="zh-CN"/>
        </w:rPr>
        <w:t>减少13.36</w:t>
      </w:r>
      <w:r>
        <w:rPr>
          <w:rFonts w:hint="eastAsia" w:ascii="仿宋" w:hAnsi="仿宋" w:eastAsia="仿宋" w:cs="仿宋"/>
          <w:color w:val="000000"/>
          <w:kern w:val="0"/>
          <w:sz w:val="32"/>
          <w:szCs w:val="32"/>
        </w:rPr>
        <w:t>万元。主要是</w:t>
      </w:r>
      <w:r>
        <w:rPr>
          <w:rFonts w:hint="eastAsia" w:ascii="仿宋" w:hAnsi="仿宋" w:eastAsia="仿宋" w:cs="仿宋"/>
          <w:color w:val="000000"/>
          <w:kern w:val="0"/>
          <w:sz w:val="32"/>
          <w:szCs w:val="32"/>
          <w:lang w:val="en-US" w:eastAsia="zh-CN"/>
        </w:rPr>
        <w:t>因为“过紧日子”的要求</w:t>
      </w:r>
      <w:r>
        <w:rPr>
          <w:rFonts w:hint="eastAsia" w:ascii="仿宋" w:hAnsi="仿宋" w:eastAsia="仿宋" w:cs="仿宋"/>
          <w:color w:val="000000"/>
          <w:kern w:val="0"/>
          <w:sz w:val="32"/>
          <w:szCs w:val="32"/>
        </w:rPr>
        <w:t>。</w:t>
      </w:r>
    </w:p>
    <w:p>
      <w:pPr>
        <w:keepNext w:val="0"/>
        <w:keepLines w:val="0"/>
        <w:pageBreakBefore w:val="0"/>
        <w:kinsoku/>
        <w:wordWrap/>
        <w:overflowPunct/>
        <w:topLinePunct w:val="0"/>
        <w:bidi w:val="0"/>
        <w:adjustRightInd w:val="0"/>
        <w:snapToGrid w:val="0"/>
        <w:spacing w:line="360" w:lineRule="auto"/>
        <w:ind w:firstLine="640"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（二）</w:t>
      </w:r>
      <w:r>
        <w:rPr>
          <w:rFonts w:hint="eastAsia" w:ascii="楷体" w:hAnsi="楷体" w:eastAsia="楷体" w:cs="楷体"/>
          <w:b/>
          <w:bCs/>
          <w:sz w:val="32"/>
          <w:szCs w:val="32"/>
          <w:lang w:val="en-US" w:eastAsia="zh-CN"/>
        </w:rPr>
        <w:t>一般公共预算</w:t>
      </w:r>
      <w:r>
        <w:rPr>
          <w:rFonts w:hint="eastAsia" w:ascii="楷体" w:hAnsi="楷体" w:eastAsia="楷体" w:cs="楷体"/>
          <w:b/>
          <w:bCs/>
          <w:sz w:val="32"/>
          <w:szCs w:val="32"/>
        </w:rPr>
        <w:t>财政拨款支出决算结构情况</w:t>
      </w:r>
    </w:p>
    <w:p>
      <w:pPr>
        <w:pStyle w:val="15"/>
        <w:keepNext w:val="0"/>
        <w:keepLines w:val="0"/>
        <w:pageBreakBefore w:val="0"/>
        <w:kinsoku/>
        <w:wordWrap/>
        <w:overflowPunct/>
        <w:topLinePunct w:val="0"/>
        <w:bidi w:val="0"/>
        <w:adjustRightInd w:val="0"/>
        <w:snapToGrid w:val="0"/>
        <w:spacing w:line="360" w:lineRule="auto"/>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eastAsia="zh-CN"/>
        </w:rPr>
        <w:t>2025</w:t>
      </w:r>
      <w:r>
        <w:rPr>
          <w:rFonts w:hint="eastAsia" w:ascii="仿宋" w:hAnsi="仿宋" w:eastAsia="仿宋" w:cs="仿宋"/>
          <w:sz w:val="32"/>
          <w:szCs w:val="32"/>
        </w:rPr>
        <w:t>年度财政拨款支出</w:t>
      </w:r>
      <w:r>
        <w:rPr>
          <w:rFonts w:hint="eastAsia" w:ascii="仿宋" w:hAnsi="仿宋" w:eastAsia="仿宋" w:cs="仿宋"/>
          <w:color w:val="000000"/>
          <w:kern w:val="0"/>
          <w:sz w:val="32"/>
          <w:szCs w:val="32"/>
          <w:lang w:val="en-US" w:eastAsia="zh-CN"/>
        </w:rPr>
        <w:t>1273.73</w:t>
      </w:r>
      <w:r>
        <w:rPr>
          <w:rFonts w:hint="eastAsia" w:ascii="仿宋" w:hAnsi="仿宋" w:eastAsia="仿宋" w:cs="仿宋"/>
          <w:sz w:val="32"/>
          <w:szCs w:val="32"/>
        </w:rPr>
        <w:t>万元，主要用于以下方面：一般公共服务支出</w:t>
      </w:r>
      <w:r>
        <w:rPr>
          <w:rFonts w:hint="eastAsia" w:ascii="仿宋" w:hAnsi="仿宋" w:eastAsia="仿宋" w:cs="仿宋"/>
          <w:sz w:val="32"/>
          <w:szCs w:val="32"/>
          <w:lang w:val="en-US" w:eastAsia="zh-CN"/>
        </w:rPr>
        <w:t>848.37</w:t>
      </w:r>
      <w:r>
        <w:rPr>
          <w:rFonts w:hint="eastAsia" w:ascii="仿宋" w:hAnsi="仿宋" w:eastAsia="仿宋" w:cs="仿宋"/>
          <w:sz w:val="32"/>
          <w:szCs w:val="32"/>
        </w:rPr>
        <w:t>万元，占</w:t>
      </w:r>
      <w:r>
        <w:rPr>
          <w:rFonts w:hint="eastAsia" w:ascii="仿宋" w:hAnsi="仿宋" w:eastAsia="仿宋" w:cs="仿宋"/>
          <w:sz w:val="32"/>
          <w:szCs w:val="32"/>
          <w:lang w:val="en-US" w:eastAsia="zh-CN"/>
        </w:rPr>
        <w:t>66.6</w:t>
      </w:r>
      <w:r>
        <w:rPr>
          <w:rFonts w:hint="eastAsia" w:ascii="仿宋" w:hAnsi="仿宋" w:eastAsia="仿宋" w:cs="仿宋"/>
          <w:sz w:val="32"/>
          <w:szCs w:val="32"/>
        </w:rPr>
        <w:t>%；</w:t>
      </w:r>
      <w:r>
        <w:rPr>
          <w:rFonts w:hint="eastAsia" w:ascii="仿宋" w:hAnsi="仿宋" w:eastAsia="仿宋" w:cs="仿宋"/>
          <w:sz w:val="32"/>
          <w:szCs w:val="32"/>
          <w:lang w:val="en-US" w:eastAsia="zh-CN"/>
        </w:rPr>
        <w:t>教育支出14.74万元，占1.2%；</w:t>
      </w:r>
      <w:r>
        <w:rPr>
          <w:rFonts w:hint="eastAsia" w:ascii="仿宋" w:hAnsi="仿宋" w:eastAsia="仿宋" w:cs="仿宋"/>
          <w:sz w:val="32"/>
          <w:szCs w:val="32"/>
        </w:rPr>
        <w:t>社会保障和就业支出</w:t>
      </w:r>
      <w:r>
        <w:rPr>
          <w:rFonts w:hint="eastAsia" w:ascii="仿宋" w:hAnsi="仿宋" w:eastAsia="仿宋" w:cs="仿宋"/>
          <w:sz w:val="32"/>
          <w:szCs w:val="32"/>
          <w:lang w:val="en-US" w:eastAsia="zh-CN"/>
        </w:rPr>
        <w:t>247.62</w:t>
      </w:r>
      <w:r>
        <w:rPr>
          <w:rFonts w:hint="eastAsia" w:ascii="仿宋" w:hAnsi="仿宋" w:eastAsia="仿宋" w:cs="仿宋"/>
          <w:sz w:val="32"/>
          <w:szCs w:val="32"/>
        </w:rPr>
        <w:t>万元，占比</w:t>
      </w:r>
      <w:r>
        <w:rPr>
          <w:rFonts w:hint="eastAsia" w:ascii="仿宋" w:hAnsi="仿宋" w:eastAsia="仿宋" w:cs="仿宋"/>
          <w:sz w:val="32"/>
          <w:szCs w:val="32"/>
          <w:lang w:val="en-US" w:eastAsia="zh-CN"/>
        </w:rPr>
        <w:t>19.4</w:t>
      </w:r>
      <w:r>
        <w:rPr>
          <w:rFonts w:hint="eastAsia" w:ascii="仿宋" w:hAnsi="仿宋" w:eastAsia="仿宋" w:cs="仿宋"/>
          <w:sz w:val="32"/>
          <w:szCs w:val="32"/>
        </w:rPr>
        <w:t>%</w:t>
      </w:r>
      <w:r>
        <w:rPr>
          <w:rFonts w:hint="eastAsia" w:ascii="仿宋" w:hAnsi="仿宋" w:eastAsia="仿宋" w:cs="仿宋"/>
          <w:sz w:val="32"/>
          <w:szCs w:val="32"/>
          <w:lang w:val="en-US" w:eastAsia="zh-CN"/>
        </w:rPr>
        <w:t>;卫生健康支出61万元，占比4.8%；住房保障支出102万元，占比8%。</w:t>
      </w:r>
    </w:p>
    <w:p>
      <w:pPr>
        <w:keepNext w:val="0"/>
        <w:keepLines w:val="0"/>
        <w:pageBreakBefore w:val="0"/>
        <w:widowControl/>
        <w:kinsoku/>
        <w:wordWrap/>
        <w:overflowPunct/>
        <w:topLinePunct w:val="0"/>
        <w:bidi w:val="0"/>
        <w:adjustRightInd w:val="0"/>
        <w:snapToGrid w:val="0"/>
        <w:spacing w:line="360" w:lineRule="auto"/>
        <w:ind w:firstLine="640"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（三）</w:t>
      </w:r>
      <w:r>
        <w:rPr>
          <w:rFonts w:hint="eastAsia" w:ascii="楷体" w:hAnsi="楷体" w:eastAsia="楷体" w:cs="楷体"/>
          <w:b/>
          <w:bCs/>
          <w:sz w:val="32"/>
          <w:szCs w:val="32"/>
          <w:lang w:val="en-US" w:eastAsia="zh-CN"/>
        </w:rPr>
        <w:t>一般公共预算</w:t>
      </w:r>
      <w:r>
        <w:rPr>
          <w:rFonts w:hint="eastAsia" w:ascii="楷体" w:hAnsi="楷体" w:eastAsia="楷体" w:cs="楷体"/>
          <w:b/>
          <w:bCs/>
          <w:sz w:val="32"/>
          <w:szCs w:val="32"/>
        </w:rPr>
        <w:t>财政拨款支出决算具体情况</w:t>
      </w:r>
    </w:p>
    <w:p>
      <w:pPr>
        <w:pStyle w:val="15"/>
        <w:keepNext w:val="0"/>
        <w:keepLines w:val="0"/>
        <w:pageBreakBefore w:val="0"/>
        <w:kinsoku/>
        <w:wordWrap/>
        <w:overflowPunct/>
        <w:topLinePunct w:val="0"/>
        <w:bidi w:val="0"/>
        <w:adjustRightInd w:val="0"/>
        <w:snapToGrid w:val="0"/>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2025</w:t>
      </w:r>
      <w:r>
        <w:rPr>
          <w:rFonts w:hint="eastAsia" w:ascii="仿宋" w:hAnsi="仿宋" w:eastAsia="仿宋" w:cs="仿宋"/>
          <w:sz w:val="32"/>
          <w:szCs w:val="32"/>
        </w:rPr>
        <w:t>年度财政拨款支出年初预算数为</w:t>
      </w:r>
      <w:r>
        <w:rPr>
          <w:rFonts w:hint="eastAsia" w:ascii="仿宋" w:hAnsi="仿宋" w:eastAsia="仿宋" w:cs="仿宋"/>
          <w:color w:val="000000"/>
          <w:kern w:val="0"/>
          <w:sz w:val="32"/>
          <w:szCs w:val="32"/>
          <w:lang w:val="en-US" w:eastAsia="zh-CN"/>
        </w:rPr>
        <w:t>1439.98</w:t>
      </w:r>
      <w:r>
        <w:rPr>
          <w:rFonts w:hint="eastAsia" w:ascii="仿宋" w:hAnsi="仿宋" w:eastAsia="仿宋" w:cs="仿宋"/>
          <w:sz w:val="32"/>
          <w:szCs w:val="32"/>
        </w:rPr>
        <w:t>万元，支出决算数为</w:t>
      </w:r>
      <w:r>
        <w:rPr>
          <w:rFonts w:hint="eastAsia" w:ascii="仿宋" w:hAnsi="仿宋" w:eastAsia="仿宋" w:cs="仿宋"/>
          <w:color w:val="000000"/>
          <w:kern w:val="0"/>
          <w:sz w:val="32"/>
          <w:szCs w:val="32"/>
          <w:lang w:val="en-US" w:eastAsia="zh-CN"/>
        </w:rPr>
        <w:t>1273.73</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88.5</w:t>
      </w:r>
      <w:r>
        <w:rPr>
          <w:rFonts w:hint="eastAsia" w:ascii="仿宋" w:hAnsi="仿宋" w:eastAsia="仿宋" w:cs="仿宋"/>
          <w:sz w:val="32"/>
          <w:szCs w:val="32"/>
        </w:rPr>
        <w:t>%。其中：</w:t>
      </w:r>
    </w:p>
    <w:p>
      <w:pPr>
        <w:keepNext w:val="0"/>
        <w:keepLines w:val="0"/>
        <w:pageBreakBefore w:val="0"/>
        <w:numPr>
          <w:ilvl w:val="0"/>
          <w:numId w:val="0"/>
        </w:numPr>
        <w:kinsoku/>
        <w:wordWrap/>
        <w:overflowPunct/>
        <w:topLinePunct w:val="0"/>
        <w:bidi w:val="0"/>
        <w:adjustRightInd w:val="0"/>
        <w:snapToGrid w:val="0"/>
        <w:spacing w:line="360" w:lineRule="auto"/>
        <w:ind w:firstLine="640" w:firstLineChars="20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rPr>
        <w:t>1</w:t>
      </w:r>
      <w:r>
        <w:rPr>
          <w:rFonts w:hint="eastAsia" w:ascii="仿宋" w:hAnsi="仿宋" w:eastAsia="仿宋" w:cs="仿宋"/>
          <w:sz w:val="32"/>
          <w:szCs w:val="32"/>
          <w:lang w:val="en-US" w:eastAsia="zh-CN"/>
        </w:rPr>
        <w:t>.</w:t>
      </w:r>
      <w:r>
        <w:rPr>
          <w:rFonts w:hint="eastAsia" w:ascii="仿宋" w:hAnsi="仿宋" w:eastAsia="仿宋" w:cs="仿宋"/>
          <w:color w:val="000000"/>
          <w:kern w:val="0"/>
          <w:sz w:val="32"/>
          <w:szCs w:val="32"/>
        </w:rPr>
        <w:t>一般公共服务支出年初预算为</w:t>
      </w:r>
      <w:r>
        <w:rPr>
          <w:rFonts w:hint="eastAsia" w:ascii="仿宋" w:hAnsi="仿宋" w:eastAsia="仿宋" w:cs="仿宋"/>
          <w:color w:val="000000"/>
          <w:kern w:val="0"/>
          <w:sz w:val="32"/>
          <w:szCs w:val="32"/>
          <w:lang w:val="en-US" w:eastAsia="zh-CN"/>
        </w:rPr>
        <w:t>1022.36</w:t>
      </w:r>
      <w:r>
        <w:rPr>
          <w:rFonts w:hint="eastAsia" w:ascii="仿宋" w:hAnsi="仿宋" w:eastAsia="仿宋" w:cs="仿宋"/>
          <w:color w:val="000000"/>
          <w:kern w:val="0"/>
          <w:sz w:val="32"/>
          <w:szCs w:val="32"/>
        </w:rPr>
        <w:t>万元，支出决算为</w:t>
      </w:r>
      <w:r>
        <w:rPr>
          <w:rFonts w:hint="eastAsia" w:ascii="仿宋" w:hAnsi="仿宋" w:eastAsia="仿宋" w:cs="仿宋"/>
          <w:sz w:val="32"/>
          <w:szCs w:val="32"/>
          <w:lang w:val="en-US" w:eastAsia="zh-CN"/>
        </w:rPr>
        <w:t>848.37</w:t>
      </w:r>
      <w:r>
        <w:rPr>
          <w:rFonts w:hint="eastAsia" w:ascii="仿宋" w:hAnsi="仿宋" w:eastAsia="仿宋" w:cs="仿宋"/>
          <w:color w:val="000000"/>
          <w:kern w:val="0"/>
          <w:sz w:val="32"/>
          <w:szCs w:val="32"/>
        </w:rPr>
        <w:t>万元，完成年初预算的</w:t>
      </w:r>
      <w:r>
        <w:rPr>
          <w:rFonts w:hint="eastAsia" w:ascii="仿宋" w:hAnsi="仿宋" w:eastAsia="仿宋" w:cs="仿宋"/>
          <w:color w:val="000000"/>
          <w:kern w:val="0"/>
          <w:sz w:val="32"/>
          <w:szCs w:val="32"/>
          <w:lang w:val="en-US" w:eastAsia="zh-CN"/>
        </w:rPr>
        <w:t>83%</w:t>
      </w:r>
      <w:r>
        <w:rPr>
          <w:rFonts w:hint="eastAsia" w:ascii="仿宋" w:hAnsi="仿宋" w:eastAsia="仿宋" w:cs="仿宋"/>
          <w:color w:val="000000"/>
          <w:kern w:val="0"/>
          <w:sz w:val="32"/>
          <w:szCs w:val="32"/>
        </w:rPr>
        <w:t>，决算数</w:t>
      </w:r>
      <w:r>
        <w:rPr>
          <w:rFonts w:hint="eastAsia" w:ascii="仿宋" w:hAnsi="仿宋" w:eastAsia="仿宋" w:cs="仿宋"/>
          <w:color w:val="000000"/>
          <w:kern w:val="0"/>
          <w:sz w:val="32"/>
          <w:szCs w:val="32"/>
          <w:lang w:val="en-US" w:eastAsia="zh-CN"/>
        </w:rPr>
        <w:t>小于</w:t>
      </w:r>
      <w:r>
        <w:rPr>
          <w:rFonts w:hint="eastAsia" w:ascii="仿宋" w:hAnsi="仿宋" w:eastAsia="仿宋" w:cs="仿宋"/>
          <w:color w:val="000000"/>
          <w:kern w:val="0"/>
          <w:sz w:val="32"/>
          <w:szCs w:val="32"/>
        </w:rPr>
        <w:t>年初预算数的原因</w:t>
      </w:r>
      <w:r>
        <w:rPr>
          <w:rFonts w:hint="eastAsia" w:ascii="仿宋" w:hAnsi="仿宋" w:eastAsia="仿宋" w:cs="仿宋"/>
          <w:color w:val="000000"/>
          <w:kern w:val="0"/>
          <w:sz w:val="32"/>
          <w:szCs w:val="32"/>
          <w:lang w:val="en-US" w:eastAsia="zh-CN" w:bidi="ar-SA"/>
        </w:rPr>
        <w:t>主要是：2025年有同志退休，人员经费有剩余。</w:t>
      </w:r>
    </w:p>
    <w:p>
      <w:pPr>
        <w:keepNext w:val="0"/>
        <w:keepLines w:val="0"/>
        <w:pageBreakBefore w:val="0"/>
        <w:numPr>
          <w:ilvl w:val="0"/>
          <w:numId w:val="0"/>
        </w:numPr>
        <w:kinsoku/>
        <w:wordWrap/>
        <w:overflowPunct/>
        <w:topLinePunct w:val="0"/>
        <w:bidi w:val="0"/>
        <w:adjustRightInd w:val="0"/>
        <w:snapToGrid w:val="0"/>
        <w:spacing w:line="360" w:lineRule="auto"/>
        <w:ind w:firstLine="640" w:firstLineChars="200"/>
        <w:textAlignment w:val="auto"/>
        <w:rPr>
          <w:rFonts w:hint="default" w:ascii="仿宋" w:hAnsi="仿宋" w:eastAsia="仿宋" w:cs="仿宋"/>
          <w:color w:val="000000"/>
          <w:kern w:val="0"/>
          <w:sz w:val="32"/>
          <w:szCs w:val="32"/>
          <w:lang w:val="en-US" w:eastAsia="zh-CN"/>
        </w:rPr>
      </w:pPr>
      <w:r>
        <w:rPr>
          <w:rFonts w:hint="eastAsia" w:ascii="仿宋" w:hAnsi="仿宋" w:eastAsia="仿宋" w:cs="仿宋"/>
          <w:sz w:val="32"/>
          <w:szCs w:val="32"/>
        </w:rPr>
        <w:t>2</w:t>
      </w:r>
      <w:r>
        <w:rPr>
          <w:rFonts w:hint="eastAsia" w:ascii="仿宋" w:hAnsi="仿宋" w:eastAsia="仿宋" w:cs="仿宋"/>
          <w:sz w:val="32"/>
          <w:szCs w:val="32"/>
          <w:lang w:val="en-US" w:eastAsia="zh-CN"/>
        </w:rPr>
        <w:t>.教育支出年初预算为0万元，支出决算为14.74万元，主要因为该科目上年结转了15万元</w:t>
      </w:r>
      <w:r>
        <w:rPr>
          <w:rFonts w:hint="eastAsia" w:ascii="仿宋" w:hAnsi="仿宋" w:eastAsia="仿宋" w:cs="仿宋"/>
          <w:color w:val="000000"/>
          <w:kern w:val="0"/>
          <w:sz w:val="32"/>
          <w:szCs w:val="32"/>
          <w:lang w:val="en-US" w:eastAsia="zh-CN"/>
        </w:rPr>
        <w:t>。</w:t>
      </w:r>
    </w:p>
    <w:p>
      <w:pPr>
        <w:keepNext w:val="0"/>
        <w:keepLines w:val="0"/>
        <w:pageBreakBefore w:val="0"/>
        <w:numPr>
          <w:ilvl w:val="0"/>
          <w:numId w:val="0"/>
        </w:numPr>
        <w:kinsoku/>
        <w:wordWrap/>
        <w:overflowPunct/>
        <w:topLinePunct w:val="0"/>
        <w:bidi w:val="0"/>
        <w:adjustRightInd w:val="0"/>
        <w:snapToGrid w:val="0"/>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rPr>
        <w:t>3.</w:t>
      </w:r>
      <w:r>
        <w:rPr>
          <w:rFonts w:hint="eastAsia" w:ascii="仿宋" w:hAnsi="仿宋" w:eastAsia="仿宋" w:cs="仿宋"/>
          <w:color w:val="000000"/>
          <w:kern w:val="0"/>
          <w:sz w:val="32"/>
          <w:szCs w:val="32"/>
        </w:rPr>
        <w:t>社会保障和就业支出年初预算为</w:t>
      </w:r>
      <w:r>
        <w:rPr>
          <w:rFonts w:hint="eastAsia" w:ascii="仿宋" w:hAnsi="仿宋" w:eastAsia="仿宋" w:cs="仿宋"/>
          <w:color w:val="000000"/>
          <w:kern w:val="0"/>
          <w:sz w:val="32"/>
          <w:szCs w:val="32"/>
          <w:lang w:val="en-US" w:eastAsia="zh-CN"/>
        </w:rPr>
        <w:t>254.62</w:t>
      </w:r>
      <w:r>
        <w:rPr>
          <w:rFonts w:hint="eastAsia" w:ascii="仿宋" w:hAnsi="仿宋" w:eastAsia="仿宋" w:cs="仿宋"/>
          <w:color w:val="000000"/>
          <w:kern w:val="0"/>
          <w:sz w:val="32"/>
          <w:szCs w:val="32"/>
        </w:rPr>
        <w:t>万元，支出决算</w:t>
      </w:r>
      <w:r>
        <w:rPr>
          <w:rFonts w:hint="eastAsia" w:ascii="仿宋" w:hAnsi="仿宋" w:eastAsia="仿宋" w:cs="仿宋"/>
          <w:sz w:val="32"/>
          <w:szCs w:val="32"/>
          <w:lang w:val="en-US" w:eastAsia="zh-CN"/>
        </w:rPr>
        <w:t>247.62</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97.3</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收支基本持平</w:t>
      </w:r>
      <w:r>
        <w:rPr>
          <w:rFonts w:hint="eastAsia" w:ascii="仿宋" w:hAnsi="仿宋" w:eastAsia="仿宋" w:cs="仿宋"/>
          <w:sz w:val="32"/>
          <w:szCs w:val="32"/>
        </w:rPr>
        <w:t>。</w:t>
      </w:r>
    </w:p>
    <w:p>
      <w:pPr>
        <w:pStyle w:val="15"/>
        <w:keepNext w:val="0"/>
        <w:keepLines w:val="0"/>
        <w:pageBreakBefore w:val="0"/>
        <w:kinsoku/>
        <w:wordWrap/>
        <w:overflowPunct/>
        <w:topLinePunct w:val="0"/>
        <w:bidi w:val="0"/>
        <w:adjustRightInd w:val="0"/>
        <w:snapToGrid w:val="0"/>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4.卫生健康支出</w:t>
      </w:r>
      <w:r>
        <w:rPr>
          <w:rFonts w:hint="eastAsia" w:ascii="仿宋" w:hAnsi="仿宋" w:eastAsia="仿宋" w:cs="仿宋"/>
          <w:sz w:val="32"/>
          <w:szCs w:val="32"/>
        </w:rPr>
        <w:t>年初预算为</w:t>
      </w:r>
      <w:r>
        <w:rPr>
          <w:rFonts w:hint="eastAsia" w:ascii="仿宋" w:hAnsi="仿宋" w:eastAsia="仿宋" w:cs="仿宋"/>
          <w:sz w:val="32"/>
          <w:szCs w:val="32"/>
          <w:lang w:val="en-US" w:eastAsia="zh-CN"/>
        </w:rPr>
        <w:t>61</w:t>
      </w:r>
      <w:r>
        <w:rPr>
          <w:rFonts w:hint="eastAsia" w:ascii="仿宋" w:hAnsi="仿宋" w:eastAsia="仿宋" w:cs="仿宋"/>
          <w:sz w:val="32"/>
          <w:szCs w:val="32"/>
        </w:rPr>
        <w:t>万元，支出决算</w:t>
      </w:r>
      <w:r>
        <w:rPr>
          <w:rFonts w:hint="eastAsia" w:ascii="仿宋" w:hAnsi="仿宋" w:eastAsia="仿宋" w:cs="仿宋"/>
          <w:sz w:val="32"/>
          <w:szCs w:val="32"/>
          <w:lang w:val="en-US" w:eastAsia="zh-CN"/>
        </w:rPr>
        <w:t>61</w:t>
      </w:r>
      <w:r>
        <w:rPr>
          <w:rFonts w:hint="eastAsia" w:ascii="仿宋" w:hAnsi="仿宋" w:eastAsia="仿宋" w:cs="仿宋"/>
          <w:sz w:val="32"/>
          <w:szCs w:val="32"/>
        </w:rPr>
        <w:t>万元，完成年初预算的10</w:t>
      </w:r>
      <w:r>
        <w:rPr>
          <w:rFonts w:hint="eastAsia" w:ascii="仿宋" w:hAnsi="仿宋" w:eastAsia="仿宋" w:cs="仿宋"/>
          <w:sz w:val="32"/>
          <w:szCs w:val="32"/>
          <w:lang w:val="en-US" w:eastAsia="zh-CN"/>
        </w:rPr>
        <w:t>0</w:t>
      </w:r>
      <w:r>
        <w:rPr>
          <w:rFonts w:hint="eastAsia" w:ascii="仿宋" w:hAnsi="仿宋" w:eastAsia="仿宋" w:cs="仿宋"/>
          <w:sz w:val="32"/>
          <w:szCs w:val="32"/>
        </w:rPr>
        <w:t>%。</w:t>
      </w:r>
    </w:p>
    <w:p>
      <w:pPr>
        <w:pStyle w:val="15"/>
        <w:keepNext w:val="0"/>
        <w:keepLines w:val="0"/>
        <w:pageBreakBefore w:val="0"/>
        <w:kinsoku/>
        <w:wordWrap/>
        <w:overflowPunct/>
        <w:topLinePunct w:val="0"/>
        <w:bidi w:val="0"/>
        <w:adjustRightInd w:val="0"/>
        <w:snapToGrid w:val="0"/>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5.住房保障支出</w:t>
      </w:r>
      <w:r>
        <w:rPr>
          <w:rFonts w:hint="eastAsia" w:ascii="仿宋" w:hAnsi="仿宋" w:eastAsia="仿宋" w:cs="仿宋"/>
          <w:sz w:val="32"/>
          <w:szCs w:val="32"/>
        </w:rPr>
        <w:t>年初预算为</w:t>
      </w:r>
      <w:r>
        <w:rPr>
          <w:rFonts w:hint="eastAsia" w:ascii="仿宋" w:hAnsi="仿宋" w:eastAsia="仿宋" w:cs="仿宋"/>
          <w:sz w:val="32"/>
          <w:szCs w:val="32"/>
          <w:lang w:val="en-US" w:eastAsia="zh-CN"/>
        </w:rPr>
        <w:t>102</w:t>
      </w:r>
      <w:r>
        <w:rPr>
          <w:rFonts w:hint="eastAsia" w:ascii="仿宋" w:hAnsi="仿宋" w:eastAsia="仿宋" w:cs="仿宋"/>
          <w:sz w:val="32"/>
          <w:szCs w:val="32"/>
        </w:rPr>
        <w:t>万元，支出决算</w:t>
      </w:r>
      <w:r>
        <w:rPr>
          <w:rFonts w:hint="eastAsia" w:ascii="仿宋" w:hAnsi="仿宋" w:eastAsia="仿宋" w:cs="仿宋"/>
          <w:sz w:val="32"/>
          <w:szCs w:val="32"/>
          <w:lang w:val="en-US" w:eastAsia="zh-CN"/>
        </w:rPr>
        <w:t>102</w:t>
      </w:r>
      <w:r>
        <w:rPr>
          <w:rFonts w:hint="eastAsia" w:ascii="仿宋" w:hAnsi="仿宋" w:eastAsia="仿宋" w:cs="仿宋"/>
          <w:sz w:val="32"/>
          <w:szCs w:val="32"/>
        </w:rPr>
        <w:t>万元，完成年初预算的10</w:t>
      </w:r>
      <w:r>
        <w:rPr>
          <w:rFonts w:hint="eastAsia" w:ascii="仿宋" w:hAnsi="仿宋" w:eastAsia="仿宋" w:cs="仿宋"/>
          <w:sz w:val="32"/>
          <w:szCs w:val="32"/>
          <w:lang w:val="en-US" w:eastAsia="zh-CN"/>
        </w:rPr>
        <w:t>0</w:t>
      </w:r>
      <w:r>
        <w:rPr>
          <w:rFonts w:hint="eastAsia" w:ascii="仿宋" w:hAnsi="仿宋" w:eastAsia="仿宋" w:cs="仿宋"/>
          <w:sz w:val="32"/>
          <w:szCs w:val="32"/>
        </w:rPr>
        <w:t>%。</w:t>
      </w:r>
    </w:p>
    <w:p>
      <w:pPr>
        <w:keepNext w:val="0"/>
        <w:keepLines w:val="0"/>
        <w:pageBreakBefore w:val="0"/>
        <w:kinsoku/>
        <w:wordWrap/>
        <w:overflowPunct/>
        <w:topLinePunct w:val="0"/>
        <w:bidi w:val="0"/>
        <w:adjustRightInd w:val="0"/>
        <w:snapToGrid w:val="0"/>
        <w:spacing w:line="360" w:lineRule="auto"/>
        <w:ind w:firstLine="640" w:firstLineChars="200"/>
        <w:textAlignment w:val="auto"/>
        <w:rPr>
          <w:rFonts w:ascii="黑体" w:hAnsi="黑体" w:eastAsia="黑体"/>
          <w:sz w:val="32"/>
          <w:szCs w:val="32"/>
        </w:rPr>
      </w:pPr>
      <w:r>
        <w:rPr>
          <w:rFonts w:hint="eastAsia" w:ascii="黑体" w:hAnsi="黑体" w:eastAsia="黑体" w:cs="黑体"/>
          <w:sz w:val="32"/>
          <w:szCs w:val="32"/>
        </w:rPr>
        <w:t>六、一般公共预算财政拨款基本支出决算情况说明</w:t>
      </w:r>
    </w:p>
    <w:p>
      <w:pPr>
        <w:pStyle w:val="15"/>
        <w:keepNext w:val="0"/>
        <w:keepLines w:val="0"/>
        <w:pageBreakBefore w:val="0"/>
        <w:kinsoku/>
        <w:wordWrap/>
        <w:overflowPunct/>
        <w:topLinePunct w:val="0"/>
        <w:bidi w:val="0"/>
        <w:adjustRightInd w:val="0"/>
        <w:snapToGrid w:val="0"/>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2025</w:t>
      </w:r>
      <w:r>
        <w:rPr>
          <w:rFonts w:hint="eastAsia" w:ascii="仿宋" w:hAnsi="仿宋" w:eastAsia="仿宋" w:cs="仿宋"/>
          <w:sz w:val="32"/>
          <w:szCs w:val="32"/>
        </w:rPr>
        <w:t>年度财政拨款基本支出</w:t>
      </w:r>
      <w:r>
        <w:rPr>
          <w:rFonts w:hint="eastAsia" w:ascii="仿宋" w:hAnsi="仿宋" w:eastAsia="仿宋" w:cs="仿宋"/>
          <w:sz w:val="32"/>
          <w:szCs w:val="32"/>
          <w:lang w:val="en-US" w:eastAsia="zh-CN"/>
        </w:rPr>
        <w:t>1033.92</w:t>
      </w:r>
      <w:r>
        <w:rPr>
          <w:rFonts w:hint="eastAsia" w:ascii="仿宋" w:hAnsi="仿宋" w:eastAsia="仿宋" w:cs="仿宋"/>
          <w:sz w:val="32"/>
          <w:szCs w:val="32"/>
        </w:rPr>
        <w:t>万元。其中：人员经费</w:t>
      </w:r>
      <w:r>
        <w:rPr>
          <w:rFonts w:hint="eastAsia" w:ascii="仿宋" w:hAnsi="仿宋" w:eastAsia="仿宋" w:cs="仿宋"/>
          <w:sz w:val="32"/>
          <w:szCs w:val="32"/>
          <w:lang w:val="en-US" w:eastAsia="zh-CN"/>
        </w:rPr>
        <w:t>896.8</w:t>
      </w:r>
      <w:r>
        <w:rPr>
          <w:rFonts w:hint="eastAsia" w:ascii="仿宋" w:hAnsi="仿宋" w:eastAsia="仿宋" w:cs="仿宋"/>
          <w:sz w:val="32"/>
          <w:szCs w:val="32"/>
        </w:rPr>
        <w:t>万元，占基本支出的</w:t>
      </w:r>
      <w:r>
        <w:rPr>
          <w:rFonts w:hint="eastAsia" w:ascii="仿宋" w:hAnsi="仿宋" w:eastAsia="仿宋" w:cs="仿宋"/>
          <w:sz w:val="32"/>
          <w:szCs w:val="32"/>
          <w:lang w:val="en-US" w:eastAsia="zh-CN"/>
        </w:rPr>
        <w:t>86.7</w:t>
      </w:r>
      <w:r>
        <w:rPr>
          <w:rFonts w:hint="eastAsia" w:ascii="仿宋" w:hAnsi="仿宋" w:eastAsia="仿宋" w:cs="仿宋"/>
          <w:sz w:val="32"/>
          <w:szCs w:val="32"/>
        </w:rPr>
        <w:t>%,主要包括基本工资、津贴补贴、奖金、伙食补助费</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社保费用</w:t>
      </w:r>
      <w:r>
        <w:rPr>
          <w:rFonts w:hint="eastAsia" w:ascii="仿宋" w:hAnsi="仿宋" w:eastAsia="仿宋" w:cs="仿宋"/>
          <w:sz w:val="32"/>
          <w:szCs w:val="32"/>
        </w:rPr>
        <w:t>；日常公用经费</w:t>
      </w:r>
      <w:r>
        <w:rPr>
          <w:rFonts w:hint="eastAsia" w:ascii="仿宋" w:hAnsi="仿宋" w:eastAsia="仿宋" w:cs="仿宋"/>
          <w:sz w:val="32"/>
          <w:szCs w:val="32"/>
          <w:lang w:val="en-US" w:eastAsia="zh-CN"/>
        </w:rPr>
        <w:t>137.12</w:t>
      </w:r>
      <w:r>
        <w:rPr>
          <w:rFonts w:hint="eastAsia" w:ascii="仿宋" w:hAnsi="仿宋" w:eastAsia="仿宋" w:cs="仿宋"/>
          <w:sz w:val="32"/>
          <w:szCs w:val="32"/>
        </w:rPr>
        <w:t>万元，占基本支出的</w:t>
      </w:r>
      <w:r>
        <w:rPr>
          <w:rFonts w:hint="eastAsia" w:ascii="仿宋" w:hAnsi="仿宋" w:eastAsia="仿宋" w:cs="仿宋"/>
          <w:sz w:val="32"/>
          <w:szCs w:val="32"/>
          <w:lang w:val="en-US" w:eastAsia="zh-CN"/>
        </w:rPr>
        <w:t>13.3</w:t>
      </w:r>
      <w:r>
        <w:rPr>
          <w:rFonts w:hint="eastAsia" w:ascii="仿宋" w:hAnsi="仿宋" w:eastAsia="仿宋" w:cs="仿宋"/>
          <w:sz w:val="32"/>
          <w:szCs w:val="32"/>
        </w:rPr>
        <w:t xml:space="preserve">%，主要包括办公费、印刷费、水电煤气费、邮电费、物业管理费、差旅费、租赁费等。 </w:t>
      </w:r>
    </w:p>
    <w:p>
      <w:pPr>
        <w:keepNext w:val="0"/>
        <w:keepLines w:val="0"/>
        <w:pageBreakBefore w:val="0"/>
        <w:numPr>
          <w:ilvl w:val="0"/>
          <w:numId w:val="3"/>
        </w:numPr>
        <w:kinsoku/>
        <w:wordWrap/>
        <w:overflowPunct/>
        <w:topLinePunct w:val="0"/>
        <w:bidi w:val="0"/>
        <w:adjustRightInd w:val="0"/>
        <w:snapToGrid w:val="0"/>
        <w:spacing w:line="360" w:lineRule="auto"/>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一般公共预算财政拨款三公经费支出决算情况说明</w:t>
      </w:r>
    </w:p>
    <w:p>
      <w:pPr>
        <w:keepNext w:val="0"/>
        <w:keepLines w:val="0"/>
        <w:pageBreakBefore w:val="0"/>
        <w:numPr>
          <w:numId w:val="0"/>
        </w:numPr>
        <w:kinsoku/>
        <w:wordWrap/>
        <w:overflowPunct/>
        <w:topLinePunct w:val="0"/>
        <w:bidi w:val="0"/>
        <w:adjustRightInd w:val="0"/>
        <w:snapToGrid w:val="0"/>
        <w:spacing w:line="360" w:lineRule="auto"/>
        <w:ind w:firstLine="320" w:firstLineChars="100"/>
        <w:textAlignment w:val="auto"/>
        <w:rPr>
          <w:rFonts w:hint="eastAsia" w:ascii="楷体" w:hAnsi="楷体" w:eastAsia="楷体" w:cs="楷体"/>
          <w:b/>
          <w:bCs/>
          <w:sz w:val="32"/>
          <w:szCs w:val="32"/>
        </w:rPr>
      </w:pPr>
      <w:r>
        <w:rPr>
          <w:rFonts w:hint="eastAsia" w:ascii="楷体" w:hAnsi="楷体" w:eastAsia="楷体" w:cs="楷体"/>
          <w:b/>
          <w:bCs/>
          <w:sz w:val="32"/>
          <w:szCs w:val="32"/>
        </w:rPr>
        <w:t>（一）“三公”经费财政拨款支出决算总体情况说明</w:t>
      </w:r>
    </w:p>
    <w:p>
      <w:pPr>
        <w:pStyle w:val="15"/>
        <w:keepNext w:val="0"/>
        <w:keepLines w:val="0"/>
        <w:pageBreakBefore w:val="0"/>
        <w:kinsoku/>
        <w:wordWrap/>
        <w:overflowPunct/>
        <w:topLinePunct w:val="0"/>
        <w:bidi w:val="0"/>
        <w:adjustRightInd w:val="0"/>
        <w:snapToGrid w:val="0"/>
        <w:spacing w:line="360" w:lineRule="auto"/>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rPr>
        <w:t>“三公”经费财政拨款支出预算为</w:t>
      </w:r>
      <w:r>
        <w:rPr>
          <w:rFonts w:hint="eastAsia" w:ascii="仿宋" w:hAnsi="仿宋" w:eastAsia="仿宋" w:cs="仿宋"/>
          <w:sz w:val="32"/>
          <w:szCs w:val="32"/>
          <w:lang w:val="en-US" w:eastAsia="zh-CN"/>
        </w:rPr>
        <w:t>60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58.04</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96.7</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预决算数大致持平，决算数与上年基本持平</w:t>
      </w:r>
      <w:r>
        <w:rPr>
          <w:rFonts w:hint="eastAsia" w:ascii="仿宋" w:hAnsi="仿宋" w:eastAsia="仿宋" w:cs="仿宋"/>
          <w:color w:val="000000"/>
          <w:kern w:val="0"/>
          <w:sz w:val="32"/>
          <w:szCs w:val="32"/>
          <w:lang w:val="en-US" w:eastAsia="zh-CN" w:bidi="ar-SA"/>
        </w:rPr>
        <w:t>。</w:t>
      </w:r>
    </w:p>
    <w:p>
      <w:pPr>
        <w:keepNext w:val="0"/>
        <w:keepLines w:val="0"/>
        <w:pageBreakBefore w:val="0"/>
        <w:widowControl/>
        <w:kinsoku/>
        <w:wordWrap/>
        <w:overflowPunct/>
        <w:topLinePunct w:val="0"/>
        <w:bidi w:val="0"/>
        <w:adjustRightInd w:val="0"/>
        <w:snapToGrid w:val="0"/>
        <w:spacing w:line="360" w:lineRule="auto"/>
        <w:ind w:firstLine="320" w:firstLineChars="100"/>
        <w:textAlignment w:val="auto"/>
        <w:rPr>
          <w:rFonts w:hint="eastAsia" w:ascii="楷体" w:hAnsi="楷体" w:eastAsia="楷体" w:cs="楷体"/>
          <w:b/>
          <w:bCs/>
          <w:sz w:val="32"/>
          <w:szCs w:val="32"/>
        </w:rPr>
      </w:pPr>
      <w:r>
        <w:rPr>
          <w:rFonts w:hint="eastAsia" w:ascii="楷体" w:hAnsi="楷体" w:eastAsia="楷体" w:cs="楷体"/>
          <w:b/>
          <w:bCs/>
          <w:sz w:val="32"/>
          <w:szCs w:val="32"/>
        </w:rPr>
        <w:t>（二）“三公”经费财政拨款支出决算具体情况说明</w:t>
      </w:r>
    </w:p>
    <w:p>
      <w:pPr>
        <w:pStyle w:val="15"/>
        <w:keepNext w:val="0"/>
        <w:keepLines w:val="0"/>
        <w:pageBreakBefore w:val="0"/>
        <w:kinsoku/>
        <w:wordWrap/>
        <w:overflowPunct/>
        <w:topLinePunct w:val="0"/>
        <w:bidi w:val="0"/>
        <w:adjustRightInd w:val="0"/>
        <w:snapToGrid w:val="0"/>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2025</w:t>
      </w:r>
      <w:r>
        <w:rPr>
          <w:rFonts w:hint="eastAsia" w:ascii="仿宋" w:hAnsi="仿宋" w:eastAsia="仿宋" w:cs="仿宋"/>
          <w:sz w:val="32"/>
          <w:szCs w:val="32"/>
        </w:rPr>
        <w:t>年度“三公”经费财政拨款支出决算中，</w:t>
      </w:r>
      <w:r>
        <w:rPr>
          <w:rFonts w:hint="eastAsia" w:ascii="仿宋" w:hAnsi="仿宋" w:eastAsia="仿宋" w:cs="仿宋"/>
          <w:sz w:val="32"/>
          <w:szCs w:val="32"/>
          <w:lang w:val="en-US" w:eastAsia="zh-CN"/>
        </w:rPr>
        <w:t>因</w:t>
      </w:r>
      <w:r>
        <w:rPr>
          <w:rFonts w:hint="eastAsia" w:ascii="仿宋" w:hAnsi="仿宋" w:eastAsia="仿宋" w:cs="仿宋"/>
          <w:sz w:val="32"/>
          <w:szCs w:val="32"/>
        </w:rPr>
        <w:t>公出国（境）费支出决算无</w:t>
      </w:r>
      <w:r>
        <w:rPr>
          <w:rFonts w:hint="eastAsia" w:ascii="仿宋" w:hAnsi="仿宋" w:eastAsia="仿宋" w:cs="仿宋"/>
          <w:sz w:val="32"/>
          <w:szCs w:val="32"/>
          <w:lang w:eastAsia="zh-CN"/>
        </w:rPr>
        <w:t>；</w:t>
      </w:r>
      <w:r>
        <w:rPr>
          <w:rFonts w:hint="eastAsia" w:ascii="仿宋" w:hAnsi="仿宋" w:eastAsia="仿宋" w:cs="仿宋"/>
          <w:sz w:val="32"/>
          <w:szCs w:val="32"/>
        </w:rPr>
        <w:t>公务接待费支出决算</w:t>
      </w:r>
      <w:r>
        <w:rPr>
          <w:rFonts w:hint="eastAsia" w:ascii="仿宋" w:hAnsi="仿宋" w:eastAsia="仿宋" w:cs="仿宋"/>
          <w:sz w:val="32"/>
          <w:szCs w:val="32"/>
          <w:lang w:val="en-US" w:eastAsia="zh-CN"/>
        </w:rPr>
        <w:t>33.53</w:t>
      </w:r>
      <w:r>
        <w:rPr>
          <w:rFonts w:hint="eastAsia" w:ascii="仿宋" w:hAnsi="仿宋" w:eastAsia="仿宋" w:cs="仿宋"/>
          <w:sz w:val="32"/>
          <w:szCs w:val="32"/>
        </w:rPr>
        <w:t>万元，占</w:t>
      </w:r>
      <w:r>
        <w:rPr>
          <w:rFonts w:hint="eastAsia" w:ascii="仿宋" w:hAnsi="仿宋" w:eastAsia="仿宋" w:cs="仿宋"/>
          <w:sz w:val="32"/>
          <w:szCs w:val="32"/>
          <w:lang w:val="en-US" w:eastAsia="zh-CN"/>
        </w:rPr>
        <w:t>57.8</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sz w:val="32"/>
          <w:szCs w:val="32"/>
        </w:rPr>
        <w:t>公务用车购置费及运行维护费支出决算</w:t>
      </w:r>
      <w:r>
        <w:rPr>
          <w:rFonts w:hint="eastAsia" w:ascii="仿宋" w:hAnsi="仿宋" w:eastAsia="仿宋" w:cs="仿宋"/>
          <w:sz w:val="32"/>
          <w:szCs w:val="32"/>
          <w:lang w:val="en-US" w:eastAsia="zh-CN"/>
        </w:rPr>
        <w:t>24.51</w:t>
      </w:r>
      <w:r>
        <w:rPr>
          <w:rFonts w:hint="eastAsia" w:ascii="仿宋" w:hAnsi="仿宋" w:eastAsia="仿宋" w:cs="仿宋"/>
          <w:sz w:val="32"/>
          <w:szCs w:val="32"/>
        </w:rPr>
        <w:t>万元，占</w:t>
      </w:r>
      <w:r>
        <w:rPr>
          <w:rFonts w:hint="eastAsia" w:ascii="仿宋" w:hAnsi="仿宋" w:eastAsia="仿宋" w:cs="仿宋"/>
          <w:sz w:val="32"/>
          <w:szCs w:val="32"/>
          <w:lang w:val="en-US" w:eastAsia="zh-CN"/>
        </w:rPr>
        <w:t>42.2</w:t>
      </w:r>
      <w:r>
        <w:rPr>
          <w:rFonts w:hint="eastAsia" w:ascii="仿宋" w:hAnsi="仿宋" w:eastAsia="仿宋" w:cs="仿宋"/>
          <w:sz w:val="32"/>
          <w:szCs w:val="32"/>
        </w:rPr>
        <w:t>%。其中：</w:t>
      </w:r>
    </w:p>
    <w:p>
      <w:pPr>
        <w:pStyle w:val="15"/>
        <w:keepNext w:val="0"/>
        <w:keepLines w:val="0"/>
        <w:pageBreakBefore w:val="0"/>
        <w:kinsoku/>
        <w:wordWrap/>
        <w:overflowPunct/>
        <w:topLinePunct w:val="0"/>
        <w:bidi w:val="0"/>
        <w:adjustRightInd w:val="0"/>
        <w:snapToGrid w:val="0"/>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因公出国（境）费</w:t>
      </w:r>
      <w:r>
        <w:rPr>
          <w:rFonts w:hint="eastAsia" w:ascii="仿宋" w:hAnsi="仿宋" w:eastAsia="仿宋" w:cs="仿宋"/>
          <w:sz w:val="32"/>
          <w:szCs w:val="32"/>
          <w:lang w:val="en-US" w:eastAsia="zh-CN"/>
        </w:rPr>
        <w:t>无</w:t>
      </w:r>
      <w:r>
        <w:rPr>
          <w:rFonts w:hint="eastAsia" w:ascii="仿宋" w:hAnsi="仿宋" w:eastAsia="仿宋" w:cs="仿宋"/>
          <w:sz w:val="32"/>
          <w:szCs w:val="32"/>
        </w:rPr>
        <w:t>支出。</w:t>
      </w:r>
    </w:p>
    <w:p>
      <w:pPr>
        <w:pStyle w:val="15"/>
        <w:keepNext w:val="0"/>
        <w:keepLines w:val="0"/>
        <w:pageBreakBefore w:val="0"/>
        <w:kinsoku/>
        <w:wordWrap/>
        <w:overflowPunct/>
        <w:topLinePunct w:val="0"/>
        <w:bidi w:val="0"/>
        <w:adjustRightInd w:val="0"/>
        <w:snapToGrid w:val="0"/>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公务用车</w:t>
      </w:r>
      <w:r>
        <w:rPr>
          <w:rFonts w:hint="eastAsia" w:ascii="仿宋" w:hAnsi="仿宋" w:eastAsia="仿宋" w:cs="仿宋"/>
          <w:sz w:val="32"/>
          <w:szCs w:val="32"/>
          <w:lang w:val="en-US" w:eastAsia="zh-CN"/>
        </w:rPr>
        <w:t>购置及</w:t>
      </w:r>
      <w:r>
        <w:rPr>
          <w:rFonts w:hint="eastAsia" w:ascii="仿宋" w:hAnsi="仿宋" w:eastAsia="仿宋" w:cs="仿宋"/>
          <w:sz w:val="32"/>
          <w:szCs w:val="32"/>
        </w:rPr>
        <w:t>运行维护费支出</w:t>
      </w:r>
      <w:r>
        <w:rPr>
          <w:rFonts w:hint="eastAsia" w:ascii="仿宋" w:hAnsi="仿宋" w:eastAsia="仿宋" w:cs="仿宋"/>
          <w:sz w:val="32"/>
          <w:szCs w:val="32"/>
          <w:lang w:val="en-US" w:eastAsia="zh-CN"/>
        </w:rPr>
        <w:t>预算为25万元，支出</w:t>
      </w:r>
      <w:r>
        <w:rPr>
          <w:rFonts w:hint="eastAsia" w:ascii="仿宋" w:hAnsi="仿宋" w:eastAsia="仿宋" w:cs="仿宋"/>
          <w:sz w:val="32"/>
          <w:szCs w:val="32"/>
        </w:rPr>
        <w:t>决算为</w:t>
      </w:r>
      <w:r>
        <w:rPr>
          <w:rFonts w:hint="eastAsia" w:ascii="仿宋" w:hAnsi="仿宋" w:eastAsia="仿宋" w:cs="仿宋"/>
          <w:sz w:val="32"/>
          <w:szCs w:val="32"/>
          <w:lang w:val="en-US" w:eastAsia="zh-CN"/>
        </w:rPr>
        <w:t>24.51</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完成预算的98%；与上年基本持平。主要是</w:t>
      </w:r>
      <w:r>
        <w:rPr>
          <w:rFonts w:hint="eastAsia" w:ascii="仿宋" w:hAnsi="仿宋" w:eastAsia="仿宋" w:cs="仿宋"/>
          <w:sz w:val="32"/>
          <w:szCs w:val="32"/>
        </w:rPr>
        <w:t>公务用车运行汽油费、停车费、通行费、车辆维修保养费、车辆保险费支出</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完成预算的98%</w:t>
      </w:r>
      <w:r>
        <w:rPr>
          <w:rFonts w:hint="eastAsia" w:ascii="仿宋" w:hAnsi="仿宋" w:eastAsia="仿宋" w:cs="仿宋"/>
          <w:sz w:val="32"/>
          <w:szCs w:val="32"/>
        </w:rPr>
        <w:t>。截止</w:t>
      </w:r>
      <w:r>
        <w:rPr>
          <w:rFonts w:hint="eastAsia" w:ascii="仿宋" w:hAnsi="仿宋" w:eastAsia="仿宋" w:cs="仿宋"/>
          <w:sz w:val="32"/>
          <w:szCs w:val="32"/>
          <w:lang w:eastAsia="zh-CN"/>
        </w:rPr>
        <w:t>2025</w:t>
      </w:r>
      <w:r>
        <w:rPr>
          <w:rFonts w:hint="eastAsia" w:ascii="仿宋" w:hAnsi="仿宋" w:eastAsia="仿宋" w:cs="仿宋"/>
          <w:sz w:val="32"/>
          <w:szCs w:val="32"/>
        </w:rPr>
        <w:t>年12月31日，我单位开支财政拨款的公务用车保有量为</w:t>
      </w:r>
      <w:r>
        <w:rPr>
          <w:rFonts w:hint="eastAsia" w:ascii="仿宋" w:hAnsi="仿宋" w:eastAsia="仿宋" w:cs="仿宋"/>
          <w:sz w:val="32"/>
          <w:szCs w:val="32"/>
          <w:lang w:val="en-US" w:eastAsia="zh-CN"/>
        </w:rPr>
        <w:t>9</w:t>
      </w:r>
      <w:r>
        <w:rPr>
          <w:rFonts w:hint="eastAsia" w:ascii="仿宋" w:hAnsi="仿宋" w:eastAsia="仿宋" w:cs="仿宋"/>
          <w:sz w:val="32"/>
          <w:szCs w:val="32"/>
        </w:rPr>
        <w:t>辆。</w:t>
      </w:r>
    </w:p>
    <w:p>
      <w:pPr>
        <w:pStyle w:val="15"/>
        <w:keepNext w:val="0"/>
        <w:keepLines w:val="0"/>
        <w:pageBreakBefore w:val="0"/>
        <w:kinsoku/>
        <w:wordWrap/>
        <w:overflowPunct/>
        <w:topLinePunct w:val="0"/>
        <w:bidi w:val="0"/>
        <w:adjustRightInd w:val="0"/>
        <w:snapToGrid w:val="0"/>
        <w:spacing w:line="360" w:lineRule="auto"/>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rPr>
        <w:t>公务接待费</w:t>
      </w:r>
      <w:r>
        <w:rPr>
          <w:rFonts w:hint="eastAsia" w:ascii="仿宋" w:hAnsi="仿宋" w:eastAsia="仿宋" w:cs="仿宋"/>
          <w:sz w:val="32"/>
          <w:szCs w:val="32"/>
          <w:lang w:val="en-US" w:eastAsia="zh-CN"/>
        </w:rPr>
        <w:t>支出预算为35万元，</w:t>
      </w:r>
      <w:r>
        <w:rPr>
          <w:rFonts w:hint="eastAsia" w:ascii="仿宋" w:hAnsi="仿宋" w:eastAsia="仿宋" w:cs="仿宋"/>
          <w:sz w:val="32"/>
          <w:szCs w:val="32"/>
        </w:rPr>
        <w:t>支出决算为</w:t>
      </w:r>
      <w:r>
        <w:rPr>
          <w:rFonts w:hint="eastAsia" w:ascii="仿宋" w:hAnsi="仿宋" w:eastAsia="仿宋" w:cs="仿宋"/>
          <w:sz w:val="32"/>
          <w:szCs w:val="32"/>
          <w:lang w:val="en-US" w:eastAsia="zh-CN"/>
        </w:rPr>
        <w:t>33.53</w:t>
      </w:r>
      <w:r>
        <w:rPr>
          <w:rFonts w:hint="eastAsia" w:ascii="仿宋" w:hAnsi="仿宋" w:eastAsia="仿宋" w:cs="仿宋"/>
          <w:sz w:val="32"/>
          <w:szCs w:val="32"/>
        </w:rPr>
        <w:t>万元，</w:t>
      </w:r>
      <w:r>
        <w:rPr>
          <w:rFonts w:hint="eastAsia" w:ascii="仿宋" w:hAnsi="仿宋" w:eastAsia="仿宋" w:cs="仿宋"/>
          <w:sz w:val="32"/>
          <w:szCs w:val="32"/>
          <w:lang w:val="en-US" w:eastAsia="zh-CN"/>
        </w:rPr>
        <w:t>完成预算的95.8%；与上年相比基本持平。</w:t>
      </w:r>
      <w:r>
        <w:rPr>
          <w:rFonts w:hint="eastAsia" w:ascii="仿宋" w:hAnsi="仿宋" w:eastAsia="仿宋" w:cs="仿宋"/>
          <w:color w:val="000000" w:themeColor="text1"/>
          <w:sz w:val="32"/>
          <w:szCs w:val="32"/>
        </w:rPr>
        <w:t>全年共接待</w:t>
      </w:r>
      <w:r>
        <w:rPr>
          <w:rFonts w:hint="eastAsia" w:ascii="仿宋" w:hAnsi="仿宋" w:eastAsia="仿宋" w:cs="仿宋"/>
          <w:color w:val="000000" w:themeColor="text1"/>
          <w:sz w:val="32"/>
          <w:szCs w:val="32"/>
          <w:lang w:val="en-US" w:eastAsia="zh-CN"/>
        </w:rPr>
        <w:t>来访团组151余批次，</w:t>
      </w:r>
      <w:r>
        <w:rPr>
          <w:rFonts w:hint="eastAsia" w:ascii="仿宋" w:hAnsi="仿宋" w:eastAsia="仿宋" w:cs="仿宋"/>
          <w:color w:val="000000" w:themeColor="text1"/>
          <w:sz w:val="32"/>
          <w:szCs w:val="32"/>
        </w:rPr>
        <w:t>来宾</w:t>
      </w:r>
      <w:r>
        <w:rPr>
          <w:rFonts w:hint="eastAsia" w:ascii="仿宋" w:hAnsi="仿宋" w:eastAsia="仿宋" w:cs="仿宋"/>
          <w:color w:val="000000" w:themeColor="text1"/>
          <w:sz w:val="32"/>
          <w:szCs w:val="32"/>
          <w:lang w:val="en-US" w:eastAsia="zh-CN"/>
        </w:rPr>
        <w:t>883余</w:t>
      </w:r>
      <w:r>
        <w:rPr>
          <w:rFonts w:hint="eastAsia" w:ascii="仿宋" w:hAnsi="仿宋" w:eastAsia="仿宋" w:cs="仿宋"/>
          <w:color w:val="000000" w:themeColor="text1"/>
          <w:sz w:val="32"/>
          <w:szCs w:val="32"/>
        </w:rPr>
        <w:t>人次，</w:t>
      </w:r>
      <w:r>
        <w:rPr>
          <w:rFonts w:hint="eastAsia" w:ascii="仿宋" w:hAnsi="仿宋" w:eastAsia="仿宋" w:cs="仿宋"/>
          <w:sz w:val="32"/>
          <w:szCs w:val="32"/>
        </w:rPr>
        <w:t>主要</w:t>
      </w:r>
      <w:r>
        <w:rPr>
          <w:rFonts w:hint="eastAsia" w:ascii="仿宋" w:hAnsi="仿宋" w:eastAsia="仿宋" w:cs="仿宋"/>
          <w:sz w:val="32"/>
          <w:szCs w:val="32"/>
          <w:lang w:eastAsia="zh-CN"/>
        </w:rPr>
        <w:t>用于</w:t>
      </w:r>
      <w:r>
        <w:rPr>
          <w:rFonts w:hint="eastAsia" w:ascii="仿宋" w:hAnsi="仿宋" w:eastAsia="仿宋" w:cs="仿宋"/>
          <w:color w:val="000000"/>
          <w:kern w:val="0"/>
          <w:sz w:val="32"/>
          <w:szCs w:val="32"/>
          <w:lang w:val="en-US" w:eastAsia="zh-CN" w:bidi="ar-SA"/>
        </w:rPr>
        <w:t>湘沪两地公务交流、调研等发生的接待支出</w:t>
      </w:r>
      <w:r>
        <w:rPr>
          <w:rFonts w:hint="eastAsia" w:ascii="仿宋" w:hAnsi="仿宋" w:eastAsia="仿宋" w:cs="仿宋"/>
          <w:sz w:val="32"/>
          <w:szCs w:val="32"/>
        </w:rPr>
        <w:t>。</w:t>
      </w:r>
    </w:p>
    <w:p>
      <w:pPr>
        <w:keepNext w:val="0"/>
        <w:keepLines w:val="0"/>
        <w:pageBreakBefore w:val="0"/>
        <w:kinsoku/>
        <w:wordWrap/>
        <w:overflowPunct/>
        <w:topLinePunct w:val="0"/>
        <w:bidi w:val="0"/>
        <w:adjustRightInd w:val="0"/>
        <w:snapToGrid w:val="0"/>
        <w:spacing w:line="360" w:lineRule="auto"/>
        <w:ind w:firstLine="640" w:firstLineChars="200"/>
        <w:textAlignment w:val="auto"/>
        <w:rPr>
          <w:rFonts w:ascii="黑体" w:hAnsi="黑体" w:eastAsia="黑体"/>
          <w:sz w:val="32"/>
          <w:szCs w:val="32"/>
        </w:rPr>
      </w:pPr>
      <w:r>
        <w:rPr>
          <w:rFonts w:hint="eastAsia" w:ascii="黑体" w:hAnsi="黑体" w:eastAsia="黑体" w:cs="黑体"/>
          <w:sz w:val="32"/>
          <w:szCs w:val="32"/>
        </w:rPr>
        <w:t>八、政府性基金预算收入支出决算情况</w:t>
      </w:r>
    </w:p>
    <w:p>
      <w:pPr>
        <w:pStyle w:val="15"/>
        <w:keepNext w:val="0"/>
        <w:keepLines w:val="0"/>
        <w:pageBreakBefore w:val="0"/>
        <w:kinsoku/>
        <w:wordWrap/>
        <w:overflowPunct/>
        <w:topLinePunct w:val="0"/>
        <w:bidi w:val="0"/>
        <w:adjustRightInd w:val="0"/>
        <w:snapToGrid w:val="0"/>
        <w:spacing w:line="360" w:lineRule="auto"/>
        <w:textAlignment w:val="auto"/>
        <w:rPr>
          <w:rFonts w:hint="eastAsia" w:ascii="仿宋" w:hAnsi="仿宋" w:eastAsia="仿宋" w:cs="仿宋"/>
          <w:sz w:val="32"/>
          <w:szCs w:val="32"/>
        </w:rPr>
      </w:pPr>
      <w:r>
        <w:rPr>
          <w:rFonts w:ascii="仿宋_GB2312" w:hAnsi="宋体" w:eastAsia="仿宋_GB2312" w:cs="仿宋_GB2312"/>
          <w:sz w:val="32"/>
          <w:szCs w:val="32"/>
        </w:rPr>
        <w:t xml:space="preserve">   </w:t>
      </w:r>
      <w:r>
        <w:rPr>
          <w:rFonts w:hint="eastAsia" w:ascii="仿宋" w:hAnsi="仿宋" w:eastAsia="仿宋" w:cs="仿宋"/>
          <w:sz w:val="32"/>
          <w:szCs w:val="32"/>
        </w:rPr>
        <w:t xml:space="preserve">  </w:t>
      </w:r>
      <w:r>
        <w:rPr>
          <w:rFonts w:hint="eastAsia" w:ascii="仿宋" w:hAnsi="仿宋" w:eastAsia="仿宋" w:cs="仿宋"/>
          <w:sz w:val="32"/>
          <w:szCs w:val="32"/>
          <w:lang w:eastAsia="zh-CN"/>
        </w:rPr>
        <w:t>2025</w:t>
      </w:r>
      <w:r>
        <w:rPr>
          <w:rFonts w:hint="eastAsia" w:ascii="仿宋" w:hAnsi="仿宋" w:eastAsia="仿宋" w:cs="仿宋"/>
          <w:sz w:val="32"/>
          <w:szCs w:val="32"/>
        </w:rPr>
        <w:t>年度单位无政府性基金预算财政拨款收支。</w:t>
      </w:r>
    </w:p>
    <w:p>
      <w:pPr>
        <w:keepNext w:val="0"/>
        <w:keepLines w:val="0"/>
        <w:pageBreakBefore w:val="0"/>
        <w:widowControl/>
        <w:kinsoku/>
        <w:wordWrap/>
        <w:overflowPunct/>
        <w:topLinePunct w:val="0"/>
        <w:bidi w:val="0"/>
        <w:adjustRightInd w:val="0"/>
        <w:snapToGrid w:val="0"/>
        <w:spacing w:line="360" w:lineRule="auto"/>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九、机关运行经费支出情况</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default"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eastAsia="zh-CN"/>
        </w:rPr>
        <w:t>2025</w:t>
      </w:r>
      <w:r>
        <w:rPr>
          <w:rFonts w:hint="eastAsia" w:ascii="仿宋" w:hAnsi="仿宋" w:eastAsia="仿宋" w:cs="仿宋"/>
          <w:color w:val="000000"/>
          <w:kern w:val="0"/>
          <w:sz w:val="32"/>
          <w:szCs w:val="32"/>
        </w:rPr>
        <w:t>年度机关运行经费支出</w:t>
      </w:r>
      <w:r>
        <w:rPr>
          <w:rFonts w:hint="eastAsia" w:ascii="仿宋" w:hAnsi="仿宋" w:eastAsia="仿宋" w:cs="仿宋"/>
          <w:color w:val="000000"/>
          <w:kern w:val="0"/>
          <w:sz w:val="32"/>
          <w:szCs w:val="32"/>
          <w:lang w:val="en-US" w:eastAsia="zh-CN"/>
        </w:rPr>
        <w:t>137.12</w:t>
      </w:r>
      <w:r>
        <w:rPr>
          <w:rFonts w:hint="eastAsia" w:ascii="仿宋" w:hAnsi="仿宋" w:eastAsia="仿宋" w:cs="仿宋"/>
          <w:color w:val="000000"/>
          <w:kern w:val="0"/>
          <w:sz w:val="32"/>
          <w:szCs w:val="32"/>
        </w:rPr>
        <w:t>万元，</w:t>
      </w:r>
      <w:r>
        <w:rPr>
          <w:rFonts w:hint="eastAsia" w:ascii="仿宋" w:hAnsi="仿宋" w:eastAsia="仿宋" w:cs="仿宋"/>
          <w:color w:val="000000"/>
          <w:kern w:val="0"/>
          <w:sz w:val="32"/>
          <w:szCs w:val="32"/>
          <w:lang w:val="en-US" w:eastAsia="zh-CN"/>
        </w:rPr>
        <w:t>与年初预算数基本持平</w:t>
      </w:r>
      <w:r>
        <w:rPr>
          <w:rFonts w:hint="eastAsia" w:ascii="仿宋" w:hAnsi="仿宋" w:eastAsia="仿宋" w:cs="仿宋"/>
          <w:color w:val="000000"/>
          <w:kern w:val="0"/>
          <w:sz w:val="32"/>
          <w:szCs w:val="32"/>
          <w:lang w:val="en-US" w:eastAsia="zh-CN" w:bidi="ar-SA"/>
        </w:rPr>
        <w:t>。</w:t>
      </w:r>
    </w:p>
    <w:p>
      <w:pPr>
        <w:keepNext w:val="0"/>
        <w:keepLines w:val="0"/>
        <w:pageBreakBefore w:val="0"/>
        <w:widowControl/>
        <w:kinsoku/>
        <w:wordWrap/>
        <w:overflowPunct/>
        <w:topLinePunct w:val="0"/>
        <w:bidi w:val="0"/>
        <w:adjustRightInd w:val="0"/>
        <w:snapToGrid w:val="0"/>
        <w:spacing w:line="360" w:lineRule="auto"/>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十、</w:t>
      </w:r>
      <w:r>
        <w:rPr>
          <w:rFonts w:hint="eastAsia" w:ascii="黑体" w:hAnsi="黑体" w:eastAsia="黑体" w:cs="黑体"/>
          <w:b w:val="0"/>
          <w:bCs w:val="0"/>
          <w:sz w:val="32"/>
          <w:szCs w:val="32"/>
        </w:rPr>
        <w:t>一般性支出情况</w:t>
      </w:r>
    </w:p>
    <w:p>
      <w:pPr>
        <w:keepNext w:val="0"/>
        <w:keepLines w:val="0"/>
        <w:pageBreakBefore w:val="0"/>
        <w:kinsoku/>
        <w:wordWrap/>
        <w:overflowPunct/>
        <w:topLinePunct w:val="0"/>
        <w:bidi w:val="0"/>
        <w:adjustRightInd w:val="0"/>
        <w:snapToGrid w:val="0"/>
        <w:spacing w:line="360" w:lineRule="auto"/>
        <w:ind w:firstLine="640" w:firstLineChars="200"/>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eastAsia="zh-CN"/>
        </w:rPr>
        <w:t>2025</w:t>
      </w:r>
      <w:r>
        <w:rPr>
          <w:rFonts w:hint="eastAsia" w:ascii="仿宋" w:hAnsi="仿宋" w:eastAsia="仿宋" w:cs="仿宋"/>
          <w:color w:val="000000"/>
          <w:kern w:val="0"/>
          <w:sz w:val="32"/>
          <w:szCs w:val="32"/>
        </w:rPr>
        <w:t>年单位开支会议费</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万元。</w:t>
      </w:r>
      <w:r>
        <w:rPr>
          <w:rFonts w:hint="eastAsia" w:ascii="仿宋" w:hAnsi="仿宋" w:eastAsia="仿宋" w:cs="仿宋"/>
          <w:color w:val="000000"/>
          <w:kern w:val="0"/>
          <w:sz w:val="32"/>
          <w:szCs w:val="32"/>
          <w:lang w:val="en-US" w:eastAsia="zh-CN"/>
        </w:rPr>
        <w:t>培训费支出14.74万元，用于开展“2025年强党性，驻铁军培训班”，人数37人，内容为党员提升党性修养培训。</w:t>
      </w:r>
    </w:p>
    <w:p>
      <w:pPr>
        <w:keepNext w:val="0"/>
        <w:keepLines w:val="0"/>
        <w:pageBreakBefore w:val="0"/>
        <w:widowControl/>
        <w:numPr>
          <w:numId w:val="0"/>
        </w:numPr>
        <w:kinsoku/>
        <w:wordWrap/>
        <w:overflowPunct/>
        <w:topLinePunct w:val="0"/>
        <w:bidi w:val="0"/>
        <w:adjustRightInd w:val="0"/>
        <w:snapToGrid w:val="0"/>
        <w:spacing w:line="360" w:lineRule="auto"/>
        <w:ind w:firstLine="640"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lang w:val="en-US" w:eastAsia="zh-CN"/>
        </w:rPr>
        <w:t>十一、</w:t>
      </w:r>
      <w:r>
        <w:rPr>
          <w:rFonts w:hint="eastAsia" w:ascii="黑体" w:hAnsi="黑体" w:eastAsia="黑体" w:cs="黑体"/>
          <w:b/>
          <w:bCs/>
          <w:sz w:val="32"/>
          <w:szCs w:val="32"/>
        </w:rPr>
        <w:t>政府采购支出情况</w:t>
      </w:r>
    </w:p>
    <w:p>
      <w:pPr>
        <w:pStyle w:val="2"/>
        <w:keepNext w:val="0"/>
        <w:keepLines w:val="0"/>
        <w:pageBreakBefore w:val="0"/>
        <w:numPr>
          <w:ilvl w:val="0"/>
          <w:numId w:val="0"/>
        </w:numPr>
        <w:kinsoku/>
        <w:wordWrap/>
        <w:overflowPunct/>
        <w:topLinePunct w:val="0"/>
        <w:bidi w:val="0"/>
        <w:adjustRightInd w:val="0"/>
        <w:snapToGrid w:val="0"/>
        <w:spacing w:line="360" w:lineRule="auto"/>
        <w:textAlignment w:val="auto"/>
        <w:rPr>
          <w:rFonts w:hint="default" w:ascii="仿宋" w:hAnsi="仿宋" w:eastAsia="仿宋" w:cs="仿宋"/>
          <w:color w:val="000000"/>
          <w:kern w:val="0"/>
          <w:sz w:val="32"/>
          <w:szCs w:val="32"/>
          <w:lang w:val="en-US" w:eastAsia="zh-CN" w:bidi="ar-SA"/>
        </w:rPr>
      </w:pPr>
      <w:r>
        <w:rPr>
          <w:rFonts w:hint="eastAsia"/>
          <w:lang w:val="en-US" w:eastAsia="zh-CN"/>
        </w:rPr>
        <w:t xml:space="preserve">      </w:t>
      </w:r>
      <w:r>
        <w:rPr>
          <w:rFonts w:hint="eastAsia" w:ascii="仿宋" w:hAnsi="仿宋" w:eastAsia="仿宋" w:cs="仿宋"/>
          <w:color w:val="000000"/>
          <w:kern w:val="0"/>
          <w:sz w:val="32"/>
          <w:szCs w:val="32"/>
          <w:lang w:val="en-US" w:eastAsia="zh-CN" w:bidi="ar-SA"/>
        </w:rPr>
        <w:t xml:space="preserve"> 本部门2025年度政府采购支出总额0万元。</w:t>
      </w:r>
    </w:p>
    <w:p>
      <w:pPr>
        <w:keepNext w:val="0"/>
        <w:keepLines w:val="0"/>
        <w:pageBreakBefore w:val="0"/>
        <w:widowControl/>
        <w:numPr>
          <w:numId w:val="0"/>
        </w:numPr>
        <w:kinsoku/>
        <w:wordWrap/>
        <w:overflowPunct/>
        <w:topLinePunct w:val="0"/>
        <w:bidi w:val="0"/>
        <w:adjustRightInd w:val="0"/>
        <w:snapToGrid w:val="0"/>
        <w:spacing w:line="360" w:lineRule="auto"/>
        <w:ind w:firstLine="640"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lang w:val="en-US" w:eastAsia="zh-CN"/>
        </w:rPr>
        <w:t>十二、</w:t>
      </w:r>
      <w:r>
        <w:rPr>
          <w:rFonts w:hint="eastAsia" w:ascii="黑体" w:hAnsi="黑体" w:eastAsia="黑体" w:cs="黑体"/>
          <w:b/>
          <w:bCs/>
          <w:sz w:val="32"/>
          <w:szCs w:val="32"/>
        </w:rPr>
        <w:t>国有资产占用情况</w:t>
      </w:r>
    </w:p>
    <w:p>
      <w:pPr>
        <w:keepNext w:val="0"/>
        <w:keepLines w:val="0"/>
        <w:pageBreakBefore w:val="0"/>
        <w:kinsoku/>
        <w:wordWrap/>
        <w:overflowPunct/>
        <w:topLinePunct w:val="0"/>
        <w:bidi w:val="0"/>
        <w:adjustRightInd w:val="0"/>
        <w:snapToGrid w:val="0"/>
        <w:spacing w:line="360" w:lineRule="auto"/>
        <w:ind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截至</w:t>
      </w:r>
      <w:r>
        <w:rPr>
          <w:rFonts w:hint="eastAsia" w:ascii="仿宋" w:hAnsi="仿宋" w:eastAsia="仿宋" w:cs="仿宋"/>
          <w:color w:val="000000"/>
          <w:kern w:val="0"/>
          <w:sz w:val="32"/>
          <w:szCs w:val="32"/>
          <w:lang w:val="en-US" w:eastAsia="zh-CN"/>
        </w:rPr>
        <w:t>2025</w:t>
      </w:r>
      <w:r>
        <w:rPr>
          <w:rFonts w:hint="eastAsia" w:ascii="仿宋" w:hAnsi="仿宋" w:eastAsia="仿宋" w:cs="仿宋"/>
          <w:color w:val="000000"/>
          <w:kern w:val="0"/>
          <w:sz w:val="32"/>
          <w:szCs w:val="32"/>
        </w:rPr>
        <w:t>年12月31日，本单位共有车辆</w:t>
      </w:r>
      <w:r>
        <w:rPr>
          <w:rFonts w:hint="eastAsia" w:ascii="仿宋" w:hAnsi="仿宋" w:eastAsia="仿宋" w:cs="仿宋"/>
          <w:color w:val="000000"/>
          <w:kern w:val="0"/>
          <w:sz w:val="32"/>
          <w:szCs w:val="32"/>
          <w:lang w:val="en-US" w:eastAsia="zh-CN"/>
        </w:rPr>
        <w:t>9</w:t>
      </w:r>
      <w:r>
        <w:rPr>
          <w:rFonts w:hint="eastAsia" w:ascii="仿宋" w:hAnsi="仿宋" w:eastAsia="仿宋" w:cs="仿宋"/>
          <w:color w:val="000000"/>
          <w:kern w:val="0"/>
          <w:sz w:val="32"/>
          <w:szCs w:val="32"/>
        </w:rPr>
        <w:t>辆。其中，应急保障用车1辆、离退休干部服务用车1辆、实物保障用车</w:t>
      </w:r>
      <w:r>
        <w:rPr>
          <w:rFonts w:hint="eastAsia" w:ascii="仿宋" w:hAnsi="仿宋" w:eastAsia="仿宋" w:cs="仿宋"/>
          <w:color w:val="000000"/>
          <w:kern w:val="0"/>
          <w:sz w:val="32"/>
          <w:szCs w:val="32"/>
          <w:lang w:val="en-US" w:eastAsia="zh-CN"/>
        </w:rPr>
        <w:t>1</w:t>
      </w:r>
      <w:r>
        <w:rPr>
          <w:rFonts w:hint="eastAsia" w:ascii="仿宋" w:hAnsi="仿宋" w:eastAsia="仿宋" w:cs="仿宋"/>
          <w:color w:val="000000"/>
          <w:kern w:val="0"/>
          <w:sz w:val="32"/>
          <w:szCs w:val="32"/>
        </w:rPr>
        <w:t>辆，接待调研用车</w:t>
      </w:r>
      <w:r>
        <w:rPr>
          <w:rFonts w:hint="eastAsia" w:ascii="仿宋" w:hAnsi="仿宋" w:eastAsia="仿宋" w:cs="仿宋"/>
          <w:color w:val="000000"/>
          <w:kern w:val="0"/>
          <w:sz w:val="32"/>
          <w:szCs w:val="32"/>
          <w:lang w:val="en-US" w:eastAsia="zh-CN"/>
        </w:rPr>
        <w:t>6</w:t>
      </w:r>
      <w:r>
        <w:rPr>
          <w:rFonts w:hint="eastAsia" w:ascii="仿宋" w:hAnsi="仿宋" w:eastAsia="仿宋" w:cs="仿宋"/>
          <w:color w:val="000000"/>
          <w:kern w:val="0"/>
          <w:sz w:val="32"/>
          <w:szCs w:val="32"/>
        </w:rPr>
        <w:t>辆。无单位价值100万元以上设备。</w:t>
      </w:r>
    </w:p>
    <w:p>
      <w:pPr>
        <w:pStyle w:val="2"/>
        <w:keepNext w:val="0"/>
        <w:keepLines w:val="0"/>
        <w:pageBreakBefore w:val="0"/>
        <w:numPr>
          <w:ilvl w:val="0"/>
          <w:numId w:val="0"/>
        </w:numPr>
        <w:kinsoku/>
        <w:wordWrap/>
        <w:overflowPunct/>
        <w:topLinePunct w:val="0"/>
        <w:bidi w:val="0"/>
        <w:adjustRightInd w:val="0"/>
        <w:snapToGrid w:val="0"/>
        <w:spacing w:line="360" w:lineRule="auto"/>
        <w:textAlignment w:val="auto"/>
        <w:rPr>
          <w:rFonts w:hint="eastAsia" w:ascii="黑体" w:hAnsi="黑体" w:eastAsia="黑体" w:cs="黑体"/>
          <w:b/>
          <w:bCs/>
          <w:kern w:val="2"/>
          <w:sz w:val="32"/>
          <w:szCs w:val="32"/>
          <w:lang w:val="en-US" w:eastAsia="zh-CN" w:bidi="ar-SA"/>
        </w:rPr>
      </w:pPr>
      <w:r>
        <w:rPr>
          <w:rFonts w:hint="eastAsia" w:ascii="仿宋" w:hAnsi="仿宋" w:eastAsia="仿宋" w:cs="仿宋"/>
          <w:color w:val="000000"/>
          <w:kern w:val="0"/>
          <w:sz w:val="32"/>
          <w:szCs w:val="32"/>
          <w:lang w:val="en-US" w:eastAsia="zh-CN" w:bidi="ar-SA"/>
        </w:rPr>
        <w:t xml:space="preserve">  </w:t>
      </w:r>
      <w:r>
        <w:rPr>
          <w:rFonts w:hint="eastAsia" w:ascii="黑体" w:hAnsi="黑体" w:eastAsia="黑体" w:cs="黑体"/>
          <w:b/>
          <w:bCs/>
          <w:kern w:val="2"/>
          <w:sz w:val="32"/>
          <w:szCs w:val="32"/>
          <w:lang w:val="en-US" w:eastAsia="zh-CN" w:bidi="ar-SA"/>
        </w:rPr>
        <w:t xml:space="preserve">  十三、关于2025年度预算绩效情况的说明</w:t>
      </w:r>
    </w:p>
    <w:p>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jc w:val="left"/>
        <w:textAlignment w:val="auto"/>
        <w:rPr>
          <w:rFonts w:hint="eastAsia" w:ascii="仿宋" w:hAnsi="仿宋" w:eastAsia="仿宋" w:cs="仿宋"/>
          <w:sz w:val="32"/>
          <w:szCs w:val="32"/>
          <w:lang w:val="en-US" w:eastAsia="zh-CN"/>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w:t>
      </w:r>
      <w:r>
        <w:rPr>
          <w:rFonts w:hint="eastAsia" w:ascii="Times New Roman" w:hAnsi="Times New Roman" w:eastAsia="仿宋_GB2312" w:cs="Times New Roman"/>
          <w:b/>
          <w:bCs/>
          <w:kern w:val="0"/>
          <w:sz w:val="32"/>
          <w:szCs w:val="32"/>
          <w:lang w:val="en-US" w:eastAsia="zh-CN"/>
        </w:rPr>
        <w:t>开展情况</w:t>
      </w:r>
      <w:r>
        <w:rPr>
          <w:rFonts w:ascii="Times New Roman" w:hAnsi="Times New Roman" w:eastAsia="仿宋_GB2312" w:cs="Times New Roman"/>
          <w:b/>
          <w:bCs/>
          <w:kern w:val="0"/>
          <w:sz w:val="32"/>
          <w:szCs w:val="32"/>
        </w:rPr>
        <w:t>。</w:t>
      </w:r>
      <w:r>
        <w:rPr>
          <w:rFonts w:ascii="Times New Roman" w:hAnsi="Times New Roman" w:eastAsia="仿宋_GB2312" w:cs="Times New Roman"/>
          <w:kern w:val="0"/>
          <w:sz w:val="32"/>
          <w:szCs w:val="32"/>
        </w:rPr>
        <w:t>组织对</w:t>
      </w:r>
      <w:r>
        <w:rPr>
          <w:rFonts w:hint="eastAsia" w:ascii="Times New Roman" w:hAnsi="Times New Roman" w:eastAsia="仿宋_GB2312" w:cs="Times New Roman"/>
          <w:kern w:val="0"/>
          <w:sz w:val="32"/>
          <w:szCs w:val="32"/>
          <w:lang w:eastAsia="zh-CN"/>
        </w:rPr>
        <w:t>2025</w:t>
      </w:r>
      <w:r>
        <w:rPr>
          <w:rFonts w:ascii="Times New Roman" w:hAnsi="Times New Roman" w:eastAsia="仿宋_GB2312" w:cs="Times New Roman"/>
          <w:kern w:val="0"/>
          <w:sz w:val="32"/>
          <w:szCs w:val="32"/>
        </w:rPr>
        <w:t>年度本部门整体支出开展绩效自评，涉及项目</w:t>
      </w:r>
      <w:r>
        <w:rPr>
          <w:rFonts w:hint="eastAsia" w:ascii="Times New Roman" w:hAnsi="Times New Roman" w:eastAsia="仿宋_GB2312" w:cs="Times New Roman"/>
          <w:kern w:val="0"/>
          <w:sz w:val="32"/>
          <w:szCs w:val="32"/>
          <w:lang w:val="en-US" w:eastAsia="zh-CN"/>
        </w:rPr>
        <w:t>3</w:t>
      </w:r>
      <w:r>
        <w:rPr>
          <w:rFonts w:ascii="Times New Roman" w:hAnsi="Times New Roman" w:eastAsia="仿宋_GB2312" w:cs="Times New Roman"/>
          <w:kern w:val="0"/>
          <w:sz w:val="32"/>
          <w:szCs w:val="32"/>
        </w:rPr>
        <w:t>个，共涉及资金</w:t>
      </w:r>
      <w:r>
        <w:rPr>
          <w:rFonts w:hint="eastAsia" w:ascii="仿宋" w:hAnsi="仿宋" w:eastAsia="仿宋" w:cs="仿宋"/>
          <w:sz w:val="32"/>
          <w:szCs w:val="32"/>
          <w:lang w:val="en-US" w:eastAsia="zh-CN"/>
        </w:rPr>
        <w:t>239.81</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3</w:t>
      </w:r>
      <w:r>
        <w:rPr>
          <w:rFonts w:ascii="Times New Roman" w:hAnsi="Times New Roman" w:eastAsia="仿宋_GB2312" w:cs="Times New Roman"/>
          <w:kern w:val="0"/>
          <w:sz w:val="32"/>
          <w:szCs w:val="32"/>
        </w:rPr>
        <w:t>个</w:t>
      </w:r>
      <w:r>
        <w:rPr>
          <w:rFonts w:hint="eastAsia" w:ascii="仿宋" w:hAnsi="仿宋" w:eastAsia="仿宋" w:cs="仿宋"/>
          <w:sz w:val="32"/>
          <w:szCs w:val="32"/>
          <w:lang w:val="en-US" w:eastAsia="zh-CN"/>
        </w:rPr>
        <w:t>239.81</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100</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ascii="Times New Roman" w:hAnsi="Times New Roman" w:eastAsia="仿宋_GB2312" w:cs="Times New Roman"/>
          <w:b/>
          <w:bCs/>
          <w:kern w:val="0"/>
          <w:sz w:val="32"/>
          <w:szCs w:val="32"/>
        </w:rPr>
        <w:t>二是部门评价开展情况。</w:t>
      </w:r>
      <w:r>
        <w:rPr>
          <w:rFonts w:ascii="Times New Roman" w:hAnsi="Times New Roman" w:eastAsia="仿宋_GB2312" w:cs="Times New Roman"/>
          <w:kern w:val="0"/>
          <w:sz w:val="32"/>
          <w:szCs w:val="32"/>
        </w:rPr>
        <w:t>组织对所属单位</w:t>
      </w:r>
      <w:r>
        <w:rPr>
          <w:rFonts w:hint="eastAsia" w:ascii="Times New Roman" w:hAnsi="Times New Roman" w:eastAsia="仿宋_GB2312" w:cs="Times New Roman"/>
          <w:kern w:val="0"/>
          <w:sz w:val="32"/>
          <w:szCs w:val="32"/>
          <w:lang w:eastAsia="zh-CN"/>
        </w:rPr>
        <w:t>2025</w:t>
      </w:r>
      <w:r>
        <w:rPr>
          <w:rFonts w:ascii="Times New Roman" w:hAnsi="Times New Roman" w:eastAsia="仿宋_GB2312" w:cs="Times New Roman"/>
          <w:kern w:val="0"/>
          <w:sz w:val="32"/>
          <w:szCs w:val="32"/>
        </w:rPr>
        <w:t>年度“</w:t>
      </w:r>
      <w:r>
        <w:rPr>
          <w:rFonts w:hint="eastAsia" w:ascii="仿宋" w:hAnsi="仿宋" w:eastAsia="仿宋" w:cs="仿宋"/>
          <w:b/>
          <w:bCs/>
          <w:sz w:val="32"/>
          <w:szCs w:val="32"/>
          <w:lang w:val="en-US" w:eastAsia="zh-CN"/>
        </w:rPr>
        <w:t>湖南驻沪单位党委党建工作经费</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w:t>
      </w:r>
      <w:r>
        <w:rPr>
          <w:rFonts w:hint="eastAsia" w:ascii="仿宋" w:hAnsi="仿宋" w:eastAsia="仿宋" w:cs="仿宋"/>
          <w:b/>
          <w:bCs/>
          <w:sz w:val="32"/>
          <w:szCs w:val="32"/>
          <w:lang w:val="en-US" w:eastAsia="zh-CN"/>
        </w:rPr>
        <w:t>加强与长三角及华东地区经济合作、宣传、公共服务专项经费</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eastAsia="zh-CN"/>
        </w:rPr>
        <w:t>、“</w:t>
      </w:r>
      <w:r>
        <w:rPr>
          <w:rFonts w:hint="eastAsia" w:ascii="仿宋" w:hAnsi="仿宋" w:eastAsia="仿宋" w:cs="仿宋"/>
          <w:b/>
          <w:bCs/>
          <w:sz w:val="32"/>
          <w:szCs w:val="32"/>
          <w:lang w:val="en-US" w:eastAsia="zh-CN"/>
        </w:rPr>
        <w:t>服务我省参与商务活动经费</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等</w:t>
      </w:r>
      <w:r>
        <w:rPr>
          <w:rFonts w:hint="eastAsia" w:ascii="Times New Roman" w:hAnsi="Times New Roman" w:eastAsia="仿宋_GB2312" w:cs="Times New Roman"/>
          <w:kern w:val="0"/>
          <w:sz w:val="32"/>
          <w:szCs w:val="32"/>
          <w:lang w:val="en-US" w:eastAsia="zh-CN"/>
        </w:rPr>
        <w:t>3个</w:t>
      </w:r>
      <w:r>
        <w:rPr>
          <w:rFonts w:ascii="Times New Roman" w:hAnsi="Times New Roman" w:eastAsia="仿宋_GB2312" w:cs="Times New Roman"/>
          <w:kern w:val="0"/>
          <w:sz w:val="32"/>
          <w:szCs w:val="32"/>
        </w:rPr>
        <w:t>项目开展了部门评价，涉及一般公共预算支出</w:t>
      </w:r>
      <w:r>
        <w:rPr>
          <w:rFonts w:hint="eastAsia" w:ascii="仿宋" w:hAnsi="仿宋" w:eastAsia="仿宋" w:cs="仿宋"/>
          <w:sz w:val="32"/>
          <w:szCs w:val="32"/>
          <w:lang w:val="en-US" w:eastAsia="zh-CN"/>
        </w:rPr>
        <w:t>239.81</w:t>
      </w:r>
      <w:r>
        <w:rPr>
          <w:rFonts w:ascii="Times New Roman" w:hAnsi="Times New Roman" w:eastAsia="仿宋_GB2312" w:cs="Times New Roman"/>
          <w:kern w:val="0"/>
          <w:sz w:val="32"/>
          <w:szCs w:val="32"/>
        </w:rPr>
        <w:t>万元，政府性基金预算支出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万元，国有资本经营预算支出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万元，社会保险基金预算支出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r>
        <w:rPr>
          <w:rFonts w:ascii="Times New Roman" w:hAnsi="Times New Roman" w:eastAsia="仿宋_GB2312" w:cs="Times New Roman"/>
          <w:b/>
          <w:bCs/>
          <w:kern w:val="0"/>
          <w:sz w:val="32"/>
          <w:szCs w:val="32"/>
        </w:rPr>
        <w:t>三是事前绩效评估开展情况。</w:t>
      </w:r>
      <w:r>
        <w:rPr>
          <w:rFonts w:hint="eastAsia" w:ascii="Times New Roman" w:hAnsi="Times New Roman" w:eastAsia="仿宋_GB2312" w:cs="Times New Roman"/>
          <w:kern w:val="0"/>
          <w:sz w:val="32"/>
          <w:szCs w:val="32"/>
          <w:lang w:eastAsia="zh-CN"/>
        </w:rPr>
        <w:t>2025</w:t>
      </w:r>
      <w:r>
        <w:rPr>
          <w:rFonts w:hint="eastAsia" w:ascii="仿宋" w:hAnsi="仿宋" w:eastAsia="仿宋" w:cs="仿宋"/>
          <w:sz w:val="32"/>
          <w:szCs w:val="32"/>
          <w:lang w:val="en-US" w:eastAsia="zh-CN"/>
        </w:rPr>
        <w:t>年度我办没有新增重大项目。</w:t>
      </w:r>
    </w:p>
    <w:p>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jc w:val="left"/>
        <w:textAlignment w:val="auto"/>
        <w:rPr>
          <w:rFonts w:ascii="Times New Roman" w:hAnsi="Times New Roman" w:eastAsia="仿宋_GB2312" w:cs="Times New Roman"/>
          <w:kern w:val="0"/>
          <w:sz w:val="32"/>
          <w:szCs w:val="32"/>
        </w:rPr>
      </w:pPr>
      <w:r>
        <w:rPr>
          <w:rFonts w:hint="eastAsia" w:ascii="Times New Roman" w:hAnsi="Times New Roman" w:eastAsia="楷体_GB2312" w:cs="Times New Roman"/>
          <w:b/>
          <w:bCs/>
          <w:sz w:val="32"/>
          <w:szCs w:val="32"/>
          <w:lang w:val="en-US" w:eastAsia="zh-CN"/>
        </w:rPr>
        <w:t>（二）绩效评价结果。一是绩效自评结果。</w:t>
      </w:r>
      <w:r>
        <w:rPr>
          <w:rFonts w:hint="eastAsia" w:ascii="仿宋" w:hAnsi="仿宋" w:eastAsia="仿宋" w:cs="仿宋"/>
          <w:sz w:val="32"/>
          <w:szCs w:val="32"/>
          <w:lang w:val="en-US" w:eastAsia="zh-CN"/>
        </w:rPr>
        <w:t>2025年度本部</w:t>
      </w:r>
      <w:r>
        <w:rPr>
          <w:rFonts w:ascii="Times New Roman" w:hAnsi="Times New Roman" w:eastAsia="仿宋_GB2312" w:cs="Times New Roman"/>
          <w:kern w:val="0"/>
          <w:sz w:val="32"/>
          <w:szCs w:val="32"/>
        </w:rPr>
        <w:t>门整体支出全年预算数</w:t>
      </w:r>
      <w:r>
        <w:rPr>
          <w:rFonts w:hint="eastAsia" w:ascii="Times New Roman" w:hAnsi="Times New Roman" w:eastAsia="仿宋_GB2312" w:cs="Times New Roman"/>
          <w:kern w:val="0"/>
          <w:sz w:val="32"/>
          <w:szCs w:val="32"/>
          <w:lang w:val="en-US" w:eastAsia="zh-CN"/>
        </w:rPr>
        <w:t>1598.93</w:t>
      </w:r>
      <w:r>
        <w:rPr>
          <w:rFonts w:ascii="Times New Roman" w:hAnsi="Times New Roman" w:eastAsia="仿宋_GB2312" w:cs="Times New Roman"/>
          <w:kern w:val="0"/>
          <w:sz w:val="32"/>
          <w:szCs w:val="32"/>
        </w:rPr>
        <w:t>万元，执行数</w:t>
      </w:r>
      <w:r>
        <w:rPr>
          <w:rFonts w:hint="eastAsia" w:ascii="Times New Roman" w:hAnsi="Times New Roman" w:eastAsia="仿宋_GB2312" w:cs="Times New Roman"/>
          <w:kern w:val="0"/>
          <w:sz w:val="32"/>
          <w:szCs w:val="32"/>
          <w:lang w:val="en-US" w:eastAsia="zh-CN"/>
        </w:rPr>
        <w:t>1273.73</w:t>
      </w:r>
      <w:r>
        <w:rPr>
          <w:rFonts w:ascii="Times New Roman" w:hAnsi="Times New Roman" w:eastAsia="仿宋_GB2312" w:cs="Times New Roman"/>
          <w:kern w:val="0"/>
          <w:sz w:val="32"/>
          <w:szCs w:val="32"/>
        </w:rPr>
        <w:t>万元，完成预算的</w:t>
      </w:r>
      <w:r>
        <w:rPr>
          <w:rFonts w:hint="eastAsia" w:ascii="Times New Roman" w:hAnsi="Times New Roman" w:eastAsia="仿宋_GB2312" w:cs="Times New Roman"/>
          <w:kern w:val="0"/>
          <w:sz w:val="32"/>
          <w:szCs w:val="32"/>
          <w:lang w:val="en-US" w:eastAsia="zh-CN"/>
        </w:rPr>
        <w:t>80</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kern w:val="0"/>
          <w:sz w:val="32"/>
          <w:szCs w:val="32"/>
          <w:lang w:val="en-US" w:eastAsia="zh-CN"/>
        </w:rPr>
        <w:t>100</w:t>
      </w:r>
      <w:r>
        <w:rPr>
          <w:rFonts w:ascii="Times New Roman" w:hAnsi="Times New Roman" w:eastAsia="仿宋_GB2312" w:cs="Times New Roman"/>
          <w:kern w:val="0"/>
          <w:sz w:val="32"/>
          <w:szCs w:val="32"/>
        </w:rPr>
        <w:t>分，评价等级为“</w:t>
      </w:r>
      <w:r>
        <w:rPr>
          <w:rFonts w:hint="eastAsia" w:ascii="Times New Roman" w:hAnsi="Times New Roman" w:eastAsia="仿宋_GB2312" w:cs="Times New Roman"/>
          <w:kern w:val="0"/>
          <w:sz w:val="32"/>
          <w:szCs w:val="32"/>
          <w:lang w:val="en-US" w:eastAsia="zh-CN"/>
        </w:rPr>
        <w:t>优秀</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二是部门评价结果。</w:t>
      </w:r>
      <w:r>
        <w:rPr>
          <w:rFonts w:hint="eastAsia" w:ascii="Times New Roman" w:hAnsi="Times New Roman" w:eastAsia="仿宋_GB2312" w:cs="Times New Roman"/>
          <w:kern w:val="0"/>
          <w:sz w:val="32"/>
          <w:szCs w:val="32"/>
          <w:lang w:val="en-US" w:eastAsia="zh-CN"/>
        </w:rPr>
        <w:t>2025年项目支出预算安排</w:t>
      </w:r>
      <w:r>
        <w:rPr>
          <w:rFonts w:hint="eastAsia" w:ascii="仿宋" w:hAnsi="仿宋" w:eastAsia="仿宋" w:cs="仿宋"/>
          <w:sz w:val="32"/>
          <w:szCs w:val="32"/>
          <w:lang w:val="en-US" w:eastAsia="zh-CN"/>
        </w:rPr>
        <w:t>457.76</w:t>
      </w:r>
      <w:r>
        <w:rPr>
          <w:rFonts w:hint="eastAsia" w:ascii="Times New Roman" w:hAnsi="Times New Roman" w:eastAsia="仿宋_GB2312" w:cs="Times New Roman"/>
          <w:kern w:val="0"/>
          <w:sz w:val="32"/>
          <w:szCs w:val="32"/>
          <w:lang w:val="en-US" w:eastAsia="zh-CN"/>
        </w:rPr>
        <w:t>万元，实际支出</w:t>
      </w:r>
      <w:r>
        <w:rPr>
          <w:rFonts w:hint="eastAsia" w:ascii="仿宋" w:hAnsi="仿宋" w:eastAsia="仿宋" w:cs="仿宋"/>
          <w:sz w:val="32"/>
          <w:szCs w:val="32"/>
          <w:lang w:val="en-US" w:eastAsia="zh-CN"/>
        </w:rPr>
        <w:t>239.81</w:t>
      </w:r>
      <w:r>
        <w:rPr>
          <w:rFonts w:hint="eastAsia" w:ascii="Times New Roman" w:hAnsi="Times New Roman" w:eastAsia="仿宋_GB2312" w:cs="Times New Roman"/>
          <w:kern w:val="0"/>
          <w:sz w:val="32"/>
          <w:szCs w:val="32"/>
          <w:lang w:val="en-US" w:eastAsia="zh-CN"/>
        </w:rPr>
        <w:t>万元，预算完成率52.4%。办事处经济合作、信息调研、人才服务、驻沪党建等工作取得了新成效。</w:t>
      </w:r>
      <w:r>
        <w:rPr>
          <w:rFonts w:ascii="Times New Roman" w:hAnsi="Times New Roman" w:eastAsia="仿宋_GB2312" w:cs="Times New Roman"/>
          <w:kern w:val="0"/>
          <w:sz w:val="32"/>
          <w:szCs w:val="32"/>
        </w:rPr>
        <w:t>发现的主要问题及原因：</w:t>
      </w:r>
      <w:r>
        <w:rPr>
          <w:rFonts w:hint="eastAsia" w:ascii="Times New Roman" w:hAnsi="Times New Roman" w:eastAsia="仿宋_GB2312" w:cs="Times New Roman"/>
          <w:kern w:val="0"/>
          <w:sz w:val="32"/>
          <w:szCs w:val="32"/>
          <w:lang w:eastAsia="zh-CN"/>
        </w:rPr>
        <w:t>（</w:t>
      </w:r>
      <w:r>
        <w:rPr>
          <w:rFonts w:hint="eastAsia" w:ascii="Times New Roman" w:hAnsi="Times New Roman" w:eastAsia="仿宋_GB2312" w:cs="Times New Roman"/>
          <w:kern w:val="0"/>
          <w:sz w:val="32"/>
          <w:szCs w:val="32"/>
          <w:lang w:val="en-US" w:eastAsia="zh-CN"/>
        </w:rPr>
        <w:t>1</w:t>
      </w:r>
      <w:r>
        <w:rPr>
          <w:rFonts w:hint="eastAsia" w:ascii="Times New Roman" w:hAnsi="Times New Roman" w:eastAsia="仿宋_GB2312" w:cs="Times New Roman"/>
          <w:kern w:val="0"/>
          <w:sz w:val="32"/>
          <w:szCs w:val="32"/>
          <w:lang w:eastAsia="zh-CN"/>
        </w:rPr>
        <w:t>）</w:t>
      </w:r>
      <w:r>
        <w:rPr>
          <w:rFonts w:hint="eastAsia" w:ascii="Times New Roman" w:hAnsi="Times New Roman" w:eastAsia="仿宋_GB2312" w:cs="Times New Roman"/>
          <w:kern w:val="0"/>
          <w:sz w:val="32"/>
          <w:szCs w:val="32"/>
          <w:lang w:val="en-US" w:eastAsia="zh-CN"/>
        </w:rPr>
        <w:t>预算编制和实际略有偏差。因工作计划的前瞻性不够，年初预算未能根据工作计划进行精准测算。（2）</w:t>
      </w:r>
      <w:r>
        <w:rPr>
          <w:rFonts w:hint="eastAsia" w:ascii="仿宋" w:hAnsi="仿宋" w:eastAsia="仿宋" w:cs="仿宋"/>
          <w:sz w:val="32"/>
          <w:szCs w:val="32"/>
          <w:lang w:val="en-US" w:eastAsia="zh-CN"/>
        </w:rPr>
        <w:t>预算指标编制合理性不够。主要是因为编制年度预算时未充分考虑单位实际，再加上临时情况较多。</w:t>
      </w:r>
    </w:p>
    <w:p>
      <w:pPr>
        <w:pStyle w:val="15"/>
        <w:overflowPunct w:val="0"/>
        <w:autoSpaceDE/>
        <w:autoSpaceDN/>
        <w:spacing w:line="600" w:lineRule="exact"/>
        <w:ind w:firstLine="640" w:firstLineChars="200"/>
        <w:jc w:val="both"/>
        <w:rPr>
          <w:rFonts w:hint="default" w:ascii="Times New Roman" w:hAnsi="Times New Roman" w:eastAsia="楷体_GB2312" w:cs="Times New Roman"/>
          <w:color w:val="auto"/>
          <w:sz w:val="72"/>
          <w:szCs w:val="72"/>
          <w:lang w:val="en-US" w:eastAsia="zh-CN"/>
        </w:rPr>
      </w:pPr>
      <w:r>
        <w:rPr>
          <w:rFonts w:ascii="Times New Roman" w:hAnsi="Times New Roman" w:eastAsia="楷体_GB2312" w:cs="Times New Roman"/>
          <w:b/>
          <w:bCs/>
          <w:color w:val="auto"/>
          <w:kern w:val="2"/>
          <w:sz w:val="32"/>
          <w:szCs w:val="32"/>
        </w:rPr>
        <w:t>（三）评价结果应用情况。</w:t>
      </w:r>
      <w:r>
        <w:rPr>
          <w:rFonts w:hint="eastAsia" w:ascii="Times New Roman" w:hAnsi="Times New Roman" w:eastAsia="仿宋_GB2312" w:cs="Times New Roman"/>
          <w:color w:val="auto"/>
          <w:sz w:val="32"/>
          <w:szCs w:val="32"/>
          <w:lang w:val="en-US" w:eastAsia="zh-CN"/>
        </w:rPr>
        <w:t>根据2025年绩效评估结果，指导2025年的预算编制工作，克服2025年预算执行过程中发现的问题，如预算编制的部分不够精细、前瞻性不足等问题，促进本部门的财务管理工作上一个新的台阶。</w:t>
      </w:r>
    </w:p>
    <w:p>
      <w:pPr>
        <w:pStyle w:val="15"/>
        <w:keepNext w:val="0"/>
        <w:keepLines w:val="0"/>
        <w:pageBreakBefore w:val="0"/>
        <w:widowControl w:val="0"/>
        <w:numPr>
          <w:ilvl w:val="0"/>
          <w:numId w:val="0"/>
        </w:numPr>
        <w:kinsoku/>
        <w:wordWrap/>
        <w:overflowPunct/>
        <w:topLinePunct w:val="0"/>
        <w:autoSpaceDE w:val="0"/>
        <w:autoSpaceDN w:val="0"/>
        <w:bidi w:val="0"/>
        <w:adjustRightInd w:val="0"/>
        <w:snapToGrid/>
        <w:spacing w:line="580" w:lineRule="exact"/>
        <w:jc w:val="left"/>
        <w:textAlignment w:val="auto"/>
        <w:rPr>
          <w:rFonts w:hint="eastAsia" w:ascii="楷体" w:hAnsi="楷体" w:eastAsia="楷体" w:cs="楷体"/>
          <w:b/>
          <w:bCs/>
          <w:sz w:val="32"/>
          <w:szCs w:val="32"/>
        </w:rPr>
      </w:pPr>
    </w:p>
    <w:p>
      <w:pPr>
        <w:pStyle w:val="15"/>
        <w:keepNext w:val="0"/>
        <w:keepLines w:val="0"/>
        <w:pageBreakBefore w:val="0"/>
        <w:widowControl w:val="0"/>
        <w:numPr>
          <w:ilvl w:val="0"/>
          <w:numId w:val="0"/>
        </w:numPr>
        <w:kinsoku/>
        <w:wordWrap/>
        <w:overflowPunct/>
        <w:topLinePunct w:val="0"/>
        <w:autoSpaceDE w:val="0"/>
        <w:autoSpaceDN w:val="0"/>
        <w:bidi w:val="0"/>
        <w:adjustRightInd w:val="0"/>
        <w:snapToGrid/>
        <w:spacing w:line="580" w:lineRule="exact"/>
        <w:jc w:val="left"/>
        <w:textAlignment w:val="auto"/>
        <w:rPr>
          <w:rFonts w:hint="eastAsia" w:ascii="楷体" w:hAnsi="楷体" w:eastAsia="楷体" w:cs="楷体"/>
          <w:b/>
          <w:bCs/>
          <w:sz w:val="32"/>
          <w:szCs w:val="32"/>
        </w:rPr>
      </w:pPr>
    </w:p>
    <w:p>
      <w:pPr>
        <w:pStyle w:val="15"/>
        <w:keepNext w:val="0"/>
        <w:keepLines w:val="0"/>
        <w:pageBreakBefore w:val="0"/>
        <w:widowControl w:val="0"/>
        <w:numPr>
          <w:ilvl w:val="0"/>
          <w:numId w:val="0"/>
        </w:numPr>
        <w:kinsoku/>
        <w:wordWrap/>
        <w:overflowPunct/>
        <w:topLinePunct w:val="0"/>
        <w:autoSpaceDE w:val="0"/>
        <w:autoSpaceDN w:val="0"/>
        <w:bidi w:val="0"/>
        <w:adjustRightInd w:val="0"/>
        <w:snapToGrid/>
        <w:spacing w:line="580" w:lineRule="exact"/>
        <w:jc w:val="left"/>
        <w:textAlignment w:val="auto"/>
        <w:rPr>
          <w:rFonts w:hint="eastAsia" w:ascii="楷体" w:hAnsi="楷体" w:eastAsia="楷体" w:cs="楷体"/>
          <w:b/>
          <w:bCs/>
          <w:sz w:val="32"/>
          <w:szCs w:val="32"/>
        </w:rPr>
      </w:pPr>
    </w:p>
    <w:p>
      <w:pPr>
        <w:pStyle w:val="15"/>
        <w:keepNext w:val="0"/>
        <w:keepLines w:val="0"/>
        <w:pageBreakBefore w:val="0"/>
        <w:widowControl w:val="0"/>
        <w:numPr>
          <w:ilvl w:val="0"/>
          <w:numId w:val="0"/>
        </w:numPr>
        <w:kinsoku/>
        <w:wordWrap/>
        <w:overflowPunct/>
        <w:topLinePunct w:val="0"/>
        <w:autoSpaceDE w:val="0"/>
        <w:autoSpaceDN w:val="0"/>
        <w:bidi w:val="0"/>
        <w:adjustRightInd w:val="0"/>
        <w:snapToGrid/>
        <w:spacing w:line="580" w:lineRule="exact"/>
        <w:jc w:val="left"/>
        <w:textAlignment w:val="auto"/>
        <w:rPr>
          <w:rFonts w:hint="eastAsia" w:ascii="楷体" w:hAnsi="楷体" w:eastAsia="楷体" w:cs="楷体"/>
          <w:b/>
          <w:bCs/>
          <w:sz w:val="32"/>
          <w:szCs w:val="32"/>
        </w:rPr>
      </w:pPr>
    </w:p>
    <w:p>
      <w:pPr>
        <w:pStyle w:val="15"/>
        <w:keepNext w:val="0"/>
        <w:keepLines w:val="0"/>
        <w:pageBreakBefore w:val="0"/>
        <w:widowControl w:val="0"/>
        <w:numPr>
          <w:ilvl w:val="0"/>
          <w:numId w:val="0"/>
        </w:numPr>
        <w:kinsoku/>
        <w:wordWrap/>
        <w:overflowPunct/>
        <w:topLinePunct w:val="0"/>
        <w:autoSpaceDE w:val="0"/>
        <w:autoSpaceDN w:val="0"/>
        <w:bidi w:val="0"/>
        <w:adjustRightInd w:val="0"/>
        <w:snapToGrid/>
        <w:spacing w:line="580" w:lineRule="exact"/>
        <w:jc w:val="left"/>
        <w:textAlignment w:val="auto"/>
        <w:rPr>
          <w:rFonts w:hint="eastAsia" w:ascii="楷体" w:hAnsi="楷体" w:eastAsia="楷体" w:cs="楷体"/>
          <w:b/>
          <w:bCs/>
          <w:sz w:val="32"/>
          <w:szCs w:val="32"/>
        </w:rPr>
      </w:pPr>
    </w:p>
    <w:p>
      <w:pPr>
        <w:pStyle w:val="15"/>
        <w:keepNext w:val="0"/>
        <w:keepLines w:val="0"/>
        <w:pageBreakBefore w:val="0"/>
        <w:widowControl w:val="0"/>
        <w:numPr>
          <w:ilvl w:val="0"/>
          <w:numId w:val="0"/>
        </w:numPr>
        <w:kinsoku/>
        <w:wordWrap/>
        <w:overflowPunct/>
        <w:topLinePunct w:val="0"/>
        <w:autoSpaceDE w:val="0"/>
        <w:autoSpaceDN w:val="0"/>
        <w:bidi w:val="0"/>
        <w:adjustRightInd w:val="0"/>
        <w:snapToGrid/>
        <w:spacing w:line="580" w:lineRule="exact"/>
        <w:jc w:val="left"/>
        <w:textAlignment w:val="auto"/>
        <w:rPr>
          <w:rFonts w:hint="eastAsia" w:ascii="楷体" w:hAnsi="楷体" w:eastAsia="楷体" w:cs="楷体"/>
          <w:b/>
          <w:bCs/>
          <w:sz w:val="32"/>
          <w:szCs w:val="32"/>
        </w:rPr>
      </w:pPr>
    </w:p>
    <w:p>
      <w:pPr>
        <w:pStyle w:val="15"/>
        <w:keepNext w:val="0"/>
        <w:keepLines w:val="0"/>
        <w:pageBreakBefore w:val="0"/>
        <w:widowControl w:val="0"/>
        <w:numPr>
          <w:ilvl w:val="0"/>
          <w:numId w:val="0"/>
        </w:numPr>
        <w:kinsoku/>
        <w:wordWrap/>
        <w:overflowPunct/>
        <w:topLinePunct w:val="0"/>
        <w:autoSpaceDE w:val="0"/>
        <w:autoSpaceDN w:val="0"/>
        <w:bidi w:val="0"/>
        <w:adjustRightInd w:val="0"/>
        <w:snapToGrid/>
        <w:spacing w:line="580" w:lineRule="exact"/>
        <w:jc w:val="left"/>
        <w:textAlignment w:val="auto"/>
        <w:rPr>
          <w:rFonts w:hint="eastAsia" w:ascii="楷体" w:hAnsi="楷体" w:eastAsia="楷体" w:cs="楷体"/>
          <w:b/>
          <w:bCs/>
          <w:sz w:val="32"/>
          <w:szCs w:val="32"/>
        </w:rPr>
      </w:pPr>
    </w:p>
    <w:p>
      <w:pPr>
        <w:pStyle w:val="15"/>
        <w:keepNext w:val="0"/>
        <w:keepLines w:val="0"/>
        <w:pageBreakBefore w:val="0"/>
        <w:widowControl w:val="0"/>
        <w:numPr>
          <w:ilvl w:val="0"/>
          <w:numId w:val="0"/>
        </w:numPr>
        <w:kinsoku/>
        <w:wordWrap/>
        <w:overflowPunct/>
        <w:topLinePunct w:val="0"/>
        <w:autoSpaceDE w:val="0"/>
        <w:autoSpaceDN w:val="0"/>
        <w:bidi w:val="0"/>
        <w:adjustRightInd w:val="0"/>
        <w:snapToGrid/>
        <w:spacing w:line="580" w:lineRule="exact"/>
        <w:jc w:val="left"/>
        <w:textAlignment w:val="auto"/>
        <w:rPr>
          <w:rFonts w:hint="eastAsia" w:ascii="楷体" w:hAnsi="楷体" w:eastAsia="楷体" w:cs="楷体"/>
          <w:b/>
          <w:bCs/>
          <w:sz w:val="32"/>
          <w:szCs w:val="32"/>
        </w:rPr>
      </w:pPr>
    </w:p>
    <w:p>
      <w:pPr>
        <w:pStyle w:val="15"/>
        <w:keepNext w:val="0"/>
        <w:keepLines w:val="0"/>
        <w:pageBreakBefore w:val="0"/>
        <w:widowControl w:val="0"/>
        <w:numPr>
          <w:ilvl w:val="0"/>
          <w:numId w:val="0"/>
        </w:numPr>
        <w:kinsoku/>
        <w:wordWrap/>
        <w:overflowPunct/>
        <w:topLinePunct w:val="0"/>
        <w:autoSpaceDE w:val="0"/>
        <w:autoSpaceDN w:val="0"/>
        <w:bidi w:val="0"/>
        <w:adjustRightInd w:val="0"/>
        <w:snapToGrid/>
        <w:spacing w:line="580" w:lineRule="exact"/>
        <w:jc w:val="left"/>
        <w:textAlignment w:val="auto"/>
        <w:rPr>
          <w:rFonts w:hint="eastAsia" w:ascii="楷体" w:hAnsi="楷体" w:eastAsia="楷体" w:cs="楷体"/>
          <w:b/>
          <w:bCs/>
          <w:sz w:val="32"/>
          <w:szCs w:val="32"/>
        </w:rPr>
      </w:pPr>
    </w:p>
    <w:p>
      <w:pPr>
        <w:pStyle w:val="15"/>
        <w:keepNext w:val="0"/>
        <w:keepLines w:val="0"/>
        <w:pageBreakBefore w:val="0"/>
        <w:widowControl w:val="0"/>
        <w:numPr>
          <w:ilvl w:val="0"/>
          <w:numId w:val="0"/>
        </w:numPr>
        <w:kinsoku/>
        <w:wordWrap/>
        <w:overflowPunct/>
        <w:topLinePunct w:val="0"/>
        <w:autoSpaceDE w:val="0"/>
        <w:autoSpaceDN w:val="0"/>
        <w:bidi w:val="0"/>
        <w:adjustRightInd w:val="0"/>
        <w:snapToGrid/>
        <w:spacing w:line="580" w:lineRule="exact"/>
        <w:jc w:val="left"/>
        <w:textAlignment w:val="auto"/>
        <w:rPr>
          <w:rFonts w:hint="eastAsia" w:ascii="楷体" w:hAnsi="楷体" w:eastAsia="楷体" w:cs="楷体"/>
          <w:b/>
          <w:bCs/>
          <w:sz w:val="32"/>
          <w:szCs w:val="32"/>
        </w:rPr>
      </w:pPr>
    </w:p>
    <w:p>
      <w:pPr>
        <w:pStyle w:val="15"/>
        <w:keepNext w:val="0"/>
        <w:keepLines w:val="0"/>
        <w:pageBreakBefore w:val="0"/>
        <w:widowControl w:val="0"/>
        <w:numPr>
          <w:ilvl w:val="0"/>
          <w:numId w:val="0"/>
        </w:numPr>
        <w:kinsoku/>
        <w:wordWrap/>
        <w:overflowPunct/>
        <w:topLinePunct w:val="0"/>
        <w:autoSpaceDE w:val="0"/>
        <w:autoSpaceDN w:val="0"/>
        <w:bidi w:val="0"/>
        <w:adjustRightInd w:val="0"/>
        <w:snapToGrid/>
        <w:spacing w:line="580" w:lineRule="exact"/>
        <w:jc w:val="left"/>
        <w:textAlignment w:val="auto"/>
        <w:rPr>
          <w:rFonts w:hint="eastAsia" w:ascii="楷体" w:hAnsi="楷体" w:eastAsia="楷体" w:cs="楷体"/>
          <w:b/>
          <w:bCs/>
          <w:sz w:val="32"/>
          <w:szCs w:val="32"/>
        </w:rPr>
      </w:pPr>
    </w:p>
    <w:p>
      <w:pPr>
        <w:pStyle w:val="15"/>
        <w:keepNext w:val="0"/>
        <w:keepLines w:val="0"/>
        <w:pageBreakBefore w:val="0"/>
        <w:widowControl w:val="0"/>
        <w:numPr>
          <w:ilvl w:val="0"/>
          <w:numId w:val="0"/>
        </w:numPr>
        <w:kinsoku/>
        <w:wordWrap/>
        <w:overflowPunct/>
        <w:topLinePunct w:val="0"/>
        <w:autoSpaceDE w:val="0"/>
        <w:autoSpaceDN w:val="0"/>
        <w:bidi w:val="0"/>
        <w:adjustRightInd w:val="0"/>
        <w:snapToGrid/>
        <w:spacing w:line="580" w:lineRule="exact"/>
        <w:jc w:val="left"/>
        <w:textAlignment w:val="auto"/>
        <w:rPr>
          <w:rFonts w:hint="eastAsia" w:ascii="楷体" w:hAnsi="楷体" w:eastAsia="楷体" w:cs="楷体"/>
          <w:b/>
          <w:bCs/>
          <w:sz w:val="32"/>
          <w:szCs w:val="32"/>
        </w:rPr>
      </w:pPr>
    </w:p>
    <w:p>
      <w:pPr>
        <w:pStyle w:val="15"/>
        <w:keepNext w:val="0"/>
        <w:keepLines w:val="0"/>
        <w:pageBreakBefore w:val="0"/>
        <w:widowControl w:val="0"/>
        <w:numPr>
          <w:ilvl w:val="0"/>
          <w:numId w:val="0"/>
        </w:numPr>
        <w:kinsoku/>
        <w:wordWrap/>
        <w:overflowPunct/>
        <w:topLinePunct w:val="0"/>
        <w:autoSpaceDE w:val="0"/>
        <w:autoSpaceDN w:val="0"/>
        <w:bidi w:val="0"/>
        <w:adjustRightInd w:val="0"/>
        <w:snapToGrid/>
        <w:spacing w:line="580" w:lineRule="exact"/>
        <w:jc w:val="left"/>
        <w:textAlignment w:val="auto"/>
        <w:rPr>
          <w:rFonts w:hint="eastAsia" w:ascii="楷体" w:hAnsi="楷体" w:eastAsia="楷体" w:cs="楷体"/>
          <w:b/>
          <w:bCs/>
          <w:sz w:val="32"/>
          <w:szCs w:val="32"/>
        </w:rPr>
      </w:pPr>
    </w:p>
    <w:p>
      <w:pPr>
        <w:pStyle w:val="15"/>
        <w:keepNext w:val="0"/>
        <w:keepLines w:val="0"/>
        <w:pageBreakBefore w:val="0"/>
        <w:widowControl w:val="0"/>
        <w:numPr>
          <w:ilvl w:val="0"/>
          <w:numId w:val="0"/>
        </w:numPr>
        <w:kinsoku/>
        <w:wordWrap/>
        <w:overflowPunct/>
        <w:topLinePunct w:val="0"/>
        <w:autoSpaceDE w:val="0"/>
        <w:autoSpaceDN w:val="0"/>
        <w:bidi w:val="0"/>
        <w:adjustRightInd w:val="0"/>
        <w:snapToGrid/>
        <w:spacing w:line="580" w:lineRule="exact"/>
        <w:jc w:val="left"/>
        <w:textAlignment w:val="auto"/>
        <w:rPr>
          <w:rFonts w:hint="eastAsia" w:ascii="楷体" w:hAnsi="楷体" w:eastAsia="楷体" w:cs="楷体"/>
          <w:b/>
          <w:bCs/>
          <w:sz w:val="32"/>
          <w:szCs w:val="32"/>
        </w:rPr>
      </w:pPr>
    </w:p>
    <w:p>
      <w:pPr>
        <w:pStyle w:val="15"/>
        <w:keepNext w:val="0"/>
        <w:keepLines w:val="0"/>
        <w:pageBreakBefore w:val="0"/>
        <w:widowControl w:val="0"/>
        <w:numPr>
          <w:ilvl w:val="0"/>
          <w:numId w:val="0"/>
        </w:numPr>
        <w:kinsoku/>
        <w:wordWrap/>
        <w:overflowPunct/>
        <w:topLinePunct w:val="0"/>
        <w:autoSpaceDE w:val="0"/>
        <w:autoSpaceDN w:val="0"/>
        <w:bidi w:val="0"/>
        <w:adjustRightInd w:val="0"/>
        <w:snapToGrid/>
        <w:spacing w:line="580" w:lineRule="exact"/>
        <w:jc w:val="left"/>
        <w:textAlignment w:val="auto"/>
        <w:rPr>
          <w:rFonts w:hint="eastAsia" w:ascii="楷体" w:hAnsi="楷体" w:eastAsia="楷体" w:cs="楷体"/>
          <w:b/>
          <w:bCs/>
          <w:sz w:val="32"/>
          <w:szCs w:val="32"/>
        </w:rPr>
      </w:pPr>
    </w:p>
    <w:p>
      <w:pPr>
        <w:pStyle w:val="2"/>
        <w:rPr>
          <w:rFonts w:hint="eastAsia"/>
        </w:rPr>
      </w:pPr>
    </w:p>
    <w:p>
      <w:pPr>
        <w:pStyle w:val="15"/>
        <w:jc w:val="both"/>
        <w:rPr>
          <w:rFonts w:hint="eastAsia"/>
          <w:sz w:val="32"/>
          <w:szCs w:val="32"/>
        </w:rPr>
      </w:pPr>
    </w:p>
    <w:p>
      <w:pPr>
        <w:pStyle w:val="15"/>
        <w:jc w:val="center"/>
        <w:rPr>
          <w:rFonts w:hint="eastAsia"/>
          <w:sz w:val="32"/>
          <w:szCs w:val="32"/>
        </w:rPr>
      </w:pPr>
    </w:p>
    <w:p>
      <w:pPr>
        <w:pStyle w:val="15"/>
        <w:jc w:val="center"/>
        <w:rPr>
          <w:rFonts w:hint="eastAsia"/>
          <w:sz w:val="32"/>
          <w:szCs w:val="32"/>
        </w:rPr>
      </w:pPr>
    </w:p>
    <w:p>
      <w:pPr>
        <w:pStyle w:val="15"/>
        <w:jc w:val="both"/>
        <w:rPr>
          <w:rFonts w:hint="eastAsia"/>
          <w:sz w:val="32"/>
          <w:szCs w:val="32"/>
        </w:rPr>
      </w:pPr>
    </w:p>
    <w:p>
      <w:pPr>
        <w:pStyle w:val="15"/>
        <w:jc w:val="both"/>
        <w:rPr>
          <w:rFonts w:hint="eastAsia"/>
          <w:sz w:val="32"/>
          <w:szCs w:val="32"/>
        </w:rPr>
      </w:pPr>
    </w:p>
    <w:p>
      <w:pPr>
        <w:pStyle w:val="15"/>
        <w:jc w:val="both"/>
        <w:rPr>
          <w:rFonts w:hint="eastAsia"/>
          <w:sz w:val="32"/>
          <w:szCs w:val="32"/>
        </w:rPr>
      </w:pPr>
    </w:p>
    <w:p>
      <w:pPr>
        <w:pStyle w:val="15"/>
        <w:jc w:val="both"/>
        <w:rPr>
          <w:rFonts w:hint="eastAsia"/>
          <w:sz w:val="32"/>
          <w:szCs w:val="32"/>
        </w:rPr>
      </w:pPr>
    </w:p>
    <w:p>
      <w:pPr>
        <w:pStyle w:val="15"/>
        <w:jc w:val="both"/>
        <w:rPr>
          <w:rFonts w:hint="eastAsia"/>
          <w:sz w:val="32"/>
          <w:szCs w:val="32"/>
        </w:rPr>
      </w:pPr>
    </w:p>
    <w:p>
      <w:pPr>
        <w:pStyle w:val="15"/>
        <w:jc w:val="both"/>
        <w:rPr>
          <w:rFonts w:hint="eastAsia"/>
          <w:sz w:val="32"/>
          <w:szCs w:val="32"/>
        </w:rPr>
      </w:pPr>
    </w:p>
    <w:p>
      <w:pPr>
        <w:pStyle w:val="15"/>
        <w:spacing w:line="360" w:lineRule="auto"/>
        <w:jc w:val="center"/>
        <w:rPr>
          <w:rFonts w:hint="eastAsia"/>
          <w:sz w:val="56"/>
          <w:szCs w:val="56"/>
        </w:rPr>
      </w:pPr>
      <w:r>
        <w:rPr>
          <w:rFonts w:hint="eastAsia"/>
          <w:sz w:val="56"/>
          <w:szCs w:val="56"/>
        </w:rPr>
        <w:t>第四部分</w:t>
      </w:r>
    </w:p>
    <w:p>
      <w:pPr>
        <w:pStyle w:val="15"/>
        <w:spacing w:line="360" w:lineRule="auto"/>
        <w:jc w:val="center"/>
        <w:rPr>
          <w:rFonts w:hint="eastAsia"/>
          <w:sz w:val="56"/>
          <w:szCs w:val="56"/>
        </w:rPr>
      </w:pPr>
    </w:p>
    <w:p>
      <w:pPr>
        <w:pStyle w:val="15"/>
        <w:spacing w:line="360" w:lineRule="auto"/>
        <w:jc w:val="center"/>
        <w:rPr>
          <w:rFonts w:hint="eastAsia"/>
          <w:sz w:val="56"/>
          <w:szCs w:val="56"/>
        </w:rPr>
      </w:pPr>
      <w:r>
        <w:rPr>
          <w:rFonts w:hint="eastAsia"/>
          <w:sz w:val="56"/>
          <w:szCs w:val="56"/>
        </w:rPr>
        <w:t>名词解释</w:t>
      </w:r>
    </w:p>
    <w:p>
      <w:pPr>
        <w:autoSpaceDE w:val="0"/>
        <w:autoSpaceDN w:val="0"/>
        <w:adjustRightInd w:val="0"/>
        <w:ind w:firstLine="700" w:firstLineChars="100"/>
        <w:jc w:val="left"/>
        <w:rPr>
          <w:rFonts w:hint="eastAsia" w:ascii="仿宋" w:hAnsi="仿宋" w:eastAsia="仿宋" w:cs="仿宋"/>
          <w:kern w:val="0"/>
          <w:sz w:val="32"/>
          <w:szCs w:val="32"/>
        </w:rPr>
      </w:pPr>
      <w:r>
        <w:rPr>
          <w:rFonts w:ascii="黑体" w:eastAsia="黑体"/>
          <w:color w:val="000000"/>
          <w:kern w:val="0"/>
          <w:sz w:val="70"/>
          <w:szCs w:val="70"/>
        </w:rPr>
        <w:br w:type="page"/>
      </w:r>
      <w:r>
        <w:rPr>
          <w:rFonts w:hint="eastAsia" w:ascii="仿宋" w:hAnsi="仿宋" w:eastAsia="仿宋" w:cs="仿宋"/>
          <w:kern w:val="0"/>
          <w:sz w:val="32"/>
          <w:szCs w:val="32"/>
        </w:rPr>
        <w:t>一、财政拨款收入：指由省财政厅当年拨付的资金。</w:t>
      </w:r>
    </w:p>
    <w:p>
      <w:pPr>
        <w:autoSpaceDE w:val="0"/>
        <w:autoSpaceDN w:val="0"/>
        <w:adjustRightInd w:val="0"/>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二、年初结转和结余：指以前年度未使用完的资金，结转到本年度按照相关规定使用的资金。</w:t>
      </w:r>
    </w:p>
    <w:p>
      <w:pPr>
        <w:autoSpaceDE w:val="0"/>
        <w:autoSpaceDN w:val="0"/>
        <w:adjustRightInd w:val="0"/>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三、一般公共服务支出（行政运行）：单位用于保障机构正常运行、开展日常工作的基本支出。</w:t>
      </w:r>
    </w:p>
    <w:p>
      <w:pPr>
        <w:autoSpaceDE w:val="0"/>
        <w:autoSpaceDN w:val="0"/>
        <w:adjustRightInd w:val="0"/>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四、一般公共服务支出（一般行政管理事务）：单位开展业务如：信息调研、招商考察等未单独设置项级科目的项目支出。</w:t>
      </w:r>
    </w:p>
    <w:p>
      <w:pPr>
        <w:autoSpaceDE w:val="0"/>
        <w:autoSpaceDN w:val="0"/>
        <w:adjustRightInd w:val="0"/>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五、公共安全支出：单位办理异地身份证所需工作经费。</w:t>
      </w:r>
    </w:p>
    <w:p>
      <w:pPr>
        <w:autoSpaceDE w:val="0"/>
        <w:autoSpaceDN w:val="0"/>
        <w:adjustRightInd w:val="0"/>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六、教育支出：单位用于开展职工培训的支出。</w:t>
      </w:r>
    </w:p>
    <w:p>
      <w:pPr>
        <w:autoSpaceDE w:val="0"/>
        <w:autoSpaceDN w:val="0"/>
        <w:adjustRightInd w:val="0"/>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七、科学技术支出：单位开展专题信息调研所需支出。</w:t>
      </w:r>
    </w:p>
    <w:p>
      <w:pPr>
        <w:autoSpaceDE w:val="0"/>
        <w:autoSpaceDN w:val="0"/>
        <w:adjustRightInd w:val="0"/>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八、社会保障和就业支出：单位离退休职工支出。</w:t>
      </w:r>
    </w:p>
    <w:p>
      <w:pPr>
        <w:autoSpaceDE w:val="0"/>
        <w:autoSpaceDN w:val="0"/>
        <w:adjustRightInd w:val="0"/>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九、农林水支出：办事处下属事业单位园林基地支出。</w:t>
      </w:r>
    </w:p>
    <w:p>
      <w:pPr>
        <w:autoSpaceDE w:val="0"/>
        <w:autoSpaceDN w:val="0"/>
        <w:adjustRightInd w:val="0"/>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 xml:space="preserve">十、住房保障支出：职工公积金和购房补贴支出。  </w:t>
      </w:r>
    </w:p>
    <w:p>
      <w:pPr>
        <w:autoSpaceDE w:val="0"/>
        <w:autoSpaceDN w:val="0"/>
        <w:adjustRightInd w:val="0"/>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十一、基本支出：为保障机构正常运转，完成日常工作任务而发生的人员支出和公用支出。</w:t>
      </w:r>
    </w:p>
    <w:p>
      <w:pPr>
        <w:autoSpaceDE w:val="0"/>
        <w:autoSpaceDN w:val="0"/>
        <w:adjustRightInd w:val="0"/>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十二、项目支出：除基本支出以外，为发生特定工作任务而发生的专项支出。</w:t>
      </w:r>
    </w:p>
    <w:p>
      <w:pPr>
        <w:autoSpaceDE w:val="0"/>
        <w:autoSpaceDN w:val="0"/>
        <w:adjustRightInd w:val="0"/>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十三、“三公”经费：纳入财政决算管理的“三公”经费，指单位用财政安排得资金用于公务出国（境）费、公务接待费、公务用车购置及运行经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支出。</w:t>
      </w:r>
    </w:p>
    <w:p>
      <w:pPr>
        <w:autoSpaceDE w:val="0"/>
        <w:autoSpaceDN w:val="0"/>
        <w:adjustRightInd w:val="0"/>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十四、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autoSpaceDE w:val="0"/>
        <w:autoSpaceDN w:val="0"/>
        <w:adjustRightInd w:val="0"/>
        <w:ind w:firstLine="640" w:firstLineChars="200"/>
        <w:jc w:val="left"/>
        <w:rPr>
          <w:rFonts w:hint="eastAsia" w:ascii="仿宋" w:hAnsi="仿宋" w:eastAsia="仿宋" w:cs="仿宋"/>
          <w:kern w:val="0"/>
          <w:sz w:val="32"/>
          <w:szCs w:val="32"/>
        </w:rPr>
      </w:pPr>
    </w:p>
    <w:p>
      <w:pPr>
        <w:pStyle w:val="15"/>
        <w:jc w:val="center"/>
        <w:rPr>
          <w:rFonts w:hint="eastAsia" w:ascii="仿宋" w:hAnsi="仿宋" w:eastAsia="仿宋" w:cs="仿宋"/>
          <w:kern w:val="0"/>
          <w:sz w:val="32"/>
          <w:szCs w:val="32"/>
        </w:rPr>
      </w:pPr>
      <w:r>
        <w:rPr>
          <w:rFonts w:hint="eastAsia" w:ascii="仿宋" w:hAnsi="仿宋" w:eastAsia="仿宋" w:cs="仿宋"/>
          <w:kern w:val="0"/>
          <w:sz w:val="32"/>
          <w:szCs w:val="32"/>
        </w:rPr>
        <w:t xml:space="preserve">                    </w:t>
      </w:r>
    </w:p>
    <w:p>
      <w:pPr>
        <w:pStyle w:val="15"/>
        <w:jc w:val="center"/>
        <w:rPr>
          <w:rFonts w:hint="eastAsia" w:ascii="仿宋" w:hAnsi="仿宋" w:eastAsia="仿宋" w:cs="仿宋"/>
          <w:kern w:val="0"/>
          <w:sz w:val="32"/>
          <w:szCs w:val="32"/>
        </w:rPr>
      </w:pPr>
    </w:p>
    <w:p>
      <w:pPr>
        <w:pStyle w:val="15"/>
        <w:jc w:val="center"/>
        <w:rPr>
          <w:rFonts w:hint="eastAsia" w:ascii="仿宋" w:hAnsi="仿宋" w:eastAsia="仿宋" w:cs="仿宋"/>
          <w:kern w:val="0"/>
          <w:sz w:val="32"/>
          <w:szCs w:val="32"/>
        </w:rPr>
      </w:pPr>
    </w:p>
    <w:p>
      <w:pPr>
        <w:pStyle w:val="15"/>
        <w:jc w:val="center"/>
        <w:rPr>
          <w:rFonts w:hint="eastAsia" w:ascii="仿宋" w:hAnsi="仿宋" w:eastAsia="仿宋" w:cs="仿宋"/>
          <w:sz w:val="32"/>
          <w:szCs w:val="32"/>
        </w:rPr>
      </w:pPr>
    </w:p>
    <w:p>
      <w:pPr>
        <w:pStyle w:val="15"/>
        <w:jc w:val="center"/>
        <w:rPr>
          <w:rFonts w:hint="eastAsia" w:ascii="仿宋" w:hAnsi="仿宋" w:eastAsia="仿宋" w:cs="仿宋"/>
          <w:sz w:val="32"/>
          <w:szCs w:val="32"/>
        </w:rPr>
      </w:pPr>
    </w:p>
    <w:p>
      <w:pPr>
        <w:pStyle w:val="15"/>
        <w:jc w:val="center"/>
        <w:rPr>
          <w:rFonts w:hint="eastAsia" w:ascii="仿宋" w:hAnsi="仿宋" w:eastAsia="仿宋" w:cs="仿宋"/>
          <w:sz w:val="32"/>
          <w:szCs w:val="32"/>
        </w:rPr>
      </w:pPr>
    </w:p>
    <w:p>
      <w:pPr>
        <w:pStyle w:val="15"/>
        <w:jc w:val="center"/>
        <w:rPr>
          <w:rFonts w:hint="eastAsia" w:ascii="仿宋" w:hAnsi="仿宋" w:eastAsia="仿宋" w:cs="仿宋"/>
          <w:sz w:val="32"/>
          <w:szCs w:val="32"/>
        </w:rPr>
      </w:pPr>
    </w:p>
    <w:p>
      <w:pPr>
        <w:pStyle w:val="15"/>
        <w:jc w:val="center"/>
        <w:rPr>
          <w:rFonts w:hint="eastAsia" w:ascii="仿宋" w:hAnsi="仿宋" w:eastAsia="仿宋" w:cs="仿宋"/>
          <w:sz w:val="32"/>
          <w:szCs w:val="32"/>
        </w:rPr>
      </w:pPr>
    </w:p>
    <w:p>
      <w:pPr>
        <w:pStyle w:val="15"/>
        <w:jc w:val="center"/>
        <w:rPr>
          <w:rFonts w:hint="eastAsia" w:ascii="仿宋" w:hAnsi="仿宋" w:eastAsia="仿宋" w:cs="仿宋"/>
          <w:sz w:val="32"/>
          <w:szCs w:val="32"/>
        </w:rPr>
      </w:pPr>
    </w:p>
    <w:p>
      <w:pPr>
        <w:pStyle w:val="15"/>
        <w:jc w:val="center"/>
        <w:rPr>
          <w:rFonts w:hint="eastAsia" w:ascii="仿宋" w:hAnsi="仿宋" w:eastAsia="仿宋" w:cs="仿宋"/>
          <w:sz w:val="32"/>
          <w:szCs w:val="32"/>
        </w:rPr>
      </w:pPr>
    </w:p>
    <w:p>
      <w:pPr>
        <w:pStyle w:val="15"/>
        <w:jc w:val="both"/>
        <w:rPr>
          <w:rFonts w:cs="Calibri"/>
          <w:sz w:val="32"/>
          <w:szCs w:val="32"/>
        </w:rPr>
      </w:pPr>
    </w:p>
    <w:p>
      <w:pPr>
        <w:pStyle w:val="15"/>
        <w:jc w:val="center"/>
        <w:rPr>
          <w:rFonts w:cs="Calibri"/>
          <w:sz w:val="32"/>
          <w:szCs w:val="32"/>
        </w:rPr>
      </w:pPr>
    </w:p>
    <w:p>
      <w:pPr>
        <w:pStyle w:val="15"/>
        <w:jc w:val="center"/>
        <w:rPr>
          <w:rFonts w:cs="Calibri"/>
          <w:sz w:val="32"/>
          <w:szCs w:val="32"/>
        </w:rPr>
      </w:pPr>
    </w:p>
    <w:p>
      <w:pPr>
        <w:pStyle w:val="15"/>
        <w:jc w:val="center"/>
        <w:rPr>
          <w:rFonts w:cs="Calibri"/>
          <w:sz w:val="32"/>
          <w:szCs w:val="32"/>
        </w:rPr>
      </w:pPr>
    </w:p>
    <w:p>
      <w:pPr>
        <w:pStyle w:val="15"/>
        <w:jc w:val="center"/>
        <w:rPr>
          <w:rFonts w:cs="Calibri"/>
          <w:sz w:val="32"/>
          <w:szCs w:val="32"/>
        </w:rPr>
      </w:pPr>
    </w:p>
    <w:p>
      <w:pPr>
        <w:pStyle w:val="15"/>
        <w:jc w:val="center"/>
        <w:rPr>
          <w:rFonts w:cs="Calibri"/>
          <w:sz w:val="32"/>
          <w:szCs w:val="32"/>
        </w:rPr>
      </w:pPr>
    </w:p>
    <w:p>
      <w:pPr>
        <w:pStyle w:val="15"/>
        <w:spacing w:line="360" w:lineRule="auto"/>
        <w:jc w:val="center"/>
        <w:rPr>
          <w:rFonts w:hint="eastAsia"/>
          <w:sz w:val="56"/>
          <w:szCs w:val="56"/>
        </w:rPr>
      </w:pPr>
      <w:r>
        <w:rPr>
          <w:rFonts w:hint="eastAsia"/>
          <w:sz w:val="56"/>
          <w:szCs w:val="56"/>
        </w:rPr>
        <w:t>第五部分</w:t>
      </w:r>
    </w:p>
    <w:p>
      <w:pPr>
        <w:pStyle w:val="15"/>
        <w:spacing w:line="360" w:lineRule="auto"/>
        <w:jc w:val="center"/>
        <w:rPr>
          <w:rFonts w:hint="eastAsia"/>
          <w:sz w:val="56"/>
          <w:szCs w:val="56"/>
        </w:rPr>
      </w:pPr>
    </w:p>
    <w:p>
      <w:pPr>
        <w:pStyle w:val="15"/>
        <w:spacing w:line="360" w:lineRule="auto"/>
        <w:jc w:val="center"/>
        <w:rPr>
          <w:rFonts w:ascii="黑体" w:eastAsia="黑体"/>
          <w:color w:val="000000"/>
          <w:kern w:val="0"/>
          <w:sz w:val="70"/>
          <w:szCs w:val="70"/>
        </w:rPr>
      </w:pPr>
      <w:r>
        <w:rPr>
          <w:rFonts w:hint="eastAsia"/>
          <w:sz w:val="56"/>
          <w:szCs w:val="56"/>
        </w:rPr>
        <w:t>附件</w:t>
      </w:r>
    </w:p>
    <w:p>
      <w:pPr>
        <w:jc w:val="center"/>
        <w:rPr>
          <w:kern w:val="0"/>
        </w:rPr>
      </w:pPr>
      <w:r>
        <w:rPr>
          <w:kern w:val="0"/>
        </w:rPr>
        <w:br w:type="page"/>
      </w:r>
    </w:p>
    <w:p>
      <w:pPr>
        <w:jc w:val="center"/>
        <w:rPr>
          <w:kern w:val="0"/>
        </w:rPr>
      </w:pPr>
    </w:p>
    <w:p>
      <w:pPr>
        <w:jc w:val="center"/>
        <w:rPr>
          <w:rFonts w:hint="eastAsia" w:ascii="方正小标宋简体" w:hAnsi="方正小标宋简体" w:eastAsia="方正小标宋简体" w:cs="方正小标宋简体"/>
          <w:sz w:val="48"/>
          <w:szCs w:val="48"/>
          <w:lang w:val="en-US" w:eastAsia="zh-CN"/>
        </w:rPr>
      </w:pPr>
      <w:r>
        <w:rPr>
          <w:rFonts w:hint="eastAsia" w:ascii="方正小标宋简体" w:hAnsi="方正小标宋简体" w:eastAsia="方正小标宋简体" w:cs="方正小标宋简体"/>
          <w:sz w:val="48"/>
          <w:szCs w:val="48"/>
          <w:lang w:val="en-US" w:eastAsia="zh-CN"/>
        </w:rPr>
        <w:t>2025年度湖南省人民政府驻上海办事处</w:t>
      </w:r>
    </w:p>
    <w:p>
      <w:pPr>
        <w:jc w:val="center"/>
        <w:rPr>
          <w:rFonts w:hint="eastAsia" w:ascii="方正小标宋简体" w:hAnsi="方正小标宋简体" w:eastAsia="方正小标宋简体" w:cs="方正小标宋简体"/>
          <w:sz w:val="48"/>
          <w:szCs w:val="48"/>
          <w:lang w:val="en-US" w:eastAsia="zh-CN"/>
        </w:rPr>
      </w:pPr>
      <w:r>
        <w:rPr>
          <w:rFonts w:hint="eastAsia" w:ascii="方正小标宋简体" w:hAnsi="方正小标宋简体" w:eastAsia="方正小标宋简体" w:cs="方正小标宋简体"/>
          <w:sz w:val="48"/>
          <w:szCs w:val="48"/>
          <w:lang w:val="en-US" w:eastAsia="zh-CN"/>
        </w:rPr>
        <w:t>整体支出绩效自评报告</w:t>
      </w:r>
    </w:p>
    <w:p>
      <w:pPr>
        <w:jc w:val="center"/>
        <w:rPr>
          <w:rFonts w:hint="default" w:ascii="Times New Roman" w:hAnsi="Times New Roman" w:eastAsia="方正小标宋_GBK" w:cs="Times New Roman"/>
          <w:sz w:val="52"/>
          <w:szCs w:val="52"/>
        </w:rPr>
      </w:pPr>
    </w:p>
    <w:p>
      <w:pPr>
        <w:jc w:val="center"/>
        <w:rPr>
          <w:rFonts w:ascii="Times New Roman" w:hAnsi="Times New Roman" w:eastAsia="楷体_GB2312" w:cs="Times New Roman"/>
          <w:b/>
          <w:sz w:val="32"/>
          <w:szCs w:val="32"/>
        </w:rPr>
      </w:pPr>
    </w:p>
    <w:p>
      <w:pPr>
        <w:jc w:val="center"/>
        <w:rPr>
          <w:rFonts w:ascii="Times New Roman" w:hAnsi="Times New Roman" w:eastAsia="楷体_GB2312" w:cs="Times New Roman"/>
          <w:b/>
          <w:sz w:val="32"/>
          <w:szCs w:val="32"/>
        </w:rPr>
      </w:pPr>
    </w:p>
    <w:p>
      <w:pPr>
        <w:jc w:val="center"/>
        <w:rPr>
          <w:rFonts w:ascii="Times New Roman" w:hAnsi="Times New Roman" w:eastAsia="楷体_GB2312" w:cs="Times New Roman"/>
          <w:b/>
          <w:sz w:val="32"/>
          <w:szCs w:val="32"/>
        </w:rPr>
      </w:pPr>
    </w:p>
    <w:p>
      <w:pPr>
        <w:jc w:val="center"/>
        <w:rPr>
          <w:rFonts w:ascii="Times New Roman" w:hAnsi="Times New Roman" w:eastAsia="楷体_GB2312" w:cs="Times New Roman"/>
          <w:b/>
          <w:sz w:val="32"/>
          <w:szCs w:val="32"/>
        </w:rPr>
      </w:pPr>
    </w:p>
    <w:p>
      <w:pPr>
        <w:jc w:val="center"/>
        <w:rPr>
          <w:rFonts w:ascii="Times New Roman" w:hAnsi="Times New Roman" w:eastAsia="楷体_GB2312" w:cs="Times New Roman"/>
          <w:b/>
          <w:sz w:val="32"/>
          <w:szCs w:val="32"/>
        </w:rPr>
      </w:pPr>
    </w:p>
    <w:p>
      <w:pPr>
        <w:jc w:val="center"/>
        <w:rPr>
          <w:rFonts w:ascii="Times New Roman" w:hAnsi="Times New Roman" w:eastAsia="楷体_GB2312" w:cs="Times New Roman"/>
          <w:b/>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spacing w:line="600" w:lineRule="exact"/>
        <w:jc w:val="center"/>
        <w:rPr>
          <w:rFonts w:hint="eastAsia" w:ascii="仿宋" w:hAnsi="仿宋" w:eastAsia="仿宋" w:cs="仿宋"/>
          <w:sz w:val="32"/>
          <w:szCs w:val="32"/>
          <w:u w:val="none"/>
          <w:lang w:eastAsia="zh-CN"/>
        </w:rPr>
      </w:pPr>
      <w:r>
        <w:rPr>
          <w:rFonts w:hint="eastAsia" w:ascii="仿宋" w:hAnsi="仿宋" w:eastAsia="仿宋" w:cs="仿宋"/>
          <w:sz w:val="32"/>
          <w:szCs w:val="32"/>
          <w:u w:val="none"/>
        </w:rPr>
        <w:t>单位名称：</w:t>
      </w:r>
      <w:r>
        <w:rPr>
          <w:rFonts w:hint="eastAsia" w:ascii="仿宋" w:hAnsi="仿宋" w:eastAsia="仿宋" w:cs="仿宋"/>
          <w:sz w:val="32"/>
          <w:szCs w:val="32"/>
          <w:u w:val="none"/>
          <w:lang w:eastAsia="zh-CN"/>
        </w:rPr>
        <w:t>湖南省人民政府驻上海办事处</w:t>
      </w:r>
    </w:p>
    <w:p>
      <w:pPr>
        <w:spacing w:line="600" w:lineRule="exact"/>
        <w:jc w:val="center"/>
        <w:rPr>
          <w:rFonts w:hint="eastAsia" w:ascii="仿宋" w:hAnsi="仿宋" w:eastAsia="仿宋" w:cs="仿宋"/>
          <w:sz w:val="32"/>
          <w:szCs w:val="32"/>
          <w:u w:val="none"/>
        </w:rPr>
      </w:pPr>
      <w:r>
        <w:rPr>
          <w:rFonts w:hint="eastAsia" w:ascii="仿宋" w:hAnsi="仿宋" w:eastAsia="仿宋" w:cs="仿宋"/>
          <w:sz w:val="32"/>
          <w:szCs w:val="32"/>
          <w:u w:val="none"/>
          <w:lang w:val="en-US" w:eastAsia="zh-CN"/>
        </w:rPr>
        <w:t>2026</w:t>
      </w:r>
      <w:r>
        <w:rPr>
          <w:rFonts w:hint="eastAsia" w:ascii="仿宋" w:hAnsi="仿宋" w:eastAsia="仿宋" w:cs="仿宋"/>
          <w:sz w:val="32"/>
          <w:szCs w:val="32"/>
          <w:u w:val="none"/>
        </w:rPr>
        <w:t>年</w:t>
      </w:r>
      <w:r>
        <w:rPr>
          <w:rFonts w:hint="eastAsia" w:ascii="仿宋" w:hAnsi="仿宋" w:eastAsia="仿宋" w:cs="仿宋"/>
          <w:sz w:val="32"/>
          <w:szCs w:val="32"/>
          <w:u w:val="none"/>
          <w:lang w:val="en-US" w:eastAsia="zh-CN"/>
        </w:rPr>
        <w:t>4</w:t>
      </w:r>
      <w:r>
        <w:rPr>
          <w:rFonts w:hint="eastAsia" w:ascii="仿宋" w:hAnsi="仿宋" w:eastAsia="仿宋" w:cs="仿宋"/>
          <w:sz w:val="32"/>
          <w:szCs w:val="32"/>
          <w:u w:val="none"/>
        </w:rPr>
        <w:t>月</w:t>
      </w:r>
      <w:r>
        <w:rPr>
          <w:rFonts w:hint="eastAsia" w:ascii="仿宋" w:hAnsi="仿宋" w:eastAsia="仿宋" w:cs="仿宋"/>
          <w:sz w:val="32"/>
          <w:szCs w:val="32"/>
          <w:u w:val="none"/>
          <w:lang w:val="en-US" w:eastAsia="zh-CN"/>
        </w:rPr>
        <w:t>27</w:t>
      </w:r>
      <w:r>
        <w:rPr>
          <w:rFonts w:hint="eastAsia" w:ascii="仿宋" w:hAnsi="仿宋" w:eastAsia="仿宋" w:cs="仿宋"/>
          <w:sz w:val="32"/>
          <w:szCs w:val="32"/>
          <w:u w:val="none"/>
        </w:rPr>
        <w:t>日</w:t>
      </w:r>
    </w:p>
    <w:p>
      <w:pPr>
        <w:jc w:val="center"/>
        <w:rPr>
          <w:rFonts w:hint="eastAsia" w:ascii="仿宋" w:hAnsi="仿宋" w:eastAsia="仿宋" w:cs="仿宋"/>
          <w:sz w:val="32"/>
          <w:szCs w:val="32"/>
        </w:rPr>
      </w:pPr>
    </w:p>
    <w:p>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黑体" w:hAnsi="Times New Roman" w:eastAsia="黑体" w:cs="Times New Roman"/>
          <w:sz w:val="32"/>
          <w:szCs w:val="32"/>
          <w:lang w:val="en-US" w:eastAsia="zh-CN"/>
        </w:rPr>
      </w:pPr>
    </w:p>
    <w:p>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黑体" w:hAnsi="Times New Roman" w:eastAsia="黑体" w:cs="Times New Roman"/>
          <w:sz w:val="32"/>
          <w:szCs w:val="32"/>
          <w:lang w:val="en-US" w:eastAsia="zh-CN"/>
        </w:rPr>
      </w:pPr>
    </w:p>
    <w:p>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黑体" w:hAnsi="Times New Roman" w:eastAsia="黑体" w:cs="Times New Roman"/>
          <w:sz w:val="32"/>
          <w:szCs w:val="32"/>
          <w:lang w:val="en-US" w:eastAsia="zh-CN"/>
        </w:rPr>
      </w:pPr>
    </w:p>
    <w:p>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黑体" w:hAnsi="Times New Roman" w:eastAsia="黑体" w:cs="Times New Roman"/>
          <w:sz w:val="32"/>
          <w:szCs w:val="32"/>
          <w:lang w:val="en-US" w:eastAsia="zh-CN"/>
        </w:rPr>
      </w:pPr>
    </w:p>
    <w:p>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黑体" w:hAnsi="Times New Roman" w:eastAsia="黑体" w:cs="Times New Roman"/>
          <w:sz w:val="32"/>
          <w:szCs w:val="32"/>
          <w:lang w:val="en-US" w:eastAsia="zh-CN"/>
        </w:rPr>
      </w:pPr>
    </w:p>
    <w:p>
      <w:pPr>
        <w:jc w:val="center"/>
        <w:rPr>
          <w:rFonts w:hint="eastAsia" w:ascii="方正小标宋简体" w:hAnsi="方正小标宋简体" w:eastAsia="方正小标宋简体" w:cs="方正小标宋简体"/>
          <w:sz w:val="48"/>
          <w:szCs w:val="48"/>
          <w:lang w:val="en-US" w:eastAsia="zh-CN"/>
        </w:rPr>
      </w:pPr>
      <w:r>
        <w:rPr>
          <w:rFonts w:hint="eastAsia" w:ascii="方正小标宋简体" w:hAnsi="方正小标宋简体" w:eastAsia="方正小标宋简体" w:cs="方正小标宋简体"/>
          <w:sz w:val="48"/>
          <w:szCs w:val="48"/>
          <w:lang w:val="en-US" w:eastAsia="zh-CN"/>
        </w:rPr>
        <w:t>2025年度湖南省人民政府驻上海办事处</w:t>
      </w:r>
    </w:p>
    <w:p>
      <w:pPr>
        <w:jc w:val="center"/>
        <w:rPr>
          <w:rFonts w:hint="eastAsia" w:ascii="方正小标宋简体" w:hAnsi="方正小标宋简体" w:eastAsia="方正小标宋简体" w:cs="方正小标宋简体"/>
          <w:sz w:val="48"/>
          <w:szCs w:val="48"/>
          <w:lang w:val="en-US" w:eastAsia="zh-CN"/>
        </w:rPr>
      </w:pPr>
      <w:r>
        <w:rPr>
          <w:rFonts w:hint="eastAsia" w:ascii="方正小标宋简体" w:hAnsi="方正小标宋简体" w:eastAsia="方正小标宋简体" w:cs="方正小标宋简体"/>
          <w:sz w:val="48"/>
          <w:szCs w:val="48"/>
          <w:lang w:val="en-US" w:eastAsia="zh-CN"/>
        </w:rPr>
        <w:t>整体支出绩效自评报告</w:t>
      </w:r>
    </w:p>
    <w:p>
      <w:pPr>
        <w:jc w:val="center"/>
        <w:rPr>
          <w:rFonts w:ascii="方正小标宋_GBK" w:hAnsi="Times New Roman" w:eastAsia="方正小标宋_GBK" w:cs="Times New Roman"/>
          <w:b/>
          <w:sz w:val="52"/>
          <w:szCs w:val="52"/>
        </w:rPr>
      </w:pPr>
    </w:p>
    <w:p>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黑体" w:hAnsi="Times New Roman" w:eastAsia="黑体" w:cs="Times New Roman"/>
          <w:sz w:val="32"/>
          <w:szCs w:val="32"/>
        </w:rPr>
      </w:pPr>
      <w:r>
        <w:rPr>
          <w:rFonts w:hint="eastAsia" w:ascii="黑体" w:hAnsi="Times New Roman" w:eastAsia="黑体" w:cs="Times New Roman"/>
          <w:sz w:val="32"/>
          <w:szCs w:val="32"/>
          <w:lang w:val="en-US" w:eastAsia="zh-CN"/>
        </w:rPr>
        <w:t>一、</w:t>
      </w:r>
      <w:r>
        <w:rPr>
          <w:rFonts w:hint="eastAsia" w:ascii="黑体" w:hAnsi="Times New Roman" w:eastAsia="黑体" w:cs="Times New Roman"/>
          <w:sz w:val="32"/>
          <w:szCs w:val="32"/>
        </w:rPr>
        <w:t>单位基本情况</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湖南省人民政府驻上海办事处（以下简称省政府驻上海办事处）是湖南省人民政府派出机构，正厅级公益一类事业单位（参照公务员法管理）。</w:t>
      </w:r>
    </w:p>
    <w:p>
      <w:pPr>
        <w:keepNext w:val="0"/>
        <w:keepLines w:val="0"/>
        <w:pageBreakBefore w:val="0"/>
        <w:widowControl/>
        <w:kinsoku/>
        <w:wordWrap/>
        <w:overflowPunct/>
        <w:topLinePunct w:val="0"/>
        <w:autoSpaceDE/>
        <w:autoSpaceDN/>
        <w:bidi w:val="0"/>
        <w:adjustRightInd w:val="0"/>
        <w:snapToGrid w:val="0"/>
        <w:spacing w:line="360" w:lineRule="auto"/>
        <w:ind w:firstLine="627" w:firstLineChars="196"/>
        <w:jc w:val="left"/>
        <w:textAlignment w:val="auto"/>
        <w:rPr>
          <w:rFonts w:hint="eastAsia" w:ascii="仿宋" w:hAnsi="仿宋" w:eastAsia="仿宋" w:cs="仿宋"/>
          <w:b/>
          <w:sz w:val="32"/>
          <w:szCs w:val="32"/>
        </w:rPr>
      </w:pPr>
      <w:r>
        <w:rPr>
          <w:rFonts w:hint="eastAsia" w:ascii="仿宋" w:hAnsi="仿宋" w:eastAsia="仿宋" w:cs="仿宋"/>
          <w:b/>
          <w:sz w:val="32"/>
          <w:szCs w:val="32"/>
        </w:rPr>
        <w:t>（一）职能职责</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根据省委、省政府的授权和委托，其主要职责是：</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1.按照省委、省政府的部署要求，为湖南对接融入长江经济带建设、长三角区域一体化发展等国家战略提供服务，宣传、推介湖南，做好相关工作。</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2.加强与驻地及周边地区有关部门的联系，做好政务联络、友好往来等工作；加强与在沪湘籍人士、社会各界人士等联络，争取其对湖南经济社会发展的支持帮助。</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3.加强与驻地及周边地区企业、科研院所、高等院校等联系，为湖南引资引技引才引智牵线搭桥，促进湖南和驻地之间的资源合理流动。配合做好湖南干部教育培训在沪异地教学有关工作。</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4.围绕省委、省政府的中心工作，收集、整理、报送重要信息，开展专题调研，为省委、省政府提供决策参考和信息服务。</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5.加强与驻地有关职能部门的沟通协调，为湖南在沪务工等人员提供相关服务；协助做好与湖南相关的信访、维稳、处置突发事件等工作，协助办理民族事务。负责省领导在沪公务活动的接待服务工作，为省直单位和各市州在沪公务活动提供必要的支持。</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6.领导湖南驻沪单位党委，指导湖南驻沪单位党建工作，协助做好湖南在沪流动党（团）员的管理服务工作。</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7.完成省委、省政府交办的其他任务。</w:t>
      </w:r>
    </w:p>
    <w:p>
      <w:pPr>
        <w:keepNext w:val="0"/>
        <w:keepLines w:val="0"/>
        <w:pageBreakBefore w:val="0"/>
        <w:widowControl/>
        <w:kinsoku/>
        <w:wordWrap/>
        <w:overflowPunct/>
        <w:topLinePunct w:val="0"/>
        <w:autoSpaceDE/>
        <w:autoSpaceDN/>
        <w:bidi w:val="0"/>
        <w:adjustRightInd w:val="0"/>
        <w:snapToGrid w:val="0"/>
        <w:spacing w:line="360" w:lineRule="auto"/>
        <w:ind w:firstLine="627" w:firstLineChars="196"/>
        <w:jc w:val="left"/>
        <w:textAlignment w:val="auto"/>
        <w:rPr>
          <w:rFonts w:hint="default" w:ascii="楷体" w:hAnsi="楷体" w:eastAsia="楷体"/>
          <w:b/>
          <w:sz w:val="32"/>
          <w:szCs w:val="32"/>
          <w:lang w:val="en-US" w:eastAsia="zh-CN"/>
        </w:rPr>
      </w:pPr>
      <w:r>
        <w:rPr>
          <w:rFonts w:hint="eastAsia" w:ascii="楷体" w:hAnsi="楷体" w:eastAsia="楷体"/>
          <w:b/>
          <w:sz w:val="32"/>
          <w:szCs w:val="32"/>
        </w:rPr>
        <w:t>（二）机构设置</w:t>
      </w:r>
      <w:r>
        <w:rPr>
          <w:rFonts w:hint="eastAsia" w:ascii="楷体" w:hAnsi="楷体" w:eastAsia="楷体"/>
          <w:b/>
          <w:sz w:val="32"/>
          <w:szCs w:val="32"/>
          <w:lang w:val="en-US" w:eastAsia="zh-CN"/>
        </w:rPr>
        <w:t>及人员情况</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1.省政府驻上海办事处设下列内设机构：综合处、交流合作处、信息宣传处、公共服务处、机关党委。</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2.省政府驻上海办事处事业编制（参公管理）23人。截止2025年12月，在职人员19人，离退休人员25人，临聘人员6人。</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textAlignment w:val="auto"/>
        <w:rPr>
          <w:rFonts w:ascii="Times New Roman" w:hAnsi="Times New Roman" w:eastAsia="黑体" w:cs="Times New Roman"/>
          <w:sz w:val="32"/>
          <w:szCs w:val="32"/>
        </w:rPr>
      </w:pPr>
      <w:r>
        <w:rPr>
          <w:rFonts w:hint="eastAsia" w:ascii="Times New Roman" w:hAnsi="Times New Roman" w:eastAsia="黑体" w:cs="Times New Roman"/>
          <w:sz w:val="32"/>
          <w:szCs w:val="32"/>
        </w:rPr>
        <w:t>二、</w:t>
      </w:r>
      <w:r>
        <w:rPr>
          <w:rFonts w:ascii="Times New Roman" w:hAnsi="Times New Roman" w:eastAsia="黑体" w:cs="Times New Roman"/>
          <w:sz w:val="32"/>
          <w:szCs w:val="32"/>
        </w:rPr>
        <w:t>一般公共预算支出情况</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textAlignment w:val="auto"/>
        <w:rPr>
          <w:rFonts w:hint="eastAsia" w:ascii="楷体_GB2312" w:hAnsi="Times New Roman" w:eastAsia="楷体_GB2312" w:cs="Times New Roman"/>
          <w:b/>
          <w:sz w:val="32"/>
          <w:szCs w:val="32"/>
        </w:rPr>
      </w:pPr>
      <w:r>
        <w:rPr>
          <w:rFonts w:hint="eastAsia" w:ascii="楷体_GB2312" w:hAnsi="Times New Roman" w:eastAsia="楷体_GB2312" w:cs="Times New Roman"/>
          <w:b/>
          <w:sz w:val="32"/>
          <w:szCs w:val="32"/>
        </w:rPr>
        <w:t>（一）基本支出情况</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1.基本支出是保障机构正常运转、完成日常工作任务而发生的各项支出，主要包括人员经费和日常公用经费支出。人员经费主要用于在职人员、离退休人员、临聘人员基本工资、津贴补贴、奖金等支出。日常公用经费主要用于办公费、水电费、物业管理费、邮电费、办公设备购置等日常公用经费支出。</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2.2025年基本支出预算安排1141.17万元，实际支出1033.92万元，预算完成率90.6%。人员经费支出896.8万元，占基本支出的86.7%；日常公用经费支出137.12万元，占基本支出的13.3%。</w:t>
      </w:r>
    </w:p>
    <w:p>
      <w:pPr>
        <w:keepNext w:val="0"/>
        <w:keepLines w:val="0"/>
        <w:pageBreakBefore w:val="0"/>
        <w:widowControl/>
        <w:numPr>
          <w:ilvl w:val="0"/>
          <w:numId w:val="4"/>
        </w:numPr>
        <w:kinsoku/>
        <w:wordWrap/>
        <w:overflowPunct/>
        <w:topLinePunct w:val="0"/>
        <w:autoSpaceDE/>
        <w:autoSpaceDN/>
        <w:bidi w:val="0"/>
        <w:adjustRightInd w:val="0"/>
        <w:snapToGrid w:val="0"/>
        <w:spacing w:line="360" w:lineRule="auto"/>
        <w:ind w:left="-10" w:leftChars="0" w:firstLine="640" w:firstLineChars="0"/>
        <w:textAlignment w:val="auto"/>
        <w:rPr>
          <w:rFonts w:ascii="楷体_GB2312" w:hAnsi="Times New Roman" w:eastAsia="楷体_GB2312" w:cs="Times New Roman"/>
          <w:b/>
          <w:sz w:val="32"/>
          <w:szCs w:val="32"/>
        </w:rPr>
      </w:pPr>
      <w:r>
        <w:rPr>
          <w:rFonts w:ascii="楷体_GB2312" w:hAnsi="Times New Roman" w:eastAsia="楷体_GB2312" w:cs="Times New Roman"/>
          <w:b/>
          <w:sz w:val="32"/>
          <w:szCs w:val="32"/>
        </w:rPr>
        <w:t>项目支出情况</w:t>
      </w:r>
    </w:p>
    <w:p>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default" w:ascii="仿宋" w:hAnsi="仿宋" w:eastAsia="仿宋" w:cs="仿宋"/>
          <w:sz w:val="32"/>
          <w:szCs w:val="32"/>
          <w:u w:val="none"/>
          <w:lang w:val="en-US" w:eastAsia="zh-CN"/>
        </w:rPr>
      </w:pPr>
      <w:r>
        <w:rPr>
          <w:rFonts w:hint="eastAsia" w:ascii="仿宋" w:hAnsi="仿宋" w:eastAsia="仿宋" w:cs="仿宋"/>
          <w:sz w:val="32"/>
          <w:szCs w:val="32"/>
          <w:lang w:val="en-US" w:eastAsia="zh-CN"/>
        </w:rPr>
        <w:t>1.项目支出是单位为完成特定行政工作任务或事业发展目标而发生的支出，2025年度单位无省级专项预算安排。2.2025年项目支出预算安排457.76万元，实际支出239.81万元，</w:t>
      </w:r>
      <w:r>
        <w:rPr>
          <w:rFonts w:hint="eastAsia" w:ascii="仿宋" w:hAnsi="仿宋" w:eastAsia="仿宋" w:cs="仿宋"/>
          <w:sz w:val="32"/>
          <w:szCs w:val="32"/>
          <w:u w:val="none"/>
          <w:lang w:val="en-US" w:eastAsia="zh-CN"/>
        </w:rPr>
        <w:t>预算完成率52.4</w:t>
      </w:r>
      <w:r>
        <w:rPr>
          <w:rFonts w:hint="eastAsia" w:ascii="仿宋" w:hAnsi="仿宋" w:eastAsia="仿宋" w:cs="仿宋"/>
          <w:sz w:val="32"/>
          <w:szCs w:val="32"/>
          <w:lang w:val="en-US" w:eastAsia="zh-CN"/>
        </w:rPr>
        <w:t>%。项目支出共有3项，其中：</w:t>
      </w:r>
      <w:r>
        <w:rPr>
          <w:rFonts w:hint="eastAsia" w:ascii="仿宋" w:hAnsi="仿宋" w:eastAsia="仿宋" w:cs="仿宋"/>
          <w:b/>
          <w:bCs/>
          <w:sz w:val="32"/>
          <w:szCs w:val="32"/>
          <w:lang w:val="en-US" w:eastAsia="zh-CN"/>
        </w:rPr>
        <w:t>①湖南驻沪单位党委党建工作经费</w:t>
      </w:r>
      <w:r>
        <w:rPr>
          <w:rFonts w:hint="eastAsia" w:ascii="仿宋" w:hAnsi="仿宋" w:eastAsia="仿宋" w:cs="仿宋"/>
          <w:sz w:val="32"/>
          <w:szCs w:val="32"/>
          <w:lang w:val="en-US" w:eastAsia="zh-CN"/>
        </w:rPr>
        <w:t>预算安排53万元，实际支出23.76万元，预算完成率45%；</w:t>
      </w:r>
      <w:r>
        <w:rPr>
          <w:rFonts w:hint="eastAsia" w:ascii="仿宋" w:hAnsi="仿宋" w:eastAsia="仿宋" w:cs="仿宋"/>
          <w:b/>
          <w:bCs/>
          <w:sz w:val="32"/>
          <w:szCs w:val="32"/>
          <w:lang w:val="en-US" w:eastAsia="zh-CN"/>
        </w:rPr>
        <w:t>②加强与长三角及华东地区经济合作、宣传、公共服务专项经费</w:t>
      </w:r>
      <w:r>
        <w:rPr>
          <w:rFonts w:hint="eastAsia" w:ascii="仿宋" w:hAnsi="仿宋" w:eastAsia="仿宋" w:cs="仿宋"/>
          <w:sz w:val="32"/>
          <w:szCs w:val="32"/>
          <w:lang w:val="en-US" w:eastAsia="zh-CN"/>
        </w:rPr>
        <w:t>预算安排344.37万元，实际支出158.01万元，预算完成率45.9%；</w:t>
      </w:r>
      <w:r>
        <w:rPr>
          <w:rFonts w:hint="eastAsia" w:ascii="仿宋" w:hAnsi="仿宋" w:eastAsia="仿宋" w:cs="仿宋"/>
          <w:b/>
          <w:bCs/>
          <w:sz w:val="32"/>
          <w:szCs w:val="32"/>
          <w:lang w:val="en-US" w:eastAsia="zh-CN"/>
        </w:rPr>
        <w:t>③服务我省参与商务活动经费</w:t>
      </w:r>
      <w:r>
        <w:rPr>
          <w:rFonts w:hint="eastAsia" w:ascii="仿宋" w:hAnsi="仿宋" w:eastAsia="仿宋" w:cs="仿宋"/>
          <w:sz w:val="32"/>
          <w:szCs w:val="32"/>
          <w:lang w:val="en-US" w:eastAsia="zh-CN"/>
        </w:rPr>
        <w:t>预算安排60万元，实际支出58.04万元，预算完成率97%</w:t>
      </w:r>
      <w:r>
        <w:rPr>
          <w:rFonts w:hint="eastAsia" w:ascii="仿宋" w:hAnsi="仿宋" w:eastAsia="仿宋" w:cs="仿宋"/>
          <w:sz w:val="32"/>
          <w:szCs w:val="32"/>
          <w:u w:val="none"/>
          <w:lang w:val="en-US" w:eastAsia="zh-CN"/>
        </w:rPr>
        <w:t>。</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textAlignment w:val="auto"/>
        <w:rPr>
          <w:rFonts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三、</w:t>
      </w:r>
      <w:r>
        <w:rPr>
          <w:rFonts w:ascii="Times New Roman" w:hAnsi="Times New Roman" w:eastAsia="黑体" w:cs="Times New Roman"/>
          <w:sz w:val="32"/>
          <w:szCs w:val="32"/>
        </w:rPr>
        <w:t>政府性基金预算支出情况</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2025年度单位未安排政府性基金预算，无政府性基金预算支出。</w:t>
      </w:r>
    </w:p>
    <w:p>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jc w:val="left"/>
        <w:textAlignment w:val="auto"/>
        <w:rPr>
          <w:rFonts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四、</w:t>
      </w:r>
      <w:r>
        <w:rPr>
          <w:rFonts w:ascii="Times New Roman" w:hAnsi="Times New Roman" w:eastAsia="黑体" w:cs="Times New Roman"/>
          <w:sz w:val="32"/>
          <w:szCs w:val="32"/>
        </w:rPr>
        <w:t>国有资本经营预算支出情况</w:t>
      </w:r>
    </w:p>
    <w:p>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jc w:val="left"/>
        <w:textAlignment w:val="auto"/>
        <w:rPr>
          <w:rFonts w:hint="eastAsia" w:ascii="仿宋" w:hAnsi="仿宋" w:eastAsia="仿宋" w:cs="仿宋"/>
          <w:sz w:val="32"/>
          <w:szCs w:val="32"/>
          <w:lang w:val="en-US" w:eastAsia="zh-CN"/>
        </w:rPr>
      </w:pPr>
      <w:r>
        <w:rPr>
          <w:rFonts w:hint="eastAsia" w:ascii="Times New Roman" w:hAnsi="Times New Roman" w:eastAsia="黑体"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2025年度单位未安排国有资本经营预算，无国有资本经营预算支出。 </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jc w:val="left"/>
        <w:textAlignment w:val="auto"/>
        <w:rPr>
          <w:rFonts w:ascii="Times New Roman" w:hAnsi="Times New Roman" w:eastAsia="黑体" w:cs="Times New Roman"/>
          <w:sz w:val="32"/>
          <w:szCs w:val="32"/>
        </w:rPr>
      </w:pPr>
      <w:r>
        <w:rPr>
          <w:rFonts w:hint="eastAsia" w:ascii="Times New Roman" w:hAnsi="Times New Roman" w:eastAsia="黑体" w:cs="Times New Roman"/>
          <w:sz w:val="32"/>
          <w:szCs w:val="32"/>
        </w:rPr>
        <w:t>五、</w:t>
      </w:r>
      <w:r>
        <w:rPr>
          <w:rFonts w:ascii="Times New Roman" w:hAnsi="Times New Roman" w:eastAsia="黑体" w:cs="Times New Roman"/>
          <w:sz w:val="32"/>
          <w:szCs w:val="32"/>
        </w:rPr>
        <w:t>社会保险基金预算支出情况</w:t>
      </w:r>
    </w:p>
    <w:p>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2025年单位未安排社会保险基金预算，无社会保险基金预算支出。</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jc w:val="left"/>
        <w:textAlignment w:val="auto"/>
        <w:rPr>
          <w:rFonts w:ascii="Times New Roman" w:hAnsi="Times New Roman" w:eastAsia="黑体" w:cs="Times New Roman"/>
          <w:sz w:val="32"/>
          <w:szCs w:val="32"/>
        </w:rPr>
      </w:pPr>
      <w:r>
        <w:rPr>
          <w:rFonts w:ascii="Times New Roman" w:hAnsi="Times New Roman" w:eastAsia="黑体" w:cs="Times New Roman"/>
          <w:sz w:val="32"/>
          <w:szCs w:val="32"/>
        </w:rPr>
        <w:t>六、部门整体支出绩效情况</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根据部门整体支出绩效评价指标，部门整体支出绩效得100分，具体情况如下：</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一</w:t>
      </w:r>
      <w:r>
        <w:rPr>
          <w:rFonts w:hint="eastAsia" w:ascii="楷体" w:hAnsi="楷体" w:eastAsia="楷体" w:cs="楷体"/>
          <w:b/>
          <w:bCs/>
          <w:sz w:val="32"/>
          <w:szCs w:val="32"/>
          <w:lang w:eastAsia="zh-CN"/>
        </w:rPr>
        <w:t>）</w:t>
      </w:r>
      <w:r>
        <w:rPr>
          <w:rFonts w:hint="eastAsia" w:ascii="楷体" w:hAnsi="楷体" w:eastAsia="楷体" w:cs="楷体"/>
          <w:b/>
          <w:bCs/>
          <w:sz w:val="32"/>
          <w:szCs w:val="32"/>
        </w:rPr>
        <w:t>预算执行率(10分</w:t>
      </w:r>
      <w:r>
        <w:rPr>
          <w:rFonts w:hint="eastAsia" w:ascii="楷体" w:hAnsi="楷体" w:eastAsia="楷体" w:cs="楷体"/>
          <w:b/>
          <w:bCs/>
          <w:sz w:val="32"/>
          <w:szCs w:val="32"/>
          <w:lang w:val="en-US" w:eastAsia="zh-CN"/>
        </w:rPr>
        <w:t>，</w:t>
      </w:r>
      <w:r>
        <w:rPr>
          <w:rFonts w:hint="eastAsia" w:ascii="楷体" w:hAnsi="楷体" w:eastAsia="楷体" w:cs="楷体"/>
          <w:b/>
          <w:bCs/>
          <w:sz w:val="32"/>
          <w:szCs w:val="32"/>
        </w:rPr>
        <w:t>得</w:t>
      </w:r>
      <w:r>
        <w:rPr>
          <w:rFonts w:hint="eastAsia" w:ascii="楷体" w:hAnsi="楷体" w:eastAsia="楷体" w:cs="楷体"/>
          <w:b/>
          <w:bCs/>
          <w:sz w:val="32"/>
          <w:szCs w:val="32"/>
          <w:lang w:val="en-US" w:eastAsia="zh-CN"/>
        </w:rPr>
        <w:t>10</w:t>
      </w:r>
      <w:r>
        <w:rPr>
          <w:rFonts w:hint="eastAsia" w:ascii="楷体" w:hAnsi="楷体" w:eastAsia="楷体" w:cs="楷体"/>
          <w:b/>
          <w:bCs/>
          <w:sz w:val="32"/>
          <w:szCs w:val="32"/>
        </w:rPr>
        <w:t>分</w:t>
      </w: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未扣分</w:t>
      </w:r>
      <w:r>
        <w:rPr>
          <w:rFonts w:hint="eastAsia" w:ascii="楷体" w:hAnsi="楷体" w:eastAsia="楷体" w:cs="楷体"/>
          <w:b/>
          <w:bCs/>
          <w:sz w:val="32"/>
          <w:szCs w:val="32"/>
        </w:rPr>
        <w:t xml:space="preserve">) </w:t>
      </w:r>
    </w:p>
    <w:p>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jc w:val="both"/>
        <w:textAlignment w:val="auto"/>
        <w:rPr>
          <w:rFonts w:hint="default" w:ascii="仿宋" w:hAnsi="仿宋" w:eastAsia="仿宋" w:cs="仿宋"/>
          <w:b w:val="0"/>
          <w:bCs w:val="0"/>
          <w:sz w:val="32"/>
          <w:szCs w:val="32"/>
          <w:lang w:val="en-US" w:eastAsia="zh-CN"/>
        </w:rPr>
      </w:pPr>
      <w:r>
        <w:rPr>
          <w:rFonts w:hint="eastAsia" w:ascii="仿宋" w:hAnsi="仿宋" w:eastAsia="仿宋" w:cs="仿宋"/>
          <w:sz w:val="32"/>
          <w:szCs w:val="32"/>
        </w:rPr>
        <w:t>财政拨款全年预算数（含上年结转和结余）</w:t>
      </w:r>
      <w:r>
        <w:rPr>
          <w:rFonts w:hint="eastAsia" w:ascii="仿宋" w:hAnsi="仿宋" w:eastAsia="仿宋" w:cs="仿宋"/>
          <w:sz w:val="32"/>
          <w:szCs w:val="32"/>
          <w:lang w:val="en-US" w:eastAsia="zh-CN"/>
        </w:rPr>
        <w:t>1598.93</w:t>
      </w:r>
      <w:r>
        <w:rPr>
          <w:rFonts w:hint="eastAsia" w:ascii="仿宋" w:hAnsi="仿宋" w:eastAsia="仿宋" w:cs="仿宋"/>
          <w:sz w:val="32"/>
          <w:szCs w:val="32"/>
        </w:rPr>
        <w:t>万 元，全年执行数</w:t>
      </w:r>
      <w:r>
        <w:rPr>
          <w:rFonts w:hint="eastAsia" w:ascii="仿宋" w:hAnsi="仿宋" w:eastAsia="仿宋" w:cs="仿宋"/>
          <w:sz w:val="32"/>
          <w:szCs w:val="32"/>
          <w:lang w:val="en-US" w:eastAsia="zh-CN"/>
        </w:rPr>
        <w:t>1273.73</w:t>
      </w:r>
      <w:r>
        <w:rPr>
          <w:rFonts w:hint="eastAsia" w:ascii="仿宋" w:hAnsi="仿宋" w:eastAsia="仿宋" w:cs="仿宋"/>
          <w:sz w:val="32"/>
          <w:szCs w:val="32"/>
        </w:rPr>
        <w:t>万元，预算执行率</w:t>
      </w:r>
      <w:r>
        <w:rPr>
          <w:rFonts w:hint="eastAsia" w:ascii="仿宋" w:hAnsi="仿宋" w:eastAsia="仿宋" w:cs="仿宋"/>
          <w:sz w:val="32"/>
          <w:szCs w:val="32"/>
          <w:lang w:val="en-US" w:eastAsia="zh-CN"/>
        </w:rPr>
        <w:t>80%</w:t>
      </w:r>
      <w:r>
        <w:rPr>
          <w:rFonts w:hint="eastAsia" w:ascii="仿宋" w:hAnsi="仿宋" w:eastAsia="仿宋" w:cs="仿宋"/>
          <w:sz w:val="32"/>
          <w:szCs w:val="32"/>
        </w:rPr>
        <w:t>，主要是</w:t>
      </w:r>
      <w:r>
        <w:rPr>
          <w:rFonts w:hint="eastAsia" w:ascii="仿宋" w:hAnsi="仿宋" w:eastAsia="仿宋" w:cs="仿宋"/>
          <w:b/>
          <w:bCs/>
          <w:sz w:val="32"/>
          <w:szCs w:val="32"/>
          <w:lang w:val="en-US" w:eastAsia="zh-CN"/>
        </w:rPr>
        <w:t>①</w:t>
      </w:r>
      <w:r>
        <w:rPr>
          <w:rFonts w:hint="eastAsia" w:ascii="仿宋" w:hAnsi="仿宋" w:eastAsia="仿宋" w:cs="仿宋"/>
          <w:sz w:val="32"/>
          <w:szCs w:val="32"/>
          <w:lang w:val="en-US" w:eastAsia="zh-CN"/>
        </w:rPr>
        <w:t>湖南驻沪单位党委党建工作经费结余，已结转2025年</w:t>
      </w:r>
      <w:r>
        <w:rPr>
          <w:rFonts w:hint="eastAsia" w:ascii="仿宋" w:hAnsi="仿宋" w:eastAsia="仿宋" w:cs="仿宋"/>
          <w:sz w:val="32"/>
          <w:szCs w:val="32"/>
          <w:lang w:eastAsia="zh-CN"/>
        </w:rPr>
        <w:t>；</w:t>
      </w:r>
      <w:r>
        <w:rPr>
          <w:rFonts w:hint="eastAsia" w:ascii="仿宋" w:hAnsi="仿宋" w:eastAsia="仿宋" w:cs="仿宋"/>
          <w:b/>
          <w:bCs/>
          <w:sz w:val="32"/>
          <w:szCs w:val="32"/>
          <w:lang w:val="en-US" w:eastAsia="zh-CN"/>
        </w:rPr>
        <w:t>②</w:t>
      </w:r>
      <w:r>
        <w:rPr>
          <w:rFonts w:hint="eastAsia" w:ascii="仿宋" w:hAnsi="仿宋" w:eastAsia="仿宋" w:cs="仿宋"/>
          <w:b w:val="0"/>
          <w:bCs w:val="0"/>
          <w:sz w:val="32"/>
          <w:szCs w:val="32"/>
          <w:lang w:val="en-US" w:eastAsia="zh-CN"/>
        </w:rPr>
        <w:t>加强与长三角及华东地区经济合作、宣传、公共服务专项经费结余，已结转2025年。</w:t>
      </w:r>
    </w:p>
    <w:p>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w:t>
      </w:r>
      <w:r>
        <w:rPr>
          <w:rFonts w:hint="eastAsia" w:ascii="楷体" w:hAnsi="楷体" w:eastAsia="楷体" w:cs="楷体"/>
          <w:b/>
          <w:bCs/>
          <w:sz w:val="32"/>
          <w:szCs w:val="32"/>
          <w:lang w:eastAsia="zh-CN"/>
        </w:rPr>
        <w:t>二）产出指标(50 分，得</w:t>
      </w:r>
      <w:r>
        <w:rPr>
          <w:rFonts w:hint="eastAsia" w:ascii="楷体" w:hAnsi="楷体" w:eastAsia="楷体" w:cs="楷体"/>
          <w:b/>
          <w:bCs/>
          <w:sz w:val="32"/>
          <w:szCs w:val="32"/>
          <w:lang w:val="en-US" w:eastAsia="zh-CN"/>
        </w:rPr>
        <w:t>50</w:t>
      </w:r>
      <w:r>
        <w:rPr>
          <w:rFonts w:hint="eastAsia" w:ascii="楷体" w:hAnsi="楷体" w:eastAsia="楷体" w:cs="楷体"/>
          <w:b/>
          <w:bCs/>
          <w:sz w:val="32"/>
          <w:szCs w:val="32"/>
          <w:lang w:eastAsia="zh-CN"/>
        </w:rPr>
        <w:t xml:space="preserve"> 分，</w:t>
      </w:r>
      <w:r>
        <w:rPr>
          <w:rFonts w:hint="eastAsia" w:ascii="楷体" w:hAnsi="楷体" w:eastAsia="楷体" w:cs="楷体"/>
          <w:b/>
          <w:bCs/>
          <w:sz w:val="32"/>
          <w:szCs w:val="32"/>
          <w:lang w:val="en-US" w:eastAsia="zh-CN"/>
        </w:rPr>
        <w:t>未扣分</w:t>
      </w:r>
      <w:r>
        <w:rPr>
          <w:rFonts w:hint="eastAsia" w:ascii="楷体" w:hAnsi="楷体" w:eastAsia="楷体" w:cs="楷体"/>
          <w:b/>
          <w:bCs/>
          <w:sz w:val="32"/>
          <w:szCs w:val="32"/>
          <w:lang w:eastAsia="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jc w:val="left"/>
        <w:textAlignment w:val="auto"/>
        <w:rPr>
          <w:rFonts w:hint="eastAsia" w:ascii="仿宋" w:hAnsi="仿宋" w:eastAsia="仿宋" w:cs="仿宋"/>
          <w:b/>
          <w:bCs/>
          <w:sz w:val="32"/>
          <w:szCs w:val="32"/>
        </w:rPr>
      </w:pPr>
      <w:r>
        <w:rPr>
          <w:rFonts w:hint="eastAsia" w:ascii="仿宋" w:hAnsi="仿宋" w:eastAsia="仿宋" w:cs="仿宋"/>
          <w:b/>
          <w:bCs/>
          <w:sz w:val="32"/>
          <w:szCs w:val="32"/>
        </w:rPr>
        <w:t>1</w:t>
      </w:r>
      <w:r>
        <w:rPr>
          <w:rFonts w:hint="eastAsia" w:ascii="仿宋" w:hAnsi="仿宋" w:eastAsia="仿宋" w:cs="仿宋"/>
          <w:b/>
          <w:bCs/>
          <w:sz w:val="32"/>
          <w:szCs w:val="32"/>
          <w:lang w:val="en-US" w:eastAsia="zh-CN"/>
        </w:rPr>
        <w:t>.</w:t>
      </w:r>
      <w:r>
        <w:rPr>
          <w:rFonts w:hint="eastAsia" w:ascii="仿宋" w:hAnsi="仿宋" w:eastAsia="仿宋" w:cs="仿宋"/>
          <w:b/>
          <w:bCs/>
          <w:sz w:val="32"/>
          <w:szCs w:val="32"/>
        </w:rPr>
        <w:t>数量指标(</w:t>
      </w:r>
      <w:r>
        <w:rPr>
          <w:rFonts w:hint="eastAsia" w:ascii="仿宋" w:hAnsi="仿宋" w:eastAsia="仿宋" w:cs="仿宋"/>
          <w:b/>
          <w:bCs/>
          <w:sz w:val="32"/>
          <w:szCs w:val="32"/>
          <w:lang w:val="en-US" w:eastAsia="zh-CN"/>
        </w:rPr>
        <w:t>3</w:t>
      </w:r>
      <w:r>
        <w:rPr>
          <w:rFonts w:hint="eastAsia" w:ascii="仿宋" w:hAnsi="仿宋" w:eastAsia="仿宋" w:cs="仿宋"/>
          <w:b/>
          <w:bCs/>
          <w:sz w:val="32"/>
          <w:szCs w:val="32"/>
        </w:rPr>
        <w:t>0分，得</w:t>
      </w:r>
      <w:r>
        <w:rPr>
          <w:rFonts w:hint="eastAsia" w:ascii="仿宋" w:hAnsi="仿宋" w:eastAsia="仿宋" w:cs="仿宋"/>
          <w:b/>
          <w:bCs/>
          <w:sz w:val="32"/>
          <w:szCs w:val="32"/>
          <w:lang w:val="en-US" w:eastAsia="zh-CN"/>
        </w:rPr>
        <w:t>3</w:t>
      </w:r>
      <w:r>
        <w:rPr>
          <w:rFonts w:hint="eastAsia" w:ascii="仿宋" w:hAnsi="仿宋" w:eastAsia="仿宋" w:cs="仿宋"/>
          <w:b/>
          <w:bCs/>
          <w:sz w:val="32"/>
          <w:szCs w:val="32"/>
        </w:rPr>
        <w:t xml:space="preserve">0分，未扣分) </w:t>
      </w:r>
    </w:p>
    <w:p>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1）为</w:t>
      </w:r>
      <w:r>
        <w:rPr>
          <w:rFonts w:hint="eastAsia" w:ascii="仿宋" w:hAnsi="仿宋" w:eastAsia="仿宋" w:cs="仿宋"/>
          <w:sz w:val="32"/>
          <w:szCs w:val="32"/>
        </w:rPr>
        <w:t>省领导和省直单位</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市州来沪公务人员、湘沪企业家</w:t>
      </w:r>
      <w:r>
        <w:rPr>
          <w:rFonts w:hint="eastAsia" w:ascii="仿宋" w:hAnsi="仿宋" w:eastAsia="仿宋" w:cs="仿宋"/>
          <w:sz w:val="32"/>
          <w:szCs w:val="32"/>
        </w:rPr>
        <w:t>提供服务</w:t>
      </w:r>
      <w:r>
        <w:rPr>
          <w:rFonts w:hint="eastAsia" w:ascii="仿宋" w:hAnsi="仿宋" w:eastAsia="仿宋" w:cs="仿宋"/>
          <w:sz w:val="32"/>
          <w:szCs w:val="32"/>
          <w:lang w:val="en-US" w:eastAsia="zh-CN"/>
        </w:rPr>
        <w:t>,无具体数量考核指标，</w:t>
      </w:r>
      <w:r>
        <w:rPr>
          <w:rFonts w:hint="eastAsia" w:ascii="仿宋" w:hAnsi="仿宋" w:eastAsia="仿宋" w:cs="仿宋"/>
          <w:sz w:val="32"/>
          <w:szCs w:val="32"/>
        </w:rPr>
        <w:t>实际</w:t>
      </w:r>
      <w:r>
        <w:rPr>
          <w:rFonts w:hint="eastAsia" w:ascii="仿宋" w:hAnsi="仿宋" w:eastAsia="仿宋" w:cs="仿宋"/>
          <w:sz w:val="32"/>
          <w:szCs w:val="32"/>
          <w:lang w:val="en-US" w:eastAsia="zh-CN"/>
        </w:rPr>
        <w:t>接待151批次，883人次。</w:t>
      </w:r>
      <w:r>
        <w:rPr>
          <w:rFonts w:hint="eastAsia" w:ascii="仿宋" w:hAnsi="仿宋" w:eastAsia="仿宋" w:cs="仿宋"/>
          <w:sz w:val="32"/>
          <w:szCs w:val="32"/>
        </w:rPr>
        <w:t>分值</w:t>
      </w:r>
      <w:r>
        <w:rPr>
          <w:rFonts w:hint="eastAsia" w:ascii="仿宋" w:hAnsi="仿宋" w:eastAsia="仿宋" w:cs="仿宋"/>
          <w:sz w:val="32"/>
          <w:szCs w:val="32"/>
          <w:lang w:val="en-US" w:eastAsia="zh-CN"/>
        </w:rPr>
        <w:t>10</w:t>
      </w:r>
      <w:r>
        <w:rPr>
          <w:rFonts w:hint="eastAsia" w:ascii="仿宋" w:hAnsi="仿宋" w:eastAsia="仿宋" w:cs="仿宋"/>
          <w:sz w:val="32"/>
          <w:szCs w:val="32"/>
        </w:rPr>
        <w:t>分，得分</w:t>
      </w:r>
      <w:r>
        <w:rPr>
          <w:rFonts w:hint="eastAsia" w:ascii="仿宋" w:hAnsi="仿宋" w:eastAsia="仿宋" w:cs="仿宋"/>
          <w:sz w:val="32"/>
          <w:szCs w:val="32"/>
          <w:lang w:val="en-US" w:eastAsia="zh-CN"/>
        </w:rPr>
        <w:t>10</w:t>
      </w:r>
      <w:r>
        <w:rPr>
          <w:rFonts w:hint="eastAsia" w:ascii="仿宋" w:hAnsi="仿宋" w:eastAsia="仿宋" w:cs="仿宋"/>
          <w:sz w:val="32"/>
          <w:szCs w:val="32"/>
        </w:rPr>
        <w:t>分。</w:t>
      </w:r>
    </w:p>
    <w:p>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2）为省委、省政府</w:t>
      </w:r>
      <w:r>
        <w:rPr>
          <w:rFonts w:hint="eastAsia" w:ascii="仿宋" w:hAnsi="仿宋" w:eastAsia="仿宋" w:cs="仿宋"/>
          <w:sz w:val="32"/>
          <w:szCs w:val="32"/>
          <w:u w:val="none"/>
          <w:lang w:val="en-US" w:eastAsia="zh-CN"/>
        </w:rPr>
        <w:t>收集、整理、报送重要信息，开展专题调研。</w:t>
      </w:r>
      <w:r>
        <w:rPr>
          <w:rFonts w:hint="eastAsia" w:ascii="仿宋" w:hAnsi="仿宋" w:eastAsia="仿宋" w:cs="仿宋"/>
          <w:sz w:val="32"/>
          <w:szCs w:val="32"/>
          <w:lang w:val="en-US" w:eastAsia="zh-CN"/>
        </w:rPr>
        <w:t>年度数量考核指标为《上海信息》专报24期。今年实际</w:t>
      </w:r>
      <w:r>
        <w:rPr>
          <w:rFonts w:hint="eastAsia" w:ascii="仿宋" w:hAnsi="仿宋" w:eastAsia="仿宋" w:cs="仿宋"/>
          <w:kern w:val="2"/>
          <w:sz w:val="32"/>
          <w:szCs w:val="32"/>
          <w:lang w:val="en-US" w:eastAsia="zh-CN" w:bidi="ar-SA"/>
        </w:rPr>
        <w:t>报送政务信息</w:t>
      </w:r>
      <w:r>
        <w:rPr>
          <w:rFonts w:hint="eastAsia" w:ascii="Times New Roman Regular" w:hAnsi="Times New Roman Regular" w:eastAsia="仿宋_GB2312" w:cs="Times New Roman Regular"/>
          <w:color w:val="auto"/>
          <w:sz w:val="32"/>
          <w:szCs w:val="32"/>
          <w:lang w:val="en"/>
        </w:rPr>
        <w:t>被省委采录</w:t>
      </w:r>
      <w:r>
        <w:rPr>
          <w:rFonts w:hint="eastAsia" w:ascii="Times New Roman Regular" w:hAnsi="Times New Roman Regular" w:eastAsia="仿宋_GB2312" w:cs="Times New Roman Regular"/>
          <w:color w:val="auto"/>
          <w:sz w:val="32"/>
          <w:szCs w:val="32"/>
          <w:lang w:val="en-US" w:eastAsia="zh-CN"/>
        </w:rPr>
        <w:t>51条</w:t>
      </w:r>
      <w:r>
        <w:rPr>
          <w:rFonts w:hint="eastAsia" w:ascii="Times New Roman Regular" w:hAnsi="Times New Roman Regular" w:eastAsia="仿宋_GB2312" w:cs="Times New Roman Regular"/>
          <w:color w:val="auto"/>
          <w:sz w:val="32"/>
          <w:szCs w:val="32"/>
          <w:lang w:val="en" w:eastAsia="zh-CN"/>
        </w:rPr>
        <w:t>、</w:t>
      </w:r>
      <w:r>
        <w:rPr>
          <w:rFonts w:hint="eastAsia" w:ascii="Times New Roman Regular" w:hAnsi="Times New Roman Regular" w:eastAsia="仿宋_GB2312" w:cs="Times New Roman Regular"/>
          <w:color w:val="auto"/>
          <w:sz w:val="32"/>
          <w:szCs w:val="32"/>
          <w:lang w:val="en"/>
        </w:rPr>
        <w:t>被省政府采录</w:t>
      </w:r>
      <w:r>
        <w:rPr>
          <w:rFonts w:hint="eastAsia" w:ascii="Times New Roman Regular" w:hAnsi="Times New Roman Regular" w:eastAsia="仿宋_GB2312" w:cs="Times New Roman Regular"/>
          <w:color w:val="auto"/>
          <w:sz w:val="32"/>
          <w:szCs w:val="32"/>
          <w:lang w:val="en-US" w:eastAsia="zh-CN"/>
        </w:rPr>
        <w:t>38条</w:t>
      </w:r>
      <w:r>
        <w:rPr>
          <w:rFonts w:hint="eastAsia" w:ascii="仿宋" w:hAnsi="仿宋" w:eastAsia="仿宋" w:cs="仿宋"/>
          <w:kern w:val="2"/>
          <w:sz w:val="32"/>
          <w:szCs w:val="32"/>
          <w:lang w:val="en-US" w:eastAsia="zh-CN" w:bidi="ar-SA"/>
        </w:rPr>
        <w:t>。形成高质量调研报告4篇，获沈晓明书记、毛伟明省长、张迎春常务副省长批示11次。</w:t>
      </w:r>
      <w:r>
        <w:rPr>
          <w:rFonts w:hint="eastAsia" w:ascii="仿宋" w:hAnsi="仿宋" w:eastAsia="仿宋" w:cs="仿宋"/>
          <w:sz w:val="32"/>
          <w:szCs w:val="32"/>
        </w:rPr>
        <w:t>分值</w:t>
      </w:r>
      <w:r>
        <w:rPr>
          <w:rFonts w:hint="eastAsia" w:ascii="仿宋" w:hAnsi="仿宋" w:eastAsia="仿宋" w:cs="仿宋"/>
          <w:sz w:val="32"/>
          <w:szCs w:val="32"/>
          <w:lang w:val="en-US" w:eastAsia="zh-CN"/>
        </w:rPr>
        <w:t>10</w:t>
      </w:r>
      <w:r>
        <w:rPr>
          <w:rFonts w:hint="eastAsia" w:ascii="仿宋" w:hAnsi="仿宋" w:eastAsia="仿宋" w:cs="仿宋"/>
          <w:sz w:val="32"/>
          <w:szCs w:val="32"/>
        </w:rPr>
        <w:t>分，得分</w:t>
      </w:r>
      <w:r>
        <w:rPr>
          <w:rFonts w:hint="eastAsia" w:ascii="仿宋" w:hAnsi="仿宋" w:eastAsia="仿宋" w:cs="仿宋"/>
          <w:sz w:val="32"/>
          <w:szCs w:val="32"/>
          <w:lang w:val="en-US" w:eastAsia="zh-CN"/>
        </w:rPr>
        <w:t>10</w:t>
      </w:r>
      <w:r>
        <w:rPr>
          <w:rFonts w:hint="eastAsia" w:ascii="仿宋" w:hAnsi="仿宋" w:eastAsia="仿宋" w:cs="仿宋"/>
          <w:sz w:val="32"/>
          <w:szCs w:val="32"/>
        </w:rPr>
        <w:t>分。</w:t>
      </w:r>
    </w:p>
    <w:p>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w:t>
      </w:r>
      <w:r>
        <w:rPr>
          <w:rFonts w:hint="eastAsia" w:ascii="仿宋_GB2312" w:hAnsi="仿宋_GB2312" w:eastAsia="仿宋_GB2312" w:cs="仿宋_GB2312"/>
          <w:color w:val="auto"/>
          <w:sz w:val="32"/>
          <w:szCs w:val="32"/>
          <w:lang w:eastAsia="zh-CN"/>
        </w:rPr>
        <w:t>根据</w:t>
      </w:r>
      <w:r>
        <w:rPr>
          <w:rFonts w:hint="eastAsia" w:ascii="仿宋_GB2312" w:hAnsi="仿宋_GB2312" w:eastAsia="仿宋_GB2312" w:cs="仿宋_GB2312"/>
          <w:color w:val="auto"/>
          <w:sz w:val="32"/>
          <w:szCs w:val="32"/>
        </w:rPr>
        <w:t>开展招商工作需</w:t>
      </w:r>
      <w:r>
        <w:rPr>
          <w:rFonts w:hint="eastAsia" w:ascii="仿宋_GB2312" w:hAnsi="仿宋_GB2312" w:eastAsia="仿宋_GB2312" w:cs="仿宋_GB2312"/>
          <w:color w:val="auto"/>
          <w:sz w:val="32"/>
          <w:szCs w:val="32"/>
          <w:lang w:eastAsia="zh-CN"/>
        </w:rPr>
        <w:t>求</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走访</w:t>
      </w:r>
      <w:r>
        <w:rPr>
          <w:rFonts w:hint="eastAsia" w:ascii="仿宋_GB2312" w:hAnsi="仿宋_GB2312" w:eastAsia="仿宋_GB2312" w:cs="仿宋_GB2312"/>
          <w:color w:val="auto"/>
          <w:sz w:val="32"/>
          <w:szCs w:val="32"/>
        </w:rPr>
        <w:t>华东地区知名园区、企业、商会</w:t>
      </w:r>
      <w:r>
        <w:rPr>
          <w:rFonts w:hint="eastAsia" w:ascii="Times New Roman" w:hAnsi="Times New Roman" w:eastAsia="仿宋_GB2312"/>
          <w:color w:val="auto"/>
          <w:sz w:val="32"/>
          <w:szCs w:val="32"/>
          <w:lang w:val="en-US" w:eastAsia="zh-CN"/>
        </w:rPr>
        <w:t>130</w:t>
      </w:r>
      <w:r>
        <w:rPr>
          <w:rFonts w:hint="eastAsia" w:ascii="仿宋_GB2312" w:hAnsi="仿宋_GB2312" w:eastAsia="仿宋_GB2312" w:cs="仿宋_GB2312"/>
          <w:color w:val="auto"/>
          <w:sz w:val="32"/>
          <w:szCs w:val="32"/>
        </w:rPr>
        <w:t>余次</w:t>
      </w:r>
      <w:r>
        <w:rPr>
          <w:rFonts w:hint="eastAsia" w:ascii="Times New Roman Regular" w:hAnsi="Times New Roman Regular" w:eastAsia="仿宋_GB2312" w:cs="Times New Roman Regular"/>
          <w:color w:val="auto"/>
          <w:sz w:val="32"/>
          <w:szCs w:val="32"/>
          <w:lang w:val="en-US" w:eastAsia="zh-CN"/>
        </w:rPr>
        <w:t>。2025年，牵头</w:t>
      </w:r>
      <w:r>
        <w:rPr>
          <w:rFonts w:hint="eastAsia" w:ascii="Times New Roman Regular" w:hAnsi="Times New Roman Regular" w:eastAsia="仿宋_GB2312" w:cs="Times New Roman Regular"/>
          <w:color w:val="auto"/>
          <w:sz w:val="32"/>
          <w:szCs w:val="32"/>
          <w:lang w:val="en" w:eastAsia="zh-CN"/>
        </w:rPr>
        <w:t>各市州联络处、招商专班、华东地区湘籍商会共签约项目</w:t>
      </w:r>
      <w:r>
        <w:rPr>
          <w:rFonts w:hint="eastAsia" w:ascii="Times New Roman Regular" w:hAnsi="Times New Roman Regular" w:eastAsia="仿宋_GB2312" w:cs="Times New Roman Regular"/>
          <w:color w:val="auto"/>
          <w:sz w:val="32"/>
          <w:szCs w:val="32"/>
          <w:lang w:val="en-US" w:eastAsia="zh-CN"/>
        </w:rPr>
        <w:t>185</w:t>
      </w:r>
      <w:r>
        <w:rPr>
          <w:rFonts w:hint="eastAsia" w:ascii="Times New Roman Regular" w:hAnsi="Times New Roman Regular" w:eastAsia="仿宋_GB2312" w:cs="Times New Roman Regular"/>
          <w:color w:val="auto"/>
          <w:sz w:val="32"/>
          <w:szCs w:val="32"/>
          <w:lang w:val="en"/>
        </w:rPr>
        <w:t>个，总投资额</w:t>
      </w:r>
      <w:r>
        <w:rPr>
          <w:rFonts w:hint="eastAsia" w:ascii="Times New Roman Regular" w:hAnsi="Times New Roman Regular" w:eastAsia="仿宋_GB2312" w:cs="Times New Roman Regular"/>
          <w:color w:val="auto"/>
          <w:sz w:val="32"/>
          <w:szCs w:val="32"/>
          <w:lang w:val="en-US" w:eastAsia="zh-CN"/>
        </w:rPr>
        <w:t>1104.78</w:t>
      </w:r>
      <w:r>
        <w:rPr>
          <w:rFonts w:hint="eastAsia" w:ascii="Times New Roman Regular" w:hAnsi="Times New Roman Regular" w:eastAsia="仿宋_GB2312" w:cs="Times New Roman Regular"/>
          <w:color w:val="auto"/>
          <w:sz w:val="32"/>
          <w:szCs w:val="32"/>
          <w:lang w:val="en"/>
        </w:rPr>
        <w:t>亿元</w:t>
      </w:r>
      <w:r>
        <w:rPr>
          <w:rFonts w:hint="eastAsia" w:ascii="Times New Roman Regular" w:hAnsi="Times New Roman Regular" w:eastAsia="仿宋_GB2312" w:cs="Times New Roman Regular"/>
          <w:color w:val="auto"/>
          <w:sz w:val="32"/>
          <w:szCs w:val="32"/>
          <w:lang w:val="en" w:eastAsia="zh-CN"/>
        </w:rPr>
        <w:t>，</w:t>
      </w:r>
      <w:r>
        <w:rPr>
          <w:rFonts w:hint="eastAsia" w:ascii="Times New Roman Regular" w:hAnsi="Times New Roman Regular" w:eastAsia="仿宋_GB2312" w:cs="Times New Roman Regular"/>
          <w:color w:val="auto"/>
          <w:sz w:val="32"/>
          <w:szCs w:val="32"/>
          <w:lang w:val="en"/>
        </w:rPr>
        <w:t>其中湘商回归项目</w:t>
      </w:r>
      <w:r>
        <w:rPr>
          <w:rFonts w:hint="eastAsia" w:ascii="Times New Roman Regular" w:hAnsi="Times New Roman Regular" w:eastAsia="仿宋_GB2312" w:cs="Times New Roman Regular"/>
          <w:color w:val="auto"/>
          <w:sz w:val="32"/>
          <w:szCs w:val="32"/>
          <w:lang w:val="en-US" w:eastAsia="zh-CN"/>
        </w:rPr>
        <w:t>60</w:t>
      </w:r>
      <w:r>
        <w:rPr>
          <w:rFonts w:hint="eastAsia" w:ascii="Times New Roman Regular" w:hAnsi="Times New Roman Regular" w:eastAsia="仿宋_GB2312" w:cs="Times New Roman Regular"/>
          <w:color w:val="auto"/>
          <w:sz w:val="32"/>
          <w:szCs w:val="32"/>
          <w:lang w:val="en"/>
        </w:rPr>
        <w:t>个，</w:t>
      </w:r>
      <w:r>
        <w:rPr>
          <w:rFonts w:hint="eastAsia" w:ascii="Times New Roman Regular" w:hAnsi="Times New Roman Regular" w:eastAsia="仿宋_GB2312" w:cs="Times New Roman Regular"/>
          <w:color w:val="auto"/>
          <w:sz w:val="32"/>
          <w:szCs w:val="32"/>
          <w:lang w:val="en-US" w:eastAsia="zh-CN"/>
        </w:rPr>
        <w:t>实际到位资金193.14</w:t>
      </w:r>
      <w:r>
        <w:rPr>
          <w:rFonts w:hint="eastAsia" w:ascii="Times New Roman Regular" w:hAnsi="Times New Roman Regular" w:eastAsia="仿宋_GB2312" w:cs="Times New Roman Regular"/>
          <w:color w:val="auto"/>
          <w:sz w:val="32"/>
          <w:szCs w:val="32"/>
          <w:lang w:val="en"/>
        </w:rPr>
        <w:t>亿元。</w:t>
      </w:r>
      <w:r>
        <w:rPr>
          <w:rFonts w:hint="eastAsia" w:ascii="仿宋" w:hAnsi="仿宋" w:eastAsia="仿宋" w:cs="仿宋"/>
          <w:sz w:val="32"/>
          <w:szCs w:val="32"/>
        </w:rPr>
        <w:t>分值</w:t>
      </w:r>
      <w:r>
        <w:rPr>
          <w:rFonts w:hint="eastAsia" w:ascii="仿宋" w:hAnsi="仿宋" w:eastAsia="仿宋" w:cs="仿宋"/>
          <w:sz w:val="32"/>
          <w:szCs w:val="32"/>
          <w:lang w:val="en-US" w:eastAsia="zh-CN"/>
        </w:rPr>
        <w:t>10</w:t>
      </w:r>
      <w:r>
        <w:rPr>
          <w:rFonts w:hint="eastAsia" w:ascii="仿宋" w:hAnsi="仿宋" w:eastAsia="仿宋" w:cs="仿宋"/>
          <w:sz w:val="32"/>
          <w:szCs w:val="32"/>
        </w:rPr>
        <w:t>分，得</w:t>
      </w:r>
      <w:r>
        <w:rPr>
          <w:rFonts w:hint="eastAsia" w:ascii="仿宋" w:hAnsi="仿宋" w:eastAsia="仿宋" w:cs="仿宋"/>
          <w:sz w:val="32"/>
          <w:szCs w:val="32"/>
          <w:lang w:val="en-US" w:eastAsia="zh-CN"/>
        </w:rPr>
        <w:t>10</w:t>
      </w:r>
      <w:r>
        <w:rPr>
          <w:rFonts w:hint="eastAsia" w:ascii="仿宋" w:hAnsi="仿宋" w:eastAsia="仿宋" w:cs="仿宋"/>
          <w:sz w:val="32"/>
          <w:szCs w:val="32"/>
        </w:rPr>
        <w:t>分。</w:t>
      </w:r>
    </w:p>
    <w:p>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b/>
          <w:bCs/>
          <w:sz w:val="32"/>
          <w:szCs w:val="32"/>
          <w:lang w:val="en-US" w:eastAsia="zh-CN"/>
        </w:rPr>
        <w:t>2.</w:t>
      </w:r>
      <w:r>
        <w:rPr>
          <w:rFonts w:hint="eastAsia" w:ascii="仿宋" w:hAnsi="仿宋" w:eastAsia="仿宋" w:cs="仿宋"/>
          <w:b/>
          <w:bCs/>
          <w:sz w:val="32"/>
          <w:szCs w:val="32"/>
        </w:rPr>
        <w:t>质量指标(10分，得10分，未扣分)</w:t>
      </w:r>
      <w:r>
        <w:rPr>
          <w:rFonts w:hint="eastAsia" w:ascii="仿宋" w:hAnsi="仿宋" w:eastAsia="仿宋" w:cs="仿宋"/>
          <w:sz w:val="32"/>
          <w:szCs w:val="32"/>
        </w:rPr>
        <w:t xml:space="preserve"> </w:t>
      </w:r>
    </w:p>
    <w:p>
      <w:pPr>
        <w:pStyle w:val="19"/>
        <w:keepNext w:val="0"/>
        <w:keepLines w:val="0"/>
        <w:pageBreakBefore w:val="0"/>
        <w:kinsoku/>
        <w:wordWrap/>
        <w:overflowPunct/>
        <w:topLinePunct w:val="0"/>
        <w:autoSpaceDE/>
        <w:autoSpaceDN/>
        <w:bidi w:val="0"/>
        <w:adjustRightInd w:val="0"/>
        <w:snapToGrid w:val="0"/>
        <w:spacing w:line="360" w:lineRule="auto"/>
        <w:ind w:right="0" w:rightChars="0"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为</w:t>
      </w:r>
      <w:r>
        <w:rPr>
          <w:rFonts w:hint="eastAsia" w:ascii="仿宋" w:hAnsi="仿宋" w:eastAsia="仿宋" w:cs="仿宋"/>
          <w:sz w:val="32"/>
          <w:szCs w:val="32"/>
        </w:rPr>
        <w:t>省领导和省直单位</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地州市来沪公务人员、湘沪企业家</w:t>
      </w:r>
      <w:r>
        <w:rPr>
          <w:rFonts w:hint="eastAsia" w:ascii="仿宋" w:hAnsi="仿宋" w:eastAsia="仿宋" w:cs="仿宋"/>
          <w:sz w:val="32"/>
          <w:szCs w:val="32"/>
        </w:rPr>
        <w:t>提供联络服务</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无事故、无投诉。特别是</w:t>
      </w:r>
      <w:r>
        <w:rPr>
          <w:rFonts w:hint="eastAsia" w:ascii="仿宋_GB2312" w:hAnsi="仿宋_GB2312" w:eastAsia="仿宋_GB2312" w:cs="仿宋_GB2312"/>
          <w:sz w:val="32"/>
          <w:szCs w:val="32"/>
          <w:lang w:val="en-US" w:eastAsia="zh-CN"/>
        </w:rPr>
        <w:t>组织参加2025年中国产业转移发展对接活动（湖南）、湖南旅游大会、长三角文博会、进博会农食产品展区供需对接活动等200余人次，</w:t>
      </w:r>
      <w:r>
        <w:rPr>
          <w:rFonts w:hint="eastAsia" w:ascii="Times New Roman" w:hAnsi="Times New Roman" w:eastAsia="仿宋_GB2312" w:cs="Times New Roman"/>
          <w:sz w:val="32"/>
          <w:szCs w:val="32"/>
          <w:lang w:val="en-US" w:eastAsia="zh-CN"/>
        </w:rPr>
        <w:t>获得一致好评。</w:t>
      </w:r>
    </w:p>
    <w:p>
      <w:pPr>
        <w:pStyle w:val="19"/>
        <w:keepNext w:val="0"/>
        <w:keepLines w:val="0"/>
        <w:pageBreakBefore w:val="0"/>
        <w:kinsoku/>
        <w:wordWrap/>
        <w:overflowPunct/>
        <w:topLinePunct w:val="0"/>
        <w:autoSpaceDE/>
        <w:autoSpaceDN/>
        <w:bidi w:val="0"/>
        <w:adjustRightInd w:val="0"/>
        <w:snapToGrid w:val="0"/>
        <w:spacing w:line="360" w:lineRule="auto"/>
        <w:ind w:right="0" w:rightChars="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分值10分，得分10分。</w:t>
      </w:r>
    </w:p>
    <w:p>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jc w:val="left"/>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3.</w:t>
      </w:r>
      <w:r>
        <w:rPr>
          <w:rFonts w:hint="eastAsia" w:ascii="仿宋" w:hAnsi="仿宋" w:eastAsia="仿宋" w:cs="仿宋"/>
          <w:b/>
          <w:bCs/>
          <w:sz w:val="32"/>
          <w:szCs w:val="32"/>
        </w:rPr>
        <w:t>时效指标(</w:t>
      </w:r>
      <w:r>
        <w:rPr>
          <w:rFonts w:hint="eastAsia" w:ascii="仿宋" w:hAnsi="仿宋" w:eastAsia="仿宋" w:cs="仿宋"/>
          <w:b/>
          <w:bCs/>
          <w:sz w:val="32"/>
          <w:szCs w:val="32"/>
          <w:lang w:val="en-US" w:eastAsia="zh-CN"/>
        </w:rPr>
        <w:t>5</w:t>
      </w:r>
      <w:r>
        <w:rPr>
          <w:rFonts w:hint="eastAsia" w:ascii="仿宋" w:hAnsi="仿宋" w:eastAsia="仿宋" w:cs="仿宋"/>
          <w:b/>
          <w:bCs/>
          <w:sz w:val="32"/>
          <w:szCs w:val="32"/>
        </w:rPr>
        <w:t>分，得</w:t>
      </w:r>
      <w:r>
        <w:rPr>
          <w:rFonts w:hint="eastAsia" w:ascii="仿宋" w:hAnsi="仿宋" w:eastAsia="仿宋" w:cs="仿宋"/>
          <w:b/>
          <w:bCs/>
          <w:sz w:val="32"/>
          <w:szCs w:val="32"/>
          <w:lang w:val="en-US" w:eastAsia="zh-CN"/>
        </w:rPr>
        <w:t>4</w:t>
      </w:r>
      <w:r>
        <w:rPr>
          <w:rFonts w:hint="eastAsia" w:ascii="仿宋" w:hAnsi="仿宋" w:eastAsia="仿宋" w:cs="仿宋"/>
          <w:b/>
          <w:bCs/>
          <w:sz w:val="32"/>
          <w:szCs w:val="32"/>
        </w:rPr>
        <w:t>分</w:t>
      </w:r>
      <w:r>
        <w:rPr>
          <w:rFonts w:hint="eastAsia" w:ascii="仿宋" w:hAnsi="仿宋" w:eastAsia="仿宋" w:cs="仿宋"/>
          <w:b/>
          <w:bCs/>
          <w:sz w:val="32"/>
          <w:szCs w:val="32"/>
          <w:lang w:eastAsia="zh-CN"/>
        </w:rPr>
        <w:t>，</w:t>
      </w:r>
      <w:r>
        <w:rPr>
          <w:rFonts w:hint="eastAsia" w:ascii="仿宋" w:hAnsi="仿宋" w:eastAsia="仿宋" w:cs="仿宋"/>
          <w:b/>
          <w:bCs/>
          <w:sz w:val="32"/>
          <w:szCs w:val="32"/>
        </w:rPr>
        <w:t>扣</w:t>
      </w:r>
      <w:r>
        <w:rPr>
          <w:rFonts w:hint="eastAsia" w:ascii="仿宋" w:hAnsi="仿宋" w:eastAsia="仿宋" w:cs="仿宋"/>
          <w:b/>
          <w:bCs/>
          <w:sz w:val="32"/>
          <w:szCs w:val="32"/>
          <w:lang w:val="en-US" w:eastAsia="zh-CN"/>
        </w:rPr>
        <w:t>1分</w:t>
      </w:r>
      <w:r>
        <w:rPr>
          <w:rFonts w:hint="eastAsia" w:ascii="仿宋" w:hAnsi="仿宋" w:eastAsia="仿宋" w:cs="仿宋"/>
          <w:b/>
          <w:bCs/>
          <w:sz w:val="32"/>
          <w:szCs w:val="32"/>
        </w:rPr>
        <w:t>)</w:t>
      </w:r>
    </w:p>
    <w:p>
      <w:pPr>
        <w:pStyle w:val="2"/>
        <w:keepNext w:val="0"/>
        <w:keepLines w:val="0"/>
        <w:pageBreakBefore w:val="0"/>
        <w:numPr>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（1）业务工作。按照省直机关要求，及时完成布置的各项工作任务。如：开展招商引资推介活动、报送政务信息、接待</w:t>
      </w:r>
      <w:r>
        <w:rPr>
          <w:rFonts w:hint="eastAsia" w:ascii="仿宋" w:hAnsi="仿宋" w:eastAsia="仿宋" w:cs="仿宋"/>
          <w:sz w:val="32"/>
          <w:szCs w:val="32"/>
        </w:rPr>
        <w:t>省领导和省直单位</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市州来沪公务人员、湘沪企业家等；</w:t>
      </w:r>
    </w:p>
    <w:p>
      <w:pPr>
        <w:pStyle w:val="2"/>
        <w:keepNext w:val="0"/>
        <w:keepLines w:val="0"/>
        <w:pageBreakBefore w:val="0"/>
        <w:numPr>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（2）内部管理。按照省直相关业务部门要求，及时完成各项工作任务。如：资产管理工作，平安建设工作，财务工作，后勤保障等。</w:t>
      </w:r>
    </w:p>
    <w:p>
      <w:pPr>
        <w:pStyle w:val="2"/>
        <w:keepNext w:val="0"/>
        <w:keepLines w:val="0"/>
        <w:pageBreakBefore w:val="0"/>
        <w:kinsoku/>
        <w:wordWrap/>
        <w:overflowPunct/>
        <w:topLinePunct w:val="0"/>
        <w:autoSpaceDE/>
        <w:autoSpaceDN/>
        <w:bidi w:val="0"/>
        <w:adjustRightInd w:val="0"/>
        <w:snapToGrid w:val="0"/>
        <w:spacing w:line="360" w:lineRule="auto"/>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分值5分，得分5分。</w:t>
      </w:r>
    </w:p>
    <w:p>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Chars="200" w:firstLine="320" w:firstLineChars="100"/>
        <w:jc w:val="left"/>
        <w:textAlignment w:val="auto"/>
        <w:rPr>
          <w:rFonts w:hint="eastAsia" w:ascii="仿宋" w:hAnsi="仿宋" w:eastAsia="仿宋" w:cs="仿宋"/>
          <w:sz w:val="32"/>
          <w:szCs w:val="32"/>
        </w:rPr>
      </w:pPr>
      <w:r>
        <w:rPr>
          <w:rFonts w:hint="eastAsia" w:ascii="仿宋" w:hAnsi="仿宋" w:eastAsia="仿宋" w:cs="仿宋"/>
          <w:b/>
          <w:bCs/>
          <w:sz w:val="32"/>
          <w:szCs w:val="32"/>
          <w:lang w:val="en-US" w:eastAsia="zh-CN"/>
        </w:rPr>
        <w:t>4.</w:t>
      </w:r>
      <w:r>
        <w:rPr>
          <w:rFonts w:hint="eastAsia" w:ascii="仿宋" w:hAnsi="仿宋" w:eastAsia="仿宋" w:cs="仿宋"/>
          <w:b/>
          <w:bCs/>
          <w:sz w:val="32"/>
          <w:szCs w:val="32"/>
        </w:rPr>
        <w:t>成本指标(</w:t>
      </w:r>
      <w:r>
        <w:rPr>
          <w:rFonts w:hint="eastAsia" w:ascii="仿宋" w:hAnsi="仿宋" w:eastAsia="仿宋" w:cs="仿宋"/>
          <w:b/>
          <w:bCs/>
          <w:sz w:val="32"/>
          <w:szCs w:val="32"/>
          <w:lang w:val="en-US" w:eastAsia="zh-CN"/>
        </w:rPr>
        <w:t>5</w:t>
      </w:r>
      <w:r>
        <w:rPr>
          <w:rFonts w:hint="eastAsia" w:ascii="仿宋" w:hAnsi="仿宋" w:eastAsia="仿宋" w:cs="仿宋"/>
          <w:b/>
          <w:bCs/>
          <w:sz w:val="32"/>
          <w:szCs w:val="32"/>
        </w:rPr>
        <w:t>分，得</w:t>
      </w:r>
      <w:r>
        <w:rPr>
          <w:rFonts w:hint="eastAsia" w:ascii="仿宋" w:hAnsi="仿宋" w:eastAsia="仿宋" w:cs="仿宋"/>
          <w:b/>
          <w:bCs/>
          <w:sz w:val="32"/>
          <w:szCs w:val="32"/>
          <w:lang w:val="en-US" w:eastAsia="zh-CN"/>
        </w:rPr>
        <w:t>5</w:t>
      </w:r>
      <w:r>
        <w:rPr>
          <w:rFonts w:hint="eastAsia" w:ascii="仿宋" w:hAnsi="仿宋" w:eastAsia="仿宋" w:cs="仿宋"/>
          <w:b/>
          <w:bCs/>
          <w:sz w:val="32"/>
          <w:szCs w:val="32"/>
        </w:rPr>
        <w:t>分，未扣分)</w:t>
      </w:r>
      <w:r>
        <w:rPr>
          <w:rFonts w:hint="eastAsia" w:ascii="仿宋" w:hAnsi="仿宋" w:eastAsia="仿宋" w:cs="仿宋"/>
          <w:sz w:val="32"/>
          <w:szCs w:val="32"/>
        </w:rPr>
        <w:t xml:space="preserve"> </w:t>
      </w:r>
    </w:p>
    <w:p>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2025年</w:t>
      </w:r>
      <w:r>
        <w:rPr>
          <w:rFonts w:hint="eastAsia" w:ascii="仿宋" w:hAnsi="仿宋" w:eastAsia="仿宋" w:cs="仿宋"/>
          <w:sz w:val="32"/>
          <w:szCs w:val="32"/>
        </w:rPr>
        <w:t>财政拨款全年预算数（含上年结转和结余）</w:t>
      </w:r>
      <w:r>
        <w:rPr>
          <w:rFonts w:hint="eastAsia" w:ascii="仿宋" w:hAnsi="仿宋" w:eastAsia="仿宋" w:cs="仿宋"/>
          <w:sz w:val="32"/>
          <w:szCs w:val="32"/>
          <w:lang w:val="en-US" w:eastAsia="zh-CN"/>
        </w:rPr>
        <w:t>1598.93</w:t>
      </w:r>
      <w:r>
        <w:rPr>
          <w:rFonts w:hint="eastAsia" w:ascii="仿宋" w:hAnsi="仿宋" w:eastAsia="仿宋" w:cs="仿宋"/>
          <w:sz w:val="32"/>
          <w:szCs w:val="32"/>
        </w:rPr>
        <w:t>万元，全年执行数</w:t>
      </w:r>
      <w:r>
        <w:rPr>
          <w:rFonts w:hint="eastAsia" w:ascii="仿宋" w:hAnsi="仿宋" w:eastAsia="仿宋" w:cs="仿宋"/>
          <w:sz w:val="32"/>
          <w:szCs w:val="32"/>
          <w:lang w:val="en-US" w:eastAsia="zh-CN"/>
        </w:rPr>
        <w:t>1273.73</w:t>
      </w:r>
      <w:r>
        <w:rPr>
          <w:rFonts w:hint="eastAsia" w:ascii="仿宋" w:hAnsi="仿宋" w:eastAsia="仿宋" w:cs="仿宋"/>
          <w:sz w:val="32"/>
          <w:szCs w:val="32"/>
        </w:rPr>
        <w:t>万元，预算执行率</w:t>
      </w:r>
      <w:r>
        <w:rPr>
          <w:rFonts w:hint="eastAsia" w:ascii="仿宋" w:hAnsi="仿宋" w:eastAsia="仿宋" w:cs="仿宋"/>
          <w:sz w:val="32"/>
          <w:szCs w:val="32"/>
          <w:lang w:val="en-US" w:eastAsia="zh-CN"/>
        </w:rPr>
        <w:t>80%</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在预算内完成各项工作任务。</w:t>
      </w:r>
    </w:p>
    <w:p>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分值5分，得分5分。</w:t>
      </w:r>
    </w:p>
    <w:p>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jc w:val="left"/>
        <w:textAlignment w:val="auto"/>
        <w:rPr>
          <w:rFonts w:hint="eastAsia" w:ascii="楷体" w:hAnsi="楷体" w:eastAsia="楷体" w:cs="楷体"/>
          <w:sz w:val="32"/>
          <w:szCs w:val="32"/>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三</w:t>
      </w:r>
      <w:r>
        <w:rPr>
          <w:rFonts w:hint="eastAsia" w:ascii="楷体" w:hAnsi="楷体" w:eastAsia="楷体" w:cs="楷体"/>
          <w:b/>
          <w:bCs/>
          <w:sz w:val="32"/>
          <w:szCs w:val="32"/>
        </w:rPr>
        <w:t>）效益指标(</w:t>
      </w:r>
      <w:r>
        <w:rPr>
          <w:rFonts w:hint="eastAsia" w:ascii="楷体" w:hAnsi="楷体" w:eastAsia="楷体" w:cs="楷体"/>
          <w:b/>
          <w:bCs/>
          <w:sz w:val="32"/>
          <w:szCs w:val="32"/>
          <w:lang w:val="en-US" w:eastAsia="zh-CN"/>
        </w:rPr>
        <w:t>30</w:t>
      </w:r>
      <w:r>
        <w:rPr>
          <w:rFonts w:hint="eastAsia" w:ascii="楷体" w:hAnsi="楷体" w:eastAsia="楷体" w:cs="楷体"/>
          <w:b/>
          <w:bCs/>
          <w:sz w:val="32"/>
          <w:szCs w:val="32"/>
        </w:rPr>
        <w:t>分，得</w:t>
      </w:r>
      <w:r>
        <w:rPr>
          <w:rFonts w:hint="eastAsia" w:ascii="楷体" w:hAnsi="楷体" w:eastAsia="楷体" w:cs="楷体"/>
          <w:b/>
          <w:bCs/>
          <w:sz w:val="32"/>
          <w:szCs w:val="32"/>
          <w:lang w:val="en-US" w:eastAsia="zh-CN"/>
        </w:rPr>
        <w:t>3</w:t>
      </w:r>
      <w:r>
        <w:rPr>
          <w:rFonts w:hint="eastAsia" w:ascii="楷体" w:hAnsi="楷体" w:eastAsia="楷体" w:cs="楷体"/>
          <w:b/>
          <w:bCs/>
          <w:sz w:val="32"/>
          <w:szCs w:val="32"/>
        </w:rPr>
        <w:t>0 分，未扣分)</w:t>
      </w:r>
      <w:r>
        <w:rPr>
          <w:rFonts w:hint="eastAsia" w:ascii="楷体" w:hAnsi="楷体" w:eastAsia="楷体" w:cs="楷体"/>
          <w:sz w:val="32"/>
          <w:szCs w:val="32"/>
        </w:rPr>
        <w:t xml:space="preserve"> </w:t>
      </w:r>
    </w:p>
    <w:p>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jc w:val="left"/>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1.经济效益指标</w:t>
      </w:r>
      <w:r>
        <w:rPr>
          <w:rFonts w:hint="eastAsia" w:ascii="仿宋" w:hAnsi="仿宋" w:eastAsia="仿宋" w:cs="仿宋"/>
          <w:b/>
          <w:bCs/>
          <w:sz w:val="32"/>
          <w:szCs w:val="32"/>
        </w:rPr>
        <w:t>(1</w:t>
      </w:r>
      <w:r>
        <w:rPr>
          <w:rFonts w:hint="eastAsia" w:ascii="仿宋" w:hAnsi="仿宋" w:eastAsia="仿宋" w:cs="仿宋"/>
          <w:b/>
          <w:bCs/>
          <w:sz w:val="32"/>
          <w:szCs w:val="32"/>
          <w:lang w:val="en-US" w:eastAsia="zh-CN"/>
        </w:rPr>
        <w:t>0</w:t>
      </w:r>
      <w:r>
        <w:rPr>
          <w:rFonts w:hint="eastAsia" w:ascii="仿宋" w:hAnsi="仿宋" w:eastAsia="仿宋" w:cs="仿宋"/>
          <w:b/>
          <w:bCs/>
          <w:sz w:val="32"/>
          <w:szCs w:val="32"/>
        </w:rPr>
        <w:t>分，得1</w:t>
      </w:r>
      <w:r>
        <w:rPr>
          <w:rFonts w:hint="eastAsia" w:ascii="仿宋" w:hAnsi="仿宋" w:eastAsia="仿宋" w:cs="仿宋"/>
          <w:b/>
          <w:bCs/>
          <w:sz w:val="32"/>
          <w:szCs w:val="32"/>
          <w:lang w:val="en-US" w:eastAsia="zh-CN"/>
        </w:rPr>
        <w:t>0</w:t>
      </w:r>
      <w:r>
        <w:rPr>
          <w:rFonts w:hint="eastAsia" w:ascii="仿宋" w:hAnsi="仿宋" w:eastAsia="仿宋" w:cs="仿宋"/>
          <w:b/>
          <w:bCs/>
          <w:sz w:val="32"/>
          <w:szCs w:val="32"/>
        </w:rPr>
        <w:t xml:space="preserve">分，未扣分) </w:t>
      </w:r>
    </w:p>
    <w:p>
      <w:pPr>
        <w:pStyle w:val="10"/>
        <w:shd w:val="clear" w:color="auto" w:fill="FFFFFF"/>
        <w:spacing w:before="0" w:beforeAutospacing="0" w:after="0" w:afterAutospacing="0" w:line="600" w:lineRule="exact"/>
        <w:ind w:firstLine="640" w:firstLineChars="200"/>
        <w:jc w:val="both"/>
        <w:rPr>
          <w:rFonts w:hint="eastAsia" w:ascii="仿宋" w:hAnsi="仿宋" w:eastAsia="仿宋" w:cs="仿宋"/>
          <w:sz w:val="32"/>
          <w:szCs w:val="32"/>
          <w:lang w:val="en" w:eastAsia="zh-CN"/>
        </w:rPr>
      </w:pPr>
      <w:r>
        <w:rPr>
          <w:rFonts w:hint="eastAsia" w:ascii="Times New Roman" w:hAnsi="Times New Roman" w:eastAsia="仿宋_GB2312"/>
          <w:sz w:val="32"/>
          <w:szCs w:val="32"/>
          <w:lang w:eastAsia="zh-Hans"/>
        </w:rPr>
        <w:t>围绕湖南产业链需求与上海产业优势，深入开展“四大一促”活动。全年走访对接易福门、联合汽车、</w:t>
      </w:r>
      <w:r>
        <w:rPr>
          <w:rFonts w:hint="eastAsia" w:ascii="Times New Roman" w:hAnsi="Times New Roman" w:eastAsia="仿宋_GB2312"/>
          <w:sz w:val="32"/>
          <w:szCs w:val="32"/>
        </w:rPr>
        <w:t>舍弗勒、</w:t>
      </w:r>
      <w:r>
        <w:rPr>
          <w:rFonts w:hint="eastAsia" w:ascii="Times New Roman" w:hAnsi="Times New Roman" w:eastAsia="仿宋_GB2312"/>
          <w:sz w:val="32"/>
          <w:szCs w:val="32"/>
          <w:lang w:eastAsia="zh-Hans"/>
        </w:rPr>
        <w:t>中远海运、</w:t>
      </w:r>
      <w:r>
        <w:rPr>
          <w:rFonts w:hint="eastAsia" w:ascii="Times New Roman" w:hAnsi="Times New Roman" w:eastAsia="仿宋_GB2312"/>
          <w:sz w:val="32"/>
          <w:szCs w:val="32"/>
        </w:rPr>
        <w:t>东方航空、</w:t>
      </w:r>
      <w:r>
        <w:rPr>
          <w:rFonts w:hint="eastAsia" w:ascii="Times New Roman" w:hAnsi="Times New Roman" w:eastAsia="仿宋_GB2312"/>
          <w:sz w:val="32"/>
          <w:szCs w:val="32"/>
          <w:lang w:eastAsia="zh-Hans"/>
        </w:rPr>
        <w:t>东方雨虹、</w:t>
      </w:r>
      <w:r>
        <w:rPr>
          <w:rFonts w:hint="eastAsia" w:ascii="Times New Roman" w:hAnsi="Times New Roman" w:eastAsia="仿宋_GB2312"/>
          <w:sz w:val="32"/>
          <w:szCs w:val="32"/>
        </w:rPr>
        <w:t>上海医药、恒力集团、普兰金服、邮储银行上海分行</w:t>
      </w:r>
      <w:r>
        <w:rPr>
          <w:rFonts w:hint="eastAsia" w:ascii="Times New Roman" w:hAnsi="Times New Roman" w:eastAsia="仿宋_GB2312"/>
          <w:sz w:val="32"/>
          <w:szCs w:val="32"/>
          <w:lang w:eastAsia="zh-Hans"/>
        </w:rPr>
        <w:t>等知名企业、金融机构及临港新片区</w:t>
      </w:r>
      <w:r>
        <w:rPr>
          <w:rFonts w:hint="eastAsia" w:ascii="Times New Roman" w:hAnsi="Times New Roman" w:eastAsia="仿宋_GB2312"/>
          <w:sz w:val="32"/>
          <w:szCs w:val="32"/>
        </w:rPr>
        <w:t>、中以产业园、上海自贸区外高桥综合保税区</w:t>
      </w:r>
      <w:r>
        <w:rPr>
          <w:rFonts w:hint="eastAsia" w:ascii="Times New Roman" w:hAnsi="Times New Roman" w:eastAsia="仿宋_GB2312"/>
          <w:sz w:val="32"/>
          <w:szCs w:val="32"/>
          <w:lang w:eastAsia="zh-Hans"/>
        </w:rPr>
        <w:t>等重点园区130余次。搭建跨区域桥梁，助力上海产业合作中心</w:t>
      </w:r>
      <w:r>
        <w:rPr>
          <w:rFonts w:hint="eastAsia" w:ascii="Times New Roman" w:hAnsi="Times New Roman" w:eastAsia="仿宋_GB2312"/>
          <w:sz w:val="32"/>
          <w:szCs w:val="32"/>
        </w:rPr>
        <w:t>率团</w:t>
      </w:r>
      <w:r>
        <w:rPr>
          <w:rFonts w:hint="eastAsia" w:ascii="Times New Roman" w:hAnsi="Times New Roman" w:eastAsia="仿宋_GB2312"/>
          <w:sz w:val="32"/>
          <w:szCs w:val="32"/>
          <w:lang w:eastAsia="zh-Hans"/>
        </w:rPr>
        <w:t>赴湘考察，推动上海大虹桥管委会</w:t>
      </w:r>
      <w:r>
        <w:rPr>
          <w:rFonts w:hint="eastAsia" w:ascii="Times New Roman" w:hAnsi="Times New Roman" w:eastAsia="仿宋_GB2312"/>
          <w:sz w:val="32"/>
          <w:szCs w:val="32"/>
        </w:rPr>
        <w:t>、闵行区投资促进局、新虹街道</w:t>
      </w:r>
      <w:r>
        <w:rPr>
          <w:rFonts w:hint="eastAsia" w:ascii="Times New Roman" w:hAnsi="Times New Roman" w:eastAsia="仿宋_GB2312"/>
          <w:sz w:val="32"/>
          <w:szCs w:val="32"/>
          <w:lang w:eastAsia="zh-Hans"/>
        </w:rPr>
        <w:t>等单位与茶颜悦色、文和友</w:t>
      </w:r>
      <w:r>
        <w:rPr>
          <w:rFonts w:hint="eastAsia" w:ascii="Times New Roman" w:hAnsi="Times New Roman" w:eastAsia="仿宋_GB2312"/>
          <w:sz w:val="32"/>
          <w:szCs w:val="32"/>
        </w:rPr>
        <w:t>、葫沏本草茶方</w:t>
      </w:r>
      <w:r>
        <w:rPr>
          <w:rFonts w:hint="eastAsia" w:ascii="Times New Roman" w:hAnsi="Times New Roman" w:eastAsia="仿宋_GB2312"/>
          <w:sz w:val="32"/>
          <w:szCs w:val="32"/>
          <w:lang w:eastAsia="zh-Hans"/>
        </w:rPr>
        <w:t>等湖南新消费品牌对接，</w:t>
      </w:r>
      <w:r>
        <w:rPr>
          <w:rFonts w:hint="eastAsia" w:ascii="Times New Roman" w:hAnsi="Times New Roman" w:eastAsia="仿宋_GB2312" w:cs="仿宋_GB2312"/>
          <w:sz w:val="32"/>
          <w:szCs w:val="32"/>
        </w:rPr>
        <w:t>推动上海湘商（长三角）产业联盟赴湖南开展4轮专项考察洽谈，展现来湘兴业吸引力。</w:t>
      </w:r>
      <w:r>
        <w:rPr>
          <w:rFonts w:hint="eastAsia" w:ascii="Times New Roman" w:hAnsi="Times New Roman" w:eastAsia="仿宋_GB2312" w:cs="Times New Roman"/>
          <w:sz w:val="32"/>
          <w:szCs w:val="32"/>
          <w:lang w:eastAsia="zh-Hans"/>
        </w:rPr>
        <w:t>构建“办事处+市州联络处+招商专班+商会”四位一体驻沪招商体系</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Hans"/>
        </w:rPr>
        <w:t>组织赴泰州等地开展专题招商，成功对接上海格晶半导体、西安万像电子</w:t>
      </w:r>
      <w:r>
        <w:rPr>
          <w:rFonts w:hint="eastAsia" w:ascii="Times New Roman" w:hAnsi="Times New Roman" w:eastAsia="仿宋_GB2312" w:cs="Times New Roman"/>
          <w:sz w:val="32"/>
          <w:szCs w:val="32"/>
        </w:rPr>
        <w:t>、</w:t>
      </w:r>
      <w:r>
        <w:rPr>
          <w:rFonts w:hint="eastAsia" w:ascii="Times New Roman" w:hAnsi="Times New Roman" w:eastAsia="仿宋_GB2312"/>
          <w:sz w:val="32"/>
          <w:szCs w:val="32"/>
        </w:rPr>
        <w:t>天勰力、华美海博生物等</w:t>
      </w:r>
      <w:r>
        <w:rPr>
          <w:rFonts w:hint="eastAsia" w:ascii="Times New Roman" w:hAnsi="Times New Roman" w:eastAsia="仿宋_GB2312" w:cs="Times New Roman"/>
          <w:sz w:val="32"/>
          <w:szCs w:val="32"/>
          <w:lang w:eastAsia="zh-Hans"/>
        </w:rPr>
        <w:t>优质项目。全年牵头促成签约项目185个（其中湘商回归项目60个），总投资额1104.78亿元，实际到位资金193.14亿元。</w:t>
      </w:r>
    </w:p>
    <w:p>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分值10分，得分10分。 </w:t>
      </w:r>
    </w:p>
    <w:p>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2.社会效益指标(10分，得10分，未扣分)</w:t>
      </w:r>
      <w:r>
        <w:rPr>
          <w:rFonts w:hint="eastAsia" w:ascii="仿宋" w:hAnsi="仿宋" w:eastAsia="仿宋" w:cs="仿宋"/>
          <w:sz w:val="32"/>
          <w:szCs w:val="32"/>
          <w:lang w:val="en-US" w:eastAsia="zh-CN"/>
        </w:rPr>
        <w:t xml:space="preserve"> </w:t>
      </w:r>
    </w:p>
    <w:p>
      <w:pPr>
        <w:pStyle w:val="10"/>
        <w:shd w:val="clear" w:color="auto" w:fill="FFFFFF"/>
        <w:spacing w:before="0" w:beforeAutospacing="0" w:after="0" w:afterAutospacing="0" w:line="600" w:lineRule="exact"/>
        <w:ind w:firstLine="640" w:firstLineChars="200"/>
        <w:jc w:val="both"/>
        <w:rPr>
          <w:rFonts w:ascii="Times New Roman" w:hAnsi="Times New Roman" w:eastAsia="仿宋_GB2312" w:cs="Times New Roman"/>
          <w:sz w:val="32"/>
          <w:szCs w:val="32"/>
          <w:lang w:eastAsia="zh-Hans"/>
        </w:rPr>
      </w:pPr>
      <w:r>
        <w:rPr>
          <w:rFonts w:hint="eastAsia" w:ascii="Times New Roman" w:hAnsi="Times New Roman" w:eastAsia="仿宋_GB2312" w:cs="Times New Roman"/>
          <w:sz w:val="32"/>
          <w:szCs w:val="32"/>
          <w:lang w:eastAsia="zh-Hans"/>
        </w:rPr>
        <w:t>优化“1+4+N”宣传矩阵，加强宣传队伍业务培训。深化与新湖南客户端的战略合作，全年刊发稿件700余篇，巩固在长三角地区宣传湖南的主阵地作用。安全高效运营办事处门户网站，发布各类信息2800余条，并顺利开通运营办事处微信公众号，拓展新媒体宣传渠道。</w:t>
      </w:r>
    </w:p>
    <w:p>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jc w:val="both"/>
        <w:textAlignment w:val="auto"/>
        <w:rPr>
          <w:rFonts w:hint="eastAsia" w:ascii="仿宋" w:hAnsi="仿宋" w:eastAsia="仿宋" w:cs="仿宋"/>
          <w:sz w:val="32"/>
          <w:szCs w:val="32"/>
          <w:lang w:val="en" w:eastAsia="zh-CN"/>
        </w:rPr>
      </w:pPr>
      <w:r>
        <w:rPr>
          <w:rFonts w:hint="eastAsia" w:ascii="仿宋" w:hAnsi="仿宋" w:eastAsia="仿宋" w:cs="仿宋"/>
          <w:sz w:val="32"/>
          <w:szCs w:val="32"/>
          <w:lang w:val="en" w:eastAsia="zh-CN"/>
        </w:rPr>
        <w:t>分值</w:t>
      </w:r>
      <w:r>
        <w:rPr>
          <w:rFonts w:hint="eastAsia" w:ascii="仿宋" w:hAnsi="仿宋" w:eastAsia="仿宋" w:cs="仿宋"/>
          <w:sz w:val="32"/>
          <w:szCs w:val="32"/>
          <w:lang w:val="en-US" w:eastAsia="zh-CN"/>
        </w:rPr>
        <w:t>10</w:t>
      </w:r>
      <w:r>
        <w:rPr>
          <w:rFonts w:hint="eastAsia" w:ascii="仿宋" w:hAnsi="仿宋" w:eastAsia="仿宋" w:cs="仿宋"/>
          <w:sz w:val="32"/>
          <w:szCs w:val="32"/>
          <w:lang w:val="en" w:eastAsia="zh-CN"/>
        </w:rPr>
        <w:t>分，得分</w:t>
      </w:r>
      <w:r>
        <w:rPr>
          <w:rFonts w:hint="eastAsia" w:ascii="仿宋" w:hAnsi="仿宋" w:eastAsia="仿宋" w:cs="仿宋"/>
          <w:sz w:val="32"/>
          <w:szCs w:val="32"/>
          <w:lang w:val="en-US" w:eastAsia="zh-CN"/>
        </w:rPr>
        <w:t>10</w:t>
      </w:r>
      <w:r>
        <w:rPr>
          <w:rFonts w:hint="eastAsia" w:ascii="仿宋" w:hAnsi="仿宋" w:eastAsia="仿宋" w:cs="仿宋"/>
          <w:sz w:val="32"/>
          <w:szCs w:val="32"/>
          <w:lang w:val="en" w:eastAsia="zh-CN"/>
        </w:rPr>
        <w:t xml:space="preserve">分。 </w:t>
      </w:r>
    </w:p>
    <w:p>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jc w:val="both"/>
        <w:textAlignment w:val="auto"/>
        <w:rPr>
          <w:rFonts w:hint="eastAsia" w:ascii="仿宋" w:hAnsi="仿宋" w:eastAsia="仿宋" w:cs="仿宋"/>
          <w:b/>
          <w:bCs/>
          <w:sz w:val="32"/>
          <w:szCs w:val="32"/>
          <w:lang w:val="en" w:eastAsia="zh-CN"/>
        </w:rPr>
      </w:pPr>
      <w:r>
        <w:rPr>
          <w:rFonts w:hint="eastAsia" w:ascii="仿宋" w:hAnsi="仿宋" w:eastAsia="仿宋" w:cs="仿宋"/>
          <w:b/>
          <w:bCs/>
          <w:sz w:val="32"/>
          <w:szCs w:val="32"/>
          <w:lang w:val="en-US" w:eastAsia="zh-CN"/>
        </w:rPr>
        <w:t>3.</w:t>
      </w:r>
      <w:r>
        <w:rPr>
          <w:rFonts w:hint="eastAsia" w:ascii="仿宋" w:hAnsi="仿宋" w:eastAsia="仿宋" w:cs="仿宋"/>
          <w:b/>
          <w:bCs/>
          <w:sz w:val="32"/>
          <w:szCs w:val="32"/>
          <w:lang w:val="en" w:eastAsia="zh-CN"/>
        </w:rPr>
        <w:t>可持续影响指标(</w:t>
      </w:r>
      <w:r>
        <w:rPr>
          <w:rFonts w:hint="eastAsia" w:ascii="仿宋" w:hAnsi="仿宋" w:eastAsia="仿宋" w:cs="仿宋"/>
          <w:b/>
          <w:bCs/>
          <w:sz w:val="32"/>
          <w:szCs w:val="32"/>
          <w:lang w:val="en-US" w:eastAsia="zh-CN"/>
        </w:rPr>
        <w:t>10</w:t>
      </w:r>
      <w:r>
        <w:rPr>
          <w:rFonts w:hint="eastAsia" w:ascii="仿宋" w:hAnsi="仿宋" w:eastAsia="仿宋" w:cs="仿宋"/>
          <w:b/>
          <w:bCs/>
          <w:sz w:val="32"/>
          <w:szCs w:val="32"/>
          <w:lang w:val="en" w:eastAsia="zh-CN"/>
        </w:rPr>
        <w:t>分，得1</w:t>
      </w:r>
      <w:r>
        <w:rPr>
          <w:rFonts w:hint="eastAsia" w:ascii="仿宋" w:hAnsi="仿宋" w:eastAsia="仿宋" w:cs="仿宋"/>
          <w:b/>
          <w:bCs/>
          <w:sz w:val="32"/>
          <w:szCs w:val="32"/>
          <w:lang w:val="en-US" w:eastAsia="zh-CN"/>
        </w:rPr>
        <w:t>0</w:t>
      </w:r>
      <w:r>
        <w:rPr>
          <w:rFonts w:hint="eastAsia" w:ascii="仿宋" w:hAnsi="仿宋" w:eastAsia="仿宋" w:cs="仿宋"/>
          <w:b/>
          <w:bCs/>
          <w:sz w:val="32"/>
          <w:szCs w:val="32"/>
          <w:lang w:val="en" w:eastAsia="zh-CN"/>
        </w:rPr>
        <w:t>分，未扣分)</w:t>
      </w:r>
    </w:p>
    <w:p>
      <w:pPr>
        <w:pStyle w:val="10"/>
        <w:shd w:val="clear" w:color="auto" w:fill="FFFFFF"/>
        <w:spacing w:before="0" w:beforeAutospacing="0" w:after="0" w:afterAutospacing="0" w:line="600" w:lineRule="exact"/>
        <w:ind w:firstLine="640" w:firstLineChars="200"/>
        <w:jc w:val="both"/>
        <w:rPr>
          <w:rFonts w:ascii="Times New Roman" w:hAnsi="Times New Roman" w:eastAsia="仿宋_GB2312" w:cs="Times New Roman"/>
          <w:sz w:val="32"/>
          <w:szCs w:val="32"/>
          <w:lang w:eastAsia="zh-Hans"/>
        </w:rPr>
      </w:pPr>
      <w:r>
        <w:rPr>
          <w:rFonts w:hint="eastAsia" w:ascii="Times New Roman" w:hAnsi="Times New Roman" w:eastAsia="仿宋_GB2312" w:cs="Times New Roman"/>
          <w:sz w:val="32"/>
          <w:szCs w:val="32"/>
        </w:rPr>
        <w:t>与</w:t>
      </w:r>
      <w:r>
        <w:rPr>
          <w:rFonts w:hint="eastAsia" w:ascii="Times New Roman" w:hAnsi="Times New Roman" w:eastAsia="仿宋_GB2312" w:cs="Times New Roman"/>
          <w:sz w:val="32"/>
          <w:szCs w:val="32"/>
          <w:lang w:eastAsia="zh-Hans"/>
        </w:rPr>
        <w:t>省人社厅、省委组织部</w:t>
      </w:r>
      <w:r>
        <w:rPr>
          <w:rFonts w:hint="eastAsia" w:ascii="Times New Roman" w:hAnsi="Times New Roman" w:eastAsia="仿宋_GB2312" w:cs="Times New Roman"/>
          <w:sz w:val="32"/>
          <w:szCs w:val="32"/>
        </w:rPr>
        <w:t>、省教育厅</w:t>
      </w:r>
      <w:r>
        <w:rPr>
          <w:rFonts w:hint="eastAsia" w:ascii="Times New Roman" w:hAnsi="Times New Roman" w:eastAsia="仿宋_GB2312" w:cs="Times New Roman"/>
          <w:sz w:val="32"/>
          <w:szCs w:val="32"/>
          <w:lang w:eastAsia="zh-Hans"/>
        </w:rPr>
        <w:t>等部门</w:t>
      </w:r>
      <w:r>
        <w:rPr>
          <w:rFonts w:hint="eastAsia" w:ascii="Times New Roman" w:hAnsi="Times New Roman" w:eastAsia="仿宋_GB2312" w:cs="Times New Roman"/>
          <w:sz w:val="32"/>
          <w:szCs w:val="32"/>
        </w:rPr>
        <w:t>共同</w:t>
      </w:r>
      <w:r>
        <w:rPr>
          <w:rFonts w:hint="eastAsia" w:ascii="Times New Roman" w:hAnsi="Times New Roman" w:eastAsia="仿宋_GB2312" w:cs="Times New Roman"/>
          <w:sz w:val="32"/>
          <w:szCs w:val="32"/>
          <w:lang w:eastAsia="zh-Hans"/>
        </w:rPr>
        <w:t>成功承办“智汇潇湘 才聚湖南”上海专场活动</w:t>
      </w:r>
      <w:r>
        <w:rPr>
          <w:rFonts w:hint="eastAsia" w:ascii="Times New Roman" w:hAnsi="Times New Roman" w:eastAsia="仿宋_GB2312" w:cs="Times New Roman"/>
          <w:sz w:val="32"/>
          <w:szCs w:val="32"/>
        </w:rPr>
        <w:t>，提供1.7万余个岗位，吸引广大在沪学子赴湘就业创业</w:t>
      </w:r>
      <w:r>
        <w:rPr>
          <w:rFonts w:hint="eastAsia" w:ascii="Times New Roman" w:hAnsi="Times New Roman" w:eastAsia="仿宋_GB2312" w:cs="Times New Roman"/>
          <w:sz w:val="32"/>
          <w:szCs w:val="32"/>
          <w:lang w:eastAsia="zh-Hans"/>
        </w:rPr>
        <w:t>。</w:t>
      </w:r>
      <w:r>
        <w:rPr>
          <w:rFonts w:hint="eastAsia" w:ascii="Times New Roman" w:hAnsi="Times New Roman" w:eastAsia="仿宋_GB2312" w:cs="Times New Roman"/>
          <w:sz w:val="32"/>
          <w:szCs w:val="32"/>
        </w:rPr>
        <w:t>与团省委等部门共同在复旦大学举办湖南省支持大学生创业“七个一”进校园暨“湘遇AI时代”2025年长三角地区湘籍青年人才分享交流活动，通过政策宣讲、院士分享等环节，向长三角“金种子”发出沃土邀约。</w:t>
      </w:r>
      <w:r>
        <w:rPr>
          <w:rFonts w:hint="eastAsia" w:ascii="Times New Roman" w:hAnsi="Times New Roman" w:eastAsia="仿宋_GB2312" w:cs="Times New Roman"/>
          <w:sz w:val="32"/>
          <w:szCs w:val="32"/>
          <w:lang w:eastAsia="zh-Hans"/>
        </w:rPr>
        <w:t>邀请医学、教育、</w:t>
      </w:r>
      <w:r>
        <w:rPr>
          <w:rFonts w:hint="eastAsia" w:ascii="Times New Roman" w:hAnsi="Times New Roman" w:eastAsia="仿宋_GB2312" w:cs="Times New Roman"/>
          <w:sz w:val="32"/>
          <w:szCs w:val="32"/>
        </w:rPr>
        <w:t>文化、</w:t>
      </w:r>
      <w:r>
        <w:rPr>
          <w:rFonts w:hint="eastAsia" w:ascii="Times New Roman" w:hAnsi="Times New Roman" w:eastAsia="仿宋_GB2312" w:cs="Times New Roman"/>
          <w:sz w:val="32"/>
          <w:szCs w:val="32"/>
          <w:lang w:eastAsia="zh-Hans"/>
        </w:rPr>
        <w:t>科技等领域的10位</w:t>
      </w:r>
      <w:r>
        <w:rPr>
          <w:rFonts w:hint="eastAsia" w:ascii="Times New Roman" w:hAnsi="Times New Roman" w:eastAsia="仿宋_GB2312" w:cs="Times New Roman"/>
          <w:sz w:val="32"/>
          <w:szCs w:val="32"/>
        </w:rPr>
        <w:t>在沪湘籍</w:t>
      </w:r>
      <w:r>
        <w:rPr>
          <w:rFonts w:hint="eastAsia" w:ascii="Times New Roman" w:hAnsi="Times New Roman" w:eastAsia="仿宋_GB2312" w:cs="Times New Roman"/>
          <w:sz w:val="32"/>
          <w:szCs w:val="32"/>
          <w:lang w:eastAsia="zh-Hans"/>
        </w:rPr>
        <w:t>知名专家座谈，为湖南“十五五”规划建言献策。</w:t>
      </w:r>
    </w:p>
    <w:p>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jc w:val="both"/>
        <w:textAlignment w:val="auto"/>
        <w:rPr>
          <w:rFonts w:hint="eastAsia" w:ascii="仿宋" w:hAnsi="仿宋" w:eastAsia="仿宋" w:cs="仿宋"/>
          <w:sz w:val="32"/>
          <w:szCs w:val="32"/>
          <w:lang w:val="en" w:eastAsia="zh-CN"/>
        </w:rPr>
      </w:pPr>
      <w:r>
        <w:rPr>
          <w:rFonts w:hint="eastAsia" w:ascii="仿宋" w:hAnsi="仿宋" w:eastAsia="仿宋" w:cs="仿宋"/>
          <w:sz w:val="32"/>
          <w:szCs w:val="32"/>
          <w:lang w:val="en" w:eastAsia="zh-CN"/>
        </w:rPr>
        <w:t>分值</w:t>
      </w:r>
      <w:r>
        <w:rPr>
          <w:rFonts w:hint="eastAsia" w:ascii="仿宋" w:hAnsi="仿宋" w:eastAsia="仿宋" w:cs="仿宋"/>
          <w:sz w:val="32"/>
          <w:szCs w:val="32"/>
          <w:lang w:val="en-US" w:eastAsia="zh-CN"/>
        </w:rPr>
        <w:t>10</w:t>
      </w:r>
      <w:r>
        <w:rPr>
          <w:rFonts w:hint="eastAsia" w:ascii="仿宋" w:hAnsi="仿宋" w:eastAsia="仿宋" w:cs="仿宋"/>
          <w:sz w:val="32"/>
          <w:szCs w:val="32"/>
          <w:lang w:val="en" w:eastAsia="zh-CN"/>
        </w:rPr>
        <w:t>分，得分</w:t>
      </w:r>
      <w:r>
        <w:rPr>
          <w:rFonts w:hint="eastAsia" w:ascii="仿宋" w:hAnsi="仿宋" w:eastAsia="仿宋" w:cs="仿宋"/>
          <w:sz w:val="32"/>
          <w:szCs w:val="32"/>
          <w:lang w:val="en-US" w:eastAsia="zh-CN"/>
        </w:rPr>
        <w:t>10</w:t>
      </w:r>
      <w:r>
        <w:rPr>
          <w:rFonts w:hint="eastAsia" w:ascii="仿宋" w:hAnsi="仿宋" w:eastAsia="仿宋" w:cs="仿宋"/>
          <w:sz w:val="32"/>
          <w:szCs w:val="32"/>
          <w:lang w:val="en" w:eastAsia="zh-CN"/>
        </w:rPr>
        <w:t>分。</w:t>
      </w:r>
    </w:p>
    <w:p>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jc w:val="both"/>
        <w:textAlignment w:val="auto"/>
        <w:rPr>
          <w:rFonts w:hint="eastAsia" w:ascii="楷体" w:hAnsi="楷体" w:eastAsia="楷体" w:cs="楷体"/>
          <w:b/>
          <w:bCs/>
          <w:sz w:val="32"/>
          <w:szCs w:val="32"/>
        </w:rPr>
      </w:pPr>
      <w:r>
        <w:rPr>
          <w:rFonts w:hint="eastAsia" w:ascii="仿宋" w:hAnsi="仿宋" w:eastAsia="仿宋" w:cs="仿宋"/>
          <w:b/>
          <w:bCs/>
          <w:sz w:val="32"/>
          <w:szCs w:val="32"/>
          <w:lang w:val="en" w:eastAsia="zh-CN"/>
        </w:rPr>
        <w:t>（</w:t>
      </w:r>
      <w:r>
        <w:rPr>
          <w:rFonts w:hint="eastAsia" w:ascii="仿宋" w:hAnsi="仿宋" w:eastAsia="仿宋" w:cs="仿宋"/>
          <w:b/>
          <w:bCs/>
          <w:sz w:val="32"/>
          <w:szCs w:val="32"/>
          <w:lang w:val="en-US" w:eastAsia="zh-CN"/>
        </w:rPr>
        <w:t>四</w:t>
      </w:r>
      <w:r>
        <w:rPr>
          <w:rFonts w:hint="eastAsia" w:ascii="仿宋" w:hAnsi="仿宋" w:eastAsia="仿宋" w:cs="仿宋"/>
          <w:b/>
          <w:bCs/>
          <w:sz w:val="32"/>
          <w:szCs w:val="32"/>
          <w:lang w:val="en" w:eastAsia="zh-CN"/>
        </w:rPr>
        <w:t>）满意度指标(10 分，得 10 分，未扣分)</w:t>
      </w:r>
      <w:r>
        <w:rPr>
          <w:rFonts w:hint="eastAsia" w:ascii="楷体" w:hAnsi="楷体" w:eastAsia="楷体" w:cs="楷体"/>
          <w:b/>
          <w:bCs/>
          <w:sz w:val="32"/>
          <w:szCs w:val="32"/>
        </w:rPr>
        <w:t xml:space="preserve"> </w:t>
      </w:r>
    </w:p>
    <w:p>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rPr>
        <w:t>服务对象满意度指标(10 分，得 10 分，未扣分)</w:t>
      </w:r>
      <w:r>
        <w:rPr>
          <w:rFonts w:hint="eastAsia" w:ascii="仿宋" w:hAnsi="仿宋" w:eastAsia="仿宋" w:cs="仿宋"/>
          <w:sz w:val="32"/>
          <w:szCs w:val="32"/>
        </w:rPr>
        <w:t xml:space="preserve"> </w:t>
      </w:r>
    </w:p>
    <w:p>
      <w:pPr>
        <w:pStyle w:val="10"/>
        <w:shd w:val="clear" w:color="auto" w:fill="FFFFFF"/>
        <w:spacing w:before="0" w:beforeAutospacing="0" w:after="0" w:afterAutospacing="0"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Hans"/>
        </w:rPr>
        <w:t>依托省法律援助中心上海工作站，全年提供咨询</w:t>
      </w:r>
      <w:r>
        <w:rPr>
          <w:rFonts w:hint="eastAsia" w:ascii="Times New Roman" w:hAnsi="Times New Roman" w:eastAsia="仿宋_GB2312" w:cs="Times New Roman"/>
          <w:sz w:val="32"/>
          <w:szCs w:val="32"/>
        </w:rPr>
        <w:t>服务</w:t>
      </w:r>
      <w:r>
        <w:rPr>
          <w:rFonts w:hint="eastAsia" w:ascii="Times New Roman" w:hAnsi="Times New Roman" w:eastAsia="仿宋_GB2312" w:cs="Times New Roman"/>
          <w:sz w:val="32"/>
          <w:szCs w:val="32"/>
          <w:lang w:eastAsia="zh-Hans"/>
        </w:rPr>
        <w:t>612件，举办</w:t>
      </w:r>
      <w:r>
        <w:rPr>
          <w:rFonts w:hint="eastAsia" w:ascii="Times New Roman" w:hAnsi="Times New Roman" w:eastAsia="仿宋_GB2312" w:cs="Times New Roman"/>
          <w:sz w:val="32"/>
          <w:szCs w:val="32"/>
        </w:rPr>
        <w:t>法律知识</w:t>
      </w:r>
      <w:r>
        <w:rPr>
          <w:rFonts w:hint="eastAsia" w:ascii="Times New Roman" w:hAnsi="Times New Roman" w:eastAsia="仿宋_GB2312" w:cs="Times New Roman"/>
          <w:sz w:val="32"/>
          <w:szCs w:val="32"/>
          <w:lang w:eastAsia="zh-Hans"/>
        </w:rPr>
        <w:t>讲座39次，成功调处纠纷160件，“律师在你身边”栏目</w:t>
      </w:r>
      <w:r>
        <w:rPr>
          <w:rFonts w:hint="eastAsia" w:ascii="Times New Roman" w:hAnsi="Times New Roman" w:eastAsia="仿宋_GB2312" w:cs="Times New Roman"/>
          <w:sz w:val="32"/>
          <w:szCs w:val="32"/>
        </w:rPr>
        <w:t>发稿13篇，总</w:t>
      </w:r>
      <w:r>
        <w:rPr>
          <w:rFonts w:hint="eastAsia" w:ascii="Times New Roman" w:hAnsi="Times New Roman" w:eastAsia="仿宋_GB2312" w:cs="Times New Roman"/>
          <w:sz w:val="32"/>
          <w:szCs w:val="32"/>
          <w:lang w:eastAsia="zh-Hans"/>
        </w:rPr>
        <w:t>点击量超190万。协调解决湘籍务工人员欠薪、社保等问题，回应“湘才返湘”政策咨询，依法维护群众权益</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得到社会各界的一致好评。</w:t>
      </w:r>
    </w:p>
    <w:p>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jc w:val="both"/>
        <w:textAlignment w:val="auto"/>
        <w:rPr>
          <w:rFonts w:hint="eastAsia" w:ascii="仿宋" w:hAnsi="仿宋" w:eastAsia="仿宋" w:cs="仿宋"/>
          <w:sz w:val="32"/>
          <w:szCs w:val="32"/>
          <w:lang w:val="en" w:eastAsia="zh-CN"/>
        </w:rPr>
      </w:pPr>
      <w:r>
        <w:rPr>
          <w:rFonts w:hint="eastAsia" w:ascii="仿宋" w:hAnsi="仿宋" w:eastAsia="仿宋" w:cs="仿宋"/>
          <w:sz w:val="32"/>
          <w:szCs w:val="32"/>
          <w:lang w:val="en" w:eastAsia="zh-CN"/>
        </w:rPr>
        <w:t>分值</w:t>
      </w:r>
      <w:r>
        <w:rPr>
          <w:rFonts w:hint="eastAsia" w:ascii="仿宋" w:hAnsi="仿宋" w:eastAsia="仿宋" w:cs="仿宋"/>
          <w:sz w:val="32"/>
          <w:szCs w:val="32"/>
          <w:lang w:val="en-US" w:eastAsia="zh-CN"/>
        </w:rPr>
        <w:t>10</w:t>
      </w:r>
      <w:r>
        <w:rPr>
          <w:rFonts w:hint="eastAsia" w:ascii="仿宋" w:hAnsi="仿宋" w:eastAsia="仿宋" w:cs="仿宋"/>
          <w:sz w:val="32"/>
          <w:szCs w:val="32"/>
          <w:lang w:val="en" w:eastAsia="zh-CN"/>
        </w:rPr>
        <w:t>分，得分</w:t>
      </w:r>
      <w:r>
        <w:rPr>
          <w:rFonts w:hint="eastAsia" w:ascii="仿宋" w:hAnsi="仿宋" w:eastAsia="仿宋" w:cs="仿宋"/>
          <w:sz w:val="32"/>
          <w:szCs w:val="32"/>
          <w:lang w:val="en-US" w:eastAsia="zh-CN"/>
        </w:rPr>
        <w:t>10</w:t>
      </w:r>
      <w:r>
        <w:rPr>
          <w:rFonts w:hint="eastAsia" w:ascii="仿宋" w:hAnsi="仿宋" w:eastAsia="仿宋" w:cs="仿宋"/>
          <w:sz w:val="32"/>
          <w:szCs w:val="32"/>
          <w:lang w:val="en" w:eastAsia="zh-CN"/>
        </w:rPr>
        <w:t>分。</w:t>
      </w:r>
    </w:p>
    <w:p>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 w:eastAsia="zh-CN"/>
        </w:rPr>
        <w:t>七、存在的问题及原因分析</w:t>
      </w:r>
    </w:p>
    <w:p>
      <w:pPr>
        <w:keepNext w:val="0"/>
        <w:keepLines w:val="0"/>
        <w:pageBreakBefore w:val="0"/>
        <w:widowControl/>
        <w:numPr>
          <w:numId w:val="0"/>
        </w:numPr>
        <w:kinsoku/>
        <w:wordWrap/>
        <w:overflowPunct/>
        <w:topLinePunct w:val="0"/>
        <w:autoSpaceDE/>
        <w:autoSpaceDN/>
        <w:bidi w:val="0"/>
        <w:adjustRightInd w:val="0"/>
        <w:snapToGrid w:val="0"/>
        <w:spacing w:line="360" w:lineRule="auto"/>
        <w:ind w:firstLine="640" w:firstLineChars="200"/>
        <w:jc w:val="lef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（一）预算编制和实际略有偏差。因工作计划的前瞻性不够，年初预算未能根据工作计划进行精准测算。</w:t>
      </w:r>
    </w:p>
    <w:p>
      <w:pPr>
        <w:keepNext w:val="0"/>
        <w:keepLines w:val="0"/>
        <w:pageBreakBefore w:val="0"/>
        <w:widowControl/>
        <w:numPr>
          <w:numId w:val="0"/>
        </w:numPr>
        <w:kinsoku/>
        <w:wordWrap/>
        <w:overflowPunct/>
        <w:topLinePunct w:val="0"/>
        <w:autoSpaceDE/>
        <w:autoSpaceDN/>
        <w:bidi w:val="0"/>
        <w:adjustRightInd w:val="0"/>
        <w:snapToGrid w:val="0"/>
        <w:spacing w:line="360" w:lineRule="auto"/>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（二）预算指标编制合理性不够。主要是因为编制年度预算时未充分考虑单位实际，再加上临时情况较多。</w:t>
      </w:r>
    </w:p>
    <w:p>
      <w:pPr>
        <w:keepNext w:val="0"/>
        <w:keepLines w:val="0"/>
        <w:pageBreakBefore w:val="0"/>
        <w:widowControl/>
        <w:numPr>
          <w:numId w:val="0"/>
        </w:numPr>
        <w:kinsoku/>
        <w:wordWrap/>
        <w:overflowPunct/>
        <w:topLinePunct w:val="0"/>
        <w:autoSpaceDE/>
        <w:autoSpaceDN/>
        <w:bidi w:val="0"/>
        <w:adjustRightInd w:val="0"/>
        <w:snapToGrid w:val="0"/>
        <w:spacing w:line="360" w:lineRule="auto"/>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（三）部分项目资金支付存在集中支付。大部分项目合同签订都是在年底，所以项目签订、项目支出的统筹性有待提高。</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jc w:val="both"/>
        <w:textAlignment w:val="auto"/>
        <w:rPr>
          <w:rFonts w:ascii="Times New Roman" w:hAnsi="Times New Roman" w:eastAsia="黑体" w:cs="Times New Roman"/>
          <w:sz w:val="32"/>
          <w:szCs w:val="32"/>
        </w:rPr>
      </w:pPr>
      <w:r>
        <w:rPr>
          <w:rFonts w:ascii="Times New Roman" w:hAnsi="Times New Roman" w:eastAsia="黑体" w:cs="Times New Roman"/>
          <w:sz w:val="32"/>
          <w:szCs w:val="32"/>
        </w:rPr>
        <w:t>八、下一步改进措施</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rPr>
        <w:t>（一）科学编制预算。</w:t>
      </w:r>
      <w:r>
        <w:rPr>
          <w:rFonts w:hint="eastAsia" w:ascii="仿宋" w:hAnsi="仿宋" w:eastAsia="仿宋" w:cs="仿宋"/>
          <w:sz w:val="32"/>
          <w:szCs w:val="32"/>
          <w:lang w:val="en-US" w:eastAsia="zh-CN"/>
        </w:rPr>
        <w:t>不断深化</w:t>
      </w:r>
      <w:r>
        <w:rPr>
          <w:rFonts w:hint="eastAsia" w:ascii="仿宋" w:hAnsi="仿宋" w:eastAsia="仿宋" w:cs="仿宋"/>
          <w:sz w:val="32"/>
          <w:szCs w:val="32"/>
        </w:rPr>
        <w:t xml:space="preserve">预算意识,严格按照 </w:t>
      </w:r>
      <w:r>
        <w:rPr>
          <w:rFonts w:hint="eastAsia" w:ascii="仿宋" w:hAnsi="仿宋" w:eastAsia="仿宋" w:cs="仿宋"/>
          <w:sz w:val="32"/>
          <w:szCs w:val="32"/>
          <w:lang w:eastAsia="zh-CN"/>
        </w:rPr>
        <w:t>《</w:t>
      </w:r>
      <w:r>
        <w:rPr>
          <w:rFonts w:hint="eastAsia" w:ascii="仿宋" w:hAnsi="仿宋" w:eastAsia="仿宋" w:cs="仿宋"/>
          <w:sz w:val="32"/>
          <w:szCs w:val="32"/>
        </w:rPr>
        <w:t>预算</w:t>
      </w:r>
      <w:r>
        <w:rPr>
          <w:rFonts w:hint="eastAsia" w:ascii="仿宋" w:hAnsi="仿宋" w:eastAsia="仿宋" w:cs="仿宋"/>
          <w:sz w:val="32"/>
          <w:szCs w:val="32"/>
          <w:lang w:val="en-US" w:eastAsia="zh-CN"/>
        </w:rPr>
        <w:t>法》及单位实际编制年度</w:t>
      </w:r>
      <w:r>
        <w:rPr>
          <w:rFonts w:hint="eastAsia" w:ascii="仿宋" w:hAnsi="仿宋" w:eastAsia="仿宋" w:cs="仿宋"/>
          <w:sz w:val="32"/>
          <w:szCs w:val="32"/>
        </w:rPr>
        <w:t>预算,提高预算编制的科学性、合理性、严谨</w:t>
      </w:r>
      <w:r>
        <w:rPr>
          <w:rFonts w:hint="eastAsia" w:ascii="仿宋" w:hAnsi="仿宋" w:eastAsia="仿宋" w:cs="仿宋"/>
          <w:sz w:val="32"/>
          <w:szCs w:val="32"/>
          <w:lang w:val="en-US" w:eastAsia="zh-CN"/>
        </w:rPr>
        <w:t>性、可行性</w:t>
      </w:r>
      <w:r>
        <w:rPr>
          <w:rFonts w:hint="eastAsia" w:ascii="仿宋" w:hAnsi="仿宋" w:eastAsia="仿宋" w:cs="仿宋"/>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（二）定期开展财务分析。每年定期做好支出预算财务分析和部门整体绩效评价工作，及时对费用预算执行情况进行通报和预警，切实提高财政资金使用效益。</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（三）重视预算绩效评价结果应用和公开。对预算绩效自评发现的问题，及时改进。按照省财政的统一时点公开绩效自评报告，接受社会监督。</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jc w:val="left"/>
        <w:textAlignment w:val="auto"/>
        <w:rPr>
          <w:rFonts w:ascii="Times New Roman" w:hAnsi="Times New Roman" w:eastAsia="黑体" w:cs="Times New Roman"/>
          <w:sz w:val="32"/>
          <w:szCs w:val="32"/>
        </w:rPr>
      </w:pPr>
      <w:r>
        <w:rPr>
          <w:rFonts w:ascii="Times New Roman" w:hAnsi="Times New Roman" w:eastAsia="黑体" w:cs="Times New Roman"/>
          <w:sz w:val="32"/>
          <w:szCs w:val="32"/>
        </w:rPr>
        <w:t>九、部门整体支出绩效自评结果应用</w:t>
      </w:r>
      <w:r>
        <w:rPr>
          <w:rFonts w:hint="eastAsia" w:ascii="Times New Roman" w:hAnsi="Times New Roman" w:eastAsia="黑体" w:cs="Times New Roman"/>
          <w:sz w:val="32"/>
          <w:szCs w:val="32"/>
          <w:lang w:val="en-US" w:eastAsia="zh-CN"/>
        </w:rPr>
        <w:t>及</w:t>
      </w:r>
      <w:r>
        <w:rPr>
          <w:rFonts w:ascii="Times New Roman" w:hAnsi="Times New Roman" w:eastAsia="黑体" w:cs="Times New Roman"/>
          <w:sz w:val="32"/>
          <w:szCs w:val="32"/>
        </w:rPr>
        <w:t>公开情况</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rPr>
        <w:t>根据</w:t>
      </w:r>
      <w:r>
        <w:rPr>
          <w:rFonts w:hint="eastAsia" w:ascii="仿宋" w:hAnsi="仿宋" w:eastAsia="仿宋" w:cs="仿宋"/>
          <w:sz w:val="32"/>
          <w:szCs w:val="32"/>
          <w:lang w:val="en-US" w:eastAsia="zh-CN"/>
        </w:rPr>
        <w:t>省财政</w:t>
      </w:r>
      <w:r>
        <w:rPr>
          <w:rFonts w:hint="eastAsia" w:ascii="仿宋" w:hAnsi="仿宋" w:eastAsia="仿宋" w:cs="仿宋"/>
          <w:sz w:val="32"/>
          <w:szCs w:val="32"/>
        </w:rPr>
        <w:t>统一要求，</w:t>
      </w:r>
      <w:r>
        <w:rPr>
          <w:rFonts w:hint="eastAsia" w:ascii="仿宋" w:hAnsi="仿宋" w:eastAsia="仿宋" w:cs="仿宋"/>
          <w:sz w:val="32"/>
          <w:szCs w:val="32"/>
          <w:lang w:val="en-US" w:eastAsia="zh-CN"/>
        </w:rPr>
        <w:t>拟</w:t>
      </w:r>
      <w:r>
        <w:rPr>
          <w:rFonts w:hint="eastAsia" w:ascii="仿宋" w:hAnsi="仿宋" w:eastAsia="仿宋" w:cs="仿宋"/>
          <w:sz w:val="32"/>
          <w:szCs w:val="32"/>
        </w:rPr>
        <w:t>于</w:t>
      </w:r>
      <w:r>
        <w:rPr>
          <w:rFonts w:hint="eastAsia" w:ascii="仿宋" w:hAnsi="仿宋" w:eastAsia="仿宋" w:cs="仿宋"/>
          <w:sz w:val="32"/>
          <w:szCs w:val="32"/>
          <w:lang w:val="en-US" w:eastAsia="zh-CN"/>
        </w:rPr>
        <w:t>6</w:t>
      </w:r>
      <w:r>
        <w:rPr>
          <w:rFonts w:hint="eastAsia" w:ascii="仿宋" w:hAnsi="仿宋" w:eastAsia="仿宋" w:cs="仿宋"/>
          <w:sz w:val="32"/>
          <w:szCs w:val="32"/>
        </w:rPr>
        <w:t>月</w:t>
      </w:r>
      <w:r>
        <w:rPr>
          <w:rFonts w:hint="eastAsia" w:ascii="仿宋" w:hAnsi="仿宋" w:eastAsia="仿宋" w:cs="仿宋"/>
          <w:sz w:val="32"/>
          <w:szCs w:val="32"/>
          <w:lang w:val="en-US" w:eastAsia="zh-CN"/>
        </w:rPr>
        <w:t>29</w:t>
      </w:r>
      <w:r>
        <w:rPr>
          <w:rFonts w:hint="eastAsia" w:ascii="仿宋" w:hAnsi="仿宋" w:eastAsia="仿宋" w:cs="仿宋"/>
          <w:sz w:val="32"/>
          <w:szCs w:val="32"/>
        </w:rPr>
        <w:t>日前将自评报告在</w:t>
      </w:r>
      <w:r>
        <w:rPr>
          <w:rFonts w:hint="eastAsia" w:ascii="仿宋" w:hAnsi="仿宋" w:eastAsia="仿宋" w:cs="仿宋"/>
          <w:sz w:val="32"/>
          <w:szCs w:val="32"/>
          <w:lang w:val="en-US" w:eastAsia="zh-CN"/>
        </w:rPr>
        <w:t>单位</w:t>
      </w:r>
      <w:r>
        <w:rPr>
          <w:rFonts w:hint="eastAsia" w:ascii="仿宋" w:hAnsi="仿宋" w:eastAsia="仿宋" w:cs="仿宋"/>
          <w:sz w:val="32"/>
          <w:szCs w:val="32"/>
        </w:rPr>
        <w:t>门户网站公开。通过自评，查找问题，分析问题，解决问题，</w:t>
      </w:r>
      <w:r>
        <w:rPr>
          <w:rFonts w:hint="eastAsia" w:ascii="仿宋" w:hAnsi="仿宋" w:eastAsia="仿宋" w:cs="仿宋"/>
          <w:sz w:val="32"/>
          <w:szCs w:val="32"/>
          <w:lang w:val="en-US" w:eastAsia="zh-CN"/>
        </w:rPr>
        <w:t>进一步完善单位</w:t>
      </w:r>
      <w:r>
        <w:rPr>
          <w:rFonts w:hint="eastAsia" w:ascii="仿宋" w:hAnsi="仿宋" w:eastAsia="仿宋" w:cs="仿宋"/>
          <w:sz w:val="32"/>
          <w:szCs w:val="32"/>
        </w:rPr>
        <w:t>内部管理，</w:t>
      </w:r>
      <w:r>
        <w:rPr>
          <w:rFonts w:hint="eastAsia" w:ascii="仿宋" w:hAnsi="仿宋" w:eastAsia="仿宋" w:cs="仿宋"/>
          <w:sz w:val="32"/>
          <w:szCs w:val="32"/>
          <w:lang w:val="en-US" w:eastAsia="zh-CN"/>
        </w:rPr>
        <w:t>不断提高</w:t>
      </w:r>
      <w:r>
        <w:rPr>
          <w:rFonts w:hint="eastAsia" w:ascii="仿宋" w:hAnsi="仿宋" w:eastAsia="仿宋" w:cs="仿宋"/>
          <w:sz w:val="32"/>
          <w:szCs w:val="32"/>
        </w:rPr>
        <w:t>预算的管理和使用</w:t>
      </w:r>
      <w:r>
        <w:rPr>
          <w:rFonts w:hint="eastAsia" w:ascii="仿宋" w:hAnsi="仿宋" w:eastAsia="仿宋" w:cs="仿宋"/>
          <w:sz w:val="32"/>
          <w:szCs w:val="32"/>
          <w:lang w:eastAsia="zh-CN"/>
        </w:rPr>
        <w:t>。</w:t>
      </w:r>
    </w:p>
    <w:p>
      <w:pPr>
        <w:pStyle w:val="2"/>
        <w:numPr>
          <w:ilvl w:val="0"/>
          <w:numId w:val="5"/>
        </w:numPr>
        <w:rPr>
          <w:rFonts w:hint="eastAsia" w:ascii="Times New Roman" w:hAnsi="Times New Roman" w:eastAsia="黑体" w:cs="Times New Roman"/>
          <w:kern w:val="2"/>
          <w:sz w:val="32"/>
          <w:szCs w:val="32"/>
          <w:lang w:val="en-US" w:eastAsia="zh-CN" w:bidi="ar-SA"/>
        </w:rPr>
      </w:pPr>
      <w:r>
        <w:rPr>
          <w:rFonts w:hint="eastAsia" w:ascii="Times New Roman" w:hAnsi="Times New Roman" w:eastAsia="黑体" w:cs="Times New Roman"/>
          <w:kern w:val="2"/>
          <w:sz w:val="32"/>
          <w:szCs w:val="32"/>
          <w:lang w:val="en-US" w:eastAsia="zh-CN" w:bidi="ar-SA"/>
        </w:rPr>
        <w:t>其他需要说明的情况</w:t>
      </w:r>
    </w:p>
    <w:p>
      <w:pPr>
        <w:pStyle w:val="2"/>
        <w:numPr>
          <w:ilvl w:val="0"/>
          <w:numId w:val="0"/>
        </w:numPr>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无其他需要说明的情况。</w:t>
      </w:r>
    </w:p>
    <w:p>
      <w:pPr>
        <w:widowControl/>
        <w:jc w:val="left"/>
        <w:rPr>
          <w:rFonts w:ascii="仿宋_GB2312" w:eastAsia="仿宋_GB2312"/>
          <w:kern w:val="0"/>
          <w:sz w:val="32"/>
          <w:szCs w:val="32"/>
        </w:rPr>
      </w:pPr>
    </w:p>
    <w:sectPr>
      <w:pgSz w:w="11906" w:h="16838"/>
      <w:pgMar w:top="1814" w:right="1474" w:bottom="1701" w:left="1587" w:header="851" w:footer="992" w:gutter="0"/>
      <w:pgNumType w:fmt="decimal"/>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小标宋_GBK">
    <w:altName w:val="微软雅黑"/>
    <w:panose1 w:val="02000000000000000000"/>
    <w:charset w:val="86"/>
    <w:family w:val="script"/>
    <w:pitch w:val="default"/>
    <w:sig w:usb0="00000000" w:usb1="00000000" w:usb2="00000000" w:usb3="00000000" w:csb0="00040000" w:csb1="00000000"/>
  </w:font>
  <w:font w:name="Times New Roman Regular">
    <w:altName w:val="Times New Roman"/>
    <w:panose1 w:val="00000000000000000000"/>
    <w:charset w:val="00"/>
    <w:family w:val="auto"/>
    <w:pitch w:val="default"/>
    <w:sig w:usb0="00000000" w:usb1="00000000"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89593D8"/>
    <w:multiLevelType w:val="singleLevel"/>
    <w:tmpl w:val="D89593D8"/>
    <w:lvl w:ilvl="0" w:tentative="0">
      <w:start w:val="1"/>
      <w:numFmt w:val="decimal"/>
      <w:suff w:val="nothing"/>
      <w:lvlText w:val="%1、"/>
      <w:lvlJc w:val="left"/>
    </w:lvl>
  </w:abstractNum>
  <w:abstractNum w:abstractNumId="1">
    <w:nsid w:val="01CBF962"/>
    <w:multiLevelType w:val="singleLevel"/>
    <w:tmpl w:val="01CBF962"/>
    <w:lvl w:ilvl="0" w:tentative="0">
      <w:start w:val="2"/>
      <w:numFmt w:val="chineseCounting"/>
      <w:suff w:val="nothing"/>
      <w:lvlText w:val="（%1）"/>
      <w:lvlJc w:val="left"/>
      <w:pPr>
        <w:ind w:left="-10"/>
      </w:pPr>
      <w:rPr>
        <w:rFonts w:hint="eastAsia"/>
      </w:rPr>
    </w:lvl>
  </w:abstractNum>
  <w:abstractNum w:abstractNumId="2">
    <w:nsid w:val="06043B53"/>
    <w:multiLevelType w:val="singleLevel"/>
    <w:tmpl w:val="06043B53"/>
    <w:lvl w:ilvl="0" w:tentative="0">
      <w:start w:val="10"/>
      <w:numFmt w:val="chineseCounting"/>
      <w:suff w:val="nothing"/>
      <w:lvlText w:val="%1、"/>
      <w:lvlJc w:val="left"/>
      <w:rPr>
        <w:rFonts w:hint="eastAsia"/>
      </w:rPr>
    </w:lvl>
  </w:abstractNum>
  <w:abstractNum w:abstractNumId="3">
    <w:nsid w:val="4223E650"/>
    <w:multiLevelType w:val="singleLevel"/>
    <w:tmpl w:val="4223E650"/>
    <w:lvl w:ilvl="0" w:tentative="0">
      <w:start w:val="7"/>
      <w:numFmt w:val="chineseCounting"/>
      <w:suff w:val="nothing"/>
      <w:lvlText w:val="%1、"/>
      <w:lvlJc w:val="left"/>
      <w:rPr>
        <w:rFonts w:hint="eastAsia"/>
      </w:rPr>
    </w:lvl>
  </w:abstractNum>
  <w:abstractNum w:abstractNumId="4">
    <w:nsid w:val="6965E162"/>
    <w:multiLevelType w:val="singleLevel"/>
    <w:tmpl w:val="6965E162"/>
    <w:lvl w:ilvl="0" w:tentative="0">
      <w:start w:val="4"/>
      <w:numFmt w:val="chineseCounting"/>
      <w:suff w:val="nothing"/>
      <w:lvlText w:val="%1、"/>
      <w:lvlJc w:val="left"/>
      <w:rPr>
        <w:rFonts w:hint="eastAsia"/>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DI5ZTFlM2M4OGI5ODMyZTQwMGFiZjBjYzBkM2IxMGEifQ=="/>
  </w:docVars>
  <w:rsids>
    <w:rsidRoot w:val="004506F9"/>
    <w:rsid w:val="00004214"/>
    <w:rsid w:val="000051F2"/>
    <w:rsid w:val="00010750"/>
    <w:rsid w:val="00011328"/>
    <w:rsid w:val="0002229B"/>
    <w:rsid w:val="000273BD"/>
    <w:rsid w:val="000415B7"/>
    <w:rsid w:val="000658A3"/>
    <w:rsid w:val="00074155"/>
    <w:rsid w:val="000A3F69"/>
    <w:rsid w:val="000C2924"/>
    <w:rsid w:val="000C3FC0"/>
    <w:rsid w:val="000D654C"/>
    <w:rsid w:val="000F1032"/>
    <w:rsid w:val="000F4D70"/>
    <w:rsid w:val="000F7B55"/>
    <w:rsid w:val="00116F1B"/>
    <w:rsid w:val="00142B62"/>
    <w:rsid w:val="001477C2"/>
    <w:rsid w:val="00152C6D"/>
    <w:rsid w:val="00162D39"/>
    <w:rsid w:val="0017686F"/>
    <w:rsid w:val="0018325B"/>
    <w:rsid w:val="00195DDA"/>
    <w:rsid w:val="001A67DB"/>
    <w:rsid w:val="001B6B51"/>
    <w:rsid w:val="001C0115"/>
    <w:rsid w:val="001D51E5"/>
    <w:rsid w:val="001F0C3B"/>
    <w:rsid w:val="00212C12"/>
    <w:rsid w:val="00214427"/>
    <w:rsid w:val="00230C19"/>
    <w:rsid w:val="00251C8D"/>
    <w:rsid w:val="00265724"/>
    <w:rsid w:val="0027426B"/>
    <w:rsid w:val="0028787C"/>
    <w:rsid w:val="0029078C"/>
    <w:rsid w:val="00293063"/>
    <w:rsid w:val="002C0262"/>
    <w:rsid w:val="002C0FD7"/>
    <w:rsid w:val="002F1A1B"/>
    <w:rsid w:val="00302F5F"/>
    <w:rsid w:val="00336095"/>
    <w:rsid w:val="003479BD"/>
    <w:rsid w:val="0035483D"/>
    <w:rsid w:val="003578EA"/>
    <w:rsid w:val="00360461"/>
    <w:rsid w:val="003677DB"/>
    <w:rsid w:val="003768D5"/>
    <w:rsid w:val="00382768"/>
    <w:rsid w:val="003859D9"/>
    <w:rsid w:val="003B2515"/>
    <w:rsid w:val="003E240B"/>
    <w:rsid w:val="004009B7"/>
    <w:rsid w:val="004506F9"/>
    <w:rsid w:val="00454C8B"/>
    <w:rsid w:val="004717A2"/>
    <w:rsid w:val="00491741"/>
    <w:rsid w:val="004B6BFE"/>
    <w:rsid w:val="00500E5F"/>
    <w:rsid w:val="005122EF"/>
    <w:rsid w:val="00512FC7"/>
    <w:rsid w:val="00517C33"/>
    <w:rsid w:val="00522504"/>
    <w:rsid w:val="00523644"/>
    <w:rsid w:val="0054069E"/>
    <w:rsid w:val="00560C99"/>
    <w:rsid w:val="00564141"/>
    <w:rsid w:val="005678C2"/>
    <w:rsid w:val="005767CC"/>
    <w:rsid w:val="00590D9F"/>
    <w:rsid w:val="00595D26"/>
    <w:rsid w:val="0059678F"/>
    <w:rsid w:val="005A74E6"/>
    <w:rsid w:val="005C395A"/>
    <w:rsid w:val="005C45B9"/>
    <w:rsid w:val="005D4D55"/>
    <w:rsid w:val="005E2CFB"/>
    <w:rsid w:val="0062378F"/>
    <w:rsid w:val="006336CA"/>
    <w:rsid w:val="00633D80"/>
    <w:rsid w:val="00647645"/>
    <w:rsid w:val="00651EEC"/>
    <w:rsid w:val="00676C9F"/>
    <w:rsid w:val="00691B24"/>
    <w:rsid w:val="00696377"/>
    <w:rsid w:val="006A351B"/>
    <w:rsid w:val="006B0422"/>
    <w:rsid w:val="006C1B53"/>
    <w:rsid w:val="006D7566"/>
    <w:rsid w:val="006D7730"/>
    <w:rsid w:val="006E5284"/>
    <w:rsid w:val="006E6FC9"/>
    <w:rsid w:val="006F3EB5"/>
    <w:rsid w:val="00702874"/>
    <w:rsid w:val="00702E34"/>
    <w:rsid w:val="00704395"/>
    <w:rsid w:val="00706475"/>
    <w:rsid w:val="0071665F"/>
    <w:rsid w:val="00720FF1"/>
    <w:rsid w:val="00721C01"/>
    <w:rsid w:val="00737D3C"/>
    <w:rsid w:val="00742555"/>
    <w:rsid w:val="00781AF7"/>
    <w:rsid w:val="00784B66"/>
    <w:rsid w:val="007C1087"/>
    <w:rsid w:val="007D3369"/>
    <w:rsid w:val="007D3790"/>
    <w:rsid w:val="007E2746"/>
    <w:rsid w:val="007E7C42"/>
    <w:rsid w:val="007F1886"/>
    <w:rsid w:val="007F6B5C"/>
    <w:rsid w:val="00803EAF"/>
    <w:rsid w:val="00812CDD"/>
    <w:rsid w:val="00812ED5"/>
    <w:rsid w:val="0081555F"/>
    <w:rsid w:val="008249F8"/>
    <w:rsid w:val="008277D9"/>
    <w:rsid w:val="00860BCD"/>
    <w:rsid w:val="0086203B"/>
    <w:rsid w:val="0086243B"/>
    <w:rsid w:val="008772BA"/>
    <w:rsid w:val="008A3B6C"/>
    <w:rsid w:val="008A3E8D"/>
    <w:rsid w:val="008A4AFB"/>
    <w:rsid w:val="008B64AC"/>
    <w:rsid w:val="008C6258"/>
    <w:rsid w:val="008D28B0"/>
    <w:rsid w:val="008D69FC"/>
    <w:rsid w:val="008E4143"/>
    <w:rsid w:val="00901D69"/>
    <w:rsid w:val="00912F17"/>
    <w:rsid w:val="009237C4"/>
    <w:rsid w:val="00930EBA"/>
    <w:rsid w:val="00950252"/>
    <w:rsid w:val="00967F5D"/>
    <w:rsid w:val="00991F74"/>
    <w:rsid w:val="00992420"/>
    <w:rsid w:val="009A0F95"/>
    <w:rsid w:val="009B3ADF"/>
    <w:rsid w:val="009C3B52"/>
    <w:rsid w:val="009D545A"/>
    <w:rsid w:val="00A34B69"/>
    <w:rsid w:val="00A37009"/>
    <w:rsid w:val="00A42218"/>
    <w:rsid w:val="00A50E2A"/>
    <w:rsid w:val="00A52294"/>
    <w:rsid w:val="00A62A9A"/>
    <w:rsid w:val="00A70249"/>
    <w:rsid w:val="00A96C18"/>
    <w:rsid w:val="00AC78C7"/>
    <w:rsid w:val="00AC7A26"/>
    <w:rsid w:val="00AD1DC0"/>
    <w:rsid w:val="00AE2D94"/>
    <w:rsid w:val="00B27F6E"/>
    <w:rsid w:val="00B30242"/>
    <w:rsid w:val="00B33BEA"/>
    <w:rsid w:val="00B52F76"/>
    <w:rsid w:val="00B57C9F"/>
    <w:rsid w:val="00B845B3"/>
    <w:rsid w:val="00B85D8B"/>
    <w:rsid w:val="00BB0B7C"/>
    <w:rsid w:val="00BD03C6"/>
    <w:rsid w:val="00BD1163"/>
    <w:rsid w:val="00BD4ABB"/>
    <w:rsid w:val="00BD4CD7"/>
    <w:rsid w:val="00BE0BD7"/>
    <w:rsid w:val="00BE3674"/>
    <w:rsid w:val="00BE7820"/>
    <w:rsid w:val="00BF5A70"/>
    <w:rsid w:val="00C3049A"/>
    <w:rsid w:val="00C31B1E"/>
    <w:rsid w:val="00C47A46"/>
    <w:rsid w:val="00C77645"/>
    <w:rsid w:val="00C8364F"/>
    <w:rsid w:val="00C94B3E"/>
    <w:rsid w:val="00C955B6"/>
    <w:rsid w:val="00CA61B8"/>
    <w:rsid w:val="00CB5B0C"/>
    <w:rsid w:val="00CD1BB7"/>
    <w:rsid w:val="00CE04C3"/>
    <w:rsid w:val="00CE0C9E"/>
    <w:rsid w:val="00CE4A2C"/>
    <w:rsid w:val="00CE76A0"/>
    <w:rsid w:val="00D023B4"/>
    <w:rsid w:val="00D11503"/>
    <w:rsid w:val="00D148C6"/>
    <w:rsid w:val="00D50E8D"/>
    <w:rsid w:val="00D62EE6"/>
    <w:rsid w:val="00D80947"/>
    <w:rsid w:val="00D83DDB"/>
    <w:rsid w:val="00D86D76"/>
    <w:rsid w:val="00DB5144"/>
    <w:rsid w:val="00DD06FF"/>
    <w:rsid w:val="00DD5FE9"/>
    <w:rsid w:val="00DE75B3"/>
    <w:rsid w:val="00DF0928"/>
    <w:rsid w:val="00DF2AC8"/>
    <w:rsid w:val="00E00C7A"/>
    <w:rsid w:val="00E04571"/>
    <w:rsid w:val="00E350CF"/>
    <w:rsid w:val="00E473FB"/>
    <w:rsid w:val="00E50EA1"/>
    <w:rsid w:val="00E55B68"/>
    <w:rsid w:val="00E876CE"/>
    <w:rsid w:val="00EB67B4"/>
    <w:rsid w:val="00EC0C60"/>
    <w:rsid w:val="00EE05C7"/>
    <w:rsid w:val="00F01132"/>
    <w:rsid w:val="00F05E0C"/>
    <w:rsid w:val="00F069F2"/>
    <w:rsid w:val="00F34F83"/>
    <w:rsid w:val="00F37220"/>
    <w:rsid w:val="00F74360"/>
    <w:rsid w:val="00F76333"/>
    <w:rsid w:val="00F86BE8"/>
    <w:rsid w:val="00FB289E"/>
    <w:rsid w:val="00FB462F"/>
    <w:rsid w:val="00FC2CBB"/>
    <w:rsid w:val="00FE16FA"/>
    <w:rsid w:val="00FE328A"/>
    <w:rsid w:val="02026E30"/>
    <w:rsid w:val="020F7493"/>
    <w:rsid w:val="02132DA7"/>
    <w:rsid w:val="02265803"/>
    <w:rsid w:val="0227063F"/>
    <w:rsid w:val="02BB13AE"/>
    <w:rsid w:val="03247FD9"/>
    <w:rsid w:val="05140C84"/>
    <w:rsid w:val="05C869C2"/>
    <w:rsid w:val="06B269EA"/>
    <w:rsid w:val="06D104DC"/>
    <w:rsid w:val="08AF7209"/>
    <w:rsid w:val="096308BE"/>
    <w:rsid w:val="09B35F93"/>
    <w:rsid w:val="0A16385E"/>
    <w:rsid w:val="0A2363A8"/>
    <w:rsid w:val="0A6308EF"/>
    <w:rsid w:val="0B60652B"/>
    <w:rsid w:val="0B942B1A"/>
    <w:rsid w:val="0C977048"/>
    <w:rsid w:val="0D333513"/>
    <w:rsid w:val="0E234B6B"/>
    <w:rsid w:val="0E2706DC"/>
    <w:rsid w:val="1158077A"/>
    <w:rsid w:val="16BE51E3"/>
    <w:rsid w:val="172508E3"/>
    <w:rsid w:val="17250DDE"/>
    <w:rsid w:val="179D084B"/>
    <w:rsid w:val="190809AD"/>
    <w:rsid w:val="1A643AC8"/>
    <w:rsid w:val="1AF743F0"/>
    <w:rsid w:val="1B6630FA"/>
    <w:rsid w:val="1B9E6C46"/>
    <w:rsid w:val="1DA5361F"/>
    <w:rsid w:val="1E8D6229"/>
    <w:rsid w:val="1F7E1B87"/>
    <w:rsid w:val="1F924AC3"/>
    <w:rsid w:val="213C13A6"/>
    <w:rsid w:val="21431DB2"/>
    <w:rsid w:val="223D7FC0"/>
    <w:rsid w:val="224A6695"/>
    <w:rsid w:val="24D0110E"/>
    <w:rsid w:val="25670218"/>
    <w:rsid w:val="265A2636"/>
    <w:rsid w:val="26E004C6"/>
    <w:rsid w:val="26E70389"/>
    <w:rsid w:val="29FB2BD9"/>
    <w:rsid w:val="2A1255B1"/>
    <w:rsid w:val="2A601398"/>
    <w:rsid w:val="2AED3842"/>
    <w:rsid w:val="2BDF78EF"/>
    <w:rsid w:val="2C12291E"/>
    <w:rsid w:val="2C7F5030"/>
    <w:rsid w:val="2CCE6F26"/>
    <w:rsid w:val="2DD4271C"/>
    <w:rsid w:val="2DE81959"/>
    <w:rsid w:val="2E8073CE"/>
    <w:rsid w:val="30963095"/>
    <w:rsid w:val="325F54C8"/>
    <w:rsid w:val="32740D83"/>
    <w:rsid w:val="32AC6DCB"/>
    <w:rsid w:val="353D0E46"/>
    <w:rsid w:val="35AD6A67"/>
    <w:rsid w:val="35F5260C"/>
    <w:rsid w:val="360F14BD"/>
    <w:rsid w:val="36F80606"/>
    <w:rsid w:val="37533A8E"/>
    <w:rsid w:val="389344B0"/>
    <w:rsid w:val="39C45FB6"/>
    <w:rsid w:val="3B4B278A"/>
    <w:rsid w:val="3BDFE0FE"/>
    <w:rsid w:val="3C687722"/>
    <w:rsid w:val="3DE85D3A"/>
    <w:rsid w:val="3F6F7373"/>
    <w:rsid w:val="3FE8409B"/>
    <w:rsid w:val="3FF57042"/>
    <w:rsid w:val="401B03C9"/>
    <w:rsid w:val="40266202"/>
    <w:rsid w:val="405579FF"/>
    <w:rsid w:val="42DA4918"/>
    <w:rsid w:val="43241F7E"/>
    <w:rsid w:val="43D71EB8"/>
    <w:rsid w:val="444D5DC2"/>
    <w:rsid w:val="449D692C"/>
    <w:rsid w:val="449F6565"/>
    <w:rsid w:val="450262A8"/>
    <w:rsid w:val="45246E7D"/>
    <w:rsid w:val="45817990"/>
    <w:rsid w:val="45FF47CD"/>
    <w:rsid w:val="466808E6"/>
    <w:rsid w:val="46B22D4F"/>
    <w:rsid w:val="47163BC7"/>
    <w:rsid w:val="47BE5A1F"/>
    <w:rsid w:val="486006B9"/>
    <w:rsid w:val="48743864"/>
    <w:rsid w:val="48CB5A6F"/>
    <w:rsid w:val="4A1B7FCB"/>
    <w:rsid w:val="4C2B1FF9"/>
    <w:rsid w:val="4D8B765C"/>
    <w:rsid w:val="4EB2762E"/>
    <w:rsid w:val="4F617DB9"/>
    <w:rsid w:val="50386FAB"/>
    <w:rsid w:val="50CA103E"/>
    <w:rsid w:val="517E6704"/>
    <w:rsid w:val="52071F7E"/>
    <w:rsid w:val="52227BCD"/>
    <w:rsid w:val="52BB0A0D"/>
    <w:rsid w:val="5470201A"/>
    <w:rsid w:val="54FA0C00"/>
    <w:rsid w:val="567D6543"/>
    <w:rsid w:val="57216D36"/>
    <w:rsid w:val="57450BF0"/>
    <w:rsid w:val="58111FC4"/>
    <w:rsid w:val="596474D7"/>
    <w:rsid w:val="5A4E7F91"/>
    <w:rsid w:val="5AB04526"/>
    <w:rsid w:val="5B0D4758"/>
    <w:rsid w:val="5BA45B22"/>
    <w:rsid w:val="5ED9519A"/>
    <w:rsid w:val="5F607737"/>
    <w:rsid w:val="5FC91C11"/>
    <w:rsid w:val="62812ECE"/>
    <w:rsid w:val="64821551"/>
    <w:rsid w:val="65504924"/>
    <w:rsid w:val="660171B1"/>
    <w:rsid w:val="6624491B"/>
    <w:rsid w:val="690277EE"/>
    <w:rsid w:val="69D426ED"/>
    <w:rsid w:val="6A4C74B2"/>
    <w:rsid w:val="6A8348DE"/>
    <w:rsid w:val="6C416642"/>
    <w:rsid w:val="6C8B0FF9"/>
    <w:rsid w:val="6D4835F4"/>
    <w:rsid w:val="6FCD1928"/>
    <w:rsid w:val="6FCD7C56"/>
    <w:rsid w:val="6FE2048F"/>
    <w:rsid w:val="70740AB0"/>
    <w:rsid w:val="730E028E"/>
    <w:rsid w:val="73790137"/>
    <w:rsid w:val="741C048A"/>
    <w:rsid w:val="759F71C1"/>
    <w:rsid w:val="76787C3B"/>
    <w:rsid w:val="78CB72ED"/>
    <w:rsid w:val="79E23821"/>
    <w:rsid w:val="7A5A22E6"/>
    <w:rsid w:val="7A5FF6FE"/>
    <w:rsid w:val="7AB240A9"/>
    <w:rsid w:val="7D7F7257"/>
    <w:rsid w:val="7DC072D1"/>
    <w:rsid w:val="7E523F64"/>
    <w:rsid w:val="7F2B4F17"/>
    <w:rsid w:val="7F5D6C4F"/>
    <w:rsid w:val="7F7443D6"/>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Arial" w:hAnsi="Arial" w:eastAsia="Arial" w:cs="Arial"/>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12">
    <w:name w:val="Default Paragraph Font"/>
    <w:semiHidden/>
    <w:qFormat/>
    <w:uiPriority w:val="99"/>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w:basedOn w:val="1"/>
    <w:semiHidden/>
    <w:qFormat/>
    <w:uiPriority w:val="0"/>
    <w:rPr>
      <w:rFonts w:ascii="仿宋" w:hAnsi="仿宋" w:eastAsia="仿宋" w:cs="仿宋"/>
      <w:sz w:val="32"/>
      <w:szCs w:val="32"/>
      <w:lang w:val="en-US" w:eastAsia="en-US" w:bidi="ar-SA"/>
    </w:rPr>
  </w:style>
  <w:style w:type="paragraph" w:styleId="4">
    <w:name w:val="Body Text Indent"/>
    <w:basedOn w:val="1"/>
    <w:next w:val="5"/>
    <w:unhideWhenUsed/>
    <w:qFormat/>
    <w:uiPriority w:val="99"/>
    <w:pPr>
      <w:widowControl/>
      <w:spacing w:after="120"/>
      <w:ind w:left="420" w:leftChars="200"/>
      <w:jc w:val="left"/>
    </w:pPr>
    <w:rPr>
      <w:rFonts w:ascii="宋体" w:hAnsi="宋体" w:eastAsia="宋体" w:cs="宋体"/>
      <w:kern w:val="0"/>
      <w:sz w:val="24"/>
    </w:rPr>
  </w:style>
  <w:style w:type="paragraph" w:styleId="5">
    <w:name w:val="Body Text First Indent 2"/>
    <w:basedOn w:val="4"/>
    <w:next w:val="1"/>
    <w:unhideWhenUsed/>
    <w:qFormat/>
    <w:uiPriority w:val="99"/>
    <w:pPr>
      <w:ind w:firstLine="420" w:firstLineChars="200"/>
    </w:pPr>
  </w:style>
  <w:style w:type="paragraph" w:styleId="6">
    <w:name w:val="Balloon Text"/>
    <w:basedOn w:val="1"/>
    <w:link w:val="17"/>
    <w:semiHidden/>
    <w:qFormat/>
    <w:uiPriority w:val="99"/>
    <w:rPr>
      <w:sz w:val="18"/>
      <w:szCs w:val="18"/>
    </w:rPr>
  </w:style>
  <w:style w:type="paragraph" w:styleId="7">
    <w:name w:val="footer"/>
    <w:basedOn w:val="1"/>
    <w:next w:val="1"/>
    <w:link w:val="14"/>
    <w:qFormat/>
    <w:uiPriority w:val="99"/>
    <w:pPr>
      <w:tabs>
        <w:tab w:val="center" w:pos="4153"/>
        <w:tab w:val="right" w:pos="8306"/>
      </w:tabs>
      <w:snapToGrid w:val="0"/>
      <w:jc w:val="left"/>
    </w:pPr>
    <w:rPr>
      <w:sz w:val="18"/>
      <w:szCs w:val="18"/>
    </w:rPr>
  </w:style>
  <w:style w:type="paragraph" w:styleId="8">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next w:val="5"/>
    <w:semiHidden/>
    <w:qFormat/>
    <w:uiPriority w:val="0"/>
    <w:pPr>
      <w:snapToGrid w:val="0"/>
      <w:jc w:val="left"/>
    </w:pPr>
    <w:rPr>
      <w:sz w:val="18"/>
      <w:szCs w:val="18"/>
    </w:rPr>
  </w:style>
  <w:style w:type="paragraph" w:styleId="10">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customStyle="1" w:styleId="13">
    <w:name w:val="Header Char"/>
    <w:basedOn w:val="12"/>
    <w:link w:val="8"/>
    <w:qFormat/>
    <w:locked/>
    <w:uiPriority w:val="99"/>
    <w:rPr>
      <w:sz w:val="18"/>
      <w:szCs w:val="18"/>
    </w:rPr>
  </w:style>
  <w:style w:type="character" w:customStyle="1" w:styleId="14">
    <w:name w:val="Footer Char"/>
    <w:basedOn w:val="12"/>
    <w:link w:val="7"/>
    <w:qFormat/>
    <w:locked/>
    <w:uiPriority w:val="99"/>
    <w:rPr>
      <w:sz w:val="18"/>
      <w:szCs w:val="18"/>
    </w:rPr>
  </w:style>
  <w:style w:type="paragraph" w:customStyle="1" w:styleId="15">
    <w:name w:val="Default"/>
    <w:qFormat/>
    <w:uiPriority w:val="99"/>
    <w:pPr>
      <w:widowControl w:val="0"/>
      <w:autoSpaceDE w:val="0"/>
      <w:autoSpaceDN w:val="0"/>
      <w:adjustRightInd w:val="0"/>
    </w:pPr>
    <w:rPr>
      <w:rFonts w:ascii="黑体" w:hAnsi="Calibri" w:eastAsia="黑体" w:cs="黑体"/>
      <w:color w:val="000000"/>
      <w:kern w:val="0"/>
      <w:sz w:val="24"/>
      <w:szCs w:val="24"/>
      <w:lang w:val="en-US" w:eastAsia="zh-CN" w:bidi="ar-SA"/>
    </w:rPr>
  </w:style>
  <w:style w:type="paragraph" w:styleId="16">
    <w:name w:val="List Paragraph"/>
    <w:basedOn w:val="1"/>
    <w:qFormat/>
    <w:uiPriority w:val="99"/>
    <w:pPr>
      <w:ind w:firstLine="420" w:firstLineChars="200"/>
    </w:pPr>
  </w:style>
  <w:style w:type="character" w:customStyle="1" w:styleId="17">
    <w:name w:val="Balloon Text Char"/>
    <w:basedOn w:val="12"/>
    <w:link w:val="6"/>
    <w:semiHidden/>
    <w:qFormat/>
    <w:locked/>
    <w:uiPriority w:val="99"/>
    <w:rPr>
      <w:sz w:val="18"/>
      <w:szCs w:val="18"/>
    </w:rPr>
  </w:style>
  <w:style w:type="paragraph" w:customStyle="1" w:styleId="18">
    <w:name w:val="Char"/>
    <w:basedOn w:val="1"/>
    <w:qFormat/>
    <w:uiPriority w:val="99"/>
    <w:pPr>
      <w:widowControl/>
      <w:spacing w:after="160" w:line="240" w:lineRule="exact"/>
      <w:jc w:val="left"/>
    </w:pPr>
    <w:rPr>
      <w:rFonts w:ascii="Times New Roman" w:hAnsi="Times New Roman" w:cs="Times New Roman"/>
    </w:rPr>
  </w:style>
  <w:style w:type="paragraph" w:customStyle="1" w:styleId="19">
    <w:name w:val="正文 New New"/>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0">
    <w:name w:val="列出段落"/>
    <w:basedOn w:val="1"/>
    <w:qFormat/>
    <w:uiPriority w:val="99"/>
    <w:pPr>
      <w:ind w:firstLine="420" w:firstLineChars="200"/>
    </w:pPr>
  </w:style>
  <w:style w:type="paragraph" w:customStyle="1" w:styleId="21">
    <w:name w:val="Body text|1"/>
    <w:basedOn w:val="1"/>
    <w:qFormat/>
    <w:uiPriority w:val="0"/>
    <w:pPr>
      <w:spacing w:line="379" w:lineRule="auto"/>
      <w:ind w:firstLine="400"/>
      <w:jc w:val="left"/>
    </w:pPr>
    <w:rPr>
      <w:rFonts w:ascii="宋体" w:hAnsi="宋体" w:eastAsia="宋体" w:cs="宋体"/>
      <w:kern w:val="0"/>
      <w:sz w:val="32"/>
      <w:szCs w:val="32"/>
      <w:lang w:val="zh-TW" w:eastAsia="zh-TW" w:bidi="zh-TW"/>
    </w:rPr>
  </w:style>
  <w:style w:type="character" w:customStyle="1" w:styleId="22">
    <w:name w:val="NormalCharacter"/>
    <w:link w:val="23"/>
    <w:semiHidden/>
    <w:qFormat/>
    <w:locked/>
    <w:uiPriority w:val="0"/>
    <w:rPr>
      <w:rFonts w:ascii="Times New Roman" w:hAnsi="Times New Roman"/>
      <w:szCs w:val="21"/>
    </w:rPr>
  </w:style>
  <w:style w:type="paragraph" w:customStyle="1" w:styleId="23">
    <w:name w:val="UserStyle_0"/>
    <w:basedOn w:val="1"/>
    <w:link w:val="22"/>
    <w:qFormat/>
    <w:uiPriority w:val="99"/>
    <w:pPr>
      <w:widowControl/>
      <w:spacing w:after="160" w:line="240" w:lineRule="exact"/>
      <w:jc w:val="left"/>
      <w:textAlignment w:val="baseline"/>
    </w:pPr>
    <w:rPr>
      <w:rFonts w:ascii="Times New Roman" w:hAnsi="Times New Roman"/>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Microsoft</Company>
  <Pages>35</Pages>
  <Words>10110</Words>
  <Characters>12158</Characters>
  <Lines>0</Lines>
  <Paragraphs>0</Paragraphs>
  <TotalTime>1</TotalTime>
  <ScaleCrop>false</ScaleCrop>
  <LinksUpToDate>false</LinksUpToDate>
  <CharactersWithSpaces>13514</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2020-07-02T10:32:00Z</dcterms:created>
  <dc:creator>李航 null</dc:creator>
  <cp:lastModifiedBy>lw</cp:lastModifiedBy>
  <cp:lastPrinted>2026-08-24T02:26:00Z</cp:lastPrinted>
  <dcterms:modified xsi:type="dcterms:W3CDTF">2026-08-24T03:00:35Z</dcterms:modified>
  <cp:revision>111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y fmtid="{D5CDD505-2E9C-101B-9397-08002B2CF9AE}" pid="3" name="ICV">
    <vt:lpwstr>F8CF9285A8B94AC189BE8153BA3F7CEA</vt:lpwstr>
  </property>
</Properties>
</file>